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c54e4a39ce7e928f66569046464066a932b60b"/>
    <w:p>
      <w:pPr>
        <w:pStyle w:val="Heading1"/>
      </w:pPr>
      <w:r>
        <w:t xml:space="preserve">Dens — Theologia ad usum Seminariorum, Tom. II (Mechelen 1829)</w:t>
      </w:r>
    </w:p>
    <w:p>
      <w:pPr>
        <w:pStyle w:val="FirstParagraph"/>
      </w:pPr>
      <w:r>
        <w:rPr>
          <w:bCs/>
          <w:b/>
        </w:rPr>
        <w:t xml:space="preserve">Latin–English parallel text: De Virtute Fidei N. 14 (printed 283–287), De Ecclesia N. 92–93 (printed 437–438) and N. 97 (printed 448–450)</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BLOCK A — De Virtute Fidei, N. 14 (printed 283–287)</w:t>
            </w:r>
          </w:p>
        </w:tc>
        <w:tc>
          <w:tcPr/>
          <w:p>
            <w:pPr>
              <w:pStyle w:val="Compact"/>
            </w:pPr>
          </w:p>
        </w:tc>
        <w:tc>
          <w:tcPr/>
          <w:p>
            <w:pPr>
              <w:pStyle w:val="Compact"/>
              <w:jc w:val="left"/>
            </w:pPr>
            <w:r>
              <w:rPr>
                <w:bCs/>
                <w:b/>
              </w:rPr>
              <w:t xml:space="preserve">BLOCK A — De Virtute Fidei, N. 14 (printed 283–287)</w:t>
            </w:r>
          </w:p>
        </w:tc>
      </w:tr>
      <w:tr>
        <w:tc>
          <w:tcPr/>
          <w:p>
            <w:pPr>
              <w:pStyle w:val="Compact"/>
              <w:jc w:val="left"/>
            </w:pPr>
            <w:r>
              <w:rPr>
                <w:iCs/>
                <w:i/>
              </w:rPr>
              <w:t xml:space="preserve">An conclusio syllogistica, quæ legitimè deducitur ex duabus præmissis de fide, vel ex una præmissa de fide et altera naturaliter cognita, est de fide?</w:t>
            </w:r>
          </w:p>
        </w:tc>
        <w:tc>
          <w:tcPr/>
          <w:p>
            <w:pPr>
              <w:pStyle w:val="Compact"/>
            </w:pPr>
          </w:p>
        </w:tc>
        <w:tc>
          <w:tcPr/>
          <w:p>
            <w:pPr>
              <w:pStyle w:val="Compact"/>
              <w:jc w:val="left"/>
            </w:pPr>
            <w:r>
              <w:rPr>
                <w:iCs/>
                <w:i/>
              </w:rPr>
              <w:t xml:space="preserve">Is a syllogistic conclusion, which is legitimately deduced from two premises of faith, or from one premise of faith and another naturally known, of faith?</w:t>
            </w:r>
          </w:p>
        </w:tc>
      </w:tr>
      <w:tr>
        <w:tc>
          <w:tcPr/>
          <w:p>
            <w:pPr>
              <w:pStyle w:val="Compact"/>
              <w:jc w:val="left"/>
            </w:pPr>
            <w:r>
              <w:t xml:space="preserve">R. 1.o Ex jam dictis patet, quòd si consideretur merè ut illata per rationem et consequentiam legitimam, eatenùs fide divinâ non credatur; sed erit assensus scientiæ theologicæ.</w:t>
            </w:r>
          </w:p>
        </w:tc>
        <w:tc>
          <w:tcPr/>
          <w:p>
            <w:pPr>
              <w:pStyle w:val="Compact"/>
            </w:pPr>
          </w:p>
        </w:tc>
        <w:tc>
          <w:tcPr/>
          <w:p>
            <w:pPr>
              <w:pStyle w:val="Compact"/>
              <w:jc w:val="left"/>
            </w:pPr>
            <w:r>
              <w:t xml:space="preserve">R. 1. From what has already been said it is clear that, if it be considered merely as inferred through reason and a legitimate consequence, to that extent it is not believed by divine faith; but it will be an assent of theological science.</w:t>
            </w:r>
          </w:p>
        </w:tc>
      </w:tr>
      <w:tr>
        <w:tc>
          <w:tcPr/>
          <w:p>
            <w:pPr>
              <w:pStyle w:val="Compact"/>
              <w:jc w:val="left"/>
            </w:pPr>
            <w:r>
              <w:t xml:space="preserve">R. 2.o Potest tamen talis conclusio vel propositio dici de fide, in quantùm consideratur ut contenta in præmissa de fide; adeò ut assensus præbeatur, non vi consequentiæ, sed quia conclusio in præmissa est contenta, adeòque revelata: quamquàm[1], ut dicit Steyaert, fides talis propriè et immediatè non tendat in conclusionem hanc in individuo, sed potiùs cadat in præmissam quæ ipsam continet.</w:t>
            </w:r>
          </w:p>
        </w:tc>
        <w:tc>
          <w:tcPr/>
          <w:p>
            <w:pPr>
              <w:pStyle w:val="Compact"/>
            </w:pPr>
          </w:p>
        </w:tc>
        <w:tc>
          <w:tcPr/>
          <w:p>
            <w:pPr>
              <w:pStyle w:val="Compact"/>
              <w:jc w:val="left"/>
            </w:pPr>
            <w:r>
              <w:t xml:space="preserve">R. 2. Such a conclusion or proposition can nevertheless be called of faith, insofar as it is considered as contained in the premise of faith; so that assent is given, not by force of the consequence, but because the conclusion is contained in the premise, and thus revealed: although[1], as Steyaert says, such faith does not properly and immediately tend toward this conclusion taken singly, but rather falls upon the premise which contains it.</w:t>
            </w:r>
          </w:p>
        </w:tc>
      </w:tr>
      <w:tr>
        <w:tc>
          <w:tcPr/>
          <w:p>
            <w:pPr>
              <w:pStyle w:val="Compact"/>
              <w:jc w:val="left"/>
            </w:pPr>
            <w:r>
              <w:t xml:space="preserve">NOTA. Potest conclusio contineri in præmissa</w:t>
            </w:r>
            <w:r>
              <w:t xml:space="preserve"> </w:t>
            </w:r>
            <w:r>
              <w:rPr>
                <w:iCs/>
                <w:i/>
              </w:rPr>
              <w:t xml:space="preserve">formaliter</w:t>
            </w:r>
            <w:r>
              <w:t xml:space="preserve">, vel solùm</w:t>
            </w:r>
            <w:r>
              <w:t xml:space="preserve"> </w:t>
            </w:r>
            <w:r>
              <w:rPr>
                <w:iCs/>
                <w:i/>
              </w:rPr>
              <w:t xml:space="preserve">virtualiter</w:t>
            </w:r>
            <w:r>
              <w:t xml:space="preserve">.</w:t>
            </w:r>
          </w:p>
        </w:tc>
        <w:tc>
          <w:tcPr/>
          <w:p>
            <w:pPr>
              <w:pStyle w:val="Compact"/>
            </w:pPr>
          </w:p>
        </w:tc>
        <w:tc>
          <w:tcPr/>
          <w:p>
            <w:pPr>
              <w:pStyle w:val="Compact"/>
              <w:jc w:val="left"/>
            </w:pPr>
            <w:r>
              <w:t xml:space="preserve">NOTE. A conclusion can be contained in the premise</w:t>
            </w:r>
            <w:r>
              <w:t xml:space="preserve"> </w:t>
            </w:r>
            <w:r>
              <w:rPr>
                <w:iCs/>
                <w:i/>
              </w:rPr>
              <w:t xml:space="preserve">formally</w:t>
            </w:r>
            <w:r>
              <w:t xml:space="preserve">, or only</w:t>
            </w:r>
            <w:r>
              <w:t xml:space="preserve"> </w:t>
            </w:r>
            <w:r>
              <w:rPr>
                <w:iCs/>
                <w:i/>
              </w:rPr>
              <w:t xml:space="preserve">virtually</w:t>
            </w:r>
            <w:r>
              <w:t xml:space="preserve">.</w:t>
            </w:r>
          </w:p>
        </w:tc>
      </w:tr>
      <w:tr>
        <w:tc>
          <w:tcPr/>
          <w:p>
            <w:pPr>
              <w:pStyle w:val="Compact"/>
              <w:jc w:val="left"/>
            </w:pPr>
            <w:r>
              <w:t xml:space="preserve">Dicitur contineri formaliter, quæ continetur secundùm proprium ejus significatum; ita ut sit quid idem cum ea, vel pars ejus, vel proprietas inseparabilis: v. g. si dicam:</w:t>
            </w:r>
            <w:r>
              <w:t xml:space="preserve"> </w:t>
            </w:r>
            <w:r>
              <w:rPr>
                <w:iCs/>
                <w:i/>
              </w:rPr>
              <w:t xml:space="preserve">Christus est homo: ergo est animal rationale; ergo habet animam rationalem; ergo est visibilis.</w:t>
            </w:r>
          </w:p>
        </w:tc>
        <w:tc>
          <w:tcPr/>
          <w:p>
            <w:pPr>
              <w:pStyle w:val="Compact"/>
            </w:pPr>
          </w:p>
        </w:tc>
        <w:tc>
          <w:tcPr/>
          <w:p>
            <w:pPr>
              <w:pStyle w:val="Compact"/>
              <w:jc w:val="left"/>
            </w:pPr>
            <w:r>
              <w:t xml:space="preserve">That is said to be contained formally which is contained according to the premise’s proper meaning; so that it is something identical with it, or a part of it, or an inseparable property: e.g. if I say:</w:t>
            </w:r>
            <w:r>
              <w:t xml:space="preserve"> </w:t>
            </w:r>
            <w:r>
              <w:rPr>
                <w:iCs/>
                <w:i/>
              </w:rPr>
              <w:t xml:space="preserve">Christ is man: therefore he is a rational animal; therefore he has a rational soul; therefore he is visible.</w:t>
            </w:r>
          </w:p>
        </w:tc>
      </w:tr>
      <w:tr>
        <w:tc>
          <w:tcPr/>
          <w:p>
            <w:pPr>
              <w:pStyle w:val="Compact"/>
              <w:jc w:val="left"/>
            </w:pPr>
            <w:r>
              <w:t xml:space="preserve">Dicitur contineri virtualiter, quando talem habet connexionem cum illa, ut conclusionem negans censeatur negare præmissam: ut infrà in exemplo canis Tobiæ.</w:t>
            </w:r>
          </w:p>
        </w:tc>
        <w:tc>
          <w:tcPr/>
          <w:p>
            <w:pPr>
              <w:pStyle w:val="Compact"/>
            </w:pPr>
          </w:p>
        </w:tc>
        <w:tc>
          <w:tcPr/>
          <w:p>
            <w:pPr>
              <w:pStyle w:val="Compact"/>
              <w:jc w:val="left"/>
            </w:pPr>
            <w:r>
              <w:t xml:space="preserve">That is said to be contained virtually, when it has such a connection with the premise that one who denies the conclusion is reckoned to deny the premise: as below in the example of Tobias’s dog.</w:t>
            </w:r>
          </w:p>
        </w:tc>
      </w:tr>
      <w:tr>
        <w:tc>
          <w:tcPr/>
          <w:p>
            <w:pPr>
              <w:pStyle w:val="Compact"/>
              <w:jc w:val="left"/>
            </w:pPr>
            <w:r>
              <w:t xml:space="preserve">Si quædam conclusio formaliter contineatur in præmissa de fide, erit directè de fide: Deus enim, in quo non est cognitio confusa, omnia singularia, sub universali contenta, distinctè cognoscit, et ubi hanc revelat, loquitur de omnibus quæ formaliter in ea continentur, et pro omnibus interponit suam auctoritatem; ergo ubi constat certitudine, cui falsum non subest, quòd aliquid contineatur sub universali revelato, constat illud particulariter esse revelatum, et consequenter ad fidem pertinere.</w:t>
            </w:r>
          </w:p>
        </w:tc>
        <w:tc>
          <w:tcPr/>
          <w:p>
            <w:pPr>
              <w:pStyle w:val="Compact"/>
            </w:pPr>
          </w:p>
        </w:tc>
        <w:tc>
          <w:tcPr/>
          <w:p>
            <w:pPr>
              <w:pStyle w:val="Compact"/>
              <w:jc w:val="left"/>
            </w:pPr>
            <w:r>
              <w:t xml:space="preserve">If some conclusion is contained formally in a premise of faith, it will be directly of faith: for God, in whom there is no confused knowledge, knows distinctly all the singulars contained under the universal, and where he reveals this universal, he speaks of all the things which are formally contained in it, and for all of them interposes his authority; therefore where it is established with a certitude beneath which no falsehood lies, that something is contained under the revealed universal, it is established that this thing is revealed in particular, and consequently pertains to faith.</w:t>
            </w:r>
          </w:p>
        </w:tc>
      </w:tr>
      <w:tr>
        <w:tc>
          <w:tcPr/>
          <w:p>
            <w:pPr>
              <w:pStyle w:val="Compact"/>
              <w:jc w:val="left"/>
            </w:pPr>
            <w:r>
              <w:t xml:space="preserve">Ita hic syllogismus: Omnes homines peccaverunt: atqui Joannes est homo; ergo Joannes peccavit: conclusio hæc, Joannes peccavit, formaliter continetur in majori præmissa, Omnes homines peccaverunt, tanquàm pars totius expressè revelati ad Rom. cap. 3. ℣. 23.</w:t>
            </w:r>
            <w:r>
              <w:t xml:space="preserve"> </w:t>
            </w:r>
            <w:r>
              <w:rPr>
                <w:iCs/>
                <w:i/>
              </w:rPr>
              <w:t xml:space="preserve">Omnes enim peccaverunt, et egent gloria Dei</w:t>
            </w:r>
            <w:r>
              <w:t xml:space="preserve">; et ideò potest hæc, Joannes peccavit, dici esse directè de fide.</w:t>
            </w:r>
          </w:p>
        </w:tc>
        <w:tc>
          <w:tcPr/>
          <w:p>
            <w:pPr>
              <w:pStyle w:val="Compact"/>
            </w:pPr>
          </w:p>
        </w:tc>
        <w:tc>
          <w:tcPr/>
          <w:p>
            <w:pPr>
              <w:pStyle w:val="Compact"/>
              <w:jc w:val="left"/>
            </w:pPr>
            <w:r>
              <w:t xml:space="preserve">Thus this syllogism: All men have sinned: but John is a man; therefore John has sinned: this conclusion, John has sinned, is contained formally in the major premise, All men have sinned, as a part of the whole expressly revealed at Rom. ch. 3 ℣. 23,</w:t>
            </w:r>
            <w:r>
              <w:t xml:space="preserve"> </w:t>
            </w:r>
            <w:r>
              <w:rPr>
                <w:iCs/>
                <w:i/>
              </w:rPr>
              <w:t xml:space="preserve">For all have sinned, and do need the glory of God</w:t>
            </w:r>
            <w:r>
              <w:t xml:space="preserve">; and therefore this proposition, John has sinned, can be said to be directly of faith.</w:t>
            </w:r>
          </w:p>
        </w:tc>
      </w:tr>
      <w:tr>
        <w:tc>
          <w:tcPr/>
          <w:p>
            <w:pPr>
              <w:pStyle w:val="Compact"/>
              <w:jc w:val="left"/>
            </w:pPr>
            <w:r>
              <w:t xml:space="preserve">Hinc est, quòd multa ab omnibus supponantur de fide, quæ non sunt explicitè revelata. Sic quilibet fidelis credit se à Deo creatum, contraxisse peccatum originale, resurrecturum etc., quæ Deus non de singulis in particulari, sed de omnibus generatim revelavit. Sic etiam, quia de fide est omnem infantem debitè baptizatum esse justificatum, si certus sum me hunc infantem ritè baptizâsse, fide divina credere possum eum esse justificatum. Idem quoque foret si Deus alicui sufficienter revelaret omnes Belgii urbes hoc anno esse evertendas; posset is fide divina credere Bruxellas hoc anno esse evertendas.</w:t>
            </w:r>
          </w:p>
        </w:tc>
        <w:tc>
          <w:tcPr/>
          <w:p>
            <w:pPr>
              <w:pStyle w:val="Compact"/>
            </w:pPr>
          </w:p>
        </w:tc>
        <w:tc>
          <w:tcPr/>
          <w:p>
            <w:pPr>
              <w:pStyle w:val="Compact"/>
              <w:jc w:val="left"/>
            </w:pPr>
            <w:r>
              <w:t xml:space="preserve">Hence it is that many things are supposed by all to be of faith which are not explicitly revealed. Thus each of the faithful believes that he was created by God, that he contracted original sin, that he will rise again, and so forth, things which God revealed not of individuals in particular, but of all in general. So too, since it is of faith that every duly baptized infant has been justified, if I am certain that I have rightly baptized this infant, I can believe by divine faith that he has been justified. The same would hold also if God were to reveal sufficiently to someone that all the cities of Belgium were to be overthrown this year; he could believe by divine faith that Brussels was to be overthrown this year.</w:t>
            </w:r>
          </w:p>
        </w:tc>
      </w:tr>
      <w:tr>
        <w:tc>
          <w:tcPr/>
          <w:p>
            <w:pPr>
              <w:pStyle w:val="Compact"/>
              <w:jc w:val="left"/>
            </w:pPr>
            <w:r>
              <w:t xml:space="preserve">Si autem conclusio tantùm virtualiter contineatur in præmissa revelata, erit indirectè et consecutivè de fide.</w:t>
            </w:r>
          </w:p>
        </w:tc>
        <w:tc>
          <w:tcPr/>
          <w:p>
            <w:pPr>
              <w:pStyle w:val="Compact"/>
            </w:pPr>
          </w:p>
        </w:tc>
        <w:tc>
          <w:tcPr/>
          <w:p>
            <w:pPr>
              <w:pStyle w:val="Compact"/>
              <w:jc w:val="left"/>
            </w:pPr>
            <w:r>
              <w:t xml:space="preserve">If, however, the conclusion is contained only virtually in the revealed premise, it will be indirectly and consecutively of faith.</w:t>
            </w:r>
          </w:p>
        </w:tc>
      </w:tr>
      <w:tr>
        <w:tc>
          <w:tcPr/>
          <w:p>
            <w:pPr>
              <w:pStyle w:val="Compact"/>
              <w:jc w:val="left"/>
            </w:pPr>
            <w:r>
              <w:t xml:space="preserve">Sic in hoc argumento:</w:t>
            </w:r>
            <w:r>
              <w:t xml:space="preserve"> </w:t>
            </w:r>
            <w:r>
              <w:rPr>
                <w:iCs/>
                <w:i/>
              </w:rPr>
              <w:t xml:space="preserve">Canis Tobiæ blandimento caudæ suæ gaudebat; ergo canis Tobiæ habebat caudam</w:t>
            </w:r>
            <w:r>
              <w:t xml:space="preserve">; consequens tantùm virtualiter, non formaliter, continetur in antecedente, Tobiæ cap. 11. ℣. 9.,</w:t>
            </w:r>
            <w:r>
              <w:t xml:space="preserve"> </w:t>
            </w:r>
            <w:r>
              <w:rPr>
                <w:iCs/>
                <w:i/>
              </w:rPr>
              <w:t xml:space="preserve">tunc præcucurrit canis, qui simul fuerat in via: et quasi nuntius adveniens, blandimento suæ caudæ gaudebat</w:t>
            </w:r>
            <w:r>
              <w:t xml:space="preserve">, revelato: quia continetur tantùm ratione connexionis, quæ est inter significata utriusque propositionis. Atque hinc propositio hæc,</w:t>
            </w:r>
            <w:r>
              <w:t xml:space="preserve"> </w:t>
            </w:r>
            <w:r>
              <w:rPr>
                <w:iCs/>
                <w:i/>
              </w:rPr>
              <w:t xml:space="preserve">Canis Tobiæ habebat caudam</w:t>
            </w:r>
            <w:r>
              <w:t xml:space="preserve">, non est de fide directè, sed indirectè, in quantùm scilicet, eâ negatâ, sequitur, falsum esse, quòd Tobiæ cap. 11. ℣. 9. habetur. Et ita, si quis videns eam sequelam, quòd ex eo quòd negetur canem Tobiæ habuisse caudam, sequatur in Scriptura falsum contineri, et nihilominùs pertinaciter id negaret, foret hæreticus: non ideò præcisè, quia id negat; sed quia convincitur pertinaciter sustinere, quòd in Scriptura falsum contineatur. Aliud foret, si hoc quis negaret, non videns quòd ex eo aliquid sequatur contrarium fidei.</w:t>
            </w:r>
          </w:p>
        </w:tc>
        <w:tc>
          <w:tcPr/>
          <w:p>
            <w:pPr>
              <w:pStyle w:val="Compact"/>
            </w:pPr>
          </w:p>
        </w:tc>
        <w:tc>
          <w:tcPr/>
          <w:p>
            <w:pPr>
              <w:pStyle w:val="Compact"/>
              <w:jc w:val="left"/>
            </w:pPr>
            <w:r>
              <w:t xml:space="preserve">Thus in this argument:</w:t>
            </w:r>
            <w:r>
              <w:t xml:space="preserve"> </w:t>
            </w:r>
            <w:r>
              <w:rPr>
                <w:iCs/>
                <w:i/>
              </w:rPr>
              <w:t xml:space="preserve">Tobias’s dog shewed his joy by his fawning and wagging his tail; therefore Tobias’s dog had a tail</w:t>
            </w:r>
            <w:r>
              <w:t xml:space="preserve">; the consequent is contained in the antecedent only virtually, not formally, the antecedent being revealed at Tob. ch. 11 ℣. 9,</w:t>
            </w:r>
            <w:r>
              <w:t xml:space="preserve"> </w:t>
            </w:r>
            <w:r>
              <w:rPr>
                <w:iCs/>
                <w:i/>
              </w:rPr>
              <w:t xml:space="preserve">Then the dog, which had been with them in the way, ran before, and coming as if he had brought the news, shewed his joy by his fawning and wagging his tail</w:t>
            </w:r>
            <w:r>
              <w:t xml:space="preserve">: because it is contained only by reason of the connection which holds between the things signified by the two propositions. And hence this proposition,</w:t>
            </w:r>
            <w:r>
              <w:t xml:space="preserve"> </w:t>
            </w:r>
            <w:r>
              <w:rPr>
                <w:iCs/>
                <w:i/>
              </w:rPr>
              <w:t xml:space="preserve">Tobias’s dog had a tail</w:t>
            </w:r>
            <w:r>
              <w:t xml:space="preserve">, is not of faith directly, but indirectly, namely insofar as, once it is denied, it follows that what is had at Tob. ch. 11 ℣. 9 is false. And so, if anyone, seeing that consequence, namely that from denying that Tobias’s dog had a tail it follows that a falsehood is contained in Scripture, should nevertheless pertinaciously deny it, he would be a heretic: not precisely because he denies that, but because he is convicted of pertinaciously maintaining that a falsehood is contained in Scripture. It would be otherwise if someone were to deny this without seeing that anything contrary to faith follows from it.</w:t>
            </w:r>
          </w:p>
        </w:tc>
      </w:tr>
      <w:tr>
        <w:tc>
          <w:tcPr/>
          <w:p>
            <w:pPr>
              <w:pStyle w:val="Compact"/>
              <w:jc w:val="left"/>
            </w:pPr>
            <w:r>
              <w:t xml:space="preserve">Hinc collige, quomodò dici possit, illum esse hæreticum, qui sustinet aliquam propositionem, concernentem mores tantùm, non fidem, ab Ecclesia condemnatam: nimirùm licèt talis non sit hæreticus ideò præcisè, quia sustinet aliquam propositionem erroneam in moribus; tamen cùm inde sequatur, quòd Ecclesia in condemnando talem propositionem erraverit, ideò sustinens illam propositionem convincitur esse hæreticus; cùm de fide sit, quòd Ecclesia errare non possit in fide et moribus. His conformia scribit S. Th. 1. p. q. 32. a. 4., et in cap. 11. Epist. 1. ad Cor. Vide etiam infrà N. 54.</w:t>
            </w:r>
          </w:p>
        </w:tc>
        <w:tc>
          <w:tcPr/>
          <w:p>
            <w:pPr>
              <w:pStyle w:val="Compact"/>
            </w:pPr>
          </w:p>
        </w:tc>
        <w:tc>
          <w:tcPr/>
          <w:p>
            <w:pPr>
              <w:pStyle w:val="Compact"/>
              <w:jc w:val="left"/>
            </w:pPr>
            <w:r>
              <w:t xml:space="preserve">Hence gather how one can be said to be a heretic who maintains some proposition condemned by the Church which concerns morals only, not faith: namely, although such a one is not a heretic precisely because he maintains some proposition erroneous in morals, nevertheless, since it follows from this that the Church would have erred in condemning such a proposition, therefore the one maintaining that proposition is convicted of being a heretic; since it is of faith that the Church cannot err in faith and morals. St. Thomas writes things conformable to this, 1 p. q. 32 a. 4, and on ch. 11 of the First Epistle to the Corinthians. See also below, N. 54.</w:t>
            </w:r>
          </w:p>
        </w:tc>
      </w:tr>
      <w:tr>
        <w:tc>
          <w:tcPr/>
          <w:p>
            <w:pPr>
              <w:pStyle w:val="Compact"/>
              <w:jc w:val="left"/>
            </w:pPr>
            <w:r>
              <w:rPr>
                <w:iCs/>
                <w:i/>
              </w:rPr>
              <w:t xml:space="preserve">Estne de fide, modernum Pontificem Pium VIII. esse successorem legitimum S. Petri et Christi Vicarium? cùm inferatur ex his præmissis: Omnis Pontifex legitimè electus, est verus successor S. Petri et Christi Vicarius: atqui modernus Pontifex Pius VIII. est legitimè electus; ergo est verus successor S. Petri, et Christi Vicarius.</w:t>
            </w:r>
          </w:p>
        </w:tc>
        <w:tc>
          <w:tcPr/>
          <w:p>
            <w:pPr>
              <w:pStyle w:val="Compact"/>
            </w:pPr>
          </w:p>
        </w:tc>
        <w:tc>
          <w:tcPr/>
          <w:p>
            <w:pPr>
              <w:pStyle w:val="Compact"/>
              <w:jc w:val="left"/>
            </w:pPr>
            <w:r>
              <w:rPr>
                <w:iCs/>
                <w:i/>
              </w:rPr>
              <w:t xml:space="preserve">Is it of faith that the modern Pontiff Pius VIII is the legitimate successor of St. Peter and Vicar of Christ? since it is inferred from these premises: Every Pontiff legitimately elected is the true successor of St. Peter and Vicar of Christ: but the modern Pontiff Pius VIII is legitimately elected; therefore he is the true successor of St. Peter, and Vicar of Christ.</w:t>
            </w:r>
          </w:p>
        </w:tc>
      </w:tr>
      <w:tr>
        <w:tc>
          <w:tcPr/>
          <w:p>
            <w:pPr>
              <w:pStyle w:val="Compact"/>
              <w:jc w:val="left"/>
            </w:pPr>
            <w:r>
              <w:t xml:space="preserve">R. Plausibiliter sustinetur, hanc propositionem, Pius VIII. est verus successor S. Petri et Christi Vicarius, esse de fide; quia continetur formaliter in majori præmissa tanquàm pars in toto, scilicet in hac: Omnis Pontifex legitimè electus est verus successor S. Petri et Christi Vicarius; quæ est de fide juxta omnes. Quare Martinus V. in bulla contra errores Wiclefi et Joannis Hus, edita in concilio Constantiensi, suspectum de hæresi inter alia interrogari jubet, « utrùm credat, quòd Papa canonicè electus, qui pro tempore fuerit, ejus nomine expresso, sit successor Beati Petri, habens supremam auctoritatem in Ecclesia Dei. » Coll. Conc. Hard. Tom. 8. col. 915.</w:t>
            </w:r>
          </w:p>
        </w:tc>
        <w:tc>
          <w:tcPr/>
          <w:p>
            <w:pPr>
              <w:pStyle w:val="Compact"/>
            </w:pPr>
          </w:p>
        </w:tc>
        <w:tc>
          <w:tcPr/>
          <w:p>
            <w:pPr>
              <w:pStyle w:val="Compact"/>
              <w:jc w:val="left"/>
            </w:pPr>
            <w:r>
              <w:t xml:space="preserve">R. It is plausibly maintained that this proposition, Pius VIII is the true successor of St. Peter and Vicar of Christ, is of faith; because it is contained formally in the major premise as a part in the whole, namely in this: Every Pontiff legitimately elected is the true successor of St. Peter and Vicar of Christ; which is of faith according to all. Wherefore Martin V, in the bull against the errors of Wyclif and John Hus, published in the Council of Constance, orders that one suspected of heresy be asked, among other things, « whether he believes that the Pope canonically elected, whoever he shall be for the time being, his name being expressed, is the successor of Blessed Peter, having supreme authority in the Church of God. » Coll. Conc. Hard. Tom. 8, col. 915.</w:t>
            </w:r>
          </w:p>
        </w:tc>
      </w:tr>
      <w:tr>
        <w:tc>
          <w:tcPr/>
          <w:p>
            <w:pPr>
              <w:pStyle w:val="Compact"/>
              <w:jc w:val="left"/>
            </w:pPr>
            <w:r>
              <w:rPr>
                <w:iCs/>
                <w:i/>
              </w:rPr>
              <w:t xml:space="preserve">Obj.</w:t>
            </w:r>
            <w:r>
              <w:t xml:space="preserve"> </w:t>
            </w:r>
            <w:r>
              <w:t xml:space="preserve">Quamvis sit de fide, omnem infantem legitimè baptizatum esse justificatum, non est tamen de fide, quòd hic infans sit justificatus, si non certò constet, quòd sit legitimè baptizatus: atqui etiam non certò constat, quòd modernus Pontifex sit legitimè electus; ergo etc.</w:t>
            </w:r>
          </w:p>
        </w:tc>
        <w:tc>
          <w:tcPr/>
          <w:p>
            <w:pPr>
              <w:pStyle w:val="Compact"/>
            </w:pPr>
          </w:p>
        </w:tc>
        <w:tc>
          <w:tcPr/>
          <w:p>
            <w:pPr>
              <w:pStyle w:val="Compact"/>
              <w:jc w:val="left"/>
            </w:pPr>
            <w:r>
              <w:rPr>
                <w:iCs/>
                <w:i/>
              </w:rPr>
              <w:t xml:space="preserve">Obj.</w:t>
            </w:r>
            <w:r>
              <w:t xml:space="preserve"> </w:t>
            </w:r>
            <w:r>
              <w:t xml:space="preserve">Although it is of faith that every legitimately baptized infant has been justified, it is nevertheless not of faith that this infant has been justified, if it is not certainly established that he has been legitimately baptized: but neither is it certainly established that the modern Pontiff has been legitimately elected; therefore etc.</w:t>
            </w:r>
          </w:p>
        </w:tc>
      </w:tr>
      <w:tr>
        <w:tc>
          <w:tcPr/>
          <w:p>
            <w:pPr>
              <w:pStyle w:val="Compact"/>
              <w:jc w:val="left"/>
            </w:pPr>
            <w:r>
              <w:t xml:space="preserve">R. Neg. min.: ratio disparitatis est, quòd, an puer sit legitimè baptizatus, dependeat à facto hominis privati; de quo certam sæpè non habemus notitiam: verùm legitima Pontificis electio innititur propositioni universalis Ecclesiæ, modernum Pontificem ut legitimum agnoscentis; quâ in re errare non potest, ne alioquin pro capite agnoscat eum qui non est, idque sine remedio.</w:t>
            </w:r>
          </w:p>
        </w:tc>
        <w:tc>
          <w:tcPr/>
          <w:p>
            <w:pPr>
              <w:pStyle w:val="Compact"/>
            </w:pPr>
          </w:p>
        </w:tc>
        <w:tc>
          <w:tcPr/>
          <w:p>
            <w:pPr>
              <w:pStyle w:val="Compact"/>
              <w:jc w:val="left"/>
            </w:pPr>
            <w:r>
              <w:t xml:space="preserve">R. I deny the minor: the reason for the disparity is that whether a child has been legitimately baptized depends on the act of a private man, of which we often have no certain knowledge: whereas the legitimate election of the Pontiff rests upon the proposition of the universal Church, acknowledging the modern Pontiff as legitimate; in which matter it cannot err, lest otherwise it acknowledge as head one who is not head, and that without remedy.</w:t>
            </w:r>
          </w:p>
        </w:tc>
      </w:tr>
      <w:tr>
        <w:tc>
          <w:tcPr/>
          <w:p>
            <w:pPr>
              <w:pStyle w:val="Compact"/>
              <w:jc w:val="left"/>
            </w:pPr>
            <w:r>
              <w:t xml:space="preserve">Notandum tamen, non esse de fide catholica, Pontificem modernum esse S. Petri successorem et Christi Vicarium: nam id non est sufficienter toti Ecclesiæ propositum cum obligatione credendi. Ex quo patet, posse dari schisma, sive separationem à subjectione Pontificis, sine hæresi.</w:t>
            </w:r>
          </w:p>
        </w:tc>
        <w:tc>
          <w:tcPr/>
          <w:p>
            <w:pPr>
              <w:pStyle w:val="Compact"/>
            </w:pPr>
          </w:p>
        </w:tc>
        <w:tc>
          <w:tcPr/>
          <w:p>
            <w:pPr>
              <w:pStyle w:val="Compact"/>
              <w:jc w:val="left"/>
            </w:pPr>
            <w:r>
              <w:t xml:space="preserve">It is to be noted, however, that it is not of catholic faith that the modern Pontiff is the successor of St. Peter and Vicar of Christ: for that has not been sufficiently proposed to the whole Church with the obligation of believing. From which it is clear that there can be schism, that is, separation from subjection to the Pontiff, without heresy.</w:t>
            </w:r>
          </w:p>
        </w:tc>
      </w:tr>
      <w:tr>
        <w:tc>
          <w:tcPr/>
          <w:p>
            <w:pPr>
              <w:pStyle w:val="Compact"/>
              <w:jc w:val="left"/>
            </w:pPr>
            <w:r>
              <w:t xml:space="preserve">Collige quandonam negans revelatum implicitè dicendus sit hæreticus, quandonam non. Si Ecclesia ipsa deductionem faciat et proponat, propositio est de fide catholica, et eam negans hæreticus est; si verò Ecclesia deductionem non faciat, hæreticus non erit qui sequelam non videt: qui autem eam clarè videt, conformiter ad dicta, hæreticus erit in foro Dei, non in foro Ecclesiæ. Hæc etiam ratio est ob quam Ecclesia in proscriptione ejusmodi propositionum, non eas damnat ut hæreticas, sed solùm ut erroneas, vel hæresi proximas. Pro quo vide infrà N. 55.</w:t>
            </w:r>
          </w:p>
        </w:tc>
        <w:tc>
          <w:tcPr/>
          <w:p>
            <w:pPr>
              <w:pStyle w:val="Compact"/>
            </w:pPr>
          </w:p>
        </w:tc>
        <w:tc>
          <w:tcPr/>
          <w:p>
            <w:pPr>
              <w:pStyle w:val="Compact"/>
              <w:jc w:val="left"/>
            </w:pPr>
            <w:r>
              <w:t xml:space="preserve">Gather when one who denies what is implicitly revealed is to be called a heretic, and when not. If the Church herself makes the deduction and proposes it, the proposition is of catholic faith, and one who denies it is a heretic; but if the Church does not make the deduction, he who does not see the consequence will not be a heretic: he, however, who sees it clearly will, conformably to what has been said, be a heretic in the forum of God, not in the forum of the Church. This is also the reason why the Church, in proscribing propositions of this kind, does not condemn them as heretical, but only as erroneous, or proximate to heresy. On which see below, N. 55.</w:t>
            </w:r>
          </w:p>
        </w:tc>
      </w:tr>
      <w:tr>
        <w:tc>
          <w:tcPr/>
          <w:p>
            <w:pPr>
              <w:pStyle w:val="Compact"/>
              <w:jc w:val="left"/>
            </w:pPr>
            <w:r>
              <w:rPr>
                <w:bCs/>
                <w:b/>
              </w:rPr>
              <w:t xml:space="preserve">BLOCK B — De Ecclesia, N. 92–93 (printed 437–438)</w:t>
            </w:r>
          </w:p>
        </w:tc>
        <w:tc>
          <w:tcPr/>
          <w:p>
            <w:pPr>
              <w:pStyle w:val="Compact"/>
            </w:pPr>
          </w:p>
        </w:tc>
        <w:tc>
          <w:tcPr/>
          <w:p>
            <w:pPr>
              <w:pStyle w:val="Compact"/>
              <w:jc w:val="left"/>
            </w:pPr>
            <w:r>
              <w:rPr>
                <w:bCs/>
                <w:b/>
              </w:rPr>
              <w:t xml:space="preserve">BLOCK B — De Ecclesia, N. 92–93 (printed 437–438)</w:t>
            </w:r>
          </w:p>
        </w:tc>
      </w:tr>
      <w:tr>
        <w:tc>
          <w:tcPr/>
          <w:p>
            <w:pPr>
              <w:pStyle w:val="Compact"/>
              <w:jc w:val="left"/>
            </w:pPr>
            <w:r>
              <w:rPr>
                <w:iCs/>
                <w:i/>
              </w:rPr>
              <w:t xml:space="preserve">Quis est iste successor Petri?</w:t>
            </w:r>
          </w:p>
        </w:tc>
        <w:tc>
          <w:tcPr/>
          <w:p>
            <w:pPr>
              <w:pStyle w:val="Compact"/>
            </w:pPr>
          </w:p>
        </w:tc>
        <w:tc>
          <w:tcPr/>
          <w:p>
            <w:pPr>
              <w:pStyle w:val="Compact"/>
              <w:jc w:val="left"/>
            </w:pPr>
            <w:r>
              <w:rPr>
                <w:iCs/>
                <w:i/>
              </w:rPr>
              <w:t xml:space="preserve">Who is this successor of Peter?</w:t>
            </w:r>
          </w:p>
        </w:tc>
      </w:tr>
      <w:tr>
        <w:tc>
          <w:tcPr/>
          <w:p>
            <w:pPr>
              <w:pStyle w:val="Compact"/>
              <w:jc w:val="left"/>
            </w:pPr>
            <w:r>
              <w:t xml:space="preserve">R. De fide est, quòd sit Pontifex Romanus. Probatur ex constanti Conciliorum generalium et Ecclesiæ definitione, ac SS. PP. doctrina; ut propterea dicat S. Augustinus, quòd successio illa ab ipsa sede Petri continua ipsum retineat in Ecclesia Catholica.</w:t>
            </w:r>
          </w:p>
        </w:tc>
        <w:tc>
          <w:tcPr/>
          <w:p>
            <w:pPr>
              <w:pStyle w:val="Compact"/>
            </w:pPr>
          </w:p>
        </w:tc>
        <w:tc>
          <w:tcPr/>
          <w:p>
            <w:pPr>
              <w:pStyle w:val="Compact"/>
              <w:jc w:val="left"/>
            </w:pPr>
            <w:r>
              <w:t xml:space="preserve">R. It is of faith that he is the Roman Pontiff. This is proved from the constant definition of the general Councils and of the Church, and from the doctrine of the holy Fathers; so that St. Augustine says on that account that that succession, continuous from the very see of Peter, retains him in the Catholic Church.</w:t>
            </w:r>
          </w:p>
        </w:tc>
      </w:tr>
      <w:tr>
        <w:tc>
          <w:tcPr/>
          <w:p>
            <w:pPr>
              <w:pStyle w:val="Compact"/>
              <w:jc w:val="left"/>
            </w:pPr>
            <w:r>
              <w:t xml:space="preserve">Hæc successio usque hodiè continuatur in serie 255 Pontificum.</w:t>
            </w:r>
          </w:p>
        </w:tc>
        <w:tc>
          <w:tcPr/>
          <w:p>
            <w:pPr>
              <w:pStyle w:val="Compact"/>
            </w:pPr>
          </w:p>
        </w:tc>
        <w:tc>
          <w:tcPr/>
          <w:p>
            <w:pPr>
              <w:pStyle w:val="Compact"/>
              <w:jc w:val="left"/>
            </w:pPr>
            <w:r>
              <w:t xml:space="preserve">This succession is continued down to the present day in a series of 255 Pontiffs.</w:t>
            </w:r>
          </w:p>
        </w:tc>
      </w:tr>
      <w:tr>
        <w:tc>
          <w:tcPr/>
          <w:p>
            <w:pPr>
              <w:pStyle w:val="Compact"/>
              <w:jc w:val="left"/>
            </w:pPr>
            <w:r>
              <w:rPr>
                <w:bCs/>
                <w:b/>
              </w:rPr>
              <w:t xml:space="preserve">N. 93. DE POTESTATE SUMMI PONTIFICIS.</w:t>
            </w:r>
          </w:p>
        </w:tc>
        <w:tc>
          <w:tcPr/>
          <w:p>
            <w:pPr>
              <w:pStyle w:val="Compact"/>
            </w:pPr>
          </w:p>
        </w:tc>
        <w:tc>
          <w:tcPr/>
          <w:p>
            <w:pPr>
              <w:pStyle w:val="Compact"/>
              <w:jc w:val="left"/>
            </w:pPr>
            <w:r>
              <w:rPr>
                <w:bCs/>
                <w:b/>
              </w:rPr>
              <w:t xml:space="preserve">N. 93. ON THE POWER OF THE SUPREME PONTIFF.</w:t>
            </w:r>
          </w:p>
        </w:tc>
      </w:tr>
      <w:tr>
        <w:tc>
          <w:tcPr/>
          <w:p>
            <w:pPr>
              <w:pStyle w:val="Compact"/>
              <w:jc w:val="left"/>
            </w:pPr>
            <w:r>
              <w:rPr>
                <w:iCs/>
                <w:i/>
              </w:rPr>
              <w:t xml:space="preserve">A quo summus Pontifex legitimè electus accipit potestatem suam et jurisdictionem?</w:t>
            </w:r>
          </w:p>
        </w:tc>
        <w:tc>
          <w:tcPr/>
          <w:p>
            <w:pPr>
              <w:pStyle w:val="Compact"/>
            </w:pPr>
          </w:p>
        </w:tc>
        <w:tc>
          <w:tcPr/>
          <w:p>
            <w:pPr>
              <w:pStyle w:val="Compact"/>
              <w:jc w:val="left"/>
            </w:pPr>
            <w:r>
              <w:rPr>
                <w:iCs/>
                <w:i/>
              </w:rPr>
              <w:t xml:space="preserve">From whom does the supreme Pontiff, legitimately elected, receive his power and jurisdiction?</w:t>
            </w:r>
          </w:p>
        </w:tc>
      </w:tr>
      <w:tr>
        <w:tc>
          <w:tcPr/>
          <w:p>
            <w:pPr>
              <w:pStyle w:val="Compact"/>
              <w:jc w:val="left"/>
            </w:pPr>
            <w:r>
              <w:t xml:space="preserve">R. Immediatè eam accipit à Christo tanquàm ejus Vicarius, proùt eam Petrus accepit.</w:t>
            </w:r>
          </w:p>
        </w:tc>
        <w:tc>
          <w:tcPr/>
          <w:p>
            <w:pPr>
              <w:pStyle w:val="Compact"/>
            </w:pPr>
          </w:p>
        </w:tc>
        <w:tc>
          <w:tcPr/>
          <w:p>
            <w:pPr>
              <w:pStyle w:val="Compact"/>
              <w:jc w:val="left"/>
            </w:pPr>
            <w:r>
              <w:t xml:space="preserve">R. He receives it immediately from Christ as his Vicar, in the manner in which Peter received it.</w:t>
            </w:r>
          </w:p>
        </w:tc>
      </w:tr>
      <w:tr>
        <w:tc>
          <w:tcPr/>
          <w:p>
            <w:pPr>
              <w:pStyle w:val="Compact"/>
              <w:jc w:val="left"/>
            </w:pPr>
            <w:r>
              <w:t xml:space="preserve">Nec obstat Papam eligi à Cardinalibus: nam illorum electio est tantùm conditio sine qua non, quâ positâ, potestatem et jurisdictionem immediatè accipit à Christo.</w:t>
            </w:r>
          </w:p>
        </w:tc>
        <w:tc>
          <w:tcPr/>
          <w:p>
            <w:pPr>
              <w:pStyle w:val="Compact"/>
            </w:pPr>
          </w:p>
        </w:tc>
        <w:tc>
          <w:tcPr/>
          <w:p>
            <w:pPr>
              <w:pStyle w:val="Compact"/>
              <w:jc w:val="left"/>
            </w:pPr>
            <w:r>
              <w:t xml:space="preserve">Nor does it stand in the way that the Pope is elected by the Cardinals: for their election is only a</w:t>
            </w:r>
            <w:r>
              <w:t xml:space="preserve"> </w:t>
            </w:r>
            <w:r>
              <w:rPr>
                <w:iCs/>
                <w:i/>
              </w:rPr>
              <w:t xml:space="preserve">conditio sine qua non</w:t>
            </w:r>
            <w:r>
              <w:t xml:space="preserve">, and once it is posited, he receives power and jurisdiction immediately from Christ.</w:t>
            </w:r>
          </w:p>
        </w:tc>
      </w:tr>
      <w:tr>
        <w:tc>
          <w:tcPr/>
          <w:p>
            <w:pPr>
              <w:pStyle w:val="Compact"/>
              <w:jc w:val="left"/>
            </w:pPr>
            <w:r>
              <w:rPr>
                <w:bCs/>
                <w:b/>
              </w:rPr>
              <w:t xml:space="preserve">BLOCK C — De Ecclesia, N. 97 (printed 448–450)</w:t>
            </w:r>
          </w:p>
        </w:tc>
        <w:tc>
          <w:tcPr/>
          <w:p>
            <w:pPr>
              <w:pStyle w:val="Compact"/>
            </w:pPr>
          </w:p>
        </w:tc>
        <w:tc>
          <w:tcPr/>
          <w:p>
            <w:pPr>
              <w:pStyle w:val="Compact"/>
              <w:jc w:val="left"/>
            </w:pPr>
            <w:r>
              <w:rPr>
                <w:bCs/>
                <w:b/>
              </w:rPr>
              <w:t xml:space="preserve">BLOCK C — De Ecclesia, N. 97 (printed 448–450)</w:t>
            </w:r>
          </w:p>
        </w:tc>
      </w:tr>
      <w:tr>
        <w:tc>
          <w:tcPr/>
          <w:p>
            <w:pPr>
              <w:pStyle w:val="Compact"/>
              <w:jc w:val="left"/>
            </w:pPr>
            <w:r>
              <w:rPr>
                <w:bCs/>
                <w:b/>
              </w:rPr>
              <w:t xml:space="preserve">N. 97. AN PONTIFEX, SALTEM UT PRIVATA PERSONA POSSIT ESSE HÆRETICUS?</w:t>
            </w:r>
          </w:p>
        </w:tc>
        <w:tc>
          <w:tcPr/>
          <w:p>
            <w:pPr>
              <w:pStyle w:val="Compact"/>
            </w:pPr>
          </w:p>
        </w:tc>
        <w:tc>
          <w:tcPr/>
          <w:p>
            <w:pPr>
              <w:pStyle w:val="Compact"/>
              <w:jc w:val="left"/>
            </w:pPr>
            <w:r>
              <w:rPr>
                <w:bCs/>
                <w:b/>
              </w:rPr>
              <w:t xml:space="preserve">N. 97. CAN THE PONTIFF, AT LEAST AS A PRIVATE PERSON, BE A HERETIC?</w:t>
            </w:r>
          </w:p>
        </w:tc>
      </w:tr>
      <w:tr>
        <w:tc>
          <w:tcPr/>
          <w:p>
            <w:pPr>
              <w:pStyle w:val="Compact"/>
              <w:jc w:val="left"/>
            </w:pPr>
            <w:r>
              <w:t xml:space="preserve">Resp. Etsi id præced. conclusioni non obesset, ut dictum est, videtur tamen sententia negativa probabilior, ita ut privilegium Petri, de quo Lucæ cap. 22. ℣. 32.</w:t>
            </w:r>
            <w:r>
              <w:t xml:space="preserve"> </w:t>
            </w:r>
            <w:r>
              <w:rPr>
                <w:iCs/>
                <w:i/>
              </w:rPr>
              <w:t xml:space="preserve">Rogavi pro te, ut non deficiat fides tua</w:t>
            </w:r>
            <w:r>
              <w:t xml:space="preserve">, etiam transeat ad Petri successores: idque consentaneum est divinæ Providentiæ, ut qui doctor est fidei, ipse à fide non deficiat.</w:t>
            </w:r>
          </w:p>
        </w:tc>
        <w:tc>
          <w:tcPr/>
          <w:p>
            <w:pPr>
              <w:pStyle w:val="Compact"/>
            </w:pPr>
          </w:p>
        </w:tc>
        <w:tc>
          <w:tcPr/>
          <w:p>
            <w:pPr>
              <w:pStyle w:val="Compact"/>
              <w:jc w:val="left"/>
            </w:pPr>
            <w:r>
              <w:t xml:space="preserve">Resp. Although this would not stand in the way of the preceding conclusion, as has been said, the negative opinion is more probable, so that the privilege of Peter, concerning which Luke ch. 22 ℣. 32,</w:t>
            </w:r>
            <w:r>
              <w:t xml:space="preserve"> </w:t>
            </w:r>
            <w:r>
              <w:rPr>
                <w:iCs/>
                <w:i/>
              </w:rPr>
              <w:t xml:space="preserve">I have prayed for thee, that thy faith fail not</w:t>
            </w:r>
            <w:r>
              <w:t xml:space="preserve">, passes also to the successors of Peter: and this is consonant with divine Providence, that he who is the teacher of faith should himself not fail in faith.</w:t>
            </w:r>
          </w:p>
        </w:tc>
      </w:tr>
      <w:tr>
        <w:tc>
          <w:tcPr/>
          <w:p>
            <w:pPr>
              <w:pStyle w:val="Compact"/>
              <w:jc w:val="left"/>
            </w:pPr>
            <w:r>
              <w:t xml:space="preserve">Probatur etiam ex eo, quòd de nullo Pontifice hactenùs probari potuerit, fuisse formalem hæreticum: idque S. Aug. Epist. 165. de Pontificibus ad sua usque tempora testatur.</w:t>
            </w:r>
          </w:p>
        </w:tc>
        <w:tc>
          <w:tcPr/>
          <w:p>
            <w:pPr>
              <w:pStyle w:val="Compact"/>
            </w:pPr>
          </w:p>
        </w:tc>
        <w:tc>
          <w:tcPr/>
          <w:p>
            <w:pPr>
              <w:pStyle w:val="Compact"/>
              <w:jc w:val="left"/>
            </w:pPr>
            <w:r>
              <w:t xml:space="preserve">It is proved also from this, that of no Pontiff hitherto has it been able to be proved that he was a formal heretic: and St. Augustine attests this in Epist. 165 concerning the Pontiffs down to his own times.</w:t>
            </w:r>
          </w:p>
        </w:tc>
      </w:tr>
      <w:tr>
        <w:tc>
          <w:tcPr/>
          <w:p>
            <w:pPr>
              <w:pStyle w:val="Compact"/>
              <w:jc w:val="left"/>
            </w:pPr>
            <w:r>
              <w:rPr>
                <w:iCs/>
                <w:i/>
              </w:rPr>
              <w:t xml:space="preserve">Obj. I.</w:t>
            </w:r>
            <w:r>
              <w:t xml:space="preserve"> </w:t>
            </w:r>
            <w:r>
              <w:t xml:space="preserve">Marcellinus sub Diocletiano thus Idolis adolevit; ergo etc.</w:t>
            </w:r>
          </w:p>
        </w:tc>
        <w:tc>
          <w:tcPr/>
          <w:p>
            <w:pPr>
              <w:pStyle w:val="Compact"/>
            </w:pPr>
          </w:p>
        </w:tc>
        <w:tc>
          <w:tcPr/>
          <w:p>
            <w:pPr>
              <w:pStyle w:val="Compact"/>
              <w:jc w:val="left"/>
            </w:pPr>
            <w:r>
              <w:rPr>
                <w:iCs/>
                <w:i/>
              </w:rPr>
              <w:t xml:space="preserve">Obj. I.</w:t>
            </w:r>
            <w:r>
              <w:t xml:space="preserve"> </w:t>
            </w:r>
            <w:r>
              <w:t xml:space="preserve">Marcellinus under Diocletian burned incense to idols; therefore etc.</w:t>
            </w:r>
          </w:p>
        </w:tc>
      </w:tr>
      <w:tr>
        <w:tc>
          <w:tcPr/>
          <w:p>
            <w:pPr>
              <w:pStyle w:val="Compact"/>
              <w:jc w:val="left"/>
            </w:pPr>
            <w:r>
              <w:t xml:space="preserve">R. S. Aug., et post ipsum Baronius, Bellarminus, Christianus Lupus etc. dicunt, lapsum Marcellini esse figmentum à Donatistis confictum: Binius, Schelstratius, aliique, qui lapsum admittunt, dicunt Marcellinum idolis metu mortis thurificasse, ideòque contra fidei professionem peccasse, sed fidem interiùs non amisisse.</w:t>
            </w:r>
          </w:p>
        </w:tc>
        <w:tc>
          <w:tcPr/>
          <w:p>
            <w:pPr>
              <w:pStyle w:val="Compact"/>
            </w:pPr>
          </w:p>
        </w:tc>
        <w:tc>
          <w:tcPr/>
          <w:p>
            <w:pPr>
              <w:pStyle w:val="Compact"/>
              <w:jc w:val="left"/>
            </w:pPr>
            <w:r>
              <w:t xml:space="preserve">R. St. Augustine, and after him Baronius, Bellarmine, Christian Lupus and others, say that the lapse of Marcellinus is a fiction invented by the Donatists: Binius, Schelstrate, and others, who admit the lapse, say that Marcellinus offered incense to idols from fear of death, and therefore sinned against the profession of faith, but did not inwardly lose the faith.</w:t>
            </w:r>
          </w:p>
        </w:tc>
      </w:tr>
      <w:tr>
        <w:tc>
          <w:tcPr/>
          <w:p>
            <w:pPr>
              <w:pStyle w:val="Compact"/>
              <w:jc w:val="left"/>
            </w:pPr>
            <w:r>
              <w:rPr>
                <w:iCs/>
                <w:i/>
              </w:rPr>
              <w:t xml:space="preserve">Obj. II.</w:t>
            </w:r>
            <w:r>
              <w:t xml:space="preserve"> </w:t>
            </w:r>
            <w:r>
              <w:t xml:space="preserve">Liberius Papa subscripsit formulæ fidei Syrmiensi ab Arianis confectæ, ac condemnationi Athanasii, qui veram fidem tuebatur; ergo fuit hæreticus.</w:t>
            </w:r>
          </w:p>
        </w:tc>
        <w:tc>
          <w:tcPr/>
          <w:p>
            <w:pPr>
              <w:pStyle w:val="Compact"/>
            </w:pPr>
          </w:p>
        </w:tc>
        <w:tc>
          <w:tcPr/>
          <w:p>
            <w:pPr>
              <w:pStyle w:val="Compact"/>
              <w:jc w:val="left"/>
            </w:pPr>
            <w:r>
              <w:rPr>
                <w:iCs/>
                <w:i/>
              </w:rPr>
              <w:t xml:space="preserve">Obj. II.</w:t>
            </w:r>
            <w:r>
              <w:t xml:space="preserve"> </w:t>
            </w:r>
            <w:r>
              <w:t xml:space="preserve">Pope Liberius subscribed to the formula of faith of Sirmium drawn up by the Arians, and to the condemnation of Athanasius, who was defending the true faith; therefore he was a heretic.</w:t>
            </w:r>
          </w:p>
        </w:tc>
      </w:tr>
      <w:tr>
        <w:tc>
          <w:tcPr/>
          <w:p>
            <w:pPr>
              <w:pStyle w:val="Compact"/>
              <w:jc w:val="left"/>
            </w:pPr>
            <w:r>
              <w:t xml:space="preserve">R. Neg. cons.: verum quidem est Liberium à Constantio ob fidem catholicam in exilium missum, tandem calamitatibus et tædio victum, cum Arianis communicasse, ac subscripsisse damnationi Athanasii, non ob ejus fidem, sed propter crimina ab Arianis falsò objecta.</w:t>
            </w:r>
          </w:p>
        </w:tc>
        <w:tc>
          <w:tcPr/>
          <w:p>
            <w:pPr>
              <w:pStyle w:val="Compact"/>
            </w:pPr>
          </w:p>
        </w:tc>
        <w:tc>
          <w:tcPr/>
          <w:p>
            <w:pPr>
              <w:pStyle w:val="Compact"/>
              <w:jc w:val="left"/>
            </w:pPr>
            <w:r>
              <w:t xml:space="preserve">R. I deny the consequence: it is indeed true that Liberius was sent into exile by Constantius for the catholic faith, and at last, overcome by calamities and weariness, communicated with the Arians, and subscribed to the condemnation of Athanasius, not on account of his faith, but on account of crimes falsely alleged against him by the Arians.</w:t>
            </w:r>
          </w:p>
        </w:tc>
      </w:tr>
      <w:tr>
        <w:tc>
          <w:tcPr/>
          <w:p>
            <w:pPr>
              <w:pStyle w:val="Compact"/>
              <w:jc w:val="left"/>
            </w:pPr>
            <w:r>
              <w:t xml:space="preserve">Deindè subscripsit formulæ Syrmiensi, quæ, quamvis in ea subticeretur vox</w:t>
            </w:r>
            <w:r>
              <w:t xml:space="preserve"> </w:t>
            </w:r>
            <w:r>
              <w:rPr>
                <w:iCs/>
                <w:i/>
              </w:rPr>
              <w:t xml:space="preserve">consubstantialis</w:t>
            </w:r>
            <w:r>
              <w:t xml:space="preserve">, nil contrarium fidei continebat, tametsi fidem haud sufficienter explicaret: ex quibus proindè probari nequit, Liberium fuisse hæreticum, quamvis in modo agendi à peccato non excusetur.</w:t>
            </w:r>
          </w:p>
        </w:tc>
        <w:tc>
          <w:tcPr/>
          <w:p>
            <w:pPr>
              <w:pStyle w:val="Compact"/>
            </w:pPr>
          </w:p>
        </w:tc>
        <w:tc>
          <w:tcPr/>
          <w:p>
            <w:pPr>
              <w:pStyle w:val="Compact"/>
              <w:jc w:val="left"/>
            </w:pPr>
            <w:r>
              <w:t xml:space="preserve">Then he subscribed to the formula of Sirmium, which, although the word</w:t>
            </w:r>
            <w:r>
              <w:t xml:space="preserve"> </w:t>
            </w:r>
            <w:r>
              <w:rPr>
                <w:iCs/>
                <w:i/>
              </w:rPr>
              <w:t xml:space="preserve">consubstantial</w:t>
            </w:r>
            <w:r>
              <w:t xml:space="preserve"> </w:t>
            </w:r>
            <w:r>
              <w:t xml:space="preserve">was passed over in silence in it, contained nothing contrary to faith, even though it did not explain the faith sufficiently: from which, therefore, it cannot be proved that Liberius was a heretic, although in his manner of acting he is not excused from sin.</w:t>
            </w:r>
          </w:p>
        </w:tc>
      </w:tr>
      <w:tr>
        <w:tc>
          <w:tcPr/>
          <w:p>
            <w:pPr>
              <w:pStyle w:val="Compact"/>
              <w:jc w:val="left"/>
            </w:pPr>
            <w:r>
              <w:t xml:space="preserve">Non desunt interim, qui Liberii lapsum meram habent fabulam ab Arianis sparsam, à nonnullis catholicis, ut moris est creditam. Vide Collet in tr. de SS. Trin. q. 4. a. 3. q. 2.</w:t>
            </w:r>
          </w:p>
        </w:tc>
        <w:tc>
          <w:tcPr/>
          <w:p>
            <w:pPr>
              <w:pStyle w:val="Compact"/>
            </w:pPr>
          </w:p>
        </w:tc>
        <w:tc>
          <w:tcPr/>
          <w:p>
            <w:pPr>
              <w:pStyle w:val="Compact"/>
              <w:jc w:val="left"/>
            </w:pPr>
            <w:r>
              <w:t xml:space="preserve">Meanwhile there are not lacking those who hold the lapse of Liberius to be a mere fable spread abroad by the Arians and believed, as is the custom, by some catholics. See Collet in the treatise on the Most Holy Trinity, q. 4 a. 3 q. 2.</w:t>
            </w:r>
          </w:p>
        </w:tc>
      </w:tr>
      <w:tr>
        <w:tc>
          <w:tcPr/>
          <w:p>
            <w:pPr>
              <w:pStyle w:val="Compact"/>
              <w:jc w:val="left"/>
            </w:pPr>
            <w:r>
              <w:rPr>
                <w:iCs/>
                <w:i/>
              </w:rPr>
              <w:t xml:space="preserve">Obj. III.</w:t>
            </w:r>
            <w:r>
              <w:t xml:space="preserve"> </w:t>
            </w:r>
            <w:r>
              <w:t xml:space="preserve">Honorius I fuit Monothelita; ergo etc.</w:t>
            </w:r>
          </w:p>
        </w:tc>
        <w:tc>
          <w:tcPr/>
          <w:p>
            <w:pPr>
              <w:pStyle w:val="Compact"/>
            </w:pPr>
          </w:p>
        </w:tc>
        <w:tc>
          <w:tcPr/>
          <w:p>
            <w:pPr>
              <w:pStyle w:val="Compact"/>
              <w:jc w:val="left"/>
            </w:pPr>
            <w:r>
              <w:rPr>
                <w:iCs/>
                <w:i/>
              </w:rPr>
              <w:t xml:space="preserve">Obj. III.</w:t>
            </w:r>
            <w:r>
              <w:t xml:space="preserve"> </w:t>
            </w:r>
            <w:r>
              <w:t xml:space="preserve">Honorius I was a Monothelite; therefore etc.</w:t>
            </w:r>
          </w:p>
        </w:tc>
      </w:tr>
      <w:tr>
        <w:tc>
          <w:tcPr/>
          <w:p>
            <w:pPr>
              <w:pStyle w:val="Compact"/>
              <w:jc w:val="left"/>
            </w:pPr>
            <w:r>
              <w:t xml:space="preserve">Probatur ant.: quia in Epistola ad Sergium docet, in Christo unam, non duas esse voluntates.</w:t>
            </w:r>
          </w:p>
        </w:tc>
        <w:tc>
          <w:tcPr/>
          <w:p>
            <w:pPr>
              <w:pStyle w:val="Compact"/>
            </w:pPr>
          </w:p>
        </w:tc>
        <w:tc>
          <w:tcPr/>
          <w:p>
            <w:pPr>
              <w:pStyle w:val="Compact"/>
              <w:jc w:val="left"/>
            </w:pPr>
            <w:r>
              <w:t xml:space="preserve">The antecedent is proved: because in his Epistle to Sergius he teaches that in Christ there is one will, not two.</w:t>
            </w:r>
          </w:p>
        </w:tc>
      </w:tr>
      <w:tr>
        <w:tc>
          <w:tcPr/>
          <w:p>
            <w:pPr>
              <w:pStyle w:val="Compact"/>
              <w:jc w:val="left"/>
            </w:pPr>
            <w:r>
              <w:t xml:space="preserve">R. Neg. ant.: ad probationem dicitur, quòd in istis Epistolis non negaverit in Christo duas voluntates, divinam, et humanam; sed tantùm neget duas humanas voluntates pugnantes, unam carnis, alteram spiritûs; quales in nobis experimur, quibus ex vitiata origine caro concupiscit adversùs spiritum: præcepitque, ut à vocabulis unius vel duarum voluntatum abstineretur, ne ex diverso verborum intellectu oriretur schisma.</w:t>
            </w:r>
          </w:p>
        </w:tc>
        <w:tc>
          <w:tcPr/>
          <w:p>
            <w:pPr>
              <w:pStyle w:val="Compact"/>
            </w:pPr>
          </w:p>
        </w:tc>
        <w:tc>
          <w:tcPr/>
          <w:p>
            <w:pPr>
              <w:pStyle w:val="Compact"/>
              <w:jc w:val="left"/>
            </w:pPr>
            <w:r>
              <w:t xml:space="preserve">R. I deny the antecedent: to the proof it is said that in those Epistles he did not deny two wills in Christ, the divine and the human, but only denies two conflicting human wills, one of the flesh, the other of the spirit; such wills as we experience in ourselves, in whom, from our corrupted origin, the flesh lusts against the spirit: and he directed that the expressions of one will or of two wills be abstained from, lest from a diverse understanding of the words a schism should arise.</w:t>
            </w:r>
          </w:p>
        </w:tc>
      </w:tr>
      <w:tr>
        <w:tc>
          <w:tcPr/>
          <w:p>
            <w:pPr>
              <w:pStyle w:val="Compact"/>
              <w:jc w:val="left"/>
            </w:pPr>
            <w:r>
              <w:t xml:space="preserve">Instabis: Synodus 6. damnavit Honorium tanquàm hæreticum; ergo etc.</w:t>
            </w:r>
          </w:p>
        </w:tc>
        <w:tc>
          <w:tcPr/>
          <w:p>
            <w:pPr>
              <w:pStyle w:val="Compact"/>
            </w:pPr>
          </w:p>
        </w:tc>
        <w:tc>
          <w:tcPr/>
          <w:p>
            <w:pPr>
              <w:pStyle w:val="Compact"/>
              <w:jc w:val="left"/>
            </w:pPr>
            <w:r>
              <w:t xml:space="preserve">You will press: The Sixth Synod condemned Honorius as a heretic; therefore etc.</w:t>
            </w:r>
          </w:p>
        </w:tc>
      </w:tr>
      <w:tr>
        <w:tc>
          <w:tcPr/>
          <w:p>
            <w:pPr>
              <w:pStyle w:val="Compact"/>
              <w:jc w:val="left"/>
            </w:pPr>
            <w:r>
              <w:t xml:space="preserve">R. Sylvius cum quibusdam vult, acta istius synodi esse corrupta, et nomen Honorii substitutum loco Theodori: sed hoc commentum doctè refutat Thomassinus dissertatione 20. in Syn. 6.</w:t>
            </w:r>
          </w:p>
        </w:tc>
        <w:tc>
          <w:tcPr/>
          <w:p>
            <w:pPr>
              <w:pStyle w:val="Compact"/>
            </w:pPr>
          </w:p>
        </w:tc>
        <w:tc>
          <w:tcPr/>
          <w:p>
            <w:pPr>
              <w:pStyle w:val="Compact"/>
              <w:jc w:val="left"/>
            </w:pPr>
            <w:r>
              <w:t xml:space="preserve">R. Sylvius, with certain others, holds that the acts of that synod are corrupted, and the name of Honorius substituted in place of Theodore: but Thomassin learnedly refutes this invention in dissertation 20 on the Sixth Synod.</w:t>
            </w:r>
          </w:p>
        </w:tc>
      </w:tr>
      <w:tr>
        <w:tc>
          <w:tcPr/>
          <w:p>
            <w:pPr>
              <w:pStyle w:val="Compact"/>
              <w:jc w:val="left"/>
            </w:pPr>
            <w:r>
              <w:t xml:space="preserve">Alii dicunt, synodum 6. condemnando Honorium errasse, scilicet errore facti merè personâlis[2], non circa sensum litteralem textuum dogmaticorum: nempè, aiunt, judicium synodi fuit merè criminale, non dogmaticum: principaliter enim quærebatur de persona Honorii; undè Epistolæ ejus primariò discussæ non sunt, ut inquireretur de dogmate, sed tantùm ut persona judicaretur; in quo judicio Ecclesiam errare posse admissum est N.o 84.</w:t>
            </w:r>
          </w:p>
        </w:tc>
        <w:tc>
          <w:tcPr/>
          <w:p>
            <w:pPr>
              <w:pStyle w:val="Compact"/>
            </w:pPr>
          </w:p>
        </w:tc>
        <w:tc>
          <w:tcPr/>
          <w:p>
            <w:pPr>
              <w:pStyle w:val="Compact"/>
              <w:jc w:val="left"/>
            </w:pPr>
            <w:r>
              <w:t xml:space="preserve">Others say that the Sixth Synod erred in condemning Honorius, namely by a merely personal[2] error of fact, not concerning the literal sense of dogmatic texts: for, they say, the judgment of the synod was merely criminal, not dogmatic: for the question raised was principally about the person of Honorius; whence his Epistles were not discussed primarily so that inquiry might be made about doctrine, but only so that the person might be judged; and in a judgment of this kind it was admitted at N. 84 that the Church can err.</w:t>
            </w:r>
          </w:p>
        </w:tc>
      </w:tr>
      <w:tr>
        <w:tc>
          <w:tcPr/>
          <w:p>
            <w:pPr>
              <w:pStyle w:val="Compact"/>
              <w:jc w:val="left"/>
            </w:pPr>
            <w:r>
              <w:t xml:space="preserve">Alii dicunt, Honorium in synodo 6. damnatum esse ut hæresis fautorem, non verò ut hæreticum: huic sententiæ favet, quòd Leo II, qui synodum confirmavit, variis locis solùm arguat Honorii negligentiam et imprudentiam, « quâ immaculatam fidem maculari permisit »: item quòd Constantinus Pogonatus imperator, qui isti concilio interfuit, condemnet Honorium tanquàm hæresis fautorem, concursorem et confirmatorem. Verum quidem est, quòd dicatur Honorio Hæretico Anathema; sed Patres inter hæreticos et fautores hæreseos non videntur distinxisse: saltem ipsa verba Patrum conniventiam Honorii potiùs, quàm apertam hæresis professionem accusant.</w:t>
            </w:r>
          </w:p>
        </w:tc>
        <w:tc>
          <w:tcPr/>
          <w:p>
            <w:pPr>
              <w:pStyle w:val="Compact"/>
            </w:pPr>
          </w:p>
        </w:tc>
        <w:tc>
          <w:tcPr/>
          <w:p>
            <w:pPr>
              <w:pStyle w:val="Compact"/>
              <w:jc w:val="left"/>
            </w:pPr>
            <w:r>
              <w:t xml:space="preserve">Others say that Honorius was condemned in the Sixth Synod as a favourer of heresy, but not as a heretic: this opinion is favoured by the fact that Leo II, who confirmed the synod, in various places charges Honorius only with negligence and imprudence, « by which he permitted the immaculate faith to be stained »: likewise by the fact that the emperor Constantine Pogonatus, who was present at that council, condemns Honorius as a favourer, abettor and confirmer of heresy. It is indeed true that the words, Anathema to Honorius the heretic, are pronounced; but the Fathers do not seem to have distinguished between heretics and favourers of heresy: at least the very words of the Fathers charge Honorius rather with connivance than with an open profession of heresy.</w:t>
            </w:r>
          </w:p>
        </w:tc>
      </w:tr>
      <w:tr>
        <w:tc>
          <w:tcPr/>
          <w:p>
            <w:pPr>
              <w:pStyle w:val="Compact"/>
              <w:jc w:val="left"/>
            </w:pPr>
            <w:r>
              <w:rPr>
                <w:iCs/>
                <w:i/>
              </w:rPr>
              <w:t xml:space="preserve">Obj. IV.</w:t>
            </w:r>
            <w:r>
              <w:t xml:space="preserve"> </w:t>
            </w:r>
            <w:r>
              <w:t xml:space="preserve">Dist. 40. Can. SI PAPA, dicitur Papa cunctos judicare, à nemine judicandus, nisi deprehendatur à fide devius; ergo potest esse hæreticus formalis.</w:t>
            </w:r>
          </w:p>
        </w:tc>
        <w:tc>
          <w:tcPr/>
          <w:p>
            <w:pPr>
              <w:pStyle w:val="Compact"/>
            </w:pPr>
          </w:p>
        </w:tc>
        <w:tc>
          <w:tcPr/>
          <w:p>
            <w:pPr>
              <w:pStyle w:val="Compact"/>
              <w:jc w:val="left"/>
            </w:pPr>
            <w:r>
              <w:rPr>
                <w:iCs/>
                <w:i/>
              </w:rPr>
              <w:t xml:space="preserve">Obj. IV.</w:t>
            </w:r>
            <w:r>
              <w:t xml:space="preserve"> </w:t>
            </w:r>
            <w:r>
              <w:t xml:space="preserve">At Dist. 40. Can. SI PAPA it is said that the Pope judges all and is to be judged by none, unless he be found to have strayed from the faith; therefore he can be a formal heretic.</w:t>
            </w:r>
          </w:p>
        </w:tc>
      </w:tr>
      <w:tr>
        <w:tc>
          <w:tcPr/>
          <w:p>
            <w:pPr>
              <w:pStyle w:val="Compact"/>
              <w:jc w:val="left"/>
            </w:pPr>
            <w:r>
              <w:t xml:space="preserve">R. Neg. cons.: tantùm enim dicitur, quid fieri possit, casu quo Pontifex à fide deficeret: putamus autem casum hunc nunquàm evenisse, nec eventurum.</w:t>
            </w:r>
          </w:p>
        </w:tc>
        <w:tc>
          <w:tcPr/>
          <w:p>
            <w:pPr>
              <w:pStyle w:val="Compact"/>
            </w:pPr>
          </w:p>
        </w:tc>
        <w:tc>
          <w:tcPr/>
          <w:p>
            <w:pPr>
              <w:pStyle w:val="Compact"/>
              <w:jc w:val="left"/>
            </w:pPr>
            <w:r>
              <w:t xml:space="preserve">R. I deny the consequence: for it is only said what could be done in the case in which the Pontiff should fail in faith: but we think that this case has never happened, nor will happen.</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2026-09-04T15:09:30Z</dcterms:created>
  <dcterms:modified xsi:type="dcterms:W3CDTF">2026-09-04T15:09:30Z</dcterms:modified>
</cp:coreProperties>
</file>

<file path=docProps/custom.xml><?xml version="1.0" encoding="utf-8"?>
<Properties xmlns="http://schemas.openxmlformats.org/officeDocument/2006/custom-properties" xmlns:vt="http://schemas.openxmlformats.org/officeDocument/2006/docPropsVTypes"/>
</file>