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81666e1b630a0e7fb2503eb71458208273854e"/>
    <w:p>
      <w:pPr>
        <w:pStyle w:val="Heading1"/>
      </w:pPr>
      <w:r>
        <w:t xml:space="preserve">Lensaeus — De una Christi in terris Ecclesia (Louvain 1588)</w:t>
      </w:r>
    </w:p>
    <w:p>
      <w:pPr>
        <w:pStyle w:val="FirstParagraph"/>
      </w:pPr>
      <w:r>
        <w:rPr>
          <w:bCs/>
          <w:b/>
        </w:rPr>
        <w:t xml:space="preserve">Latin–English parallel text: Lib. I cap. XII (pp. 41, 43); Lib. III (pp. 187–188); Lib. VI cap. XVIII and following (pp. 421–422, 453–455)</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A. Liber I, cap. XII — the difference between heresy and schism; the Great Schism and the fact/right distinction (printed 41, 43)</w:t>
            </w:r>
          </w:p>
        </w:tc>
        <w:tc>
          <w:tcPr/>
          <w:p>
            <w:pPr>
              <w:pStyle w:val="Compact"/>
            </w:pPr>
          </w:p>
        </w:tc>
        <w:tc>
          <w:tcPr/>
          <w:p>
            <w:pPr>
              <w:pStyle w:val="Compact"/>
              <w:jc w:val="left"/>
            </w:pPr>
            <w:r>
              <w:rPr>
                <w:bCs/>
                <w:b/>
              </w:rPr>
              <w:t xml:space="preserve">A. Book I, ch. XII — the difference between heresy and schism; the Great Schism and the fact/right distinction (printed 41, 43)</w:t>
            </w:r>
          </w:p>
        </w:tc>
      </w:tr>
      <w:tr>
        <w:tc>
          <w:tcPr/>
          <w:p>
            <w:pPr>
              <w:pStyle w:val="Compact"/>
              <w:jc w:val="left"/>
            </w:pPr>
            <w:r>
              <w:rPr>
                <w:bCs/>
                <w:b/>
              </w:rPr>
              <w:t xml:space="preserve">A (i) — chapter heading and opening sentence (printed 41)</w:t>
            </w:r>
          </w:p>
        </w:tc>
        <w:tc>
          <w:tcPr/>
          <w:p>
            <w:pPr>
              <w:pStyle w:val="Compact"/>
            </w:pPr>
          </w:p>
        </w:tc>
        <w:tc>
          <w:tcPr/>
          <w:p>
            <w:pPr>
              <w:pStyle w:val="Compact"/>
              <w:jc w:val="left"/>
            </w:pPr>
            <w:r>
              <w:rPr>
                <w:bCs/>
                <w:b/>
              </w:rPr>
              <w:t xml:space="preserve">A (i) — chapter heading and opening sentence (printed 41)</w:t>
            </w:r>
          </w:p>
        </w:tc>
      </w:tr>
      <w:tr>
        <w:tc>
          <w:tcPr/>
          <w:p>
            <w:pPr>
              <w:pStyle w:val="Compact"/>
              <w:jc w:val="left"/>
            </w:pPr>
            <w:r>
              <w:rPr>
                <w:iCs/>
                <w:i/>
              </w:rPr>
              <w:t xml:space="preserve">Quid intersit inter hæresin &amp; schisma.</w:t>
            </w:r>
          </w:p>
        </w:tc>
        <w:tc>
          <w:tcPr/>
          <w:p>
            <w:pPr>
              <w:pStyle w:val="Compact"/>
            </w:pPr>
          </w:p>
        </w:tc>
        <w:tc>
          <w:tcPr/>
          <w:p>
            <w:pPr>
              <w:pStyle w:val="Compact"/>
              <w:jc w:val="left"/>
            </w:pPr>
            <w:r>
              <w:rPr>
                <w:iCs/>
                <w:i/>
              </w:rPr>
              <w:t xml:space="preserve">What difference there is between heresy and schism.</w:t>
            </w:r>
          </w:p>
        </w:tc>
      </w:tr>
      <w:tr>
        <w:tc>
          <w:tcPr/>
          <w:p>
            <w:pPr>
              <w:pStyle w:val="Compact"/>
              <w:jc w:val="left"/>
            </w:pPr>
            <w:r>
              <w:rPr>
                <w:bCs/>
                <w:b/>
              </w:rPr>
              <w:t xml:space="preserve">CAPVT DVODECIMVM.</w:t>
            </w:r>
          </w:p>
        </w:tc>
        <w:tc>
          <w:tcPr/>
          <w:p>
            <w:pPr>
              <w:pStyle w:val="Compact"/>
            </w:pPr>
          </w:p>
        </w:tc>
        <w:tc>
          <w:tcPr/>
          <w:p>
            <w:pPr>
              <w:pStyle w:val="Compact"/>
              <w:jc w:val="left"/>
            </w:pPr>
            <w:r>
              <w:rPr>
                <w:bCs/>
                <w:b/>
              </w:rPr>
              <w:t xml:space="preserve">CHAPTER TWELVE.</w:t>
            </w:r>
          </w:p>
        </w:tc>
      </w:tr>
      <w:tr>
        <w:tc>
          <w:tcPr/>
          <w:p>
            <w:pPr>
              <w:pStyle w:val="Compact"/>
              <w:jc w:val="left"/>
            </w:pPr>
            <w:r>
              <w:t xml:space="preserve">TAmetsi autem omnem hæreticum simul etiam schismaticũ esse necesse est (quippe diuisus animo præcisusq̃ sit oportet, qui nec fidei vinculo colligetur, nec radice communi tanquam in arbore teneatur, ex quo est quod Tertullianus dicat, hęreses {marg.</w:t>
            </w:r>
            <w:r>
              <w:t xml:space="preserve"> </w:t>
            </w:r>
            <w:r>
              <w:rPr>
                <w:iCs/>
                <w:i/>
              </w:rPr>
              <w:t xml:space="preserve">Circa initiũ libri de præscript.</w:t>
            </w:r>
            <w:r>
              <w:t xml:space="preserve">} non minus ab vnitate diuellere quàm schismata &amp; dissensiones:) tamen nec omnis schismaticus continuo hæreticus est, &amp; proprijs ista rationibus, quamlibet re plerunq̃ coincidãt, reperiuntur esse discreta.</w:t>
            </w:r>
          </w:p>
        </w:tc>
        <w:tc>
          <w:tcPr/>
          <w:p>
            <w:pPr>
              <w:pStyle w:val="Compact"/>
            </w:pPr>
          </w:p>
        </w:tc>
        <w:tc>
          <w:tcPr/>
          <w:p>
            <w:pPr>
              <w:pStyle w:val="Compact"/>
              <w:jc w:val="left"/>
            </w:pPr>
            <w:r>
              <w:t xml:space="preserve">ALthough, however, it is necessary that every heretic be at the same time a schismatic as well (for he must needs be divided in mind and cut off who is neither bound together by the bond of faith nor held by the common root as in a tree; whence it is that Tertullian says that heresies {marg.</w:t>
            </w:r>
            <w:r>
              <w:t xml:space="preserve"> </w:t>
            </w:r>
            <w:r>
              <w:rPr>
                <w:iCs/>
                <w:i/>
              </w:rPr>
              <w:t xml:space="preserve">Near the beginning of the book de præscript.</w:t>
            </w:r>
            <w:r>
              <w:t xml:space="preserve">} tear away from unity no less than schisms and dissensions:) nevertheless not every schismatic is forthwith a heretic; and these are found to be distinct on their own proper grounds, however much for the most part they coincide in fact.</w:t>
            </w:r>
          </w:p>
        </w:tc>
      </w:tr>
      <w:tr>
        <w:tc>
          <w:tcPr/>
          <w:p>
            <w:pPr>
              <w:pStyle w:val="Compact"/>
              <w:jc w:val="left"/>
            </w:pPr>
            <w:r>
              <w:rPr>
                <w:bCs/>
                <w:b/>
              </w:rPr>
              <w:t xml:space="preserve">A (ii) — the Great Schism and the fact/right distinction (printed 43)</w:t>
            </w:r>
          </w:p>
        </w:tc>
        <w:tc>
          <w:tcPr/>
          <w:p>
            <w:pPr>
              <w:pStyle w:val="Compact"/>
            </w:pPr>
          </w:p>
        </w:tc>
        <w:tc>
          <w:tcPr/>
          <w:p>
            <w:pPr>
              <w:pStyle w:val="Compact"/>
              <w:jc w:val="left"/>
            </w:pPr>
            <w:r>
              <w:rPr>
                <w:bCs/>
                <w:b/>
              </w:rPr>
              <w:t xml:space="preserve">A (ii) — the Great Schism and the fact/right distinction (printed 43)</w:t>
            </w:r>
          </w:p>
        </w:tc>
      </w:tr>
      <w:tr>
        <w:tc>
          <w:tcPr/>
          <w:p>
            <w:pPr>
              <w:pStyle w:val="Compact"/>
              <w:jc w:val="left"/>
            </w:pPr>
            <w:r>
              <w:t xml:space="preserve">{marg.</w:t>
            </w:r>
            <w:r>
              <w:t xml:space="preserve"> </w:t>
            </w:r>
            <w:r>
              <w:rPr>
                <w:iCs/>
                <w:i/>
              </w:rPr>
              <w:t xml:space="preserve">[…] ticis lib. 9[?] vitæ Constantini, cap. vlt. Itẽ de Vrsino lib 4. hist. socratis cap. 24. &amp; Turrecrematensem lib 4. cap. 9 et Alfon. de Castro, lib. 1 contra hæret.</w:t>
            </w:r>
            <w:r>
              <w:t xml:space="preserve">}</w:t>
            </w:r>
          </w:p>
        </w:tc>
        <w:tc>
          <w:tcPr/>
          <w:p>
            <w:pPr>
              <w:pStyle w:val="Compact"/>
            </w:pPr>
          </w:p>
        </w:tc>
        <w:tc>
          <w:tcPr/>
          <w:p>
            <w:pPr>
              <w:pStyle w:val="Compact"/>
              <w:jc w:val="left"/>
            </w:pPr>
            <w:r>
              <w:t xml:space="preserve">{marg.</w:t>
            </w:r>
            <w:r>
              <w:t xml:space="preserve"> </w:t>
            </w:r>
            <w:r>
              <w:rPr>
                <w:iCs/>
                <w:i/>
              </w:rPr>
              <w:t xml:space="preserve">[…] tics, lib. 9[?] of the Life of Constantine, cap. vlt. Likewise concerning Ursinus, lib 4. of the History of Socrates, cap. 24. And Turrecrematensem lib 4. cap. 9 and Alfon. de Castro, lib. 1 contra hæret.</w:t>
            </w:r>
            <w:r>
              <w:t xml:space="preserve">}</w:t>
            </w:r>
          </w:p>
        </w:tc>
      </w:tr>
      <w:tr>
        <w:tc>
          <w:tcPr/>
          <w:p>
            <w:pPr>
              <w:pStyle w:val="Compact"/>
              <w:jc w:val="left"/>
            </w:pPr>
            <w:r>
              <w:t xml:space="preserve">[…] Sic &amp; alias accidit vt schisma nasceretur propter id solum quòd Pontifex qui habebatur non recte ac legitimè putaretur electus. Quale schisma fuisse memorię proditum est per quadraginta circiter annos, cùm se tres pro Pontificibus gererent, quod in Concilio Constanciensi Sigismundo Romanorũ rege, tandem aliquãdo finitum est. Schismatici ergo hinc erant multi nec tamẽ hæretici. Quis enim audeat cuiquã eorum qui se pontifices dicebant, aut his qui illis parebant, hæreseos crimen impingere, quod nulli eorũ obiecit generale Concilium? Tametsi enim fide credere teneamur legitimum Petri successorem supremũ esse totius Ecclesiæ in terris caput, nõ tamen eadem fide recipere tenemur Leonem aut Clemẽtem vel Gregorium verũ esse Petri successorem: neque enim ad fidẽ catholicã pertinet quàm quisque Pontifex rectè aut canonicè eligatur aut electus sit: quo fit vt qui obedientiã Clementi aut Leoni denegaret, hoc solũ prætextu quòd eũ diceret nõ canonicè fuisse electũ, quãuis schismaticus dicẽdus esset, nõ tamẽ hęreticus censeri deberet. Alius enim est error in his quæ sunt facti, alius in his quę sunt iuris atq̃ doctrinę.</w:t>
            </w:r>
          </w:p>
        </w:tc>
        <w:tc>
          <w:tcPr/>
          <w:p>
            <w:pPr>
              <w:pStyle w:val="Compact"/>
            </w:pPr>
          </w:p>
        </w:tc>
        <w:tc>
          <w:tcPr/>
          <w:p>
            <w:pPr>
              <w:pStyle w:val="Compact"/>
              <w:jc w:val="left"/>
            </w:pPr>
            <w:r>
              <w:t xml:space="preserve">[…] So also on other occasions it has come about that a schism was born for this reason alone, that the Pontiff who was held [to be such] was thought not to have been rightly and lawfully elected. Such a schism has been handed down to memory as having lasted about forty years, when three men bore themselves as Pontiffs, which at long last was brought to an end in the Council of Constance, Sigismund being king of the Romans. There were therefore hereupon many schismatics, and yet not heretics. For who would dare to fasten the charge of heresy upon any one of those who called themselves pontiffs, or upon those who obeyed them — a charge which the general Council laid against none of them? For although we are bound to believe by faith that the legitimate successor of Peter is the supreme head of the whole Church on earth,</w:t>
            </w:r>
            <w:r>
              <w:t xml:space="preserve"> </w:t>
            </w:r>
            <w:r>
              <w:rPr>
                <w:bCs/>
                <w:b/>
              </w:rPr>
              <w:t xml:space="preserve">we are nevertheless not bound by the same faith to receive Leo or Clement or Gregory as being the true successor of Peter</w:t>
            </w:r>
            <w:r>
              <w:t xml:space="preserve">: for it does not pertain to Catholic faith how any Pontiff is rightly or canonically elected, or has been elected: whence it comes about that one who should deny obedience to Clement or Leo, on this pretext alone, that he says he was not canonically elected — although he must be called a schismatic, nevertheless he ought not to be reckoned a heretic. For error in things which are of fact is one thing, error in things which are of right and of doctrine another.</w:t>
            </w:r>
          </w:p>
        </w:tc>
      </w:tr>
      <w:tr>
        <w:tc>
          <w:tcPr/>
          <w:p>
            <w:pPr>
              <w:pStyle w:val="Compact"/>
              <w:jc w:val="left"/>
            </w:pPr>
            <w:r>
              <w:t xml:space="preserve">&gt;</w:t>
            </w:r>
            <w:r>
              <w:t xml:space="preserve"> </w:t>
            </w:r>
            <w:r>
              <w:rPr>
                <w:iCs/>
                <w:i/>
              </w:rPr>
              <w:t xml:space="preserve">Editorial note.</w:t>
            </w:r>
            <w:r>
              <w:t xml:space="preserve"> </w:t>
            </w:r>
            <w:r>
              <w:t xml:space="preserve">This sentence closes at line 25 of printed 43, in mid-page; the chapter runs on without a paragraph break (there are no paragraph indentations anywhere in capp. XI–XII), so nothing of this passage runs over onto printed 44. Printed 44 is therefore not transcribed.</w:t>
            </w:r>
          </w:p>
        </w:tc>
        <w:tc>
          <w:tcPr/>
          <w:p>
            <w:pPr>
              <w:pStyle w:val="Compact"/>
            </w:pPr>
          </w:p>
        </w:tc>
        <w:tc>
          <w:tcPr/>
          <w:p>
            <w:pPr>
              <w:pStyle w:val="Compact"/>
              <w:jc w:val="left"/>
            </w:pPr>
            <w:r>
              <w:t xml:space="preserve">&gt;</w:t>
            </w:r>
            <w:r>
              <w:t xml:space="preserve"> </w:t>
            </w:r>
            <w:r>
              <w:rPr>
                <w:iCs/>
                <w:i/>
              </w:rPr>
              <w:t xml:space="preserve">Editorial note.</w:t>
            </w:r>
            <w:r>
              <w:t xml:space="preserve"> </w:t>
            </w:r>
            <w:r>
              <w:t xml:space="preserve">This sentence closes at line 25 of printed 43, in mid-page; the chapter runs on without a paragraph break (there are no paragraph indentations anywhere in capp. XI–XII), so nothing of this passage runs over onto printed 44. Printed 44 is therefore not transcribed.</w:t>
            </w:r>
          </w:p>
        </w:tc>
      </w:tr>
      <w:tr>
        <w:tc>
          <w:tcPr/>
          <w:p>
            <w:pPr>
              <w:pStyle w:val="Compact"/>
              <w:jc w:val="left"/>
            </w:pPr>
            <w:r>
              <w:rPr>
                <w:bCs/>
                <w:b/>
              </w:rPr>
              <w:t xml:space="preserve">B. Liber III —</w:t>
            </w:r>
            <w:r>
              <w:rPr>
                <w:bCs/>
                <w:b/>
              </w:rPr>
              <w:t xml:space="preserve"> </w:t>
            </w:r>
            <w:r>
              <w:rPr>
                <w:bCs/>
                <w:b/>
              </w:rPr>
              <w:t xml:space="preserve">“</w:t>
            </w:r>
            <w:r>
              <w:rPr>
                <w:bCs/>
                <w:b/>
              </w:rPr>
              <w:t xml:space="preserve">Ecclesia</w:t>
            </w:r>
            <w:r>
              <w:rPr>
                <w:bCs/>
                <w:b/>
              </w:rPr>
              <w:t xml:space="preserve">”</w:t>
            </w:r>
            <w:r>
              <w:rPr>
                <w:bCs/>
                <w:b/>
              </w:rPr>
              <w:t xml:space="preserve"> </w:t>
            </w:r>
            <w:r>
              <w:rPr>
                <w:bCs/>
                <w:b/>
              </w:rPr>
              <w:t xml:space="preserve">as the prelates; defect</w:t>
            </w:r>
            <w:r>
              <w:rPr>
                <w:bCs/>
                <w:b/>
              </w:rPr>
              <w:t xml:space="preserve"> </w:t>
            </w:r>
            <w:r>
              <w:rPr>
                <w:iCs/>
                <w:i/>
                <w:bCs/>
                <w:b/>
              </w:rPr>
              <w:t xml:space="preserve">ratione partis</w:t>
            </w:r>
            <w:r>
              <w:rPr>
                <w:bCs/>
                <w:b/>
              </w:rPr>
              <w:t xml:space="preserve"> </w:t>
            </w:r>
            <w:r>
              <w:rPr>
                <w:bCs/>
                <w:b/>
              </w:rPr>
              <w:t xml:space="preserve">vs. defect</w:t>
            </w:r>
            <w:r>
              <w:rPr>
                <w:bCs/>
                <w:b/>
              </w:rPr>
              <w:t xml:space="preserve"> </w:t>
            </w:r>
            <w:r>
              <w:rPr>
                <w:iCs/>
                <w:i/>
                <w:bCs/>
                <w:b/>
              </w:rPr>
              <w:t xml:space="preserve">ex toto</w:t>
            </w:r>
            <w:r>
              <w:rPr>
                <w:bCs/>
                <w:b/>
              </w:rPr>
              <w:t xml:space="preserve"> </w:t>
            </w:r>
            <w:r>
              <w:rPr>
                <w:bCs/>
                <w:b/>
              </w:rPr>
              <w:t xml:space="preserve">(printed 187–188)</w:t>
            </w:r>
          </w:p>
        </w:tc>
        <w:tc>
          <w:tcPr/>
          <w:p>
            <w:pPr>
              <w:pStyle w:val="Compact"/>
            </w:pPr>
          </w:p>
        </w:tc>
        <w:tc>
          <w:tcPr/>
          <w:p>
            <w:pPr>
              <w:pStyle w:val="Compact"/>
              <w:jc w:val="left"/>
            </w:pPr>
            <w:r>
              <w:rPr>
                <w:bCs/>
                <w:b/>
              </w:rPr>
              <w:t xml:space="preserve">B. Book III —</w:t>
            </w:r>
            <w:r>
              <w:rPr>
                <w:bCs/>
                <w:b/>
              </w:rPr>
              <w:t xml:space="preserve"> </w:t>
            </w:r>
            <w:r>
              <w:rPr>
                <w:bCs/>
                <w:b/>
              </w:rPr>
              <w:t xml:space="preserve">“</w:t>
            </w:r>
            <w:r>
              <w:rPr>
                <w:bCs/>
                <w:b/>
              </w:rPr>
              <w:t xml:space="preserve">Ecclesia</w:t>
            </w:r>
            <w:r>
              <w:rPr>
                <w:bCs/>
                <w:b/>
              </w:rPr>
              <w:t xml:space="preserve">”</w:t>
            </w:r>
            <w:r>
              <w:rPr>
                <w:bCs/>
                <w:b/>
              </w:rPr>
              <w:t xml:space="preserve"> </w:t>
            </w:r>
            <w:r>
              <w:rPr>
                <w:bCs/>
                <w:b/>
              </w:rPr>
              <w:t xml:space="preserve">as the prelates; defect</w:t>
            </w:r>
            <w:r>
              <w:rPr>
                <w:bCs/>
                <w:b/>
              </w:rPr>
              <w:t xml:space="preserve"> </w:t>
            </w:r>
            <w:r>
              <w:rPr>
                <w:iCs/>
                <w:i/>
                <w:bCs/>
                <w:b/>
              </w:rPr>
              <w:t xml:space="preserve">ratione partis</w:t>
            </w:r>
            <w:r>
              <w:rPr>
                <w:bCs/>
                <w:b/>
              </w:rPr>
              <w:t xml:space="preserve"> </w:t>
            </w:r>
            <w:r>
              <w:rPr>
                <w:bCs/>
                <w:b/>
              </w:rPr>
              <w:t xml:space="preserve">vs. defect</w:t>
            </w:r>
            <w:r>
              <w:rPr>
                <w:bCs/>
                <w:b/>
              </w:rPr>
              <w:t xml:space="preserve"> </w:t>
            </w:r>
            <w:r>
              <w:rPr>
                <w:iCs/>
                <w:i/>
                <w:bCs/>
                <w:b/>
              </w:rPr>
              <w:t xml:space="preserve">ex toto</w:t>
            </w:r>
            <w:r>
              <w:rPr>
                <w:bCs/>
                <w:b/>
              </w:rPr>
              <w:t xml:space="preserve"> </w:t>
            </w:r>
            <w:r>
              <w:rPr>
                <w:bCs/>
                <w:b/>
              </w:rPr>
              <w:t xml:space="preserve">(printed 187–188)</w:t>
            </w:r>
          </w:p>
        </w:tc>
      </w:tr>
      <w:tr>
        <w:tc>
          <w:tcPr/>
          <w:p>
            <w:pPr>
              <w:pStyle w:val="Compact"/>
              <w:jc w:val="left"/>
            </w:pPr>
            <w:r>
              <w:rPr>
                <w:bCs/>
                <w:b/>
              </w:rPr>
              <w:t xml:space="preserve">B (i) — the sense of</w:t>
            </w:r>
            <w:r>
              <w:rPr>
                <w:bCs/>
                <w:b/>
              </w:rPr>
              <w:t xml:space="preserve"> </w:t>
            </w:r>
            <w:r>
              <w:rPr>
                <w:bCs/>
                <w:b/>
              </w:rPr>
              <w:t xml:space="preserve">“</w:t>
            </w:r>
            <w:r>
              <w:rPr>
                <w:bCs/>
                <w:b/>
              </w:rPr>
              <w:t xml:space="preserve">Ecclesia</w:t>
            </w:r>
            <w:r>
              <w:rPr>
                <w:bCs/>
                <w:b/>
              </w:rPr>
              <w:t xml:space="preserve">”</w:t>
            </w:r>
            <w:r>
              <w:rPr>
                <w:bCs/>
                <w:b/>
              </w:rPr>
              <w:t xml:space="preserve"> </w:t>
            </w:r>
            <w:r>
              <w:rPr>
                <w:bCs/>
                <w:b/>
              </w:rPr>
              <w:t xml:space="preserve">(printed 187, ll. 1–2)</w:t>
            </w:r>
          </w:p>
        </w:tc>
        <w:tc>
          <w:tcPr/>
          <w:p>
            <w:pPr>
              <w:pStyle w:val="Compact"/>
            </w:pPr>
          </w:p>
        </w:tc>
        <w:tc>
          <w:tcPr/>
          <w:p>
            <w:pPr>
              <w:pStyle w:val="Compact"/>
              <w:jc w:val="left"/>
            </w:pPr>
            <w:r>
              <w:rPr>
                <w:bCs/>
                <w:b/>
              </w:rPr>
              <w:t xml:space="preserve">B (i) — the sense of</w:t>
            </w:r>
            <w:r>
              <w:rPr>
                <w:bCs/>
                <w:b/>
              </w:rPr>
              <w:t xml:space="preserve"> </w:t>
            </w:r>
            <w:r>
              <w:rPr>
                <w:bCs/>
                <w:b/>
              </w:rPr>
              <w:t xml:space="preserve">“</w:t>
            </w:r>
            <w:r>
              <w:rPr>
                <w:bCs/>
                <w:b/>
              </w:rPr>
              <w:t xml:space="preserve">Ecclesia</w:t>
            </w:r>
            <w:r>
              <w:rPr>
                <w:bCs/>
                <w:b/>
              </w:rPr>
              <w:t xml:space="preserve">”</w:t>
            </w:r>
            <w:r>
              <w:rPr>
                <w:bCs/>
                <w:b/>
              </w:rPr>
              <w:t xml:space="preserve"> </w:t>
            </w:r>
            <w:r>
              <w:rPr>
                <w:bCs/>
                <w:b/>
              </w:rPr>
              <w:t xml:space="preserve">(printed 187, ll. 1–2)</w:t>
            </w:r>
          </w:p>
        </w:tc>
      </w:tr>
      <w:tr>
        <w:tc>
          <w:tcPr/>
          <w:p>
            <w:pPr>
              <w:pStyle w:val="Compact"/>
              <w:jc w:val="left"/>
            </w:pPr>
            <w:r>
              <w:t xml:space="preserve">cùm nominatur Ecclesia, ipsi Præpositi &amp; tanquam Ecclesiæ senatus &amp; magistratus intelliguntur.</w:t>
            </w:r>
          </w:p>
        </w:tc>
        <w:tc>
          <w:tcPr/>
          <w:p>
            <w:pPr>
              <w:pStyle w:val="Compact"/>
            </w:pPr>
          </w:p>
        </w:tc>
        <w:tc>
          <w:tcPr/>
          <w:p>
            <w:pPr>
              <w:pStyle w:val="Compact"/>
              <w:jc w:val="left"/>
            </w:pPr>
            <w:r>
              <w:t xml:space="preserve">when the Church is named, the prelates themselves — as it were the senate and magistracy of the Church — are understood.</w:t>
            </w:r>
          </w:p>
        </w:tc>
      </w:tr>
      <w:tr>
        <w:tc>
          <w:tcPr/>
          <w:p>
            <w:pPr>
              <w:pStyle w:val="Compact"/>
              <w:jc w:val="left"/>
            </w:pPr>
            <w:r>
              <w:t xml:space="preserve">&gt;</w:t>
            </w:r>
            <w:r>
              <w:t xml:space="preserve"> </w:t>
            </w:r>
            <w:r>
              <w:rPr>
                <w:iCs/>
                <w:i/>
              </w:rPr>
              <w:t xml:space="preserve">Editorial note.</w:t>
            </w:r>
            <w:r>
              <w:t xml:space="preserve"> </w:t>
            </w:r>
            <w:r>
              <w:t xml:space="preserve">This clause stands at the very head of printed 187, about twenty lines above the passage that follows, not</w:t>
            </w:r>
            <w:r>
              <w:t xml:space="preserve"> </w:t>
            </w:r>
            <w:r>
              <w:t xml:space="preserve">“</w:t>
            </w:r>
            <w:r>
              <w:t xml:space="preserve">within a few lines</w:t>
            </w:r>
            <w:r>
              <w:t xml:space="preserve">”</w:t>
            </w:r>
            <w:r>
              <w:t xml:space="preserve">; the intervening matter (Matt. 18 and Acts proof-texts, then the</w:t>
            </w:r>
            <w:r>
              <w:t xml:space="preserve"> </w:t>
            </w:r>
            <w:r>
              <w:rPr>
                <w:iCs/>
                <w:i/>
              </w:rPr>
              <w:t xml:space="preserve">homo integer / crispus, claudus, lippus</w:t>
            </w:r>
            <w:r>
              <w:t xml:space="preserve"> </w:t>
            </w:r>
            <w:r>
              <w:t xml:space="preserve">analogy) is omitted here.</w:t>
            </w:r>
          </w:p>
        </w:tc>
        <w:tc>
          <w:tcPr/>
          <w:p>
            <w:pPr>
              <w:pStyle w:val="Compact"/>
            </w:pPr>
          </w:p>
        </w:tc>
        <w:tc>
          <w:tcPr/>
          <w:p>
            <w:pPr>
              <w:pStyle w:val="Compact"/>
              <w:jc w:val="left"/>
            </w:pPr>
            <w:r>
              <w:t xml:space="preserve">&gt;</w:t>
            </w:r>
            <w:r>
              <w:t xml:space="preserve"> </w:t>
            </w:r>
            <w:r>
              <w:rPr>
                <w:iCs/>
                <w:i/>
              </w:rPr>
              <w:t xml:space="preserve">Editorial note.</w:t>
            </w:r>
            <w:r>
              <w:t xml:space="preserve"> </w:t>
            </w:r>
            <w:r>
              <w:t xml:space="preserve">This clause stands at the very head of printed 187, about twenty lines above the passage that follows, not</w:t>
            </w:r>
            <w:r>
              <w:t xml:space="preserve"> </w:t>
            </w:r>
            <w:r>
              <w:t xml:space="preserve">“</w:t>
            </w:r>
            <w:r>
              <w:t xml:space="preserve">within a few lines</w:t>
            </w:r>
            <w:r>
              <w:t xml:space="preserve">”</w:t>
            </w:r>
            <w:r>
              <w:t xml:space="preserve">; the intervening matter (Matt. 18 and Acts proof-texts, then the</w:t>
            </w:r>
            <w:r>
              <w:t xml:space="preserve"> </w:t>
            </w:r>
            <w:r>
              <w:rPr>
                <w:iCs/>
                <w:i/>
              </w:rPr>
              <w:t xml:space="preserve">homo integer / crispus, claudus, lippus</w:t>
            </w:r>
            <w:r>
              <w:t xml:space="preserve"> </w:t>
            </w:r>
            <w:r>
              <w:t xml:space="preserve">analogy) is omitted here.</w:t>
            </w:r>
          </w:p>
        </w:tc>
      </w:tr>
      <w:tr>
        <w:tc>
          <w:tcPr/>
          <w:p>
            <w:pPr>
              <w:pStyle w:val="Compact"/>
              <w:jc w:val="left"/>
            </w:pPr>
            <w:r>
              <w:rPr>
                <w:bCs/>
                <w:b/>
              </w:rPr>
              <w:t xml:space="preserve">B (ii) — the two modes of defect (printed 187–188)</w:t>
            </w:r>
          </w:p>
        </w:tc>
        <w:tc>
          <w:tcPr/>
          <w:p>
            <w:pPr>
              <w:pStyle w:val="Compact"/>
            </w:pPr>
          </w:p>
        </w:tc>
        <w:tc>
          <w:tcPr/>
          <w:p>
            <w:pPr>
              <w:pStyle w:val="Compact"/>
              <w:jc w:val="left"/>
            </w:pPr>
            <w:r>
              <w:rPr>
                <w:bCs/>
                <w:b/>
              </w:rPr>
              <w:t xml:space="preserve">B (ii) — the two modes of defect (printed 187–188)</w:t>
            </w:r>
          </w:p>
        </w:tc>
      </w:tr>
      <w:tr>
        <w:tc>
          <w:tcPr/>
          <w:p>
            <w:pPr>
              <w:pStyle w:val="Compact"/>
              <w:jc w:val="left"/>
            </w:pPr>
            <w:r>
              <w:t xml:space="preserve">Ad similem modum, si Ecclesia diceretur definiendo quippiam errasse atq̃ defecisse, hic defectus ratione partis, hoc est, Ecclesiastici magistratus accidisse deberet intelligi. neq̃ enim omnium est definire de his quæ fidei sunt, sed eorũ id munus, qui Ecclesię pręsunt: quos si decernendo labi contigerit, iure dicitur Ecclesia errasse atq̃ à veri tramite defecisse. nam cœcum hominem aut non videntem dicimus, non quia in pedibus visum non habet, sed quia non habet in oculis. Sin ad fidei absolutum defectum respicitur, non definitionis erratum, istóque sensu dicitur Ecclesia defecisse: id manifestum est ex toto non ex parte sola dijudicandum relinqui. sic enim Ecclesia defecerit, cùm nullus remanserit cœtus, vera præditus fide: possetque hoc modo non defecisse Ecclesia etiamsi priore defecisset. Neque enim totam mox communitatem necesse esset vera fide vacuam inueniri, propterea quòd eos qui præsunt definiendo falli contigisset. Ideóq̃ accidit interdum vt particularis Ecclesia, verbi gratia Carthaginensis, in eo cui Cyprianus præfuit concilio, iuxta priorem modum deficeret, non item necessariò iuxta posteriorem. Ecclesiæ verò Dei vniuersali, cælesti benignitate certissimisque promissis prouisum est,</w:t>
            </w:r>
          </w:p>
        </w:tc>
        <w:tc>
          <w:tcPr/>
          <w:p>
            <w:pPr>
              <w:pStyle w:val="Compact"/>
            </w:pPr>
          </w:p>
        </w:tc>
        <w:tc>
          <w:tcPr/>
          <w:p>
            <w:pPr>
              <w:pStyle w:val="Compact"/>
              <w:jc w:val="left"/>
            </w:pPr>
            <w:r>
              <w:t xml:space="preserve">In like manner, if the Church were said to have erred in defining something and to have failed, this failure would have to be understood as having happened in respect of a part, that is, of the ecclesiastical magistracy. For it does not belong to all to define concerning those things which are of faith, but that charge is theirs who preside over the Church: and if it should befall these to slip in decreeing, the Church is rightly said to have erred and to have fallen away from the path of the true. For we call a man blind, or not seeing, not because he has no sight in his feet, but because he has none in his eyes. But if regard is had to an absolute failure of faith, and not to an error of definition, and in that sense the Church is said to have failed: it is manifest that this is left to be judged from the whole and not from a part alone. For in this way the Church will have failed when no assembly shall have remained endowed with the true faith; and in this manner the Church could have not failed, even if she had failed in the former way. For it would not be necessary that the whole community should straightway be found void of the true faith, for the reason that it had befallen those who preside to be deceived in defining. And therefore it happens at times that a particular Church — for example that of Carthage, in that council over which Cyprian presided — should fail according to the former mode, and not likewise of necessity according to the latter. But for the universal Church of God it has been provided, by heavenly kindness and by most certain promises,</w:t>
            </w:r>
          </w:p>
        </w:tc>
      </w:tr>
      <w:tr>
        <w:tc>
          <w:tcPr/>
          <w:p>
            <w:pPr>
              <w:pStyle w:val="Compact"/>
              <w:jc w:val="left"/>
            </w:pPr>
            <w:r>
              <w:t xml:space="preserve">vt neutro modo deficeret vsque ad seculi consummationem. Quia reuera si definiendo per errorem deficeret, in iis qui præsunt: facilè pronaq̃ via sensim error in totum Ecclesiæ corpus grassaretur.</w:t>
            </w:r>
          </w:p>
        </w:tc>
        <w:tc>
          <w:tcPr/>
          <w:p>
            <w:pPr>
              <w:pStyle w:val="Compact"/>
            </w:pPr>
          </w:p>
        </w:tc>
        <w:tc>
          <w:tcPr/>
          <w:p>
            <w:pPr>
              <w:pStyle w:val="Compact"/>
              <w:jc w:val="left"/>
            </w:pPr>
            <w:r>
              <w:t xml:space="preserve">that she should fail in neither mode, even to the consummation of the world. Because in truth, if she were to fail by error in defining, in those who preside, easily and by a ready path the error would gradually spread into the whole body of the Church.</w:t>
            </w:r>
          </w:p>
        </w:tc>
      </w:tr>
      <w:tr>
        <w:tc>
          <w:tcPr/>
          <w:p>
            <w:pPr>
              <w:pStyle w:val="Compact"/>
              <w:jc w:val="left"/>
            </w:pPr>
            <w:r>
              <w:rPr>
                <w:bCs/>
                <w:b/>
              </w:rPr>
              <w:t xml:space="preserve">C. Liber VI, cap. XVIII — the authority of the Church seen in her pastors; the consent of peoples and the twofold consideration of pastoral authority (printed 421–422)</w:t>
            </w:r>
          </w:p>
        </w:tc>
        <w:tc>
          <w:tcPr/>
          <w:p>
            <w:pPr>
              <w:pStyle w:val="Compact"/>
            </w:pPr>
          </w:p>
        </w:tc>
        <w:tc>
          <w:tcPr/>
          <w:p>
            <w:pPr>
              <w:pStyle w:val="Compact"/>
              <w:jc w:val="left"/>
            </w:pPr>
            <w:r>
              <w:rPr>
                <w:bCs/>
                <w:b/>
              </w:rPr>
              <w:t xml:space="preserve">C. Book VI, ch. XVIII — the authority of the Church seen in her pastors; the consent of peoples and the twofold consideration of pastoral authority (printed 421–422)</w:t>
            </w:r>
          </w:p>
        </w:tc>
      </w:tr>
      <w:tr>
        <w:tc>
          <w:tcPr/>
          <w:p>
            <w:pPr>
              <w:pStyle w:val="Compact"/>
              <w:jc w:val="left"/>
            </w:pPr>
            <w:r>
              <w:rPr>
                <w:bCs/>
                <w:b/>
              </w:rPr>
              <w:t xml:space="preserve">C (i) — chapter heading and opening sentence (printed 421)</w:t>
            </w:r>
          </w:p>
        </w:tc>
        <w:tc>
          <w:tcPr/>
          <w:p>
            <w:pPr>
              <w:pStyle w:val="Compact"/>
            </w:pPr>
          </w:p>
        </w:tc>
        <w:tc>
          <w:tcPr/>
          <w:p>
            <w:pPr>
              <w:pStyle w:val="Compact"/>
              <w:jc w:val="left"/>
            </w:pPr>
            <w:r>
              <w:rPr>
                <w:bCs/>
                <w:b/>
              </w:rPr>
              <w:t xml:space="preserve">C (i) — chapter heading and opening sentence (printed 421)</w:t>
            </w:r>
          </w:p>
        </w:tc>
      </w:tr>
      <w:tr>
        <w:tc>
          <w:tcPr/>
          <w:p>
            <w:pPr>
              <w:pStyle w:val="Compact"/>
              <w:jc w:val="left"/>
            </w:pPr>
            <w:r>
              <w:rPr>
                <w:iCs/>
                <w:i/>
              </w:rPr>
              <w:t xml:space="preserve">Authoritatem Ecclesiæ quæ in eius potissimùm pastoribus spectanda est, nullis posse contra fidem tradendis erroribus labefactari.</w:t>
            </w:r>
          </w:p>
        </w:tc>
        <w:tc>
          <w:tcPr/>
          <w:p>
            <w:pPr>
              <w:pStyle w:val="Compact"/>
            </w:pPr>
          </w:p>
        </w:tc>
        <w:tc>
          <w:tcPr/>
          <w:p>
            <w:pPr>
              <w:pStyle w:val="Compact"/>
              <w:jc w:val="left"/>
            </w:pPr>
            <w:r>
              <w:rPr>
                <w:iCs/>
                <w:i/>
              </w:rPr>
              <w:t xml:space="preserve">That the authority of the Church, which is to be looked for chiefly in her pastors, can be undermined by no errors handed down against the faith.</w:t>
            </w:r>
          </w:p>
        </w:tc>
      </w:tr>
      <w:tr>
        <w:tc>
          <w:tcPr/>
          <w:p>
            <w:pPr>
              <w:pStyle w:val="Compact"/>
              <w:jc w:val="left"/>
            </w:pPr>
            <w:r>
              <w:rPr>
                <w:bCs/>
                <w:b/>
              </w:rPr>
              <w:t xml:space="preserve">CAPVT XVIII.</w:t>
            </w:r>
          </w:p>
        </w:tc>
        <w:tc>
          <w:tcPr/>
          <w:p>
            <w:pPr>
              <w:pStyle w:val="Compact"/>
            </w:pPr>
          </w:p>
        </w:tc>
        <w:tc>
          <w:tcPr/>
          <w:p>
            <w:pPr>
              <w:pStyle w:val="Compact"/>
              <w:jc w:val="left"/>
            </w:pPr>
            <w:r>
              <w:rPr>
                <w:bCs/>
                <w:b/>
              </w:rPr>
              <w:t xml:space="preserve">CHAPTER XVIII.</w:t>
            </w:r>
          </w:p>
        </w:tc>
      </w:tr>
      <w:tr>
        <w:tc>
          <w:tcPr/>
          <w:p>
            <w:pPr>
              <w:pStyle w:val="Compact"/>
              <w:jc w:val="left"/>
            </w:pPr>
            <w:r>
              <w:t xml:space="preserve">ATque hinc iam nobis ad vltimæ quæstionis tractationem proximus esse videtur gradus. {marg.</w:t>
            </w:r>
            <w:r>
              <w:t xml:space="preserve"> </w:t>
            </w:r>
            <w:r>
              <w:rPr>
                <w:iCs/>
                <w:i/>
              </w:rPr>
              <w:t xml:space="preserve">Quarta quæstio.</w:t>
            </w:r>
            <w:r>
              <w:t xml:space="preserve">}</w:t>
            </w:r>
          </w:p>
        </w:tc>
        <w:tc>
          <w:tcPr/>
          <w:p>
            <w:pPr>
              <w:pStyle w:val="Compact"/>
            </w:pPr>
          </w:p>
        </w:tc>
        <w:tc>
          <w:tcPr/>
          <w:p>
            <w:pPr>
              <w:pStyle w:val="Compact"/>
              <w:jc w:val="left"/>
            </w:pPr>
            <w:r>
              <w:t xml:space="preserve">ANd hence the next step now seems to us to be to the treatment of the last question. {marg.</w:t>
            </w:r>
            <w:r>
              <w:t xml:space="preserve"> </w:t>
            </w:r>
            <w:r>
              <w:rPr>
                <w:iCs/>
                <w:i/>
              </w:rPr>
              <w:t xml:space="preserve">The fourth question.</w:t>
            </w:r>
            <w:r>
              <w:t xml:space="preserve">}</w:t>
            </w:r>
          </w:p>
        </w:tc>
      </w:tr>
      <w:tr>
        <w:tc>
          <w:tcPr/>
          <w:p>
            <w:pPr>
              <w:pStyle w:val="Compact"/>
              <w:jc w:val="left"/>
            </w:pPr>
            <w:r>
              <w:rPr>
                <w:bCs/>
                <w:b/>
              </w:rPr>
              <w:t xml:space="preserve">C (ii) — the consent of peoples, and the twofold consideration of pastoral authority (printed 421–422)</w:t>
            </w:r>
          </w:p>
        </w:tc>
        <w:tc>
          <w:tcPr/>
          <w:p>
            <w:pPr>
              <w:pStyle w:val="Compact"/>
            </w:pPr>
          </w:p>
        </w:tc>
        <w:tc>
          <w:tcPr/>
          <w:p>
            <w:pPr>
              <w:pStyle w:val="Compact"/>
              <w:jc w:val="left"/>
            </w:pPr>
            <w:r>
              <w:rPr>
                <w:bCs/>
                <w:b/>
              </w:rPr>
              <w:t xml:space="preserve">C (ii) — the consent of peoples, and the twofold consideration of pastoral authority (printed 421–422)</w:t>
            </w:r>
          </w:p>
        </w:tc>
      </w:tr>
      <w:tr>
        <w:tc>
          <w:tcPr/>
          <w:p>
            <w:pPr>
              <w:pStyle w:val="Compact"/>
              <w:jc w:val="left"/>
            </w:pPr>
            <w:r>
              <w:t xml:space="preserve">Nam etsi reliqua auditorũ turba, suis vbiq̃ pastoribus consentiens permultum ad</w:t>
            </w:r>
          </w:p>
        </w:tc>
        <w:tc>
          <w:tcPr/>
          <w:p>
            <w:pPr>
              <w:pStyle w:val="Compact"/>
            </w:pPr>
          </w:p>
        </w:tc>
        <w:tc>
          <w:tcPr/>
          <w:p>
            <w:pPr>
              <w:pStyle w:val="Compact"/>
              <w:jc w:val="left"/>
            </w:pPr>
            <w:r>
              <w:t xml:space="preserve">For although the remaining multitude of hearers, everywhere consenting with their own pastors, brings very much of moment to the</w:t>
            </w:r>
          </w:p>
        </w:tc>
      </w:tr>
      <w:tr>
        <w:tc>
          <w:tcPr/>
          <w:p>
            <w:pPr>
              <w:pStyle w:val="Compact"/>
              <w:jc w:val="left"/>
            </w:pPr>
            <w:r>
              <w:t xml:space="preserve">authoritatis Ecclesiasticę grauitatem afferat momẽti; tamen quod populi adeo multi per omnes nationes longè latéque diffusi, similiter audiunt, consentienter approbant, conformiter exequuntur: id suorum pastorum debent concordiæ, quam in doctrina salutari institutisq̃ disciplinæ Christianæ tradendis, sedulò constantérque conseruant. Sed hæc rursum pastoralis authoritas atque in tradenda doctrina cõsensio, spectari dupliciter potest, semel in ipsa vniuersitate pastorum &amp; doctorum, qui per orbem Christianum, diuersis temporibus ac locis, doctrinæ laude floruerunt: suæq̃ fidei &amp; eruditionis aliqua posteris monumenta reliquerunt: Semel in congregatione cœtúque pastorum, tempore eodem, in locum vnum conuenientium: vel ad discutiendas errorum nebulas, quas noui homines non sine pernitie gregis offundunt: vel ad morum correctionem collapsæq̃ disciplinæ redintegrationem.</w:t>
            </w:r>
          </w:p>
        </w:tc>
        <w:tc>
          <w:tcPr/>
          <w:p>
            <w:pPr>
              <w:pStyle w:val="Compact"/>
            </w:pPr>
          </w:p>
        </w:tc>
        <w:tc>
          <w:tcPr/>
          <w:p>
            <w:pPr>
              <w:pStyle w:val="Compact"/>
              <w:jc w:val="left"/>
            </w:pPr>
            <w:r>
              <w:t xml:space="preserve">gravity of ecclesiastical authority, nevertheless that peoples so many, spread far and wide through all nations,</w:t>
            </w:r>
            <w:r>
              <w:t xml:space="preserve"> </w:t>
            </w:r>
            <w:r>
              <w:rPr>
                <w:bCs/>
                <w:b/>
              </w:rPr>
              <w:t xml:space="preserve">hear alike, approve with one consent, and carry out conformably — this they owe to the concord of their pastors</w:t>
            </w:r>
            <w:r>
              <w:t xml:space="preserve">, which they diligently and constantly preserve in the handing down of saving doctrine and of the institutes of Christian discipline. But this pastoral authority again, and this consent in handing down doctrine, can be regarded in two ways: once in the whole body itself of pastors and doctors who, throughout the Christian world, at diverse times and places, have flourished in the praise of doctrine and have left to posterity some monuments of their faith and erudition; once in the congregation and assembly of pastors coming together at one and the same time into one place, either for dispelling the mists of errors which new men spread abroad not without the ruin of the flock, or for the correction of morals and the restoration of collapsed discipline.</w:t>
            </w:r>
          </w:p>
        </w:tc>
      </w:tr>
      <w:tr>
        <w:tc>
          <w:tcPr/>
          <w:p>
            <w:pPr>
              <w:pStyle w:val="Compact"/>
              <w:jc w:val="left"/>
            </w:pPr>
            <w:r>
              <w:rPr>
                <w:bCs/>
                <w:b/>
              </w:rPr>
              <w:t xml:space="preserve">D. Liber VI — the supreme judicial authority of Peter’s successor; the Pelagian precedent and bad pastors; who are judges of doctrine (printed 453–455)</w:t>
            </w:r>
          </w:p>
        </w:tc>
        <w:tc>
          <w:tcPr/>
          <w:p>
            <w:pPr>
              <w:pStyle w:val="Compact"/>
            </w:pPr>
          </w:p>
        </w:tc>
        <w:tc>
          <w:tcPr/>
          <w:p>
            <w:pPr>
              <w:pStyle w:val="Compact"/>
              <w:jc w:val="left"/>
            </w:pPr>
            <w:r>
              <w:rPr>
                <w:bCs/>
                <w:b/>
              </w:rPr>
              <w:t xml:space="preserve">D. Book VI — the supreme judicial authority of Peter’s successor; the Pelagian precedent and bad pastors; who are judges of doctrine (printed 453–455)</w:t>
            </w:r>
          </w:p>
        </w:tc>
      </w:tr>
      <w:tr>
        <w:tc>
          <w:tcPr/>
          <w:p>
            <w:pPr>
              <w:pStyle w:val="Compact"/>
              <w:jc w:val="left"/>
            </w:pPr>
            <w:r>
              <w:rPr>
                <w:bCs/>
                <w:b/>
              </w:rPr>
              <w:t xml:space="preserve">D (i) — the supreme authority of judging (printed 453)</w:t>
            </w:r>
          </w:p>
        </w:tc>
        <w:tc>
          <w:tcPr/>
          <w:p>
            <w:pPr>
              <w:pStyle w:val="Compact"/>
            </w:pPr>
          </w:p>
        </w:tc>
        <w:tc>
          <w:tcPr/>
          <w:p>
            <w:pPr>
              <w:pStyle w:val="Compact"/>
              <w:jc w:val="left"/>
            </w:pPr>
            <w:r>
              <w:rPr>
                <w:bCs/>
                <w:b/>
              </w:rPr>
              <w:t xml:space="preserve">D (i) — the supreme authority of judging (printed 453)</w:t>
            </w:r>
          </w:p>
        </w:tc>
      </w:tr>
      <w:tr>
        <w:tc>
          <w:tcPr/>
          <w:p>
            <w:pPr>
              <w:pStyle w:val="Compact"/>
              <w:jc w:val="left"/>
            </w:pPr>
            <w:r>
              <w:t xml:space="preserve">[…] huc pertinent: vt intelligamus penes Petri successorem supremam quandam esse authoritatem iudicandi, de Christiani dogmatis qualibet omnino quæstione: vt siue de scripturæ veritate siue de intelligentia sit exorta contentio, præter scripturam ipsam, quæ nihil aliud quàm idoneum instrumẽtum essę potest ad quippiam probandum vel improbandum, iudex hic in terra quęrendus sit.</w:t>
            </w:r>
          </w:p>
        </w:tc>
        <w:tc>
          <w:tcPr/>
          <w:p>
            <w:pPr>
              <w:pStyle w:val="Compact"/>
            </w:pPr>
          </w:p>
        </w:tc>
        <w:tc>
          <w:tcPr/>
          <w:p>
            <w:pPr>
              <w:pStyle w:val="Compact"/>
              <w:jc w:val="left"/>
            </w:pPr>
            <w:r>
              <w:t xml:space="preserve">[…] pertain to this: that we may understand that there resides in the successor of Peter a certain supreme authority of judging concerning absolutely any question of Christian dogma: so that whether a contention has arisen concerning the truth of Scripture or concerning the understanding of it, besides Scripture itself — which can be nothing else than a fit instrument for proving or disproving something — a judge is to be sought here on earth.</w:t>
            </w:r>
          </w:p>
        </w:tc>
      </w:tr>
      <w:tr>
        <w:tc>
          <w:tcPr/>
          <w:p>
            <w:pPr>
              <w:pStyle w:val="Compact"/>
              <w:jc w:val="left"/>
            </w:pPr>
            <w:r>
              <w:rPr>
                <w:bCs/>
                <w:b/>
              </w:rPr>
              <w:t xml:space="preserve">D (ii) — the Pelagian precedent; bad pastors (printed 454)</w:t>
            </w:r>
          </w:p>
        </w:tc>
        <w:tc>
          <w:tcPr/>
          <w:p>
            <w:pPr>
              <w:pStyle w:val="Compact"/>
            </w:pPr>
          </w:p>
        </w:tc>
        <w:tc>
          <w:tcPr/>
          <w:p>
            <w:pPr>
              <w:pStyle w:val="Compact"/>
              <w:jc w:val="left"/>
            </w:pPr>
            <w:r>
              <w:rPr>
                <w:bCs/>
                <w:b/>
              </w:rPr>
              <w:t xml:space="preserve">D (ii) — the Pelagian precedent; bad pastors (printed 454)</w:t>
            </w:r>
          </w:p>
        </w:tc>
      </w:tr>
      <w:tr>
        <w:tc>
          <w:tcPr/>
          <w:p>
            <w:pPr>
              <w:pStyle w:val="Compact"/>
              <w:jc w:val="left"/>
            </w:pPr>
            <w:r>
              <w:t xml:space="preserve">{marg.</w:t>
            </w:r>
            <w:r>
              <w:t xml:space="preserve"> </w:t>
            </w:r>
            <w:r>
              <w:rPr>
                <w:iCs/>
                <w:i/>
              </w:rPr>
              <w:t xml:space="preserve">Vide Aug. li. 2. Retra. cap. 50. &amp; li. 4. ad Bonif. ca. vlt.</w:t>
            </w:r>
            <w:r>
              <w:t xml:space="preserve">}</w:t>
            </w:r>
          </w:p>
        </w:tc>
        <w:tc>
          <w:tcPr/>
          <w:p>
            <w:pPr>
              <w:pStyle w:val="Compact"/>
            </w:pPr>
          </w:p>
        </w:tc>
        <w:tc>
          <w:tcPr/>
          <w:p>
            <w:pPr>
              <w:pStyle w:val="Compact"/>
              <w:jc w:val="left"/>
            </w:pPr>
            <w:r>
              <w:t xml:space="preserve">{marg.</w:t>
            </w:r>
            <w:r>
              <w:t xml:space="preserve"> </w:t>
            </w:r>
            <w:r>
              <w:rPr>
                <w:iCs/>
                <w:i/>
              </w:rPr>
              <w:t xml:space="preserve">See Aug. li. 2. Retra. cap. 50. &amp; li. 4. ad Bonif. ca. vlt.</w:t>
            </w:r>
            <w:r>
              <w:t xml:space="preserve">}</w:t>
            </w:r>
          </w:p>
        </w:tc>
      </w:tr>
      <w:tr>
        <w:tc>
          <w:tcPr/>
          <w:p>
            <w:pPr>
              <w:pStyle w:val="Compact"/>
              <w:jc w:val="left"/>
            </w:pPr>
            <w:r>
              <w:t xml:space="preserve">[…] ctrinæ sint, aut pronunciare nequeat extra generale concilium, aut non ei tunc pronuncianti parendum sit. (Nam hæresin quidem Pelagianam cum suis authoribus ab Episcopis Ecclesiæ Romanæ, priùs Innocentio, deinde Zozimo, cooperãtibus conciliorũ Aphricanorum literis nullo generali propterea coacto concilio, constat essę conuictam atq̃ damnatã:) tamen grauissimam eius authoritatem esse, cùm adhibito Episcoporum plenario consilio, tractata res omnis &amp; constituta est, meritò persuasissimum semper fuit.</w:t>
            </w:r>
          </w:p>
        </w:tc>
        <w:tc>
          <w:tcPr/>
          <w:p>
            <w:pPr>
              <w:pStyle w:val="Compact"/>
            </w:pPr>
          </w:p>
        </w:tc>
        <w:tc>
          <w:tcPr/>
          <w:p>
            <w:pPr>
              <w:pStyle w:val="Compact"/>
              <w:jc w:val="left"/>
            </w:pPr>
            <w:r>
              <w:t xml:space="preserve">[…] are of doctrine, or that he cannot pronounce apart from a general council, or that he is not to be obeyed when he then pronounces. (For it is agreed that the Pelagian heresy indeed, together with its authors, was convicted and condemned by the Bishops of the Roman Church, first Innocent, then Zosimus, the letters of the African councils cooperating, no general council having been convened on that account:) nevertheless men have always been, and deservedly, most fully persuaded that his authority is of the gravest weight when, a plenary council of Bishops being employed, the whole matter has been treated and determined.</w:t>
            </w:r>
          </w:p>
        </w:tc>
      </w:tr>
      <w:tr>
        <w:tc>
          <w:tcPr/>
          <w:p>
            <w:pPr>
              <w:pStyle w:val="Compact"/>
              <w:jc w:val="left"/>
            </w:pPr>
            <w:r>
              <w:t xml:space="preserve">Mali enim sint licet aliqui, tamen tantisper dum salutari doctrina pascunt creditos sibi greges, pastores esse nõ desistunt.</w:t>
            </w:r>
          </w:p>
        </w:tc>
        <w:tc>
          <w:tcPr/>
          <w:p>
            <w:pPr>
              <w:pStyle w:val="Compact"/>
            </w:pPr>
          </w:p>
        </w:tc>
        <w:tc>
          <w:tcPr/>
          <w:p>
            <w:pPr>
              <w:pStyle w:val="Compact"/>
              <w:jc w:val="left"/>
            </w:pPr>
            <w:r>
              <w:t xml:space="preserve">For though some be evil, nevertheless so long as they feed with saving doctrine the flocks entrusted to them, they do not cease to be pastors.</w:t>
            </w:r>
          </w:p>
        </w:tc>
      </w:tr>
      <w:tr>
        <w:tc>
          <w:tcPr/>
          <w:p>
            <w:pPr>
              <w:pStyle w:val="Compact"/>
              <w:jc w:val="left"/>
            </w:pPr>
            <w:r>
              <w:rPr>
                <w:bCs/>
                <w:b/>
              </w:rPr>
              <w:t xml:space="preserve">D (iii) — not all are judges of doctrine (printed 455)</w:t>
            </w:r>
          </w:p>
        </w:tc>
        <w:tc>
          <w:tcPr/>
          <w:p>
            <w:pPr>
              <w:pStyle w:val="Compact"/>
            </w:pPr>
          </w:p>
        </w:tc>
        <w:tc>
          <w:tcPr/>
          <w:p>
            <w:pPr>
              <w:pStyle w:val="Compact"/>
              <w:jc w:val="left"/>
            </w:pPr>
            <w:r>
              <w:rPr>
                <w:bCs/>
                <w:b/>
              </w:rPr>
              <w:t xml:space="preserve">D (iii) — not all are judges of doctrine (printed 455)</w:t>
            </w:r>
          </w:p>
        </w:tc>
      </w:tr>
      <w:tr>
        <w:tc>
          <w:tcPr/>
          <w:p>
            <w:pPr>
              <w:pStyle w:val="Compact"/>
              <w:jc w:val="left"/>
            </w:pPr>
            <w:r>
              <w:t xml:space="preserve">Nam quod addunt,</w:t>
            </w:r>
            <w:r>
              <w:t xml:space="preserve"> </w:t>
            </w:r>
            <w:r>
              <w:rPr>
                <w:iCs/>
                <w:i/>
              </w:rPr>
              <w:t xml:space="preserve">iudicium de doctrina ad omnes spirituales Dei filios pertinere: ideoq̃, authoritatem Ecclesiæ ex ea quidem parte, non ad solos eius pastores reuocandam, neque in iis solis constituendam esse</w:t>
            </w:r>
            <w:r>
              <w:t xml:space="preserve">: in eo, hoc errore labuntur, quod iudicandi de doctrina munus atque officium, à pastoratu diuellunt: vt cùm fateri non audeant omnes spirituales Dei filios, esse Ecclesiæ pastores &amp; doctores; ne perturbent ordinem quem Apostolus insinuat, dicẽs; Nunquid omnes Doctores? {marg.</w:t>
            </w:r>
            <w:r>
              <w:t xml:space="preserve"> </w:t>
            </w:r>
            <w:r>
              <w:rPr>
                <w:iCs/>
                <w:i/>
              </w:rPr>
              <w:t xml:space="preserve">1. Cor. 12.</w:t>
            </w:r>
            <w:r>
              <w:t xml:space="preserve">} tamen omnibus spiritualibus iudicãdi authoritatem asscribant. Atqui eorum propriè est de doctrina iudicandi munus, quorum est doctrinã subditis sibi populis tradere docendóq̃ pascere: vt si nõ omnes sint pastores &amp; doctores, sequatur illud quoq̃, ex officio &amp; munere propriáq̃ functione nõ omnes esse de doctrina iudices.</w:t>
            </w:r>
          </w:p>
        </w:tc>
        <w:tc>
          <w:tcPr/>
          <w:p>
            <w:pPr>
              <w:pStyle w:val="Compact"/>
            </w:pPr>
          </w:p>
        </w:tc>
        <w:tc>
          <w:tcPr/>
          <w:p>
            <w:pPr>
              <w:pStyle w:val="Compact"/>
              <w:jc w:val="left"/>
            </w:pPr>
            <w:r>
              <w:t xml:space="preserve">For as to what they add,</w:t>
            </w:r>
            <w:r>
              <w:t xml:space="preserve"> </w:t>
            </w:r>
            <w:r>
              <w:rPr>
                <w:iCs/>
                <w:i/>
              </w:rPr>
              <w:t xml:space="preserve">that judgment concerning doctrine pertains to all the spiritual sons of God: and therefore that the authority of the Church, on that side at least, is not to be referred back to her pastors alone, nor to be established in them alone</w:t>
            </w:r>
            <w:r>
              <w:t xml:space="preserve">: in this they fall into this error, that they tear the charge and office of judging concerning doctrine away from the pastorate: so that, although they dare not confess that all the spiritual sons of God are pastors and doctors of the Church — lest they disturb the order which the Apostle intimates, saying, Are all doctors? {marg.</w:t>
            </w:r>
            <w:r>
              <w:t xml:space="preserve"> </w:t>
            </w:r>
            <w:r>
              <w:rPr>
                <w:iCs/>
                <w:i/>
              </w:rPr>
              <w:t xml:space="preserve">1. Cor. 12.</w:t>
            </w:r>
            <w:r>
              <w:t xml:space="preserve">} — they nevertheless ascribe to all the spiritual the authority of judging. But the charge of judging concerning doctrine belongs properly to those whose office it is to hand down doctrine to the peoples subject to them and to feed them by teaching: so that, if not all are pastors and doctors, this also follows, that by office and charge and their proper function not all are judges of doctrine.</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2026-08-30T18:13:27Z</dcterms:created>
  <dcterms:modified xsi:type="dcterms:W3CDTF">2026-08-30T18:13:27Z</dcterms:modified>
</cp:coreProperties>
</file>

<file path=docProps/custom.xml><?xml version="1.0" encoding="utf-8"?>
<Properties xmlns="http://schemas.openxmlformats.org/officeDocument/2006/custom-properties" xmlns:vt="http://schemas.openxmlformats.org/officeDocument/2006/docPropsVTypes"/>
</file>