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53cfb1af92a9629b02d6167cd18982b91e94e2"/>
    <w:p>
      <w:pPr>
        <w:pStyle w:val="Heading1"/>
      </w:pPr>
      <w:r>
        <w:t xml:space="preserve">Walenburch — Examen principiorum fidei, Controversia VII (1647)</w:t>
      </w:r>
    </w:p>
    <w:p>
      <w:pPr>
        <w:pStyle w:val="FirstParagraph"/>
      </w:pPr>
      <w:r>
        <w:rPr>
          <w:bCs/>
          <w:b/>
        </w:rPr>
        <w:t xml:space="preserve">Adrian and Peter van Walenburch — Latin–English parallel text, printed pp. 393, 412–413</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A. Controversia VII — opening (printed 393)</w:t>
            </w:r>
          </w:p>
        </w:tc>
        <w:tc>
          <w:tcPr/>
          <w:p>
            <w:pPr>
              <w:pStyle w:val="Compact"/>
            </w:pPr>
          </w:p>
        </w:tc>
        <w:tc>
          <w:tcPr/>
          <w:p>
            <w:pPr>
              <w:pStyle w:val="Compact"/>
              <w:jc w:val="left"/>
            </w:pPr>
            <w:r>
              <w:rPr>
                <w:bCs/>
                <w:b/>
              </w:rPr>
              <w:t xml:space="preserve">A. Controversy VII — opening (printed 393)</w:t>
            </w:r>
          </w:p>
        </w:tc>
      </w:tr>
      <w:tr>
        <w:tc>
          <w:tcPr/>
          <w:p>
            <w:pPr>
              <w:pStyle w:val="Compact"/>
              <w:jc w:val="left"/>
            </w:pPr>
            <w:r>
              <w:rPr>
                <w:bCs/>
                <w:b/>
              </w:rPr>
              <w:t xml:space="preserve">CONTROVERSIA VII.</w:t>
            </w:r>
          </w:p>
        </w:tc>
        <w:tc>
          <w:tcPr/>
          <w:p>
            <w:pPr>
              <w:pStyle w:val="Compact"/>
            </w:pPr>
          </w:p>
        </w:tc>
        <w:tc>
          <w:tcPr/>
          <w:p>
            <w:pPr>
              <w:pStyle w:val="Compact"/>
              <w:jc w:val="left"/>
            </w:pPr>
            <w:r>
              <w:rPr>
                <w:bCs/>
                <w:b/>
              </w:rPr>
              <w:t xml:space="preserve">CONTROVERSY VII.</w:t>
            </w:r>
          </w:p>
        </w:tc>
      </w:tr>
      <w:tr>
        <w:tc>
          <w:tcPr/>
          <w:p>
            <w:pPr>
              <w:pStyle w:val="Compact"/>
              <w:jc w:val="left"/>
            </w:pPr>
            <w:r>
              <w:rPr>
                <w:iCs/>
                <w:i/>
              </w:rPr>
              <w:t xml:space="preserve">De Successione Primatus S. Petri.</w:t>
            </w:r>
          </w:p>
        </w:tc>
        <w:tc>
          <w:tcPr/>
          <w:p>
            <w:pPr>
              <w:pStyle w:val="Compact"/>
            </w:pPr>
          </w:p>
        </w:tc>
        <w:tc>
          <w:tcPr/>
          <w:p>
            <w:pPr>
              <w:pStyle w:val="Compact"/>
              <w:jc w:val="left"/>
            </w:pPr>
            <w:r>
              <w:rPr>
                <w:iCs/>
                <w:i/>
              </w:rPr>
              <w:t xml:space="preserve">On the Succession of the Primacy of St. Peter.</w:t>
            </w:r>
          </w:p>
        </w:tc>
      </w:tr>
      <w:tr>
        <w:tc>
          <w:tcPr/>
          <w:p>
            <w:pPr>
              <w:pStyle w:val="Compact"/>
              <w:jc w:val="left"/>
            </w:pPr>
            <w:r>
              <w:rPr>
                <w:bCs/>
                <w:b/>
              </w:rPr>
              <w:t xml:space="preserve">I.</w:t>
            </w:r>
            <w:r>
              <w:t xml:space="preserve"> </w:t>
            </w:r>
            <w:r>
              <w:t xml:space="preserve">QVæritur.</w:t>
            </w:r>
            <w:r>
              <w:t xml:space="preserve"> </w:t>
            </w:r>
            <w:r>
              <w:rPr>
                <w:iCs/>
                <w:i/>
              </w:rPr>
              <w:t xml:space="preserve">An Primatus S. Petri transierit ad eius successorem?</w:t>
            </w:r>
            <w:r>
              <w:t xml:space="preserve"> </w:t>
            </w:r>
            <w:r>
              <w:t xml:space="preserve">siue an eius potestas à Christo fuerit data, vt per modum iurisdictionis ordinariæ perpetuò in Ecclesia remaneret. {marg. Status Quæstionis.}</w:t>
            </w:r>
          </w:p>
        </w:tc>
        <w:tc>
          <w:tcPr/>
          <w:p>
            <w:pPr>
              <w:pStyle w:val="Compact"/>
            </w:pPr>
          </w:p>
        </w:tc>
        <w:tc>
          <w:tcPr/>
          <w:p>
            <w:pPr>
              <w:pStyle w:val="Compact"/>
              <w:jc w:val="left"/>
            </w:pPr>
            <w:r>
              <w:rPr>
                <w:bCs/>
                <w:b/>
              </w:rPr>
              <w:t xml:space="preserve">I.</w:t>
            </w:r>
            <w:r>
              <w:t xml:space="preserve"> </w:t>
            </w:r>
            <w:r>
              <w:t xml:space="preserve">It is asked.</w:t>
            </w:r>
            <w:r>
              <w:t xml:space="preserve"> </w:t>
            </w:r>
            <w:r>
              <w:rPr>
                <w:iCs/>
                <w:i/>
              </w:rPr>
              <w:t xml:space="preserve">Whether the Primacy of St. Peter passed to his successor?</w:t>
            </w:r>
            <w:r>
              <w:t xml:space="preserve"> </w:t>
            </w:r>
            <w:r>
              <w:t xml:space="preserve">— that is, whether his power was given by Christ so as to remain perpetually in the Church by way of ordinary jurisdiction. {marg. The state of the question.}</w:t>
            </w:r>
          </w:p>
        </w:tc>
      </w:tr>
      <w:tr>
        <w:tc>
          <w:tcPr/>
          <w:p>
            <w:pPr>
              <w:pStyle w:val="Compact"/>
              <w:jc w:val="left"/>
            </w:pPr>
            <w:r>
              <w:rPr>
                <w:bCs/>
                <w:b/>
              </w:rPr>
              <w:t xml:space="preserve">B. Controversia VII — nn. XLVII–L (printed 411–413)</w:t>
            </w:r>
          </w:p>
        </w:tc>
        <w:tc>
          <w:tcPr/>
          <w:p>
            <w:pPr>
              <w:pStyle w:val="Compact"/>
            </w:pPr>
          </w:p>
        </w:tc>
        <w:tc>
          <w:tcPr/>
          <w:p>
            <w:pPr>
              <w:pStyle w:val="Compact"/>
              <w:jc w:val="left"/>
            </w:pPr>
            <w:r>
              <w:rPr>
                <w:bCs/>
                <w:b/>
              </w:rPr>
              <w:t xml:space="preserve">B. Controversy VII — nn. XLVII–L (printed 411–413)</w:t>
            </w:r>
          </w:p>
        </w:tc>
      </w:tr>
      <w:tr>
        <w:tc>
          <w:tcPr/>
          <w:p>
            <w:pPr>
              <w:pStyle w:val="Compact"/>
              <w:jc w:val="left"/>
            </w:pPr>
            <w:r>
              <w:rPr>
                <w:iCs/>
                <w:i/>
              </w:rPr>
              <w:t xml:space="preserve">Section XLVII begins on printed p. 412 (image v-21). Printed p. 411 (v-20) carries the end of XLIII and sections XLIV–XLVI; XLVI runs over onto the top of 412, where it ends with the words</w:t>
            </w:r>
            <w:r>
              <w:t xml:space="preserve"> </w:t>
            </w:r>
            <w:r>
              <w:t xml:space="preserve">fidei petram</w:t>
            </w:r>
            <w:r>
              <w:t xml:space="preserve"> </w:t>
            </w:r>
            <w:r>
              <w:rPr>
                <w:iCs/>
                <w:i/>
              </w:rPr>
              <w:t xml:space="preserve">immediately before XLVII.</w:t>
            </w:r>
          </w:p>
        </w:tc>
        <w:tc>
          <w:tcPr/>
          <w:p>
            <w:pPr>
              <w:pStyle w:val="Compact"/>
            </w:pPr>
          </w:p>
        </w:tc>
        <w:tc>
          <w:tcPr/>
          <w:p>
            <w:pPr>
              <w:pStyle w:val="Compact"/>
              <w:jc w:val="left"/>
            </w:pPr>
            <w:r>
              <w:rPr>
                <w:iCs/>
                <w:i/>
              </w:rPr>
              <w:t xml:space="preserve">Section XLVII begins on printed p. 412 (image v-21). Printed p. 411 (v-20) carries the end of XLIII and sections XLIV–XLVI; XLVI runs over onto the top of 412, where it ends with the words</w:t>
            </w:r>
            <w:r>
              <w:t xml:space="preserve"> </w:t>
            </w:r>
            <w:r>
              <w:t xml:space="preserve">fidei petram [the rock of the faith]</w:t>
            </w:r>
            <w:r>
              <w:t xml:space="preserve"> </w:t>
            </w:r>
            <w:r>
              <w:rPr>
                <w:iCs/>
                <w:i/>
              </w:rPr>
              <w:t xml:space="preserve">immediately before XLVII.</w:t>
            </w:r>
          </w:p>
        </w:tc>
      </w:tr>
      <w:tr>
        <w:tc>
          <w:tcPr/>
          <w:p>
            <w:pPr>
              <w:pStyle w:val="Compact"/>
              <w:jc w:val="left"/>
            </w:pPr>
            <w:r>
              <w:rPr>
                <w:bCs/>
                <w:b/>
              </w:rPr>
              <w:t xml:space="preserve">XLVII.</w:t>
            </w:r>
            <w:r>
              <w:t xml:space="preserve"> </w:t>
            </w:r>
            <w:r>
              <w:t xml:space="preserve">Concilium 5. Generale Constant. [a] {marg.</w:t>
            </w:r>
            <w:r>
              <w:t xml:space="preserve"> </w:t>
            </w:r>
            <w:r>
              <w:rPr>
                <w:iCs/>
                <w:i/>
              </w:rPr>
              <w:t xml:space="preserve">a Tom.1. Conc. part.1.pag. 534.can.3.</w:t>
            </w:r>
            <w:r>
              <w:t xml:space="preserve">},</w:t>
            </w:r>
            <w:r>
              <w:t xml:space="preserve"> </w:t>
            </w:r>
            <w:r>
              <w:rPr>
                <w:iCs/>
                <w:i/>
              </w:rPr>
              <w:t xml:space="preserve">Constantinopolitanæ ciuitatis Episcopum habere oportet primatus honorem, post Romanum Episcopum, proptereà quod sit noua Roma.</w:t>
            </w:r>
            <w:r>
              <w:t xml:space="preserve"> </w:t>
            </w:r>
            <w:r>
              <w:t xml:space="preserve">Vide Conc.Sardicense.</w:t>
            </w:r>
            <w:r>
              <w:t xml:space="preserve"> </w:t>
            </w:r>
            <w:r>
              <w:rPr>
                <w:iCs/>
                <w:i/>
              </w:rPr>
              <w:t xml:space="preserve">Can. 3. &amp; 4.to. 1.conc. .part.1.pag.425.</w:t>
            </w:r>
            <w:r>
              <w:t xml:space="preserve"> </w:t>
            </w:r>
            <w:r>
              <w:t xml:space="preserve">E.F.</w:t>
            </w:r>
          </w:p>
        </w:tc>
        <w:tc>
          <w:tcPr/>
          <w:p>
            <w:pPr>
              <w:pStyle w:val="Compact"/>
            </w:pPr>
          </w:p>
        </w:tc>
        <w:tc>
          <w:tcPr/>
          <w:p>
            <w:pPr>
              <w:pStyle w:val="Compact"/>
              <w:jc w:val="left"/>
            </w:pPr>
            <w:r>
              <w:rPr>
                <w:bCs/>
                <w:b/>
              </w:rPr>
              <w:t xml:space="preserve">XLVII.</w:t>
            </w:r>
            <w:r>
              <w:t xml:space="preserve"> </w:t>
            </w:r>
            <w:r>
              <w:t xml:space="preserve">The Fifth General Council, of Constantinople [a] {marg.</w:t>
            </w:r>
            <w:r>
              <w:t xml:space="preserve"> </w:t>
            </w:r>
            <w:r>
              <w:rPr>
                <w:iCs/>
                <w:i/>
              </w:rPr>
              <w:t xml:space="preserve">a Tom.1. Conc. part.1.pag. 534.can.3.</w:t>
            </w:r>
            <w:r>
              <w:t xml:space="preserve">},</w:t>
            </w:r>
            <w:r>
              <w:t xml:space="preserve"> </w:t>
            </w:r>
            <w:r>
              <w:rPr>
                <w:iCs/>
                <w:i/>
              </w:rPr>
              <w:t xml:space="preserve">The Bishop of the city of Constantinople ought to have the honour of the primacy, after the Bishop of Rome, for the reason that it is New Rome.</w:t>
            </w:r>
            <w:r>
              <w:t xml:space="preserve"> </w:t>
            </w:r>
            <w:r>
              <w:t xml:space="preserve">See the Council of Sardica.</w:t>
            </w:r>
            <w:r>
              <w:t xml:space="preserve"> </w:t>
            </w:r>
            <w:r>
              <w:rPr>
                <w:iCs/>
                <w:i/>
              </w:rPr>
              <w:t xml:space="preserve">Can. 3. &amp; 4.to. 1.conc. .part.1.pag.425.</w:t>
            </w:r>
            <w:r>
              <w:t xml:space="preserve"> </w:t>
            </w:r>
            <w:r>
              <w:t xml:space="preserve">E.F.</w:t>
            </w:r>
          </w:p>
        </w:tc>
      </w:tr>
      <w:tr>
        <w:tc>
          <w:tcPr/>
          <w:p>
            <w:pPr>
              <w:pStyle w:val="Compact"/>
              <w:jc w:val="left"/>
            </w:pPr>
            <w:r>
              <w:rPr>
                <w:bCs/>
                <w:b/>
              </w:rPr>
              <w:t xml:space="preserve">XLVIII.</w:t>
            </w:r>
            <w:r>
              <w:t xml:space="preserve"> </w:t>
            </w:r>
            <w:r>
              <w:t xml:space="preserve">Si quis porrò calumnietur contrà Cathedram Apostolicam, eamque vocet cathedram pestilentiæ, reprehensibilis est cum hęreticis, cōtrà quos scripsit S.August.</w:t>
            </w:r>
            <w:r>
              <w:t xml:space="preserve"> </w:t>
            </w:r>
            <w:r>
              <w:rPr>
                <w:iCs/>
                <w:i/>
              </w:rPr>
              <w:t xml:space="preserve">contr. litter.Petil. lib.2.cap.51.pag.108.</w:t>
            </w:r>
            <w:r>
              <w:t xml:space="preserve"> </w:t>
            </w:r>
            <w:r>
              <w:t xml:space="preserve">B.C.</w:t>
            </w:r>
          </w:p>
        </w:tc>
        <w:tc>
          <w:tcPr/>
          <w:p>
            <w:pPr>
              <w:pStyle w:val="Compact"/>
            </w:pPr>
          </w:p>
        </w:tc>
        <w:tc>
          <w:tcPr/>
          <w:p>
            <w:pPr>
              <w:pStyle w:val="Compact"/>
              <w:jc w:val="left"/>
            </w:pPr>
            <w:r>
              <w:rPr>
                <w:bCs/>
                <w:b/>
              </w:rPr>
              <w:t xml:space="preserve">XLVIII.</w:t>
            </w:r>
            <w:r>
              <w:t xml:space="preserve"> </w:t>
            </w:r>
            <w:r>
              <w:t xml:space="preserve">If, further, anyone should slander the Apostolic Chair, and call it a chair of pestilence, he is blameworthy together with the heretics, against whom St. Augustine wrote</w:t>
            </w:r>
            <w:r>
              <w:t xml:space="preserve"> </w:t>
            </w:r>
            <w:r>
              <w:rPr>
                <w:iCs/>
                <w:i/>
              </w:rPr>
              <w:t xml:space="preserve">contr. litter.Petil. lib.2.cap.51.pag.108.</w:t>
            </w:r>
            <w:r>
              <w:t xml:space="preserve"> </w:t>
            </w:r>
            <w:r>
              <w:t xml:space="preserve">B.C.</w:t>
            </w:r>
          </w:p>
        </w:tc>
      </w:tr>
      <w:tr>
        <w:tc>
          <w:tcPr/>
          <w:p>
            <w:pPr>
              <w:pStyle w:val="Compact"/>
              <w:jc w:val="left"/>
            </w:pPr>
            <w:r>
              <w:rPr>
                <w:bCs/>
                <w:b/>
              </w:rPr>
              <w:t xml:space="preserve">NOTATIO.</w:t>
            </w:r>
          </w:p>
        </w:tc>
        <w:tc>
          <w:tcPr/>
          <w:p>
            <w:pPr>
              <w:pStyle w:val="Compact"/>
            </w:pPr>
          </w:p>
        </w:tc>
        <w:tc>
          <w:tcPr/>
          <w:p>
            <w:pPr>
              <w:pStyle w:val="Compact"/>
              <w:jc w:val="left"/>
            </w:pPr>
            <w:r>
              <w:rPr>
                <w:bCs/>
                <w:b/>
              </w:rPr>
              <w:t xml:space="preserve">NOTE.</w:t>
            </w:r>
          </w:p>
        </w:tc>
      </w:tr>
      <w:tr>
        <w:tc>
          <w:tcPr/>
          <w:p>
            <w:pPr>
              <w:pStyle w:val="Compact"/>
              <w:jc w:val="left"/>
            </w:pPr>
            <w:r>
              <w:rPr>
                <w:bCs/>
                <w:b/>
              </w:rPr>
              <w:t xml:space="preserve">XLIX.</w:t>
            </w:r>
            <w:r>
              <w:t xml:space="preserve"> </w:t>
            </w:r>
            <w:r>
              <w:t xml:space="preserve">In electione Pontificis obseruandum est, designationem personæ, quæ statuitur vt succedat prædecessori, non à Christo determinatam, sed Ecclesiæ relictam. &amp; ideò nunc hunc, nunc illum modum in Ecclesia obseruatum. Collationem autem potestatis esse à Christo, qui vnâ voluntate concessit eam Petro, &amp; omnibus eius legitimis successoribus, hoc est legitimè designatis: quâ positâ voluntate, necessitate quâdam hypotheticâ, communicatur dignitas ritè electo. atque ita collatio potestatis S. Petro factæ perseuerat, sicut eius dignitas perseuerat moraliter eadem, licet in diuersis succedentibus personis. [b] {marg. b Suar.</w:t>
            </w:r>
            <w:r>
              <w:t xml:space="preserve"> </w:t>
            </w:r>
            <w:r>
              <w:rPr>
                <w:iCs/>
                <w:i/>
              </w:rPr>
              <w:t xml:space="preserve">de tripl. virt. Theol. disp. 10. sect.4.n.3.</w:t>
            </w:r>
            <w:r>
              <w:t xml:space="preserve">} &amp; confirmatur ex</w:t>
            </w:r>
            <w:r>
              <w:t xml:space="preserve"> </w:t>
            </w:r>
            <w:r>
              <w:rPr>
                <w:iCs/>
                <w:i/>
              </w:rPr>
              <w:t xml:space="preserve">L. meminisse. 10. D. de offic. proconsul.leg.</w:t>
            </w:r>
            <w:r>
              <w:t xml:space="preserve"> </w:t>
            </w:r>
            <w:r>
              <w:t xml:space="preserve">vbi dicitur vnum esse proconsulatum, licet successiuè plures sint proconsules: ita enim &amp; vnus primatus S.Petro datus est, qui manet vnus,</w:t>
            </w:r>
          </w:p>
        </w:tc>
        <w:tc>
          <w:tcPr/>
          <w:p>
            <w:pPr>
              <w:pStyle w:val="Compact"/>
            </w:pPr>
          </w:p>
        </w:tc>
        <w:tc>
          <w:tcPr/>
          <w:p>
            <w:pPr>
              <w:pStyle w:val="Compact"/>
              <w:jc w:val="left"/>
            </w:pPr>
            <w:r>
              <w:rPr>
                <w:bCs/>
                <w:b/>
              </w:rPr>
              <w:t xml:space="preserve">XLIX.</w:t>
            </w:r>
            <w:r>
              <w:t xml:space="preserve"> </w:t>
            </w:r>
            <w:r>
              <w:t xml:space="preserve">In the election of the Pontiff it is to be observed, that the designation of the person who is appointed to succeed the predecessor is not determined by Christ, but left to the Church; and that therefore now this, now that mode has been observed in the Church. But that the collation of the power is from Christ, who by one act of will granted it to Peter and to all his legitimate successors, that is, to those legitimately designated: which will being posited, by a certain hypothetical necessity the dignity is communicated to the one duly elected. And thus the collation of power made to St. Peter perseveres, just as his dignity perseveres morally the same, though in different succeeding persons. [b] {marg. b Suar.</w:t>
            </w:r>
            <w:r>
              <w:t xml:space="preserve"> </w:t>
            </w:r>
            <w:r>
              <w:rPr>
                <w:iCs/>
                <w:i/>
              </w:rPr>
              <w:t xml:space="preserve">de tripl. virt. Theol. disp. 10. sect.4.n.3.</w:t>
            </w:r>
            <w:r>
              <w:t xml:space="preserve">} And it is confirmed from</w:t>
            </w:r>
            <w:r>
              <w:t xml:space="preserve"> </w:t>
            </w:r>
            <w:r>
              <w:rPr>
                <w:iCs/>
                <w:i/>
              </w:rPr>
              <w:t xml:space="preserve">L. meminisse. 10. D. de offic. proconsul.leg.</w:t>
            </w:r>
            <w:r>
              <w:t xml:space="preserve">, where it is said that there is one proconsulate, though successively there be many proconsuls: for so also one primacy was given to St. Peter, which remains one, though</w:t>
            </w:r>
          </w:p>
        </w:tc>
      </w:tr>
      <w:tr>
        <w:tc>
          <w:tcPr/>
          <w:p>
            <w:pPr>
              <w:pStyle w:val="Compact"/>
              <w:jc w:val="left"/>
            </w:pPr>
            <w:r>
              <w:t xml:space="preserve">licet successiuè plures primatum teneant. Vide</w:t>
            </w:r>
            <w:r>
              <w:t xml:space="preserve"> </w:t>
            </w:r>
            <w:r>
              <w:rPr>
                <w:iCs/>
                <w:i/>
              </w:rPr>
              <w:t xml:space="preserve">L. Proponebatur.76.ff.de iudicijs.</w:t>
            </w:r>
          </w:p>
        </w:tc>
        <w:tc>
          <w:tcPr/>
          <w:p>
            <w:pPr>
              <w:pStyle w:val="Compact"/>
            </w:pPr>
          </w:p>
        </w:tc>
        <w:tc>
          <w:tcPr/>
          <w:p>
            <w:pPr>
              <w:pStyle w:val="Compact"/>
              <w:jc w:val="left"/>
            </w:pPr>
            <w:r>
              <w:t xml:space="preserve">successively many hold the primacy. See</w:t>
            </w:r>
            <w:r>
              <w:t xml:space="preserve"> </w:t>
            </w:r>
            <w:r>
              <w:rPr>
                <w:iCs/>
                <w:i/>
              </w:rPr>
              <w:t xml:space="preserve">L. Proponebatur.76.ff.de iudicijs.</w:t>
            </w:r>
          </w:p>
        </w:tc>
      </w:tr>
      <w:tr>
        <w:tc>
          <w:tcPr/>
          <w:p>
            <w:pPr>
              <w:pStyle w:val="Compact"/>
              <w:jc w:val="left"/>
            </w:pPr>
            <w:r>
              <w:rPr>
                <w:bCs/>
                <w:b/>
              </w:rPr>
              <w:t xml:space="preserve">L.</w:t>
            </w:r>
            <w:r>
              <w:t xml:space="preserve"> </w:t>
            </w:r>
            <w:r>
              <w:t xml:space="preserve">Deindè nos fide credimus hunc hominem Innocentium X. esse verum Pontificem: Christus enim reuelauit immediatè S. Petrum eiusque successores esse verè Pontifices. Proponitur autem nobis sufficienter hæc veritas reuelata: Innocentium X. esse verum Pontificem, quando moraliter constat eum esse acceptatum à totâ Ecclesiâ, &amp; pacificè possidere suum primatum: nec enim potest errare Ecclesia vniuersalis in re tam graui. re autem per Ecclesiam propositâ, non est in hoc maior difficultas, quam cum Ecclesia proponit hos libros esse Canonicos. Verùm si quis velit sustinere non esse id fide credendum; sed sufficere moralem certitudinem: non sumus contentiosi. vide Iansenij</w:t>
            </w:r>
            <w:r>
              <w:t xml:space="preserve"> </w:t>
            </w:r>
            <w:r>
              <w:rPr>
                <w:iCs/>
                <w:i/>
              </w:rPr>
              <w:t xml:space="preserve">Spongiam.cap.44.pag.169.</w:t>
            </w:r>
          </w:p>
        </w:tc>
        <w:tc>
          <w:tcPr/>
          <w:p>
            <w:pPr>
              <w:pStyle w:val="Compact"/>
            </w:pPr>
          </w:p>
        </w:tc>
        <w:tc>
          <w:tcPr/>
          <w:p>
            <w:pPr>
              <w:pStyle w:val="Compact"/>
              <w:jc w:val="left"/>
            </w:pPr>
            <w:r>
              <w:rPr>
                <w:bCs/>
                <w:b/>
              </w:rPr>
              <w:t xml:space="preserve">L.</w:t>
            </w:r>
            <w:r>
              <w:t xml:space="preserve"> </w:t>
            </w:r>
            <w:r>
              <w:t xml:space="preserve">Next, we believe by faith that this man, Innocent X, is the true Pontiff: for Christ revealed immediately that St. Peter and his successors are truly Pontiffs. And this revealed truth — that Innocent X is the true Pontiff — is sufficiently proposed to us when it is morally established that he has been accepted by the whole Church, and peacefully possesses his primacy: for the universal Church cannot err in a matter so grave. But concerning a matter proposed by the Church [the print reads simply</w:t>
            </w:r>
            <w:r>
              <w:t xml:space="preserve"> </w:t>
            </w:r>
            <w:r>
              <w:rPr>
                <w:iCs/>
                <w:i/>
              </w:rPr>
              <w:t xml:space="preserve">re</w:t>
            </w:r>
            <w:r>
              <w:t xml:space="preserve">; see sic-note 18], there is in this no greater difficulty than when the Church proposes that these books are Canonical. But if anyone should wish to maintain that this is not to be believed by faith, but that moral certitude suffices: we are not contentious. See Jansenius’s</w:t>
            </w:r>
            <w:r>
              <w:t xml:space="preserve"> </w:t>
            </w:r>
            <w:r>
              <w:rPr>
                <w:iCs/>
                <w:i/>
              </w:rPr>
              <w:t xml:space="preserve">Spongiam.cap.44.pag.169.</w:t>
            </w:r>
          </w:p>
        </w:tc>
      </w:tr>
      <w:tr>
        <w:tc>
          <w:tcPr/>
          <w:p>
            <w:pPr>
              <w:pStyle w:val="Compact"/>
              <w:jc w:val="left"/>
            </w:pPr>
            <w:r>
              <w:rPr>
                <w:iCs/>
                <w:i/>
              </w:rPr>
              <w:t xml:space="preserve">(Section L ends here; the next line on printed p. 413 is the display heading</w:t>
            </w:r>
            <w:r>
              <w:t xml:space="preserve"> </w:t>
            </w:r>
            <w:r>
              <w:t xml:space="preserve">CONTROVERSIA VIII.</w:t>
            </w:r>
            <w:r>
              <w:rPr>
                <w:iCs/>
                <w:i/>
              </w:rPr>
              <w:t xml:space="preserve">, not transcribed.)</w:t>
            </w:r>
          </w:p>
        </w:tc>
        <w:tc>
          <w:tcPr/>
          <w:p>
            <w:pPr>
              <w:pStyle w:val="Compact"/>
            </w:pPr>
          </w:p>
        </w:tc>
        <w:tc>
          <w:tcPr/>
          <w:p>
            <w:pPr>
              <w:pStyle w:val="Compact"/>
              <w:jc w:val="left"/>
            </w:pPr>
            <w:r>
              <w:rPr>
                <w:iCs/>
                <w:i/>
              </w:rPr>
              <w:t xml:space="preserve">(Section L ends here; the next line on printed p. 413 is the display heading</w:t>
            </w:r>
            <w:r>
              <w:t xml:space="preserve"> </w:t>
            </w:r>
            <w:r>
              <w:t xml:space="preserve">CONTROVERSIA VIII.</w:t>
            </w:r>
            <w:r>
              <w:rPr>
                <w:iCs/>
                <w:i/>
              </w:rPr>
              <w:t xml:space="preserve">, not transcribed.)</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2026-08-30T02:05:40Z</dcterms:created>
  <dcterms:modified xsi:type="dcterms:W3CDTF">2026-08-30T02:05:40Z</dcterms:modified>
</cp:coreProperties>
</file>

<file path=docProps/custom.xml><?xml version="1.0" encoding="utf-8"?>
<Properties xmlns="http://schemas.openxmlformats.org/officeDocument/2006/custom-properties" xmlns:vt="http://schemas.openxmlformats.org/officeDocument/2006/docPropsVTypes"/>
</file>