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4B3E7" w14:textId="77777777" w:rsidR="00BA2F98" w:rsidRDefault="00E5603A">
      <w:pPr>
        <w:pStyle w:val="Heading1"/>
      </w:pPr>
      <w:bookmarkStart w:id="0" w:name="Xdd8bd9c5b090edda08386c36832504ab139ab25"/>
      <w:r>
        <w:t>De Ecclesia Catholica Praelectiones Apologeticae (</w:t>
      </w:r>
      <w:r>
        <w:rPr>
          <w:i/>
          <w:iCs/>
        </w:rPr>
        <w:t>Apologetic Lectures on the Catholic Church</w:t>
      </w:r>
      <w:r>
        <w:t>)</w:t>
      </w:r>
    </w:p>
    <w:p w14:paraId="7484B3E8" w14:textId="77777777" w:rsidR="00BA2F98" w:rsidRDefault="00E5603A">
      <w:pPr>
        <w:pStyle w:val="FirstParagraph"/>
      </w:pPr>
      <w:r>
        <w:rPr>
          <w:b/>
          <w:bCs/>
        </w:rPr>
        <w:t>by Reginaldus M. Schultes, O.P. (Reginald M. Schultes, O.P.), 1925</w:t>
      </w:r>
    </w:p>
    <w:p w14:paraId="7484B3E9" w14:textId="77777777" w:rsidR="00BA2F98" w:rsidRDefault="00E5603A">
      <w:pPr>
        <w:pStyle w:val="BodyText"/>
      </w:pPr>
      <w:hyperlink r:id="rId7">
        <w:r>
          <w:rPr>
            <w:rStyle w:val="Hyperlink"/>
          </w:rPr>
          <w:t>Online Location of Text Here</w:t>
        </w:r>
      </w:hyperlink>
    </w:p>
    <w:p w14:paraId="7484B3EA" w14:textId="77777777" w:rsidR="00BA2F98" w:rsidRDefault="00E5603A">
      <w:pPr>
        <w:pStyle w:val="BodyText"/>
      </w:pPr>
      <w:r>
        <w:t>- </w:t>
      </w:r>
      <w:r>
        <w:rPr>
          <w:i/>
          <w:iCs/>
        </w:rPr>
        <w:t>OCR of the original text by AI (claude-sonnet-4-5-20250929).</w:t>
      </w:r>
    </w:p>
    <w:p w14:paraId="7484B3EB" w14:textId="77777777" w:rsidR="00BA2F98" w:rsidRDefault="00E5603A">
      <w:pPr>
        <w:pStyle w:val="BodyText"/>
      </w:pPr>
      <w:r>
        <w:t>- </w:t>
      </w:r>
      <w:r>
        <w:rPr>
          <w:i/>
          <w:iCs/>
        </w:rPr>
        <w:t>Translation of the original text performed by AI (claude-sonnet-4-5-20250929).</w:t>
      </w:r>
    </w:p>
    <w:p w14:paraId="7484B3EC" w14:textId="77777777" w:rsidR="00BA2F98" w:rsidRDefault="00E5603A">
      <w:pPr>
        <w:pStyle w:val="BodyText"/>
      </w:pPr>
      <w:r>
        <w:t>- </w:t>
      </w:r>
      <w:r>
        <w:rPr>
          <w:i/>
          <w:iCs/>
        </w:rPr>
        <w:t>Last Edit: November 20, 2025.</w:t>
      </w:r>
    </w:p>
    <w:p w14:paraId="7484B3ED" w14:textId="77777777" w:rsidR="00BA2F98" w:rsidRDefault="00E5603A">
      <w:pPr>
        <w:pStyle w:val="BodyText"/>
      </w:pPr>
      <w:r>
        <w:t>- </w:t>
      </w:r>
      <w:r>
        <w:rPr>
          <w:i/>
          <w:iCs/>
        </w:rPr>
        <w:t>Version: 1.0</w:t>
      </w:r>
    </w:p>
    <w:p w14:paraId="7484B3EE" w14:textId="77777777" w:rsidR="00BA2F98" w:rsidRDefault="00E5603A">
      <w:pPr>
        <w:pStyle w:val="BodyText"/>
      </w:pPr>
      <w:r>
        <w:t>- </w:t>
      </w:r>
      <w:r>
        <w:rPr>
          <w:i/>
          <w:iCs/>
        </w:rPr>
        <w:t>Selection pages: 313–317</w:t>
      </w:r>
    </w:p>
    <w:p w14:paraId="7484B3EF" w14:textId="77777777" w:rsidR="00BA2F98" w:rsidRPr="00E5603A" w:rsidRDefault="00E5603A">
      <w:pPr>
        <w:pStyle w:val="Heading2"/>
        <w:rPr>
          <w:rFonts w:ascii="Times New Roman" w:hAnsi="Times New Roman" w:cs="Times New Roman"/>
        </w:rPr>
      </w:pPr>
      <w:bookmarkStart w:id="1" w:name="article-thirty-five"/>
      <w:r w:rsidRPr="00E5603A">
        <w:rPr>
          <w:rFonts w:ascii="Times New Roman" w:hAnsi="Times New Roman" w:cs="Times New Roman"/>
        </w:rPr>
        <w:t>ARTICLE THIRTY-FIVE</w:t>
      </w:r>
    </w:p>
    <w:p w14:paraId="7484B3F0" w14:textId="77777777" w:rsidR="00BA2F98" w:rsidRPr="00E5603A" w:rsidRDefault="00E5603A">
      <w:pPr>
        <w:pStyle w:val="Heading3"/>
        <w:rPr>
          <w:rFonts w:ascii="Times New Roman" w:hAnsi="Times New Roman" w:cs="Times New Roman"/>
        </w:rPr>
      </w:pPr>
      <w:bookmarkStart w:id="2" w:name="X5dc18bc601c8a486fe44094ecb5dc8f1985ef49"/>
      <w:r w:rsidRPr="00E5603A">
        <w:rPr>
          <w:rFonts w:ascii="Times New Roman" w:hAnsi="Times New Roman" w:cs="Times New Roman"/>
        </w:rPr>
        <w:t>On the Infallibility of the Church Concerning Dogmatic Facts</w:t>
      </w:r>
    </w:p>
    <w:p w14:paraId="7484B3F1" w14:textId="77777777" w:rsidR="00BA2F98" w:rsidRPr="00E5603A" w:rsidRDefault="00E5603A">
      <w:pPr>
        <w:pStyle w:val="FirstParagraph"/>
        <w:rPr>
          <w:rFonts w:ascii="Times New Roman" w:hAnsi="Times New Roman" w:cs="Times New Roman"/>
        </w:rPr>
      </w:pPr>
      <w:r w:rsidRPr="00E5603A">
        <w:rPr>
          <w:rFonts w:ascii="Times New Roman" w:hAnsi="Times New Roman" w:cs="Times New Roman"/>
          <w:b/>
          <w:bCs/>
        </w:rPr>
        <w:t xml:space="preserve">I. On the notion of dogmatic </w:t>
      </w:r>
      <w:proofErr w:type="gramStart"/>
      <w:r w:rsidRPr="00E5603A">
        <w:rPr>
          <w:rFonts w:ascii="Times New Roman" w:hAnsi="Times New Roman" w:cs="Times New Roman"/>
          <w:b/>
          <w:bCs/>
        </w:rPr>
        <w:t>fact</w:t>
      </w:r>
      <w:proofErr w:type="gramEnd"/>
      <w:r w:rsidRPr="00E5603A">
        <w:rPr>
          <w:rFonts w:ascii="Times New Roman" w:hAnsi="Times New Roman" w:cs="Times New Roman"/>
          <w:b/>
          <w:bCs/>
        </w:rPr>
        <w:t>.</w:t>
      </w:r>
      <w:r w:rsidRPr="00E5603A">
        <w:rPr>
          <w:rFonts w:ascii="Times New Roman" w:hAnsi="Times New Roman" w:cs="Times New Roman"/>
        </w:rPr>
        <w:t xml:space="preserve"> — </w:t>
      </w:r>
      <w:r w:rsidRPr="00E5603A">
        <w:rPr>
          <w:rFonts w:ascii="Times New Roman" w:hAnsi="Times New Roman" w:cs="Times New Roman"/>
          <w:b/>
          <w:bCs/>
        </w:rPr>
        <w:t>1.</w:t>
      </w:r>
      <w:r w:rsidRPr="00E5603A">
        <w:rPr>
          <w:rFonts w:ascii="Times New Roman" w:hAnsi="Times New Roman" w:cs="Times New Roman"/>
        </w:rPr>
        <w:t xml:space="preserve"> A dogmatic fact is said to be a fact which, although not contained in the sources of revelation, is nevertheless so connected with revealed doctrine that knowledge of that fact is necessary for teaching a dogma and for safely preserving it (Mazzella).</w:t>
      </w:r>
    </w:p>
    <w:p w14:paraId="7484B3F2" w14:textId="77777777" w:rsidR="00BA2F98" w:rsidRPr="00E5603A" w:rsidRDefault="00E5603A">
      <w:pPr>
        <w:pStyle w:val="BodyText"/>
        <w:rPr>
          <w:rFonts w:ascii="Times New Roman" w:hAnsi="Times New Roman" w:cs="Times New Roman"/>
        </w:rPr>
      </w:pPr>
      <w:r w:rsidRPr="00E5603A">
        <w:rPr>
          <w:rFonts w:ascii="Times New Roman" w:hAnsi="Times New Roman" w:cs="Times New Roman"/>
          <w:b/>
          <w:bCs/>
        </w:rPr>
        <w:t>2.</w:t>
      </w:r>
      <w:r w:rsidRPr="00E5603A">
        <w:rPr>
          <w:rFonts w:ascii="Times New Roman" w:hAnsi="Times New Roman" w:cs="Times New Roman"/>
        </w:rPr>
        <w:t xml:space="preserve"> Dogmatic facts of this kind are of different types:</w:t>
      </w:r>
    </w:p>
    <w:p w14:paraId="7484B3F3" w14:textId="77777777" w:rsidR="00BA2F98" w:rsidRPr="00E5603A" w:rsidRDefault="00E5603A">
      <w:pPr>
        <w:pStyle w:val="BodyText"/>
        <w:rPr>
          <w:rFonts w:ascii="Times New Roman" w:hAnsi="Times New Roman" w:cs="Times New Roman"/>
        </w:rPr>
      </w:pPr>
      <w:r w:rsidRPr="00E5603A">
        <w:rPr>
          <w:rFonts w:ascii="Times New Roman" w:hAnsi="Times New Roman" w:cs="Times New Roman"/>
          <w:i/>
          <w:iCs/>
        </w:rPr>
        <w:t>a)</w:t>
      </w:r>
      <w:r w:rsidRPr="00E5603A">
        <w:rPr>
          <w:rFonts w:ascii="Times New Roman" w:hAnsi="Times New Roman" w:cs="Times New Roman"/>
        </w:rPr>
        <w:t xml:space="preserve"> facts upon which depends the authority of councils, of Roman Pontiffs, or even the validity of episcopal ordination; </w:t>
      </w:r>
      <w:proofErr w:type="gramStart"/>
      <w:r w:rsidRPr="00E5603A">
        <w:rPr>
          <w:rFonts w:ascii="Times New Roman" w:hAnsi="Times New Roman" w:cs="Times New Roman"/>
        </w:rPr>
        <w:t>thus</w:t>
      </w:r>
      <w:proofErr w:type="gramEnd"/>
      <w:r w:rsidRPr="00E5603A">
        <w:rPr>
          <w:rFonts w:ascii="Times New Roman" w:hAnsi="Times New Roman" w:cs="Times New Roman"/>
        </w:rPr>
        <w:t xml:space="preserve"> the fact of the legitimate convocation of some council, the legitimate election of a Roman Pontiff, the valid consecration of some </w:t>
      </w:r>
      <w:proofErr w:type="gramStart"/>
      <w:r w:rsidRPr="00E5603A">
        <w:rPr>
          <w:rFonts w:ascii="Times New Roman" w:hAnsi="Times New Roman" w:cs="Times New Roman"/>
        </w:rPr>
        <w:t>bishop</w:t>
      </w:r>
      <w:proofErr w:type="gramEnd"/>
      <w:r w:rsidRPr="00E5603A">
        <w:rPr>
          <w:rFonts w:ascii="Times New Roman" w:hAnsi="Times New Roman" w:cs="Times New Roman"/>
        </w:rPr>
        <w:t xml:space="preserve"> are dogmatic facts. </w:t>
      </w:r>
      <w:proofErr w:type="gramStart"/>
      <w:r w:rsidRPr="00E5603A">
        <w:rPr>
          <w:rFonts w:ascii="Times New Roman" w:hAnsi="Times New Roman" w:cs="Times New Roman"/>
        </w:rPr>
        <w:t>Thus</w:t>
      </w:r>
      <w:proofErr w:type="gramEnd"/>
      <w:r w:rsidRPr="00E5603A">
        <w:rPr>
          <w:rFonts w:ascii="Times New Roman" w:hAnsi="Times New Roman" w:cs="Times New Roman"/>
        </w:rPr>
        <w:t xml:space="preserve"> the Church, against the Old Catholics, holds that the First Vatican Council was legitimately convoked, and Leo XIII declared Anglican ordinations invalid.</w:t>
      </w:r>
    </w:p>
    <w:p w14:paraId="7484B3F4" w14:textId="77777777" w:rsidR="00BA2F98" w:rsidRPr="00E5603A" w:rsidRDefault="00E5603A">
      <w:pPr>
        <w:pStyle w:val="BodyText"/>
        <w:rPr>
          <w:rFonts w:ascii="Times New Roman" w:hAnsi="Times New Roman" w:cs="Times New Roman"/>
        </w:rPr>
      </w:pPr>
      <w:r w:rsidRPr="00E5603A">
        <w:rPr>
          <w:rFonts w:ascii="Times New Roman" w:hAnsi="Times New Roman" w:cs="Times New Roman"/>
          <w:i/>
          <w:iCs/>
        </w:rPr>
        <w:t>b)</w:t>
      </w:r>
      <w:r w:rsidRPr="00E5603A">
        <w:rPr>
          <w:rFonts w:ascii="Times New Roman" w:hAnsi="Times New Roman" w:cs="Times New Roman"/>
        </w:rPr>
        <w:t xml:space="preserve"> The meaning of signs by which revealed doctrine is either expressed or denied = </w:t>
      </w:r>
      <w:r w:rsidRPr="00E5603A">
        <w:rPr>
          <w:rFonts w:ascii="Times New Roman" w:hAnsi="Times New Roman" w:cs="Times New Roman"/>
          <w:i/>
          <w:iCs/>
        </w:rPr>
        <w:t>dogmatic texts</w:t>
      </w:r>
      <w:r w:rsidRPr="00E5603A">
        <w:rPr>
          <w:rFonts w:ascii="Times New Roman" w:hAnsi="Times New Roman" w:cs="Times New Roman"/>
        </w:rPr>
        <w:t xml:space="preserve">: </w:t>
      </w:r>
      <w:proofErr w:type="gramStart"/>
      <w:r w:rsidRPr="00E5603A">
        <w:rPr>
          <w:rFonts w:ascii="Times New Roman" w:hAnsi="Times New Roman" w:cs="Times New Roman"/>
        </w:rPr>
        <w:t>thus</w:t>
      </w:r>
      <w:proofErr w:type="gramEnd"/>
      <w:r w:rsidRPr="00E5603A">
        <w:rPr>
          <w:rFonts w:ascii="Times New Roman" w:hAnsi="Times New Roman" w:cs="Times New Roman"/>
        </w:rPr>
        <w:t xml:space="preserve"> it is a dogmatic fact to determine the meaning of some term which the Church uses in defining a dogma, or the meaning of some book which is condemned by the Church as heretical.</w:t>
      </w:r>
    </w:p>
    <w:p w14:paraId="7484B3F5" w14:textId="77777777" w:rsidR="00BA2F98" w:rsidRPr="00E5603A" w:rsidRDefault="00E5603A">
      <w:pPr>
        <w:pStyle w:val="BodyText"/>
        <w:rPr>
          <w:rFonts w:ascii="Times New Roman" w:hAnsi="Times New Roman" w:cs="Times New Roman"/>
        </w:rPr>
      </w:pPr>
      <w:r w:rsidRPr="00E5603A">
        <w:rPr>
          <w:rFonts w:ascii="Times New Roman" w:hAnsi="Times New Roman" w:cs="Times New Roman"/>
        </w:rPr>
        <w:t>For in the definition of any doctrine there is presupposed and included a judgment about the meaning of the terms of the definition, just as in the condemnation of any book there is presupposed and included a judgment about the meaning of that book.</w:t>
      </w:r>
    </w:p>
    <w:p w14:paraId="7484B3F6" w14:textId="77777777" w:rsidR="00BA2F98" w:rsidRPr="00E5603A" w:rsidRDefault="00E5603A">
      <w:pPr>
        <w:pStyle w:val="BodyText"/>
        <w:rPr>
          <w:rFonts w:ascii="Times New Roman" w:hAnsi="Times New Roman" w:cs="Times New Roman"/>
        </w:rPr>
      </w:pPr>
      <w:proofErr w:type="gramStart"/>
      <w:r w:rsidRPr="00E5603A">
        <w:rPr>
          <w:rFonts w:ascii="Times New Roman" w:hAnsi="Times New Roman" w:cs="Times New Roman"/>
        </w:rPr>
        <w:t>Thus</w:t>
      </w:r>
      <w:proofErr w:type="gramEnd"/>
      <w:r w:rsidRPr="00E5603A">
        <w:rPr>
          <w:rFonts w:ascii="Times New Roman" w:hAnsi="Times New Roman" w:cs="Times New Roman"/>
        </w:rPr>
        <w:t xml:space="preserve"> the Council of Nicaea condemned the book “Thalia” of Arius as heretical, the Council of Ephesus rejected the writings of Nestorius and approved the writings of Cyril of Alexandria, the </w:t>
      </w:r>
      <w:r w:rsidRPr="00E5603A">
        <w:rPr>
          <w:rFonts w:ascii="Times New Roman" w:hAnsi="Times New Roman" w:cs="Times New Roman"/>
        </w:rPr>
        <w:lastRenderedPageBreak/>
        <w:t>Second Council of Constantinople judged concerning the “Three Chapters,” and the Council of Trent defined that the canon of the Mass contains no errors</w:t>
      </w:r>
      <w:r w:rsidRPr="00E5603A">
        <w:rPr>
          <w:rStyle w:val="FootnoteReference"/>
          <w:rFonts w:ascii="Times New Roman" w:hAnsi="Times New Roman" w:cs="Times New Roman"/>
        </w:rPr>
        <w:footnoteReference w:id="1"/>
      </w:r>
      <w:r w:rsidRPr="00E5603A">
        <w:rPr>
          <w:rFonts w:ascii="Times New Roman" w:hAnsi="Times New Roman" w:cs="Times New Roman"/>
        </w:rPr>
        <w:t>.</w:t>
      </w:r>
    </w:p>
    <w:p w14:paraId="7484B3F7" w14:textId="77777777" w:rsidR="00BA2F98" w:rsidRPr="00E5603A" w:rsidRDefault="00E5603A">
      <w:pPr>
        <w:pStyle w:val="BodyText"/>
        <w:rPr>
          <w:rFonts w:ascii="Times New Roman" w:hAnsi="Times New Roman" w:cs="Times New Roman"/>
        </w:rPr>
      </w:pPr>
      <w:r w:rsidRPr="00E5603A">
        <w:rPr>
          <w:rFonts w:ascii="Times New Roman" w:hAnsi="Times New Roman" w:cs="Times New Roman"/>
          <w:b/>
          <w:bCs/>
        </w:rPr>
        <w:t>3.</w:t>
      </w:r>
      <w:r w:rsidRPr="00E5603A">
        <w:rPr>
          <w:rFonts w:ascii="Times New Roman" w:hAnsi="Times New Roman" w:cs="Times New Roman"/>
        </w:rPr>
        <w:t xml:space="preserve"> The most celebrated case is the Jansenist case. Jansenius, in the book entitled “Augustinus,” set forth and defended various errors as the doctrine of Saint Augustine.</w:t>
      </w:r>
    </w:p>
    <w:p w14:paraId="7484B3F8" w14:textId="77777777" w:rsidR="00BA2F98" w:rsidRPr="00E5603A" w:rsidRDefault="00E5603A">
      <w:pPr>
        <w:pStyle w:val="BodyText"/>
        <w:rPr>
          <w:rFonts w:ascii="Times New Roman" w:hAnsi="Times New Roman" w:cs="Times New Roman"/>
        </w:rPr>
      </w:pPr>
      <w:r w:rsidRPr="00E5603A">
        <w:rPr>
          <w:rFonts w:ascii="Times New Roman" w:hAnsi="Times New Roman" w:cs="Times New Roman"/>
        </w:rPr>
        <w:t>Innocent X condemned five propositions excerpted from the book as heretical</w:t>
      </w:r>
      <w:r w:rsidRPr="00E5603A">
        <w:rPr>
          <w:rStyle w:val="FootnoteReference"/>
          <w:rFonts w:ascii="Times New Roman" w:hAnsi="Times New Roman" w:cs="Times New Roman"/>
        </w:rPr>
        <w:footnoteReference w:id="2"/>
      </w:r>
      <w:r w:rsidRPr="00E5603A">
        <w:rPr>
          <w:rFonts w:ascii="Times New Roman" w:hAnsi="Times New Roman" w:cs="Times New Roman"/>
        </w:rPr>
        <w:t>. The Jansenists responded by means of a distinction between the question of law and the question of fact, admitting the infallibility of the Church in the question of law—namely, whether the condemned doctrine, taken in itself and abstracted from the book in which it might be contained, is false—but denying infallibility concerning the question of fact—namely, whether the condemned doctrine was actually contained in the book “Augustinus.” But Alexander VII (1656) declared and defined: “that those five prop</w:t>
      </w:r>
      <w:r w:rsidRPr="00E5603A">
        <w:rPr>
          <w:rFonts w:ascii="Times New Roman" w:hAnsi="Times New Roman" w:cs="Times New Roman"/>
        </w:rPr>
        <w:t>ositions were excerpted from the book of Cornelius Jansenius, whose title is ‘Augustinus,’ and were condemned in the sense intended by the same Cornelius</w:t>
      </w:r>
      <w:r w:rsidRPr="00E5603A">
        <w:rPr>
          <w:rStyle w:val="FootnoteReference"/>
          <w:rFonts w:ascii="Times New Roman" w:hAnsi="Times New Roman" w:cs="Times New Roman"/>
        </w:rPr>
        <w:footnoteReference w:id="3"/>
      </w:r>
      <w:r w:rsidRPr="00E5603A">
        <w:rPr>
          <w:rFonts w:ascii="Times New Roman" w:hAnsi="Times New Roman" w:cs="Times New Roman"/>
        </w:rPr>
        <w:t>.”</w:t>
      </w:r>
    </w:p>
    <w:p w14:paraId="7484B3F9" w14:textId="77777777" w:rsidR="00BA2F98" w:rsidRPr="00E5603A" w:rsidRDefault="00E5603A">
      <w:pPr>
        <w:pStyle w:val="BodyText"/>
        <w:rPr>
          <w:rFonts w:ascii="Times New Roman" w:hAnsi="Times New Roman" w:cs="Times New Roman"/>
        </w:rPr>
      </w:pPr>
      <w:r w:rsidRPr="00E5603A">
        <w:rPr>
          <w:rFonts w:ascii="Times New Roman" w:hAnsi="Times New Roman" w:cs="Times New Roman"/>
        </w:rPr>
        <w:t xml:space="preserve">The Jansenists began to employ the pretext of </w:t>
      </w:r>
      <w:r w:rsidRPr="00E5603A">
        <w:rPr>
          <w:rFonts w:ascii="Times New Roman" w:hAnsi="Times New Roman" w:cs="Times New Roman"/>
          <w:i/>
          <w:iCs/>
        </w:rPr>
        <w:t>religious silence</w:t>
      </w:r>
      <w:r w:rsidRPr="00E5603A">
        <w:rPr>
          <w:rFonts w:ascii="Times New Roman" w:hAnsi="Times New Roman" w:cs="Times New Roman"/>
        </w:rPr>
        <w:t xml:space="preserve">, namely denying the necessity of mental adhesion to pontifical decrees, admitting only the obligation of religious silence. Hence Alexander VII in the year 1664 proposed this formulary of submission to the Jansenists: “I, N…, with sincere heart reject and condemn the five propositions excerpted from the book of Cornelius Jansenius entitled </w:t>
      </w:r>
      <w:r w:rsidRPr="00E5603A">
        <w:rPr>
          <w:rFonts w:ascii="Times New Roman" w:hAnsi="Times New Roman" w:cs="Times New Roman"/>
          <w:i/>
          <w:iCs/>
        </w:rPr>
        <w:t>Augustinus</w:t>
      </w:r>
      <w:r w:rsidRPr="00E5603A">
        <w:rPr>
          <w:rFonts w:ascii="Times New Roman" w:hAnsi="Times New Roman" w:cs="Times New Roman"/>
        </w:rPr>
        <w:t>, and in the sense intended by the same author, just as the Apostolic See has condemned them, and thus I swear</w:t>
      </w:r>
      <w:r w:rsidRPr="00E5603A">
        <w:rPr>
          <w:rStyle w:val="FootnoteReference"/>
          <w:rFonts w:ascii="Times New Roman" w:hAnsi="Times New Roman" w:cs="Times New Roman"/>
        </w:rPr>
        <w:footnoteReference w:id="4"/>
      </w:r>
      <w:r w:rsidRPr="00E5603A">
        <w:rPr>
          <w:rFonts w:ascii="Times New Roman" w:hAnsi="Times New Roman" w:cs="Times New Roman"/>
        </w:rPr>
        <w:t xml:space="preserve">.” Clement XI in the year 1705 declared the necessity of hearing the Church “not only by remaining silent, but also by interior submission,” and established that “the sense of Jansenius’s book condemned in the five propositions, which the words of those [propositions] convey, as is alleged, must be rejected and condemned by all the faithful of Christ </w:t>
      </w:r>
      <w:r w:rsidRPr="00E5603A">
        <w:rPr>
          <w:rFonts w:ascii="Times New Roman" w:hAnsi="Times New Roman" w:cs="Times New Roman"/>
          <w:i/>
          <w:iCs/>
        </w:rPr>
        <w:t>as heretical</w:t>
      </w:r>
      <w:r w:rsidRPr="00E5603A">
        <w:rPr>
          <w:rFonts w:ascii="Times New Roman" w:hAnsi="Times New Roman" w:cs="Times New Roman"/>
        </w:rPr>
        <w:t>, not only with the mouth but also with the heart</w:t>
      </w:r>
      <w:r w:rsidRPr="00E5603A">
        <w:rPr>
          <w:rStyle w:val="FootnoteReference"/>
          <w:rFonts w:ascii="Times New Roman" w:hAnsi="Times New Roman" w:cs="Times New Roman"/>
        </w:rPr>
        <w:footnoteReference w:id="5"/>
      </w:r>
      <w:r w:rsidRPr="00E5603A">
        <w:rPr>
          <w:rFonts w:ascii="Times New Roman" w:hAnsi="Times New Roman" w:cs="Times New Roman"/>
        </w:rPr>
        <w:t>.”</w:t>
      </w:r>
    </w:p>
    <w:p w14:paraId="7484B3FA" w14:textId="77777777" w:rsidR="00BA2F98" w:rsidRPr="00E5603A" w:rsidRDefault="00E5603A">
      <w:pPr>
        <w:pStyle w:val="BodyText"/>
        <w:rPr>
          <w:rFonts w:ascii="Times New Roman" w:hAnsi="Times New Roman" w:cs="Times New Roman"/>
        </w:rPr>
      </w:pPr>
      <w:r w:rsidRPr="00E5603A">
        <w:rPr>
          <w:rFonts w:ascii="Times New Roman" w:hAnsi="Times New Roman" w:cs="Times New Roman"/>
        </w:rPr>
        <w:t>The “</w:t>
      </w:r>
      <w:r w:rsidRPr="00E5603A">
        <w:rPr>
          <w:rFonts w:ascii="Times New Roman" w:hAnsi="Times New Roman" w:cs="Times New Roman"/>
          <w:i/>
          <w:iCs/>
        </w:rPr>
        <w:t>sense intended by the author</w:t>
      </w:r>
      <w:r w:rsidRPr="00E5603A">
        <w:rPr>
          <w:rFonts w:ascii="Times New Roman" w:hAnsi="Times New Roman" w:cs="Times New Roman"/>
        </w:rPr>
        <w:t xml:space="preserve">” is not that which the author perhaps had </w:t>
      </w:r>
      <w:r w:rsidRPr="00E5603A">
        <w:rPr>
          <w:rFonts w:ascii="Times New Roman" w:hAnsi="Times New Roman" w:cs="Times New Roman"/>
          <w:i/>
          <w:iCs/>
        </w:rPr>
        <w:t>in the secret of his heart</w:t>
      </w:r>
      <w:r w:rsidRPr="00E5603A">
        <w:rPr>
          <w:rFonts w:ascii="Times New Roman" w:hAnsi="Times New Roman" w:cs="Times New Roman"/>
        </w:rPr>
        <w:t xml:space="preserve"> and wished to express, but that which the author’s </w:t>
      </w:r>
      <w:r w:rsidRPr="00E5603A">
        <w:rPr>
          <w:rFonts w:ascii="Times New Roman" w:hAnsi="Times New Roman" w:cs="Times New Roman"/>
          <w:i/>
          <w:iCs/>
        </w:rPr>
        <w:t>words</w:t>
      </w:r>
      <w:r w:rsidRPr="00E5603A">
        <w:rPr>
          <w:rFonts w:ascii="Times New Roman" w:hAnsi="Times New Roman" w:cs="Times New Roman"/>
        </w:rPr>
        <w:t xml:space="preserve"> according to common and natural rules of interpretation </w:t>
      </w:r>
      <w:r w:rsidRPr="00E5603A">
        <w:rPr>
          <w:rFonts w:ascii="Times New Roman" w:hAnsi="Times New Roman" w:cs="Times New Roman"/>
          <w:i/>
          <w:iCs/>
        </w:rPr>
        <w:t>objectively express</w:t>
      </w:r>
      <w:r w:rsidRPr="00E5603A">
        <w:rPr>
          <w:rFonts w:ascii="Times New Roman" w:hAnsi="Times New Roman" w:cs="Times New Roman"/>
        </w:rPr>
        <w:t xml:space="preserve"> or convey.</w:t>
      </w:r>
    </w:p>
    <w:p w14:paraId="7484B3FB" w14:textId="77777777" w:rsidR="00BA2F98" w:rsidRPr="00E5603A" w:rsidRDefault="00E5603A">
      <w:pPr>
        <w:pStyle w:val="BodyText"/>
        <w:rPr>
          <w:rFonts w:ascii="Times New Roman" w:hAnsi="Times New Roman" w:cs="Times New Roman"/>
        </w:rPr>
      </w:pPr>
      <w:r w:rsidRPr="00E5603A">
        <w:rPr>
          <w:rFonts w:ascii="Times New Roman" w:hAnsi="Times New Roman" w:cs="Times New Roman"/>
          <w:b/>
          <w:bCs/>
        </w:rPr>
        <w:t>4.</w:t>
      </w:r>
      <w:r w:rsidRPr="00E5603A">
        <w:rPr>
          <w:rFonts w:ascii="Times New Roman" w:hAnsi="Times New Roman" w:cs="Times New Roman"/>
        </w:rPr>
        <w:t xml:space="preserve"> As the examples adduced demonstrate, the </w:t>
      </w:r>
      <w:r w:rsidRPr="00E5603A">
        <w:rPr>
          <w:rFonts w:ascii="Times New Roman" w:hAnsi="Times New Roman" w:cs="Times New Roman"/>
          <w:i/>
          <w:iCs/>
        </w:rPr>
        <w:t>Church</w:t>
      </w:r>
      <w:r w:rsidRPr="00E5603A">
        <w:rPr>
          <w:rFonts w:ascii="Times New Roman" w:hAnsi="Times New Roman" w:cs="Times New Roman"/>
        </w:rPr>
        <w:t xml:space="preserve"> in her decrees commonly </w:t>
      </w:r>
      <w:r w:rsidRPr="00E5603A">
        <w:rPr>
          <w:rFonts w:ascii="Times New Roman" w:hAnsi="Times New Roman" w:cs="Times New Roman"/>
          <w:i/>
          <w:iCs/>
        </w:rPr>
        <w:t>enunciates a dogmatic fact proper indirectly</w:t>
      </w:r>
      <w:r w:rsidRPr="00E5603A">
        <w:rPr>
          <w:rFonts w:ascii="Times New Roman" w:hAnsi="Times New Roman" w:cs="Times New Roman"/>
        </w:rPr>
        <w:t xml:space="preserve">: thus the Council of Trent, by declaring that the Canon of the Mass is immune from errors, directly declares the </w:t>
      </w:r>
      <w:r w:rsidRPr="00E5603A">
        <w:rPr>
          <w:rFonts w:ascii="Times New Roman" w:hAnsi="Times New Roman" w:cs="Times New Roman"/>
          <w:i/>
          <w:iCs/>
        </w:rPr>
        <w:t>truth of the doctrine</w:t>
      </w:r>
      <w:r w:rsidRPr="00E5603A">
        <w:rPr>
          <w:rFonts w:ascii="Times New Roman" w:hAnsi="Times New Roman" w:cs="Times New Roman"/>
        </w:rPr>
        <w:t xml:space="preserve"> </w:t>
      </w:r>
      <w:r w:rsidRPr="00E5603A">
        <w:rPr>
          <w:rFonts w:ascii="Times New Roman" w:hAnsi="Times New Roman" w:cs="Times New Roman"/>
        </w:rPr>
        <w:t xml:space="preserve">of the Canon, and indirectly judges concerning the </w:t>
      </w:r>
      <w:r w:rsidRPr="00E5603A">
        <w:rPr>
          <w:rFonts w:ascii="Times New Roman" w:hAnsi="Times New Roman" w:cs="Times New Roman"/>
          <w:i/>
          <w:iCs/>
        </w:rPr>
        <w:t>meaning</w:t>
      </w:r>
      <w:r w:rsidRPr="00E5603A">
        <w:rPr>
          <w:rFonts w:ascii="Times New Roman" w:hAnsi="Times New Roman" w:cs="Times New Roman"/>
        </w:rPr>
        <w:t xml:space="preserve"> of the Canon; similarly with councils or Roman Pontiffs in approving or condemning books. A twofold judgment of the Church must therefore be distinguished: the first, properly dogmatic, concerning the </w:t>
      </w:r>
      <w:r w:rsidRPr="00E5603A">
        <w:rPr>
          <w:rFonts w:ascii="Times New Roman" w:hAnsi="Times New Roman" w:cs="Times New Roman"/>
          <w:i/>
          <w:iCs/>
        </w:rPr>
        <w:t>truth of the doctrine</w:t>
      </w:r>
      <w:r w:rsidRPr="00E5603A">
        <w:rPr>
          <w:rFonts w:ascii="Times New Roman" w:hAnsi="Times New Roman" w:cs="Times New Roman"/>
        </w:rPr>
        <w:t xml:space="preserve"> of some book; </w:t>
      </w:r>
      <w:r w:rsidRPr="00E5603A">
        <w:rPr>
          <w:rFonts w:ascii="Times New Roman" w:hAnsi="Times New Roman" w:cs="Times New Roman"/>
        </w:rPr>
        <w:lastRenderedPageBreak/>
        <w:t xml:space="preserve">the second, concerning the </w:t>
      </w:r>
      <w:r w:rsidRPr="00E5603A">
        <w:rPr>
          <w:rFonts w:ascii="Times New Roman" w:hAnsi="Times New Roman" w:cs="Times New Roman"/>
          <w:i/>
          <w:iCs/>
        </w:rPr>
        <w:t>meaning</w:t>
      </w:r>
      <w:r w:rsidRPr="00E5603A">
        <w:rPr>
          <w:rFonts w:ascii="Times New Roman" w:hAnsi="Times New Roman" w:cs="Times New Roman"/>
        </w:rPr>
        <w:t xml:space="preserve"> of the </w:t>
      </w:r>
      <w:proofErr w:type="gramStart"/>
      <w:r w:rsidRPr="00E5603A">
        <w:rPr>
          <w:rFonts w:ascii="Times New Roman" w:hAnsi="Times New Roman" w:cs="Times New Roman"/>
        </w:rPr>
        <w:t>book—</w:t>
      </w:r>
      <w:proofErr w:type="gramEnd"/>
      <w:r w:rsidRPr="00E5603A">
        <w:rPr>
          <w:rFonts w:ascii="Times New Roman" w:hAnsi="Times New Roman" w:cs="Times New Roman"/>
        </w:rPr>
        <w:t>and this second judgment is properly about a dogmatic fact.</w:t>
      </w:r>
    </w:p>
    <w:p w14:paraId="7484B3FC" w14:textId="77777777" w:rsidR="00BA2F98" w:rsidRPr="00E5603A" w:rsidRDefault="00E5603A">
      <w:pPr>
        <w:pStyle w:val="BodyText"/>
        <w:rPr>
          <w:rFonts w:ascii="Times New Roman" w:hAnsi="Times New Roman" w:cs="Times New Roman"/>
        </w:rPr>
      </w:pPr>
      <w:r w:rsidRPr="00E5603A">
        <w:rPr>
          <w:rFonts w:ascii="Times New Roman" w:hAnsi="Times New Roman" w:cs="Times New Roman"/>
          <w:b/>
          <w:bCs/>
        </w:rPr>
        <w:t>5.</w:t>
      </w:r>
      <w:r w:rsidRPr="00E5603A">
        <w:rPr>
          <w:rFonts w:ascii="Times New Roman" w:hAnsi="Times New Roman" w:cs="Times New Roman"/>
        </w:rPr>
        <w:t xml:space="preserve"> Many theologians indeed, both ancient and recent, understand by “dogmatic fact” not only historical fact—what, for example, is the meaning of some book—but both historical and doctrinal fact</w:t>
      </w:r>
      <w:r w:rsidRPr="00E5603A">
        <w:rPr>
          <w:rStyle w:val="FootnoteReference"/>
          <w:rFonts w:ascii="Times New Roman" w:hAnsi="Times New Roman" w:cs="Times New Roman"/>
        </w:rPr>
        <w:footnoteReference w:id="6"/>
      </w:r>
      <w:r w:rsidRPr="00E5603A">
        <w:rPr>
          <w:rFonts w:ascii="Times New Roman" w:hAnsi="Times New Roman" w:cs="Times New Roman"/>
        </w:rPr>
        <w:t>. According to this way of understanding it, it pertains to dogmatic facts that the Canon of the Mass is immune from error, that the book of Jansenius is heretical, that the Vulgate contains the word of God. But it is better, along with other theologians, to understand under the name “dogmatic fact” only historical fact, certainly as connected with doctrine: for one thing is a question of fact, another is a question of law.</w:t>
      </w:r>
    </w:p>
    <w:p w14:paraId="7484B3FD" w14:textId="77777777" w:rsidR="00BA2F98" w:rsidRPr="00E5603A" w:rsidRDefault="00E5603A">
      <w:pPr>
        <w:pStyle w:val="BodyText"/>
        <w:rPr>
          <w:rFonts w:ascii="Times New Roman" w:hAnsi="Times New Roman" w:cs="Times New Roman"/>
        </w:rPr>
      </w:pPr>
      <w:r w:rsidRPr="00E5603A">
        <w:rPr>
          <w:rFonts w:ascii="Times New Roman" w:hAnsi="Times New Roman" w:cs="Times New Roman"/>
          <w:b/>
          <w:bCs/>
        </w:rPr>
        <w:t>II. The Catholic doctrine</w:t>
      </w:r>
      <w:r w:rsidRPr="00E5603A">
        <w:rPr>
          <w:rFonts w:ascii="Times New Roman" w:hAnsi="Times New Roman" w:cs="Times New Roman"/>
        </w:rPr>
        <w:t xml:space="preserve"> </w:t>
      </w:r>
      <w:r w:rsidRPr="00E5603A">
        <w:rPr>
          <w:rFonts w:ascii="Times New Roman" w:hAnsi="Times New Roman" w:cs="Times New Roman"/>
        </w:rPr>
        <w:t>concerning the infallibility of the Church regarding dogmatic facts appears most clearly in the Jansenist case, insofar as the apostolic constitutions require internal and unconditional assent to the condemnation of Jansenius’s book according to the sense intended by the author and expressed through the five propositions that were extracted from it. The same principle, however, appears in other condemnations and judgments concerning dogmatic facts. To this is added the common consensus of theologians.</w:t>
      </w:r>
    </w:p>
    <w:p w14:paraId="7484B3FE" w14:textId="77777777" w:rsidR="00BA2F98" w:rsidRPr="00E5603A" w:rsidRDefault="00E5603A">
      <w:pPr>
        <w:pStyle w:val="BodyText"/>
        <w:rPr>
          <w:rFonts w:ascii="Times New Roman" w:hAnsi="Times New Roman" w:cs="Times New Roman"/>
        </w:rPr>
      </w:pPr>
      <w:r w:rsidRPr="00E5603A">
        <w:rPr>
          <w:rFonts w:ascii="Times New Roman" w:hAnsi="Times New Roman" w:cs="Times New Roman"/>
          <w:b/>
          <w:bCs/>
        </w:rPr>
        <w:t>III. Thesis: The Church is infallible concerning dogmatic facts.</w:t>
      </w:r>
    </w:p>
    <w:p w14:paraId="7484B3FF" w14:textId="77777777" w:rsidR="00BA2F98" w:rsidRPr="00E5603A" w:rsidRDefault="00E5603A">
      <w:pPr>
        <w:pStyle w:val="BodyText"/>
        <w:rPr>
          <w:rFonts w:ascii="Times New Roman" w:hAnsi="Times New Roman" w:cs="Times New Roman"/>
        </w:rPr>
      </w:pPr>
      <w:r w:rsidRPr="00E5603A">
        <w:rPr>
          <w:rFonts w:ascii="Times New Roman" w:hAnsi="Times New Roman" w:cs="Times New Roman"/>
          <w:i/>
          <w:iCs/>
        </w:rPr>
        <w:t>Proof</w:t>
      </w:r>
      <w:r w:rsidRPr="00E5603A">
        <w:rPr>
          <w:rFonts w:ascii="Times New Roman" w:hAnsi="Times New Roman" w:cs="Times New Roman"/>
        </w:rPr>
        <w:t xml:space="preserve"> 1. </w:t>
      </w:r>
      <w:r w:rsidRPr="00E5603A">
        <w:rPr>
          <w:rFonts w:ascii="Times New Roman" w:hAnsi="Times New Roman" w:cs="Times New Roman"/>
          <w:i/>
          <w:iCs/>
        </w:rPr>
        <w:t>From the object and purpose of infallibility.</w:t>
      </w:r>
      <w:r w:rsidRPr="00E5603A">
        <w:rPr>
          <w:rFonts w:ascii="Times New Roman" w:hAnsi="Times New Roman" w:cs="Times New Roman"/>
        </w:rPr>
        <w:t xml:space="preserve"> The Church is infallible concerning revealed truths to be guarded and expounded. But it cannot infallibly guard and expound revealed truths if it errs concerning dogmatic facts.</w:t>
      </w:r>
    </w:p>
    <w:p w14:paraId="7484B400" w14:textId="77777777" w:rsidR="00BA2F98" w:rsidRPr="00E5603A" w:rsidRDefault="00E5603A">
      <w:pPr>
        <w:pStyle w:val="BodyText"/>
        <w:rPr>
          <w:rFonts w:ascii="Times New Roman" w:hAnsi="Times New Roman" w:cs="Times New Roman"/>
        </w:rPr>
      </w:pPr>
      <w:r w:rsidRPr="00E5603A">
        <w:rPr>
          <w:rFonts w:ascii="Times New Roman" w:hAnsi="Times New Roman" w:cs="Times New Roman"/>
          <w:i/>
          <w:iCs/>
        </w:rPr>
        <w:t>Proof</w:t>
      </w:r>
      <w:r w:rsidRPr="00E5603A">
        <w:rPr>
          <w:rFonts w:ascii="Times New Roman" w:hAnsi="Times New Roman" w:cs="Times New Roman"/>
        </w:rPr>
        <w:t xml:space="preserve"> 2. </w:t>
      </w:r>
      <w:r w:rsidRPr="00E5603A">
        <w:rPr>
          <w:rFonts w:ascii="Times New Roman" w:hAnsi="Times New Roman" w:cs="Times New Roman"/>
          <w:i/>
          <w:iCs/>
        </w:rPr>
        <w:t xml:space="preserve">From the nature and condition of the Church’s </w:t>
      </w:r>
      <w:proofErr w:type="gramStart"/>
      <w:r w:rsidRPr="00E5603A">
        <w:rPr>
          <w:rFonts w:ascii="Times New Roman" w:hAnsi="Times New Roman" w:cs="Times New Roman"/>
          <w:i/>
          <w:iCs/>
        </w:rPr>
        <w:t>magisterium</w:t>
      </w:r>
      <w:proofErr w:type="gramEnd"/>
      <w:r w:rsidRPr="00E5603A">
        <w:rPr>
          <w:rFonts w:ascii="Times New Roman" w:hAnsi="Times New Roman" w:cs="Times New Roman"/>
          <w:i/>
          <w:iCs/>
        </w:rPr>
        <w:t>.</w:t>
      </w:r>
      <w:r w:rsidRPr="00E5603A">
        <w:rPr>
          <w:rFonts w:ascii="Times New Roman" w:hAnsi="Times New Roman" w:cs="Times New Roman"/>
        </w:rPr>
        <w:t xml:space="preserve"> — The magisterium of the Church teaches through words, as through signs of concepts and doctrine. But </w:t>
      </w:r>
      <w:proofErr w:type="gramStart"/>
      <w:r w:rsidRPr="00E5603A">
        <w:rPr>
          <w:rFonts w:ascii="Times New Roman" w:hAnsi="Times New Roman" w:cs="Times New Roman"/>
        </w:rPr>
        <w:t>error</w:t>
      </w:r>
      <w:proofErr w:type="gramEnd"/>
      <w:r w:rsidRPr="00E5603A">
        <w:rPr>
          <w:rFonts w:ascii="Times New Roman" w:hAnsi="Times New Roman" w:cs="Times New Roman"/>
        </w:rPr>
        <w:t xml:space="preserve"> concerning signs or the meaning of signs simultaneously </w:t>
      </w:r>
      <w:proofErr w:type="gramStart"/>
      <w:r w:rsidRPr="00E5603A">
        <w:rPr>
          <w:rFonts w:ascii="Times New Roman" w:hAnsi="Times New Roman" w:cs="Times New Roman"/>
        </w:rPr>
        <w:t>involves</w:t>
      </w:r>
      <w:proofErr w:type="gramEnd"/>
      <w:r w:rsidRPr="00E5603A">
        <w:rPr>
          <w:rFonts w:ascii="Times New Roman" w:hAnsi="Times New Roman" w:cs="Times New Roman"/>
        </w:rPr>
        <w:t xml:space="preserve"> </w:t>
      </w:r>
      <w:proofErr w:type="gramStart"/>
      <w:r w:rsidRPr="00E5603A">
        <w:rPr>
          <w:rFonts w:ascii="Times New Roman" w:hAnsi="Times New Roman" w:cs="Times New Roman"/>
        </w:rPr>
        <w:t>error</w:t>
      </w:r>
      <w:proofErr w:type="gramEnd"/>
      <w:r w:rsidRPr="00E5603A">
        <w:rPr>
          <w:rFonts w:ascii="Times New Roman" w:hAnsi="Times New Roman" w:cs="Times New Roman"/>
        </w:rPr>
        <w:t xml:space="preserve"> concerning doctrine. Therefore, the Church is necessarily infallible also concerning the signs of doctrine.</w:t>
      </w:r>
    </w:p>
    <w:p w14:paraId="7484B401" w14:textId="77777777" w:rsidR="00BA2F98" w:rsidRPr="00E5603A" w:rsidRDefault="00E5603A">
      <w:pPr>
        <w:pStyle w:val="BodyText"/>
        <w:rPr>
          <w:rFonts w:ascii="Times New Roman" w:hAnsi="Times New Roman" w:cs="Times New Roman"/>
        </w:rPr>
      </w:pPr>
      <w:proofErr w:type="gramStart"/>
      <w:r w:rsidRPr="00E5603A">
        <w:rPr>
          <w:rFonts w:ascii="Times New Roman" w:hAnsi="Times New Roman" w:cs="Times New Roman"/>
        </w:rPr>
        <w:t>Similarly</w:t>
      </w:r>
      <w:proofErr w:type="gramEnd"/>
      <w:r w:rsidRPr="00E5603A">
        <w:rPr>
          <w:rFonts w:ascii="Times New Roman" w:hAnsi="Times New Roman" w:cs="Times New Roman"/>
        </w:rPr>
        <w:t xml:space="preserve"> P. MARÍN-SOLÁ, l. c., I, 454 ff.</w:t>
      </w:r>
    </w:p>
    <w:p w14:paraId="7484B402" w14:textId="77777777" w:rsidR="00BA2F98" w:rsidRPr="00E5603A" w:rsidRDefault="00E5603A">
      <w:pPr>
        <w:pStyle w:val="BodyText"/>
        <w:rPr>
          <w:rFonts w:ascii="Times New Roman" w:hAnsi="Times New Roman" w:cs="Times New Roman"/>
        </w:rPr>
      </w:pPr>
      <w:r w:rsidRPr="00E5603A">
        <w:rPr>
          <w:rFonts w:ascii="Times New Roman" w:hAnsi="Times New Roman" w:cs="Times New Roman"/>
          <w:i/>
          <w:iCs/>
        </w:rPr>
        <w:t>Proof</w:t>
      </w:r>
      <w:r w:rsidRPr="00E5603A">
        <w:rPr>
          <w:rFonts w:ascii="Times New Roman" w:hAnsi="Times New Roman" w:cs="Times New Roman"/>
        </w:rPr>
        <w:t xml:space="preserve"> 3. Without infallibility concerning dogmatic facts, the entire infallibility of the Church would be rendered vain and ineffectual. To what purpose would the dogmatic definitions of Councils and Roman Pontiffs serve if their legitimate convocation or election can be called into doubt? To what purpose does a dogmatic definition itself serve if there is doubt whether the Church has employed the correct term to express true doctrine? Who can believe the symbols of faith if the meaning of the terms is not estab</w:t>
      </w:r>
      <w:r w:rsidRPr="00E5603A">
        <w:rPr>
          <w:rFonts w:ascii="Times New Roman" w:hAnsi="Times New Roman" w:cs="Times New Roman"/>
        </w:rPr>
        <w:t>lished?</w:t>
      </w:r>
    </w:p>
    <w:p w14:paraId="7484B403" w14:textId="77777777" w:rsidR="00BA2F98" w:rsidRPr="00E5603A" w:rsidRDefault="00E5603A">
      <w:pPr>
        <w:pStyle w:val="BodyText"/>
        <w:rPr>
          <w:rFonts w:ascii="Times New Roman" w:hAnsi="Times New Roman" w:cs="Times New Roman"/>
        </w:rPr>
      </w:pPr>
      <w:r w:rsidRPr="00E5603A">
        <w:rPr>
          <w:rFonts w:ascii="Times New Roman" w:hAnsi="Times New Roman" w:cs="Times New Roman"/>
          <w:b/>
          <w:bCs/>
        </w:rPr>
        <w:t>IV. Objections.</w:t>
      </w:r>
      <w:r w:rsidRPr="00E5603A">
        <w:rPr>
          <w:rFonts w:ascii="Times New Roman" w:hAnsi="Times New Roman" w:cs="Times New Roman"/>
        </w:rPr>
        <w:t xml:space="preserve"> — 1. Dogmatic facts are in no way revealed, e.g., that Pius XI was legitimately elected. Therefore, they are entirely outside the object of infallibility.</w:t>
      </w:r>
    </w:p>
    <w:p w14:paraId="7484B404" w14:textId="77777777" w:rsidR="00BA2F98" w:rsidRPr="00E5603A" w:rsidRDefault="00E5603A">
      <w:pPr>
        <w:pStyle w:val="BodyText"/>
        <w:rPr>
          <w:rFonts w:ascii="Times New Roman" w:hAnsi="Times New Roman" w:cs="Times New Roman"/>
        </w:rPr>
      </w:pPr>
      <w:r w:rsidRPr="00E5603A">
        <w:rPr>
          <w:rFonts w:ascii="Times New Roman" w:hAnsi="Times New Roman" w:cs="Times New Roman"/>
          <w:i/>
          <w:iCs/>
        </w:rPr>
        <w:t>Response.</w:t>
      </w:r>
      <w:r w:rsidRPr="00E5603A">
        <w:rPr>
          <w:rFonts w:ascii="Times New Roman" w:hAnsi="Times New Roman" w:cs="Times New Roman"/>
        </w:rPr>
        <w:t xml:space="preserve"> Hence dogmatic facts in no way pertain to the primary object, yet they do pertain to the secondary object, which indeed also comprehends things connected with revealed truths.</w:t>
      </w:r>
    </w:p>
    <w:p w14:paraId="7484B405" w14:textId="77777777" w:rsidR="00BA2F98" w:rsidRPr="00E5603A" w:rsidRDefault="00E5603A">
      <w:pPr>
        <w:pStyle w:val="BodyText"/>
        <w:rPr>
          <w:rFonts w:ascii="Times New Roman" w:hAnsi="Times New Roman" w:cs="Times New Roman"/>
        </w:rPr>
      </w:pPr>
      <w:r w:rsidRPr="00E5603A">
        <w:rPr>
          <w:rFonts w:ascii="Times New Roman" w:hAnsi="Times New Roman" w:cs="Times New Roman"/>
          <w:i/>
          <w:iCs/>
        </w:rPr>
        <w:lastRenderedPageBreak/>
        <w:t>Objection</w:t>
      </w:r>
      <w:r w:rsidRPr="00E5603A">
        <w:rPr>
          <w:rFonts w:ascii="Times New Roman" w:hAnsi="Times New Roman" w:cs="Times New Roman"/>
        </w:rPr>
        <w:t xml:space="preserve"> 2. The Church has sometimes contradicted herself in judgment concerning dogmatic facts and therefore is not infallible: </w:t>
      </w:r>
      <w:proofErr w:type="gramStart"/>
      <w:r w:rsidRPr="00E5603A">
        <w:rPr>
          <w:rFonts w:ascii="Times New Roman" w:hAnsi="Times New Roman" w:cs="Times New Roman"/>
        </w:rPr>
        <w:t>thus</w:t>
      </w:r>
      <w:proofErr w:type="gramEnd"/>
      <w:r w:rsidRPr="00E5603A">
        <w:rPr>
          <w:rFonts w:ascii="Times New Roman" w:hAnsi="Times New Roman" w:cs="Times New Roman"/>
        </w:rPr>
        <w:t xml:space="preserve"> especially in the question of the Three Chapters. For indeed the Council of Chalcedon declared Theodoret and Ibas to be orthodox, while the Second Council of Constantinople condemned the writings of Theodore of Mopsuestia, Theodoret, and Ibas as heretical, and Pope Vigilius approved this kind of sentence.</w:t>
      </w:r>
    </w:p>
    <w:p w14:paraId="7484B406" w14:textId="77777777" w:rsidR="00BA2F98" w:rsidRPr="00E5603A" w:rsidRDefault="00E5603A">
      <w:pPr>
        <w:pStyle w:val="BodyText"/>
        <w:rPr>
          <w:rFonts w:ascii="Times New Roman" w:hAnsi="Times New Roman" w:cs="Times New Roman"/>
        </w:rPr>
      </w:pPr>
      <w:r w:rsidRPr="00E5603A">
        <w:rPr>
          <w:rFonts w:ascii="Times New Roman" w:hAnsi="Times New Roman" w:cs="Times New Roman"/>
          <w:i/>
          <w:iCs/>
        </w:rPr>
        <w:t>Response.</w:t>
      </w:r>
      <w:r w:rsidRPr="00E5603A">
        <w:rPr>
          <w:rFonts w:ascii="Times New Roman" w:hAnsi="Times New Roman" w:cs="Times New Roman"/>
        </w:rPr>
        <w:t xml:space="preserve"> The Council of Chalcedon declared the </w:t>
      </w:r>
      <w:r w:rsidRPr="00E5603A">
        <w:rPr>
          <w:rFonts w:ascii="Times New Roman" w:hAnsi="Times New Roman" w:cs="Times New Roman"/>
          <w:i/>
          <w:iCs/>
        </w:rPr>
        <w:t>persons</w:t>
      </w:r>
      <w:r w:rsidRPr="00E5603A">
        <w:rPr>
          <w:rFonts w:ascii="Times New Roman" w:hAnsi="Times New Roman" w:cs="Times New Roman"/>
        </w:rPr>
        <w:t xml:space="preserve"> of Theodoret and Ibas to be orthodox, but only after they had anathematized the doctrine of Nestorius; however, the Second Council of Constantinople condemned their </w:t>
      </w:r>
      <w:r w:rsidRPr="00E5603A">
        <w:rPr>
          <w:rFonts w:ascii="Times New Roman" w:hAnsi="Times New Roman" w:cs="Times New Roman"/>
          <w:i/>
          <w:iCs/>
        </w:rPr>
        <w:t>writings</w:t>
      </w:r>
      <w:r w:rsidRPr="00E5603A">
        <w:rPr>
          <w:rFonts w:ascii="Times New Roman" w:hAnsi="Times New Roman" w:cs="Times New Roman"/>
        </w:rPr>
        <w:t>, just as Pope Vigilius did</w:t>
      </w:r>
      <w:r w:rsidRPr="00E5603A">
        <w:rPr>
          <w:rStyle w:val="FootnoteReference"/>
          <w:rFonts w:ascii="Times New Roman" w:hAnsi="Times New Roman" w:cs="Times New Roman"/>
        </w:rPr>
        <w:footnoteReference w:id="7"/>
      </w:r>
      <w:r w:rsidRPr="00E5603A">
        <w:rPr>
          <w:rFonts w:ascii="Times New Roman" w:hAnsi="Times New Roman" w:cs="Times New Roman"/>
        </w:rPr>
        <w:t>.</w:t>
      </w:r>
    </w:p>
    <w:p w14:paraId="7484B407" w14:textId="77777777" w:rsidR="00BA2F98" w:rsidRPr="00E5603A" w:rsidRDefault="00E5603A">
      <w:pPr>
        <w:pStyle w:val="BodyText"/>
        <w:rPr>
          <w:rFonts w:ascii="Times New Roman" w:hAnsi="Times New Roman" w:cs="Times New Roman"/>
        </w:rPr>
      </w:pPr>
      <w:r w:rsidRPr="00E5603A">
        <w:rPr>
          <w:rFonts w:ascii="Times New Roman" w:hAnsi="Times New Roman" w:cs="Times New Roman"/>
        </w:rPr>
        <w:t>Hence there is no contradiction. For the rest, it should be noted that in the Council of Chalcedon, it was not the internal faith of Theodoret and Ibas that was approved, but the confession of faith provided by them; similarly, the Second Council of Constantinople condemned the obvious sense of the writings of Theodoret and Ibas, but not the sense which they perhaps intended but did not express; indeed, it can be said not without foundation that the writings of Theodoret and the letter of Ibas were condemne</w:t>
      </w:r>
      <w:r w:rsidRPr="00E5603A">
        <w:rPr>
          <w:rFonts w:ascii="Times New Roman" w:hAnsi="Times New Roman" w:cs="Times New Roman"/>
        </w:rPr>
        <w:t>d according to the sense in which they were understood by the Nestorians. The same must be said regarding the condemnation of the writings of Nestorius, although their obvious sense quite clearly indicates heresy</w:t>
      </w:r>
      <w:r w:rsidRPr="00E5603A">
        <w:rPr>
          <w:rStyle w:val="FootnoteReference"/>
          <w:rFonts w:ascii="Times New Roman" w:hAnsi="Times New Roman" w:cs="Times New Roman"/>
        </w:rPr>
        <w:footnoteReference w:id="8"/>
      </w:r>
      <w:r w:rsidRPr="00E5603A">
        <w:rPr>
          <w:rFonts w:ascii="Times New Roman" w:hAnsi="Times New Roman" w:cs="Times New Roman"/>
        </w:rPr>
        <w:t>.</w:t>
      </w:r>
    </w:p>
    <w:p w14:paraId="7484B408" w14:textId="77777777" w:rsidR="00BA2F98" w:rsidRPr="00E5603A" w:rsidRDefault="00E5603A">
      <w:pPr>
        <w:pStyle w:val="BodyText"/>
        <w:rPr>
          <w:rFonts w:ascii="Times New Roman" w:hAnsi="Times New Roman" w:cs="Times New Roman"/>
        </w:rPr>
      </w:pPr>
      <w:r w:rsidRPr="00E5603A">
        <w:rPr>
          <w:rFonts w:ascii="Times New Roman" w:hAnsi="Times New Roman" w:cs="Times New Roman"/>
          <w:b/>
          <w:bCs/>
        </w:rPr>
        <w:t xml:space="preserve">V. Concerning the </w:t>
      </w:r>
      <w:proofErr w:type="gramStart"/>
      <w:r w:rsidRPr="00E5603A">
        <w:rPr>
          <w:rFonts w:ascii="Times New Roman" w:hAnsi="Times New Roman" w:cs="Times New Roman"/>
          <w:b/>
          <w:bCs/>
        </w:rPr>
        <w:t>manner in which</w:t>
      </w:r>
      <w:proofErr w:type="gramEnd"/>
      <w:r w:rsidRPr="00E5603A">
        <w:rPr>
          <w:rFonts w:ascii="Times New Roman" w:hAnsi="Times New Roman" w:cs="Times New Roman"/>
          <w:b/>
          <w:bCs/>
        </w:rPr>
        <w:t xml:space="preserve"> the Church </w:t>
      </w:r>
      <w:proofErr w:type="gramStart"/>
      <w:r w:rsidRPr="00E5603A">
        <w:rPr>
          <w:rFonts w:ascii="Times New Roman" w:hAnsi="Times New Roman" w:cs="Times New Roman"/>
          <w:b/>
          <w:bCs/>
        </w:rPr>
        <w:t>judges</w:t>
      </w:r>
      <w:proofErr w:type="gramEnd"/>
      <w:r w:rsidRPr="00E5603A">
        <w:rPr>
          <w:rFonts w:ascii="Times New Roman" w:hAnsi="Times New Roman" w:cs="Times New Roman"/>
          <w:b/>
          <w:bCs/>
        </w:rPr>
        <w:t xml:space="preserve"> dogmatic facts.</w:t>
      </w:r>
      <w:r w:rsidRPr="00E5603A">
        <w:rPr>
          <w:rFonts w:ascii="Times New Roman" w:hAnsi="Times New Roman" w:cs="Times New Roman"/>
        </w:rPr>
        <w:t xml:space="preserve"> — A dogmatic fact can be considered in two ways: </w:t>
      </w:r>
      <w:r w:rsidRPr="00E5603A">
        <w:rPr>
          <w:rFonts w:ascii="Times New Roman" w:hAnsi="Times New Roman" w:cs="Times New Roman"/>
          <w:i/>
          <w:iCs/>
        </w:rPr>
        <w:t>a)</w:t>
      </w:r>
      <w:r w:rsidRPr="00E5603A">
        <w:rPr>
          <w:rFonts w:ascii="Times New Roman" w:hAnsi="Times New Roman" w:cs="Times New Roman"/>
        </w:rPr>
        <w:t xml:space="preserve"> according to itself and as a mere historical fact: and </w:t>
      </w:r>
      <w:proofErr w:type="gramStart"/>
      <w:r w:rsidRPr="00E5603A">
        <w:rPr>
          <w:rFonts w:ascii="Times New Roman" w:hAnsi="Times New Roman" w:cs="Times New Roman"/>
        </w:rPr>
        <w:t>thus</w:t>
      </w:r>
      <w:proofErr w:type="gramEnd"/>
      <w:r w:rsidRPr="00E5603A">
        <w:rPr>
          <w:rFonts w:ascii="Times New Roman" w:hAnsi="Times New Roman" w:cs="Times New Roman"/>
        </w:rPr>
        <w:t xml:space="preserve"> it is outside the scope of the Church’s infallibility; </w:t>
      </w:r>
      <w:r w:rsidRPr="00E5603A">
        <w:rPr>
          <w:rFonts w:ascii="Times New Roman" w:hAnsi="Times New Roman" w:cs="Times New Roman"/>
          <w:i/>
          <w:iCs/>
        </w:rPr>
        <w:t>b)</w:t>
      </w:r>
      <w:r w:rsidRPr="00E5603A">
        <w:rPr>
          <w:rFonts w:ascii="Times New Roman" w:hAnsi="Times New Roman" w:cs="Times New Roman"/>
        </w:rPr>
        <w:t xml:space="preserve"> as it </w:t>
      </w:r>
      <w:proofErr w:type="gramStart"/>
      <w:r w:rsidRPr="00E5603A">
        <w:rPr>
          <w:rFonts w:ascii="Times New Roman" w:hAnsi="Times New Roman" w:cs="Times New Roman"/>
        </w:rPr>
        <w:t>is connected with</w:t>
      </w:r>
      <w:proofErr w:type="gramEnd"/>
      <w:r w:rsidRPr="00E5603A">
        <w:rPr>
          <w:rFonts w:ascii="Times New Roman" w:hAnsi="Times New Roman" w:cs="Times New Roman"/>
        </w:rPr>
        <w:t xml:space="preserve"> some dogma: and </w:t>
      </w:r>
      <w:proofErr w:type="gramStart"/>
      <w:r w:rsidRPr="00E5603A">
        <w:rPr>
          <w:rFonts w:ascii="Times New Roman" w:hAnsi="Times New Roman" w:cs="Times New Roman"/>
        </w:rPr>
        <w:t>thus</w:t>
      </w:r>
      <w:proofErr w:type="gramEnd"/>
      <w:r w:rsidRPr="00E5603A">
        <w:rPr>
          <w:rFonts w:ascii="Times New Roman" w:hAnsi="Times New Roman" w:cs="Times New Roman"/>
        </w:rPr>
        <w:t xml:space="preserve"> it becomes an object of infallibility.</w:t>
      </w:r>
    </w:p>
    <w:p w14:paraId="7484B409" w14:textId="77777777" w:rsidR="00BA2F98" w:rsidRPr="00E5603A" w:rsidRDefault="00E5603A">
      <w:pPr>
        <w:pStyle w:val="BodyText"/>
        <w:rPr>
          <w:rFonts w:ascii="Times New Roman" w:hAnsi="Times New Roman" w:cs="Times New Roman"/>
        </w:rPr>
      </w:pPr>
      <w:r w:rsidRPr="00E5603A">
        <w:rPr>
          <w:rFonts w:ascii="Times New Roman" w:hAnsi="Times New Roman" w:cs="Times New Roman"/>
        </w:rPr>
        <w:t xml:space="preserve">From this follows </w:t>
      </w:r>
      <w:proofErr w:type="gramStart"/>
      <w:r w:rsidRPr="00E5603A">
        <w:rPr>
          <w:rFonts w:ascii="Times New Roman" w:hAnsi="Times New Roman" w:cs="Times New Roman"/>
        </w:rPr>
        <w:t>the manner by which</w:t>
      </w:r>
      <w:proofErr w:type="gramEnd"/>
      <w:r w:rsidRPr="00E5603A">
        <w:rPr>
          <w:rFonts w:ascii="Times New Roman" w:hAnsi="Times New Roman" w:cs="Times New Roman"/>
        </w:rPr>
        <w:t xml:space="preserve"> the Church </w:t>
      </w:r>
      <w:proofErr w:type="gramStart"/>
      <w:r w:rsidRPr="00E5603A">
        <w:rPr>
          <w:rFonts w:ascii="Times New Roman" w:hAnsi="Times New Roman" w:cs="Times New Roman"/>
        </w:rPr>
        <w:t>judges</w:t>
      </w:r>
      <w:proofErr w:type="gramEnd"/>
      <w:r w:rsidRPr="00E5603A">
        <w:rPr>
          <w:rFonts w:ascii="Times New Roman" w:hAnsi="Times New Roman" w:cs="Times New Roman"/>
        </w:rPr>
        <w:t xml:space="preserve"> dogmatic fact </w:t>
      </w:r>
      <w:r w:rsidRPr="00E5603A">
        <w:rPr>
          <w:rFonts w:ascii="Times New Roman" w:hAnsi="Times New Roman" w:cs="Times New Roman"/>
          <w:i/>
          <w:iCs/>
        </w:rPr>
        <w:t>de facto</w:t>
      </w:r>
      <w:r w:rsidRPr="00E5603A">
        <w:rPr>
          <w:rFonts w:ascii="Times New Roman" w:hAnsi="Times New Roman" w:cs="Times New Roman"/>
        </w:rPr>
        <w:t xml:space="preserve">. For a merely historical fact is determined by historical arguments, and the Church by no means neglects arguments of this kind; but a dogmatic fact as such—that is, as connected with the law of doctrine—is adjudicated by dogmatic arguments, that is, by arguing and proceeding from the truth of the dogma which is in question. In this manner the Church properly judges </w:t>
      </w:r>
      <w:proofErr w:type="gramStart"/>
      <w:r w:rsidRPr="00E5603A">
        <w:rPr>
          <w:rFonts w:ascii="Times New Roman" w:hAnsi="Times New Roman" w:cs="Times New Roman"/>
        </w:rPr>
        <w:t>concerning dogmatic fact</w:t>
      </w:r>
      <w:proofErr w:type="gramEnd"/>
      <w:r w:rsidRPr="00E5603A">
        <w:rPr>
          <w:rFonts w:ascii="Times New Roman" w:hAnsi="Times New Roman" w:cs="Times New Roman"/>
        </w:rPr>
        <w:t>, and in such judgment is preserved from error through the</w:t>
      </w:r>
      <w:r w:rsidRPr="00E5603A">
        <w:rPr>
          <w:rFonts w:ascii="Times New Roman" w:hAnsi="Times New Roman" w:cs="Times New Roman"/>
        </w:rPr>
        <w:t xml:space="preserve"> assistance of the Holy Spirit.</w:t>
      </w:r>
    </w:p>
    <w:p w14:paraId="7484B40A" w14:textId="77777777" w:rsidR="00BA2F98" w:rsidRPr="00E5603A" w:rsidRDefault="00E5603A">
      <w:pPr>
        <w:pStyle w:val="BodyText"/>
        <w:rPr>
          <w:rFonts w:ascii="Times New Roman" w:hAnsi="Times New Roman" w:cs="Times New Roman"/>
        </w:rPr>
      </w:pPr>
      <w:r w:rsidRPr="00E5603A">
        <w:rPr>
          <w:rFonts w:ascii="Times New Roman" w:hAnsi="Times New Roman" w:cs="Times New Roman"/>
        </w:rPr>
        <w:t>By this method the Roman Pontiffs condemned propositions excerpted from the book of Jansenius as heretical (a doctrinal judgment) and consequently simply held that the excerpted propositions were truly contained in the said book (a judgment concerning dogmatic fact).</w:t>
      </w:r>
    </w:p>
    <w:bookmarkEnd w:id="2"/>
    <w:bookmarkEnd w:id="1"/>
    <w:bookmarkEnd w:id="0"/>
    <w:sectPr w:rsidR="00BA2F98" w:rsidRPr="00E5603A">
      <w:headerReference w:type="default" r:id="rId8"/>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84B415" w14:textId="77777777" w:rsidR="00E5603A" w:rsidRDefault="00E5603A">
      <w:pPr>
        <w:spacing w:after="0"/>
      </w:pPr>
      <w:r>
        <w:separator/>
      </w:r>
    </w:p>
  </w:endnote>
  <w:endnote w:type="continuationSeparator" w:id="0">
    <w:p w14:paraId="7484B417" w14:textId="77777777" w:rsidR="00E5603A" w:rsidRDefault="00E5603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84B40B" w14:textId="77777777" w:rsidR="00BA2F98" w:rsidRDefault="00E5603A">
      <w:r>
        <w:separator/>
      </w:r>
    </w:p>
  </w:footnote>
  <w:footnote w:type="continuationSeparator" w:id="0">
    <w:p w14:paraId="7484B40C" w14:textId="77777777" w:rsidR="00BA2F98" w:rsidRDefault="00E5603A">
      <w:r>
        <w:continuationSeparator/>
      </w:r>
    </w:p>
  </w:footnote>
  <w:footnote w:id="1">
    <w:p w14:paraId="7484B413" w14:textId="77777777" w:rsidR="00BA2F98" w:rsidRDefault="00E5603A">
      <w:pPr>
        <w:pStyle w:val="FootnoteText"/>
      </w:pPr>
      <w:r>
        <w:rPr>
          <w:rStyle w:val="FootnoteReference"/>
        </w:rPr>
        <w:footnoteRef/>
      </w:r>
      <w:r>
        <w:t xml:space="preserve"> {org. 1} Sess. XXII, can. 6, cf. c. IV; DENZ., 953, 942.</w:t>
      </w:r>
    </w:p>
  </w:footnote>
  <w:footnote w:id="2">
    <w:p w14:paraId="7484B414" w14:textId="77777777" w:rsidR="00BA2F98" w:rsidRDefault="00E5603A">
      <w:pPr>
        <w:pStyle w:val="FootnoteText"/>
      </w:pPr>
      <w:r>
        <w:rPr>
          <w:rStyle w:val="FootnoteReference"/>
        </w:rPr>
        <w:footnoteRef/>
      </w:r>
      <w:r>
        <w:t xml:space="preserve"> {org. 1} DENZ., 1092.</w:t>
      </w:r>
    </w:p>
  </w:footnote>
  <w:footnote w:id="3">
    <w:p w14:paraId="7484B415" w14:textId="77777777" w:rsidR="00BA2F98" w:rsidRDefault="00E5603A">
      <w:pPr>
        <w:pStyle w:val="FootnoteText"/>
      </w:pPr>
      <w:r>
        <w:rPr>
          <w:rStyle w:val="FootnoteReference"/>
        </w:rPr>
        <w:footnoteRef/>
      </w:r>
      <w:r>
        <w:t xml:space="preserve"> </w:t>
      </w:r>
      <w:r>
        <w:t>{org. 2} DENZ., 1098.</w:t>
      </w:r>
    </w:p>
  </w:footnote>
  <w:footnote w:id="4">
    <w:p w14:paraId="7484B416" w14:textId="77777777" w:rsidR="00BA2F98" w:rsidRDefault="00E5603A">
      <w:pPr>
        <w:pStyle w:val="FootnoteText"/>
      </w:pPr>
      <w:r>
        <w:rPr>
          <w:rStyle w:val="FootnoteReference"/>
        </w:rPr>
        <w:footnoteRef/>
      </w:r>
      <w:r>
        <w:t xml:space="preserve"> {org. 3} DENZ., 1099.</w:t>
      </w:r>
    </w:p>
  </w:footnote>
  <w:footnote w:id="5">
    <w:p w14:paraId="7484B417" w14:textId="77777777" w:rsidR="00BA2F98" w:rsidRDefault="00E5603A">
      <w:pPr>
        <w:pStyle w:val="FootnoteText"/>
      </w:pPr>
      <w:r>
        <w:rPr>
          <w:rStyle w:val="FootnoteReference"/>
        </w:rPr>
        <w:footnoteRef/>
      </w:r>
      <w:r>
        <w:t xml:space="preserve"> {org. 4} DENZ., 1350.</w:t>
      </w:r>
    </w:p>
  </w:footnote>
  <w:footnote w:id="6">
    <w:p w14:paraId="7484B418" w14:textId="77777777" w:rsidR="00BA2F98" w:rsidRDefault="00E5603A">
      <w:pPr>
        <w:pStyle w:val="FootnoteText"/>
      </w:pPr>
      <w:r>
        <w:rPr>
          <w:rStyle w:val="FootnoteReference"/>
        </w:rPr>
        <w:footnoteRef/>
      </w:r>
      <w:r>
        <w:t xml:space="preserve"> {org. 1} Thus Cl. DE GROOT writes: “A dogmatic fact is contained in two things: namely, a question of law, whether such a teaching agrees with revealed doctrine or disagrees with it; and a question of fact, whether such a verbal formula or, in the case of Jansenius, such a book contains a teaching of this kind,” p. 318.</w:t>
      </w:r>
    </w:p>
  </w:footnote>
  <w:footnote w:id="7">
    <w:p w14:paraId="7484B419" w14:textId="77777777" w:rsidR="00BA2F98" w:rsidRDefault="00E5603A">
      <w:pPr>
        <w:pStyle w:val="FootnoteText"/>
      </w:pPr>
      <w:r>
        <w:rPr>
          <w:rStyle w:val="FootnoteReference"/>
        </w:rPr>
        <w:footnoteRef/>
      </w:r>
      <w:r>
        <w:t xml:space="preserve"> {org. 1} Cf. TIXERONT, </w:t>
      </w:r>
      <w:r>
        <w:rPr>
          <w:i/>
          <w:iCs/>
        </w:rPr>
        <w:t>History of Dogmas</w:t>
      </w:r>
      <w:r>
        <w:t>, III, ch. III, § 2 and ch. v, § 2 3.</w:t>
      </w:r>
    </w:p>
  </w:footnote>
  <w:footnote w:id="8">
    <w:p w14:paraId="7484B41A" w14:textId="77777777" w:rsidR="00BA2F98" w:rsidRDefault="00E5603A">
      <w:pPr>
        <w:pStyle w:val="FootnoteText"/>
      </w:pPr>
      <w:r>
        <w:rPr>
          <w:rStyle w:val="FootnoteReference"/>
        </w:rPr>
        <w:footnoteRef/>
      </w:r>
      <w:r>
        <w:t xml:space="preserve"> {org. 1} Cf. R. SCHULTES, </w:t>
      </w:r>
      <w:r>
        <w:rPr>
          <w:i/>
          <w:iCs/>
        </w:rPr>
        <w:t>The Doctrinal System of Nestorius, in Katholik</w:t>
      </w:r>
      <w:r>
        <w:t>, 1913; vol. XI, p. 233-247, and vol. XII, p. 126-134.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4B40E" w14:textId="4952CF6F" w:rsidR="00E5603A" w:rsidRDefault="00E5603A">
    <w:pPr>
      <w:pStyle w:val="Header"/>
    </w:pPr>
    <w:r>
      <w:t>Schultes, 1925</w:t>
    </w:r>
    <w:r>
      <w:ptab w:relativeTo="margin" w:alignment="center" w:leader="none"/>
    </w:r>
    <w:r w:rsidRPr="00E5603A">
      <w:t xml:space="preserve"> </w:t>
    </w:r>
    <w:r>
      <w:t>De Ecclesia Catholica</w:t>
    </w:r>
    <w:r>
      <w:ptab w:relativeTo="margin" w:alignment="right" w:leader="none"/>
    </w:r>
    <w:r>
      <w:fldChar w:fldCharType="begin"/>
    </w:r>
    <w:r>
      <w:instrText xml:space="preserve"> PAGE   \* MERGEFORMAT </w:instrText>
    </w:r>
    <w:r>
      <w:fldChar w:fldCharType="separate"/>
    </w:r>
    <w:r>
      <w:rPr>
        <w:noProof/>
      </w:rPr>
      <w:t>1</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010224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E5E245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825462786">
    <w:abstractNumId w:val="0"/>
  </w:num>
  <w:num w:numId="2" w16cid:durableId="1121457182">
    <w:abstractNumId w:val="1"/>
  </w:num>
  <w:num w:numId="3" w16cid:durableId="4685962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A2F98"/>
    <w:rsid w:val="00191878"/>
    <w:rsid w:val="00BA2F98"/>
    <w:rsid w:val="00E560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4B3E7"/>
  <w15:docId w15:val="{A5F5A9C5-F491-4138-8259-54B451789A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6A57CF"/>
    <w:pPr>
      <w:tabs>
        <w:tab w:val="center" w:pos="4680"/>
        <w:tab w:val="right" w:pos="9360"/>
      </w:tabs>
      <w:spacing w:after="0"/>
    </w:pPr>
  </w:style>
  <w:style w:type="character" w:customStyle="1" w:styleId="HeaderChar">
    <w:name w:val="Header Char"/>
    <w:basedOn w:val="DefaultParagraphFont"/>
    <w:link w:val="Header"/>
    <w:rsid w:val="006A57CF"/>
  </w:style>
  <w:style w:type="paragraph" w:styleId="Footer">
    <w:name w:val="footer"/>
    <w:basedOn w:val="Normal"/>
    <w:link w:val="FooterChar"/>
    <w:rsid w:val="006A57CF"/>
    <w:pPr>
      <w:tabs>
        <w:tab w:val="center" w:pos="4680"/>
        <w:tab w:val="right" w:pos="9360"/>
      </w:tabs>
      <w:spacing w:after="0"/>
    </w:pPr>
  </w:style>
  <w:style w:type="character" w:customStyle="1" w:styleId="FooterChar">
    <w:name w:val="Footer Char"/>
    <w:basedOn w:val="DefaultParagraphFont"/>
    <w:link w:val="Footer"/>
    <w:rsid w:val="006A57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isidore.co/misc/Res%20pro%20Deo/ITOPL_OCR-layer-only/5c.%20Ecclesiology%20&amp;%20Mariology/Ecclesiology/Schultes%20OP-%20De%20Ecclesia_OCR.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1669</Words>
  <Characters>8731</Characters>
  <Application>Microsoft Office Word</Application>
  <DocSecurity>0</DocSecurity>
  <Lines>126</Lines>
  <Paragraphs>43</Paragraphs>
  <ScaleCrop>false</ScaleCrop>
  <Company/>
  <LinksUpToDate>false</LinksUpToDate>
  <CharactersWithSpaces>10357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Colin Gordon</cp:lastModifiedBy>
  <cp:revision>2</cp:revision>
  <dcterms:created xsi:type="dcterms:W3CDTF">2025-11-20T16:09:00Z</dcterms:created>
  <dcterms:modified xsi:type="dcterms:W3CDTF">2025-11-20T16:10:00Z</dcterms:modified>
</cp:coreProperties>
</file>