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30ddf525f9b9a3a8ebe019a009a7bceacbf7d4"/>
    <w:p>
      <w:pPr>
        <w:pStyle w:val="Heading1"/>
      </w:pPr>
      <w:r>
        <w:t xml:space="preserve">William of Ockham — Dialogus I Books II &amp; V (selections, Goldast 1614); Compendium of the Errors of Pope John XXII fols. 64r–67r and Dialogus II On the Dogmas of John XXII fols. 1r–5r (incunable 1494)</w:t>
      </w:r>
    </w:p>
    <w:p>
      <w:pPr>
        <w:pStyle w:val="FirstParagraph"/>
      </w:pPr>
      <w:r>
        <w:rPr>
          <w:iCs/>
          <w:i/>
        </w:rPr>
        <w:t xml:space="preserve">Translated 1:1 from the transcription. Speakers and the Master’s recited opinions are marked. Uncertain readings</w:t>
      </w:r>
      <w:r>
        <w:t xml:space="preserve"> </w:t>
      </w:r>
      <w:r>
        <w:t xml:space="preserve">[?]</w:t>
      </w:r>
      <w:r>
        <w:rPr>
          <w:iCs/>
          <w:i/>
        </w:rPr>
        <w:t xml:space="preserve">.</w:t>
      </w:r>
    </w:p>
    <w:bookmarkStart w:id="20" w:name="X650e53ff56aa44a06ffb9903c839edcdc8f4861"/>
    <w:p>
      <w:pPr>
        <w:pStyle w:val="Heading2"/>
      </w:pPr>
      <w:r>
        <w:t xml:space="preserve">BLOCK A–B — Dialogus I lib. II: the taxonomy of catholic truths (cap. I–II) and</w:t>
      </w:r>
      <w:r>
        <w:t xml:space="preserve"> </w:t>
      </w:r>
      <w:r>
        <w:t xml:space="preserve">“</w:t>
      </w:r>
      <w:r>
        <w:t xml:space="preserve">the faith in one alone</w:t>
      </w:r>
      <w:r>
        <w:t xml:space="preserve">”</w:t>
      </w:r>
      <w:r>
        <w:t xml:space="preserve"> </w:t>
      </w:r>
      <w:r>
        <w:t xml:space="preserve">(cap. XXVII) [Goldast 1614]</w:t>
      </w:r>
    </w:p>
    <w:bookmarkEnd w:id="20"/>
    <w:bookmarkStart w:id="23" w:name="block-a-lib.-ii-cap.-iii"/>
    <w:p>
      <w:pPr>
        <w:pStyle w:val="Heading2"/>
      </w:pPr>
      <w:r>
        <w:t xml:space="preserve">BLOCK A — lib. II cap. I–II</w:t>
      </w:r>
    </w:p>
    <w:bookmarkStart w:id="21" w:name="cap.-i"/>
    <w:p>
      <w:pPr>
        <w:pStyle w:val="Heading3"/>
      </w:pPr>
      <w:r>
        <w:t xml:space="preserve">Cap. I</w:t>
      </w:r>
    </w:p>
    <w:p>
      <w:pPr>
        <w:pStyle w:val="FirstParagraph"/>
      </w:pPr>
      <w:r>
        <w:rPr>
          <w:iCs/>
          <w:i/>
        </w:rPr>
        <w:t xml:space="preserve">(Goldast’s printed chapter-title, printed p. 410:)</w:t>
      </w:r>
      <w:r>
        <w:t xml:space="preserve"> </w:t>
      </w:r>
      <w:r>
        <w:rPr>
          <w:iCs/>
          <w:i/>
        </w:rPr>
        <w:t xml:space="preserve">In quo primum proponitur quaestio, quae veritates sint catholicae censendae, ad quam respondetur secundum unam opinionem, dicentem: quod illae solae veritates sunt catholicae et de necessitate salutis tenendae, quae in canone Bibliae explicite vel implicite continentur sub propria forma, aut ex contentis consequentia formali et necessaria sequuntur.</w:t>
      </w:r>
    </w:p>
    <w:p>
      <w:pPr>
        <w:pStyle w:val="BodyText"/>
      </w:pPr>
      <w:r>
        <w:rPr>
          <w:iCs/>
          <w:i/>
        </w:rP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p>
      <w:pPr>
        <w:pStyle w:val="BodyText"/>
      </w:pPr>
      <w:r>
        <w:rPr>
          <w:iCs/>
          <w:i/>
        </w:rP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rPr>
          <w:iCs/>
          <w:i/>
        </w:rPr>
        <w:t xml:space="preserve"> </w:t>
      </w:r>
      <w:r>
        <w:rPr>
          <w:iCs/>
          <w:i/>
        </w:rPr>
        <w:t xml:space="preserve">“</w:t>
      </w:r>
      <w:r>
        <w:rPr>
          <w:iCs/>
          <w:i/>
        </w:rPr>
        <w:t xml:space="preserve">Christ is true God and true man</w:t>
      </w:r>
      <w:r>
        <w:rPr>
          <w:iCs/>
          <w:i/>
        </w:rPr>
        <w:t xml:space="preserve">”</w:t>
      </w:r>
      <w:r>
        <w:rPr>
          <w:iCs/>
          <w:i/>
        </w:rP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p>
      <w:pPr>
        <w:pStyle w:val="BodyText"/>
      </w:pPr>
      <w:r>
        <w:rPr>
          <w:iCs/>
          <w:i/>
        </w:rPr>
        <w:t xml:space="preserve">They strive to confirm this opinion of theirs by reasons and authorities. The first authority is Solomon’s, Proverbs 30:</w:t>
      </w:r>
      <w:r>
        <w:rPr>
          <w:iCs/>
          <w:i/>
        </w:rPr>
        <w:t xml:space="preserve"> </w:t>
      </w:r>
      <w:r>
        <w:rPr>
          <w:iCs/>
          <w:i/>
        </w:rPr>
        <w:t xml:space="preserve">“</w:t>
      </w:r>
      <w:r>
        <w:rPr>
          <w:iCs/>
          <w:i/>
        </w:rPr>
        <w:t xml:space="preserve">every word of God is a fiery shield to all that hope in him; add nothing to his words, lest thou be reproved and found a liar.</w:t>
      </w:r>
      <w:r>
        <w:rPr>
          <w:iCs/>
          <w:i/>
        </w:rPr>
        <w:t xml:space="preserve">”</w:t>
      </w:r>
      <w:r>
        <w:rPr>
          <w:iCs/>
          <w:i/>
        </w:rPr>
        <w:t xml:space="preserve"> </w:t>
      </w:r>
      <w:r>
        <w:rPr>
          <w:iCs/>
          <w:i/>
        </w:rP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p>
      <w:pPr>
        <w:pStyle w:val="BodyText"/>
      </w:pPr>
      <w:r>
        <w:rPr>
          <w:iCs/>
          <w:i/>
        </w:rPr>
        <w:t xml:space="preserve">They try to show this opinion by the authority of Augustine. Whence Augustine in a certain letter to Jerome, and it is recited in the Decretum, distinction 9, chapter</w:t>
      </w:r>
      <w:r>
        <w:rPr>
          <w:iCs/>
          <w:i/>
        </w:rPr>
        <w:t xml:space="preserve"> </w:t>
      </w:r>
      <w:r>
        <w:rPr>
          <w:iCs/>
          <w:i/>
        </w:rPr>
        <w:t xml:space="preserve">“</w:t>
      </w:r>
      <w:r>
        <w:rPr>
          <w:iCs/>
          <w:i/>
        </w:rPr>
        <w:t xml:space="preserve">Ego,</w:t>
      </w:r>
      <w:r>
        <w:rPr>
          <w:iCs/>
          <w:i/>
        </w:rPr>
        <w:t xml:space="preserve">”</w:t>
      </w:r>
      <w:r>
        <w:rPr>
          <w:iCs/>
          <w:i/>
        </w:rPr>
        <w:t xml:space="preserve"> </w:t>
      </w:r>
      <w:r>
        <w:rPr>
          <w:iCs/>
          <w:i/>
        </w:rPr>
        <w:t xml:space="preserve">says:</w:t>
      </w:r>
      <w:r>
        <w:rPr>
          <w:iCs/>
          <w:i/>
        </w:rPr>
        <w:t xml:space="preserve"> </w:t>
      </w:r>
      <w:r>
        <w:rPr>
          <w:iCs/>
          <w:i/>
        </w:rPr>
        <w:t xml:space="preserve">“</w:t>
      </w:r>
      <w:r>
        <w:rPr>
          <w:iCs/>
          <w:i/>
        </w:rP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rPr>
          <w:iCs/>
          <w:i/>
        </w:rPr>
        <w:t xml:space="preserve">”</w:t>
      </w:r>
      <w:r>
        <w:rPr>
          <w:iCs/>
          <w:i/>
        </w:rPr>
        <w:t xml:space="preserve"> </w:t>
      </w:r>
      <w:r>
        <w:rPr>
          <w:iCs/>
          <w:i/>
        </w:rPr>
        <w:t xml:space="preserve">From these words it is gathered that it is necessary to adhere firmly only to the canonical books contained in the Bible; and that it is not necessary for salvation to adhere firmly to the assertions of others.</w:t>
      </w:r>
    </w:p>
    <w:p>
      <w:pPr>
        <w:pStyle w:val="BodyText"/>
      </w:pPr>
      <w:r>
        <w:rPr>
          <w:iCs/>
          <w:i/>
        </w:rPr>
        <w:t xml:space="preserve">The same Augustine seems clearly to determine in the book</w:t>
      </w:r>
      <w:r>
        <w:rPr>
          <w:iCs/>
          <w:i/>
        </w:rPr>
        <w:t xml:space="preserve"> </w:t>
      </w:r>
      <w:r>
        <w:rPr>
          <w:iCs/>
          <w:i/>
        </w:rPr>
        <w:t xml:space="preserve">“</w:t>
      </w:r>
      <w:r>
        <w:rPr>
          <w:iCs/>
          <w:i/>
        </w:rPr>
        <w:t xml:space="preserve">On the one Baptism,</w:t>
      </w:r>
      <w:r>
        <w:rPr>
          <w:iCs/>
          <w:i/>
        </w:rPr>
        <w:t xml:space="preserve">”</w:t>
      </w:r>
      <w:r>
        <w:rPr>
          <w:iCs/>
          <w:i/>
        </w:rPr>
        <w:t xml:space="preserve"> </w:t>
      </w:r>
      <w:r>
        <w:rPr>
          <w:iCs/>
          <w:i/>
        </w:rPr>
        <w:t xml:space="preserve">as it is recited in distinction 9, chapter</w:t>
      </w:r>
      <w:r>
        <w:rPr>
          <w:iCs/>
          <w:i/>
        </w:rPr>
        <w:t xml:space="preserve"> </w:t>
      </w:r>
      <w:r>
        <w:rPr>
          <w:iCs/>
          <w:i/>
        </w:rPr>
        <w:t xml:space="preserve">“</w:t>
      </w:r>
      <w:r>
        <w:rPr>
          <w:iCs/>
          <w:i/>
        </w:rPr>
        <w:t xml:space="preserve">Quis nesciat,</w:t>
      </w:r>
      <w:r>
        <w:rPr>
          <w:iCs/>
          <w:i/>
        </w:rPr>
        <w:t xml:space="preserve">”</w:t>
      </w:r>
      <w:r>
        <w:rPr>
          <w:iCs/>
          <w:i/>
        </w:rPr>
        <w:t xml:space="preserve"> </w:t>
      </w:r>
      <w:r>
        <w:rPr>
          <w:iCs/>
          <w:i/>
        </w:rPr>
        <w:t xml:space="preserve">when he says:</w:t>
      </w:r>
      <w:r>
        <w:rPr>
          <w:iCs/>
          <w:i/>
        </w:rPr>
        <w:t xml:space="preserve"> </w:t>
      </w:r>
      <w:r>
        <w:rPr>
          <w:iCs/>
          <w:i/>
        </w:rPr>
        <w:t xml:space="preserve">“</w:t>
      </w:r>
      <w:r>
        <w:rPr>
          <w:iCs/>
          <w:i/>
        </w:rP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rPr>
          <w:iCs/>
          <w:i/>
        </w:rPr>
        <w:t xml:space="preserve">”</w:t>
      </w:r>
      <w:r>
        <w:rPr>
          <w:iCs/>
          <w:i/>
        </w:rPr>
        <w:t xml:space="preserve"> </w:t>
      </w:r>
      <w:r>
        <w:rPr>
          <w:iCs/>
          <w:i/>
        </w:rP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p>
      <w:pPr>
        <w:pStyle w:val="BodyText"/>
      </w:pPr>
      <w:r>
        <w:rPr>
          <w:iCs/>
          <w:i/>
        </w:rPr>
        <w:t xml:space="preserve">Again Augustine, in the letter to Vincentius (cited in the aforesaid distinction, chapter</w:t>
      </w:r>
      <w:r>
        <w:rPr>
          <w:iCs/>
          <w:i/>
        </w:rPr>
        <w:t xml:space="preserve"> </w:t>
      </w:r>
      <w:r>
        <w:rPr>
          <w:iCs/>
          <w:i/>
        </w:rPr>
        <w:t xml:space="preserve">“</w:t>
      </w:r>
      <w:r>
        <w:rPr>
          <w:iCs/>
          <w:i/>
        </w:rPr>
        <w:t xml:space="preserve">noli</w:t>
      </w:r>
      <w:r>
        <w:rPr>
          <w:iCs/>
          <w:i/>
        </w:rPr>
        <w:t xml:space="preserve">”</w:t>
      </w:r>
      <w:r>
        <w:rPr>
          <w:iCs/>
          <w:i/>
        </w:rPr>
        <w:t xml:space="preserve">), speaking of writings later than the New and Old Testament, says:</w:t>
      </w:r>
      <w:r>
        <w:rPr>
          <w:iCs/>
          <w:i/>
        </w:rPr>
        <w:t xml:space="preserve"> </w:t>
      </w:r>
      <w:r>
        <w:rPr>
          <w:iCs/>
          <w:i/>
        </w:rPr>
        <w:t xml:space="preserve">“</w:t>
      </w:r>
      <w:r>
        <w:rPr>
          <w:iCs/>
          <w:i/>
        </w:rPr>
        <w:t xml:space="preserve">this kind of writing must be distinguished from the authority of the canon; for they are not read as though testimony were adduced from them such that one may not think otherwise, where perhaps they have thought otherwise than the truth demands.</w:t>
      </w:r>
      <w:r>
        <w:rPr>
          <w:iCs/>
          <w:i/>
        </w:rPr>
        <w:t xml:space="preserve">”</w:t>
      </w:r>
      <w:r>
        <w:rPr>
          <w:iCs/>
          <w:i/>
        </w:rPr>
        <w:t xml:space="preserve"> </w:t>
      </w:r>
      <w:r>
        <w:rPr>
          <w:iCs/>
          <w:i/>
        </w:rPr>
        <w:t xml:space="preserve">From this it is held that against every kind of writing after the canon of the Bible it is permitted to hold a contrary view. With this Augustine seems to agree in the letter to Fortunatus (had in the aforesaid distinction, chapter</w:t>
      </w:r>
      <w:r>
        <w:rPr>
          <w:iCs/>
          <w:i/>
        </w:rPr>
        <w:t xml:space="preserve"> </w:t>
      </w:r>
      <w:r>
        <w:rPr>
          <w:iCs/>
          <w:i/>
        </w:rPr>
        <w:t xml:space="preserve">“</w:t>
      </w:r>
      <w:r>
        <w:rPr>
          <w:iCs/>
          <w:i/>
        </w:rPr>
        <w:t xml:space="preserve">Neque</w:t>
      </w:r>
      <w:r>
        <w:rPr>
          <w:iCs/>
          <w:i/>
        </w:rPr>
        <w:t xml:space="preserve">”</w:t>
      </w:r>
      <w:r>
        <w:rPr>
          <w:iCs/>
          <w:i/>
        </w:rPr>
        <w:t xml:space="preserve">), who says:</w:t>
      </w:r>
      <w:r>
        <w:rPr>
          <w:iCs/>
          <w:i/>
        </w:rPr>
        <w:t xml:space="preserve"> </w:t>
      </w:r>
      <w:r>
        <w:rPr>
          <w:iCs/>
          <w:i/>
        </w:rPr>
        <w:t xml:space="preserve">“</w:t>
      </w:r>
      <w:r>
        <w:rPr>
          <w:iCs/>
          <w:i/>
        </w:rPr>
        <w:t xml:space="preserve">nor ought we to hold the disputations of anyone whatever</w:t>
      </w:r>
      <w:r>
        <w:rPr>
          <w:iCs/>
          <w:i/>
        </w:rPr>
        <w:t xml:space="preserve">”</w:t>
      </w:r>
      <w:r>
        <w:rPr>
          <w:iCs/>
          <w:i/>
        </w:rPr>
        <w:t xml:space="preserve"> </w:t>
      </w:r>
      <w:r>
        <w:rPr>
          <w:iCs/>
          <w:i/>
        </w:rPr>
        <w:t xml:space="preserve">(that is, expounding according to the gloss, however catholic and praised the men)</w:t>
      </w:r>
      <w:r>
        <w:rPr>
          <w:iCs/>
          <w:i/>
        </w:rPr>
        <w:t xml:space="preserve"> </w:t>
      </w:r>
      <w:r>
        <w:rPr>
          <w:iCs/>
          <w:i/>
        </w:rPr>
        <w:t xml:space="preserve">“</w:t>
      </w:r>
      <w:r>
        <w:rPr>
          <w:iCs/>
          <w:i/>
        </w:rP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rPr>
          <w:iCs/>
          <w:i/>
        </w:rPr>
        <w:t xml:space="preserve">”</w:t>
      </w:r>
      <w:r>
        <w:rPr>
          <w:iCs/>
          <w:i/>
        </w:rPr>
        <w:t xml:space="preserve"> </w:t>
      </w:r>
      <w:r>
        <w:rPr>
          <w:iCs/>
          <w:i/>
        </w:rPr>
        <w:t xml:space="preserve">From this it is concluded that no one is bound to assent firmly to any assertions whatever which are not had in the canonical scriptures.</w:t>
      </w:r>
    </w:p>
    <w:p>
      <w:pPr>
        <w:pStyle w:val="BodyText"/>
      </w:pPr>
      <w:r>
        <w:rPr>
          <w:iCs/>
          <w:i/>
        </w:rPr>
        <w:t xml:space="preserve">Again, concerning the truths that Augustine taught, they show, according to the same Augustine, that no one is bound to receive them of necessity for salvation unless they are had in the canonical scriptures. For in the book</w:t>
      </w:r>
      <w:r>
        <w:rPr>
          <w:iCs/>
          <w:i/>
        </w:rPr>
        <w:t xml:space="preserve"> </w:t>
      </w:r>
      <w:r>
        <w:rPr>
          <w:iCs/>
          <w:i/>
        </w:rPr>
        <w:t xml:space="preserve">“</w:t>
      </w:r>
      <w:r>
        <w:rPr>
          <w:iCs/>
          <w:i/>
        </w:rPr>
        <w:t xml:space="preserve">On the Trinity,</w:t>
      </w:r>
      <w:r>
        <w:rPr>
          <w:iCs/>
          <w:i/>
        </w:rPr>
        <w:t xml:space="preserve">”</w:t>
      </w:r>
      <w:r>
        <w:rPr>
          <w:iCs/>
          <w:i/>
        </w:rPr>
        <w:t xml:space="preserve"> </w:t>
      </w:r>
      <w:r>
        <w:rPr>
          <w:iCs/>
          <w:i/>
        </w:rPr>
        <w:t xml:space="preserve">as is recited in distinction 19, chapter</w:t>
      </w:r>
      <w:r>
        <w:rPr>
          <w:iCs/>
          <w:i/>
        </w:rPr>
        <w:t xml:space="preserve"> </w:t>
      </w:r>
      <w:r>
        <w:rPr>
          <w:iCs/>
          <w:i/>
        </w:rPr>
        <w:t xml:space="preserve">“</w:t>
      </w:r>
      <w:r>
        <w:rPr>
          <w:iCs/>
          <w:i/>
        </w:rPr>
        <w:t xml:space="preserve">noli,</w:t>
      </w:r>
      <w:r>
        <w:rPr>
          <w:iCs/>
          <w:i/>
        </w:rPr>
        <w:t xml:space="preserve">”</w:t>
      </w:r>
      <w:r>
        <w:rPr>
          <w:iCs/>
          <w:i/>
        </w:rPr>
        <w:t xml:space="preserve"> </w:t>
      </w:r>
      <w:r>
        <w:rPr>
          <w:iCs/>
          <w:i/>
        </w:rPr>
        <w:t xml:space="preserve">he says:</w:t>
      </w:r>
      <w:r>
        <w:rPr>
          <w:iCs/>
          <w:i/>
        </w:rPr>
        <w:t xml:space="preserve"> </w:t>
      </w:r>
      <w:r>
        <w:rPr>
          <w:iCs/>
          <w:i/>
        </w:rPr>
        <w:t xml:space="preserve">“</w:t>
      </w:r>
      <w:r>
        <w:rPr>
          <w:iCs/>
          <w:i/>
        </w:rP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rPr>
          <w:iCs/>
          <w:i/>
        </w:rPr>
        <w:t xml:space="preserve">”</w:t>
      </w:r>
      <w:r>
        <w:rPr>
          <w:iCs/>
          <w:i/>
        </w:rPr>
        <w:t xml:space="preserve"> </w:t>
      </w:r>
      <w:r>
        <w:rPr>
          <w:iCs/>
          <w:i/>
        </w:rPr>
        <w:t xml:space="preserve">And in the letter to Vincentius Victor, book 2 (had in distinction 9, chapter</w:t>
      </w:r>
      <w:r>
        <w:rPr>
          <w:iCs/>
          <w:i/>
        </w:rPr>
        <w:t xml:space="preserve"> </w:t>
      </w:r>
      <w:r>
        <w:rPr>
          <w:iCs/>
          <w:i/>
        </w:rPr>
        <w:t xml:space="preserve">“</w:t>
      </w:r>
      <w:r>
        <w:rPr>
          <w:iCs/>
          <w:i/>
        </w:rPr>
        <w:t xml:space="preserve">negare</w:t>
      </w:r>
      <w:r>
        <w:rPr>
          <w:iCs/>
          <w:i/>
        </w:rPr>
        <w:t xml:space="preserve">”</w:t>
      </w:r>
      <w:r>
        <w:rPr>
          <w:iCs/>
          <w:i/>
        </w:rPr>
        <w:t xml:space="preserve">), he says:</w:t>
      </w:r>
      <w:r>
        <w:rPr>
          <w:iCs/>
          <w:i/>
        </w:rPr>
        <w:t xml:space="preserve"> </w:t>
      </w:r>
      <w:r>
        <w:rPr>
          <w:iCs/>
          <w:i/>
        </w:rPr>
        <w:t xml:space="preserve">“</w:t>
      </w:r>
      <w:r>
        <w:rPr>
          <w:iCs/>
          <w:i/>
        </w:rPr>
        <w:t xml:space="preserve">I cannot and ought not to deny that, as it is in the greater writers, so there are many things in my so many little works that can be blamed by a just judgment and with no rashness.</w:t>
      </w:r>
      <w:r>
        <w:rPr>
          <w:iCs/>
          <w:i/>
        </w:rPr>
        <w:t xml:space="preserve">”</w:t>
      </w:r>
      <w:r>
        <w:rPr>
          <w:iCs/>
          <w:i/>
        </w:rPr>
        <w:t xml:space="preserve"> </w:t>
      </w:r>
      <w:r>
        <w:rPr>
          <w:iCs/>
          <w:i/>
        </w:rPr>
        <w:t xml:space="preserve">From this it is concluded that it is not necessary to adhere without hesitation to the writings of blessed Augustine. Therefore by the same reasoning neither to the writings of any others who are not among the writers of the Bible.</w:t>
      </w:r>
    </w:p>
    <w:p>
      <w:pPr>
        <w:pStyle w:val="BodyText"/>
      </w:pPr>
      <w:r>
        <w:rPr>
          <w:iCs/>
          <w:i/>
        </w:rP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rPr>
          <w:iCs/>
          <w:i/>
        </w:rPr>
        <w:t xml:space="preserve"> </w:t>
      </w:r>
      <w:r>
        <w:rPr>
          <w:iCs/>
          <w:i/>
        </w:rPr>
        <w:t xml:space="preserve">“</w:t>
      </w:r>
      <w:r>
        <w:rPr>
          <w:iCs/>
          <w:i/>
        </w:rPr>
        <w:t xml:space="preserve">what does not have its authority from the scriptures is despised with the same ease with which it is proved</w:t>
      </w:r>
      <w:r>
        <w:rPr>
          <w:iCs/>
          <w:i/>
        </w:rPr>
        <w:t xml:space="preserve">”</w:t>
      </w:r>
      <w:r>
        <w:rPr>
          <w:iCs/>
          <w:i/>
        </w:rPr>
        <w:t xml:space="preserve">; therefore no authority which does not have its authority from the Scriptures is to be counted among catholic truths.</w:t>
      </w:r>
    </w:p>
    <w:bookmarkEnd w:id="21"/>
    <w:bookmarkStart w:id="22" w:name="cap.-ii"/>
    <w:p>
      <w:pPr>
        <w:pStyle w:val="Heading3"/>
      </w:pPr>
      <w:r>
        <w:t xml:space="preserve">Cap. II</w:t>
      </w:r>
    </w:p>
    <w:p>
      <w:pPr>
        <w:pStyle w:val="FirstParagraph"/>
      </w:pPr>
      <w:r>
        <w:rPr>
          <w:iCs/>
          <w:i/>
        </w:rPr>
        <w:t xml:space="preserve">(Goldast’s printed chapter-title, printed p. 411:)</w:t>
      </w:r>
      <w:r>
        <w:t xml:space="preserve"> </w:t>
      </w:r>
      <w:r>
        <w:rPr>
          <w:iCs/>
          <w:i/>
        </w:rPr>
        <w:t xml:space="preserve">In quo ponitur opinio praecedenti contraria, distinguens diversas veritates, sed magis et minus ad fidem catholicam pertinentes, quae etiam capitulo sequenti probatur.</w:t>
      </w:r>
    </w:p>
    <w:p>
      <w:pPr>
        <w:pStyle w:val="BodyText"/>
      </w:pPr>
      <w:r>
        <w:rPr>
          <w:iCs/>
          <w:i/>
        </w:rP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p>
      <w:pPr>
        <w:pStyle w:val="BodyText"/>
      </w:pPr>
      <w:r>
        <w:rPr>
          <w:iCs/>
          <w:i/>
        </w:rP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p>
      <w:pPr>
        <w:pStyle w:val="BodyText"/>
      </w:pPr>
      <w:r>
        <w:rPr>
          <w:iCs/>
          <w:i/>
        </w:rP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rPr>
          <w:iCs/>
          <w:i/>
        </w:rPr>
        <w:t xml:space="preserve"> </w:t>
      </w:r>
      <w:r>
        <w:rPr>
          <w:iCs/>
          <w:i/>
        </w:rPr>
        <w:t xml:space="preserve">“</w:t>
      </w:r>
      <w:r>
        <w:rPr>
          <w:iCs/>
          <w:i/>
        </w:rPr>
        <w:t xml:space="preserve">was to teach the Apostles all truth</w:t>
      </w:r>
      <w:r>
        <w:rPr>
          <w:iCs/>
          <w:i/>
        </w:rPr>
        <w:t xml:space="preserve">”</w:t>
      </w:r>
      <w:r>
        <w:rPr>
          <w:iCs/>
          <w:i/>
        </w:rP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p>
      <w:pPr>
        <w:pStyle w:val="BodyText"/>
      </w:pPr>
      <w:r>
        <w:rPr>
          <w:iCs/>
          <w:i/>
        </w:rP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rPr>
          <w:iCs/>
          <w:i/>
        </w:rPr>
        <w:t xml:space="preserve"> </w:t>
      </w:r>
      <w:r>
        <w:rPr>
          <w:iCs/>
          <w:i/>
        </w:rPr>
        <w:t xml:space="preserve">“</w:t>
      </w:r>
      <w:r>
        <w:rPr>
          <w:iCs/>
          <w:i/>
        </w:rPr>
        <w:t xml:space="preserve">The rules instituted by the holy Fathers (namely Basil, Benedict, Augustine, and Francis) are lawful, meritorious, and perfect.</w:t>
      </w:r>
      <w:r>
        <w:rPr>
          <w:iCs/>
          <w:i/>
        </w:rPr>
        <w:t xml:space="preserve">”</w:t>
      </w:r>
      <w:r>
        <w:rPr>
          <w:iCs/>
          <w:i/>
        </w:rPr>
        <w:t xml:space="preserve"> </w:t>
      </w:r>
      <w:r>
        <w:rPr>
          <w:iCs/>
          <w:i/>
        </w:rP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p>
      <w:pPr>
        <w:pStyle w:val="BodyText"/>
      </w:pPr>
      <w:r>
        <w:rPr>
          <w:iCs/>
          <w:i/>
        </w:rPr>
        <w:t xml:space="preserve">Such truths also are these:</w:t>
      </w:r>
      <w:r>
        <w:rPr>
          <w:iCs/>
          <w:i/>
        </w:rPr>
        <w:t xml:space="preserve"> </w:t>
      </w:r>
      <w:r>
        <w:rPr>
          <w:iCs/>
          <w:i/>
        </w:rPr>
        <w:t xml:space="preserve">“</w:t>
      </w:r>
      <w:r>
        <w:rPr>
          <w:iCs/>
          <w:i/>
        </w:rPr>
        <w:t xml:space="preserve">the faith which blessed Augustine held was and is to be reckoned catholic</w:t>
      </w:r>
      <w:r>
        <w:rPr>
          <w:iCs/>
          <w:i/>
        </w:rPr>
        <w:t xml:space="preserve">”</w:t>
      </w:r>
      <w:r>
        <w:rPr>
          <w:iCs/>
          <w:i/>
        </w:rPr>
        <w:t xml:space="preserve">;</w:t>
      </w:r>
      <w:r>
        <w:rPr>
          <w:iCs/>
          <w:i/>
        </w:rPr>
        <w:t xml:space="preserve"> </w:t>
      </w:r>
      <w:r>
        <w:rPr>
          <w:iCs/>
          <w:i/>
        </w:rPr>
        <w:t xml:space="preserve">“</w:t>
      </w:r>
      <w:r>
        <w:rPr>
          <w:iCs/>
          <w:i/>
        </w:rPr>
        <w:t xml:space="preserve">the Athanasian Creed is to be reckoned catholic and faithful</w:t>
      </w:r>
      <w:r>
        <w:rPr>
          <w:iCs/>
          <w:i/>
        </w:rPr>
        <w:t xml:space="preserve">”</w:t>
      </w:r>
      <w:r>
        <w:rPr>
          <w:iCs/>
          <w:i/>
        </w:rPr>
        <w:t xml:space="preserve">;</w:t>
      </w:r>
      <w:r>
        <w:rPr>
          <w:iCs/>
          <w:i/>
        </w:rPr>
        <w:t xml:space="preserve"> </w:t>
      </w:r>
      <w:r>
        <w:rPr>
          <w:iCs/>
          <w:i/>
        </w:rPr>
        <w:t xml:space="preserve">“</w:t>
      </w:r>
      <w:r>
        <w:rPr>
          <w:iCs/>
          <w:i/>
        </w:rPr>
        <w:t xml:space="preserve">the four holy general councils duly celebrated defined catholic truth</w:t>
      </w:r>
      <w:r>
        <w:rPr>
          <w:iCs/>
          <w:i/>
        </w:rPr>
        <w:t xml:space="preserve">”</w:t>
      </w:r>
      <w:r>
        <w:rPr>
          <w:iCs/>
          <w:i/>
        </w:rP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rPr>
          <w:iCs/>
          <w:i/>
        </w:rPr>
        <w:t xml:space="preserve"> </w:t>
      </w:r>
      <w:r>
        <w:rPr>
          <w:iCs/>
          <w:i/>
        </w:rPr>
        <w:t xml:space="preserve">“</w:t>
      </w:r>
      <w:r>
        <w:rPr>
          <w:iCs/>
          <w:i/>
        </w:rPr>
        <w:t xml:space="preserve">catholic</w:t>
      </w:r>
      <w:r>
        <w:rPr>
          <w:iCs/>
          <w:i/>
        </w:rPr>
        <w:t xml:space="preserve">”</w:t>
      </w:r>
      <w:r>
        <w:rPr>
          <w:iCs/>
          <w:i/>
        </w:rPr>
        <w:t xml:space="preserve"> </w:t>
      </w:r>
      <w:r>
        <w:rPr>
          <w:iCs/>
          <w:i/>
        </w:rPr>
        <w:t xml:space="preserve">strictly, but they say they savour of catholic truth, even if they be inferred from other true things. And therefore, as they say, taking</w:t>
      </w:r>
      <w:r>
        <w:rPr>
          <w:iCs/>
          <w:i/>
        </w:rPr>
        <w:t xml:space="preserve"> </w:t>
      </w:r>
      <w:r>
        <w:rPr>
          <w:iCs/>
          <w:i/>
        </w:rPr>
        <w:t xml:space="preserve">“</w:t>
      </w:r>
      <w:r>
        <w:rPr>
          <w:iCs/>
          <w:i/>
        </w:rPr>
        <w:t xml:space="preserve">catholic truths</w:t>
      </w:r>
      <w:r>
        <w:rPr>
          <w:iCs/>
          <w:i/>
        </w:rPr>
        <w:t xml:space="preserve">”</w:t>
      </w:r>
      <w:r>
        <w:rPr>
          <w:iCs/>
          <w:i/>
        </w:rPr>
        <w:t xml:space="preserve"> </w:t>
      </w:r>
      <w:r>
        <w:rPr>
          <w:iCs/>
          <w:i/>
        </w:rPr>
        <w:t xml:space="preserve">broadly, they can be called catholic truths; and those truths which they say savour of catholic truth they judge to be held by every faithful person, at least implicitly.</w:t>
      </w:r>
    </w:p>
    <w:p>
      <w:pPr>
        <w:pStyle w:val="BodyText"/>
      </w:pPr>
      <w:r>
        <w:rPr>
          <w:iCs/>
          <w:i/>
        </w:rP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p>
      <w:pPr>
        <w:pStyle w:val="BodyText"/>
      </w:pPr>
      <w:r>
        <w:rPr>
          <w:iCs/>
          <w:i/>
        </w:rPr>
        <w:t xml:space="preserve">(Here Goldast’s Cap. II ends; Cap. III —</w:t>
      </w:r>
      <w:r>
        <w:rPr>
          <w:iCs/>
          <w:i/>
        </w:rPr>
        <w:t xml:space="preserve"> </w:t>
      </w:r>
      <w:r>
        <w:rPr>
          <w:iCs/>
          <w:i/>
        </w:rPr>
        <w:t xml:space="preserve">“</w:t>
      </w:r>
      <w:r>
        <w:rPr>
          <w:iCs/>
          <w:i/>
        </w:rPr>
        <w:t xml:space="preserve">In quo probatur opinio posita capitulo praecedenti auctoritatibus et quinque rationibus</w:t>
      </w:r>
      <w:r>
        <w:rPr>
          <w:iCs/>
          <w:i/>
        </w:rPr>
        <w:t xml:space="preserve">”</w:t>
      </w:r>
      <w:r>
        <w:rPr>
          <w:iCs/>
          <w:i/>
        </w:rPr>
        <w:t xml:space="preserve"> </w:t>
      </w:r>
      <w:r>
        <w:rPr>
          <w:iCs/>
          <w:i/>
        </w:rPr>
        <w:t xml:space="preserve">— follows on printed p. 412 and is outside the requested scope.)</w:t>
      </w:r>
    </w:p>
    <w:bookmarkEnd w:id="22"/>
    <w:bookmarkEnd w:id="23"/>
    <w:bookmarkStart w:id="25" w:name="X84446ae0116d37dda1bf80139007611a7d18307"/>
    <w:p>
      <w:pPr>
        <w:pStyle w:val="Heading2"/>
      </w:pPr>
      <w:r>
        <w:t xml:space="preserve">BLOCK B — lib. II cap. XXVII (= Goldast</w:t>
      </w:r>
      <w:r>
        <w:t xml:space="preserve"> </w:t>
      </w:r>
      <w:r>
        <w:rPr>
          <w:bCs/>
          <w:b/>
        </w:rPr>
        <w:t xml:space="preserve">Cap. XXV</w:t>
      </w:r>
      <w:r>
        <w:t xml:space="preserve">)</w:t>
      </w:r>
    </w:p>
    <w:p>
      <w:pPr>
        <w:pStyle w:val="FirstParagraph"/>
      </w:pPr>
      <w:r>
        <w:rPr>
          <w:iCs/>
          <w:i/>
        </w:rPr>
        <w:t xml:space="preserve">This is the chapter the task numbers cap. XXVII; Goldast prints it as Cap. XXV (printed pp. 428–430). It contains both the Formosus/Sergius passage and the</w:t>
      </w:r>
      <w:r>
        <w:rPr>
          <w:iCs/>
          <w:i/>
        </w:rPr>
        <w:t xml:space="preserve"> </w:t>
      </w:r>
      <w:r>
        <w:rPr>
          <w:iCs/>
          <w:i/>
        </w:rPr>
        <w:t xml:space="preserve">“</w:t>
      </w:r>
      <w:r>
        <w:rPr>
          <w:iCs/>
          <w:i/>
        </w:rPr>
        <w:t xml:space="preserve">in uno solo … beata virgine</w:t>
      </w:r>
      <w:r>
        <w:rPr>
          <w:iCs/>
          <w:i/>
        </w:rPr>
        <w:t xml:space="preserve">”</w:t>
      </w:r>
      <w:r>
        <w:rPr>
          <w:iCs/>
          <w:i/>
        </w:rPr>
        <w:t xml:space="preserve"> </w:t>
      </w:r>
      <w:r>
        <w:rPr>
          <w:iCs/>
          <w:i/>
        </w:rPr>
        <w:t xml:space="preserve">passage.</w:t>
      </w:r>
    </w:p>
    <w:bookmarkStart w:id="24" w:name="cap.-xxv-crit.-ed.-cap.-27"/>
    <w:p>
      <w:pPr>
        <w:pStyle w:val="Heading3"/>
      </w:pPr>
      <w:r>
        <w:t xml:space="preserve">Cap. XXV</w:t>
      </w:r>
      <w:r>
        <w:t xml:space="preserve"> </w:t>
      </w:r>
      <w:r>
        <w:rPr>
          <w:iCs/>
          <w:i/>
        </w:rPr>
        <w:t xml:space="preserve">(= crit. ed. cap. 27)</w:t>
      </w:r>
    </w:p>
    <w:p>
      <w:pPr>
        <w:pStyle w:val="FirstParagraph"/>
      </w:pPr>
      <w:r>
        <w:rPr>
          <w:iCs/>
          <w:i/>
        </w:rPr>
        <w:t xml:space="preserve">(Goldast’s printed chapter-title, printed p. 428:)</w:t>
      </w:r>
      <w:r>
        <w:t xml:space="preserve"> </w:t>
      </w:r>
      <w:r>
        <w:rPr>
          <w:iCs/>
          <w:i/>
        </w:rPr>
        <w:t xml:space="preserve">Notat quo fundamento debeat inniti Papa, vel concilium generale, damnando aliquam assertionem explicite prius non damnatam, tamquam haereticam, et ponuntur tres modi dicendi circa illud.</w:t>
      </w:r>
    </w:p>
    <w:p>
      <w:pPr>
        <w:pStyle w:val="BodyText"/>
      </w:pPr>
      <w:r>
        <w:rPr>
          <w:iCs/>
          <w:i/>
        </w:rP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p>
      <w:pPr>
        <w:pStyle w:val="BodyText"/>
      </w:pPr>
      <w:r>
        <w:rPr>
          <w:iCs/>
          <w:i/>
        </w:rP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rPr>
          <w:iCs/>
          <w:i/>
        </w:rPr>
        <w:t xml:space="preserve"> </w:t>
      </w:r>
      <w:r>
        <w:rPr>
          <w:iCs/>
          <w:i/>
        </w:rPr>
        <w:t xml:space="preserve">“</w:t>
      </w:r>
      <w:r>
        <w:rPr>
          <w:iCs/>
          <w:i/>
        </w:rPr>
        <w:t xml:space="preserve">the pope cannot be condemned, but that, whatever he did, he would be saved</w:t>
      </w:r>
      <w:r>
        <w:rPr>
          <w:iCs/>
          <w:i/>
        </w:rPr>
        <w:t xml:space="preserve">”</w:t>
      </w:r>
      <w:r>
        <w:rPr>
          <w:iCs/>
          <w:i/>
        </w:rPr>
        <w:t xml:space="preserve">; and these say that, whatever the pope defines to be held, all ought to hold and believe. Hence [Nicholas] says, distinction 19, chapter</w:t>
      </w:r>
      <w:r>
        <w:rPr>
          <w:iCs/>
          <w:i/>
        </w:rPr>
        <w:t xml:space="preserve"> </w:t>
      </w:r>
      <w:r>
        <w:rPr>
          <w:iCs/>
          <w:i/>
        </w:rPr>
        <w:t xml:space="preserve">“</w:t>
      </w:r>
      <w:r>
        <w:rPr>
          <w:iCs/>
          <w:i/>
        </w:rPr>
        <w:t xml:space="preserve">si Romanorum</w:t>
      </w:r>
      <w:r>
        <w:rPr>
          <w:iCs/>
          <w:i/>
        </w:rPr>
        <w:t xml:space="preserve">”</w:t>
      </w:r>
      <w:r>
        <w:rPr>
          <w:iCs/>
          <w:i/>
        </w:rPr>
        <w:t xml:space="preserve">:</w:t>
      </w:r>
      <w:r>
        <w:rPr>
          <w:iCs/>
          <w:i/>
        </w:rPr>
        <w:t xml:space="preserve"> </w:t>
      </w:r>
      <w:r>
        <w:rPr>
          <w:iCs/>
          <w:i/>
        </w:rPr>
        <w:t xml:space="preserve">“</w:t>
      </w:r>
      <w:r>
        <w:rPr>
          <w:iCs/>
          <w:i/>
        </w:rPr>
        <w:t xml:space="preserve">What the pope approves or rejects, we ought to approve or reject.</w:t>
      </w:r>
      <w:r>
        <w:rPr>
          <w:iCs/>
          <w:i/>
        </w:rPr>
        <w:t xml:space="preserve">”</w:t>
      </w:r>
      <w:r>
        <w:rPr>
          <w:iCs/>
          <w:i/>
        </w:rPr>
        <w:t xml:space="preserve"> </w:t>
      </w:r>
      <w:r>
        <w:rPr>
          <w:iCs/>
          <w:i/>
        </w:rPr>
        <w:t xml:space="preserve">Disciple. This assertion sounds as if the pope cannot be made a heretic, concerning which I shall have a special inquiry later. Therefore let us for now pass over this, and show, as you promised, the contrary assertion.</w:t>
      </w:r>
    </w:p>
    <w:p>
      <w:pPr>
        <w:pStyle w:val="BodyText"/>
      </w:pPr>
      <w:r>
        <w:rPr>
          <w:iCs/>
          <w:i/>
        </w:rP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rPr>
          <w:iCs/>
          <w:i/>
        </w:rPr>
        <w:t xml:space="preserve"> </w:t>
      </w:r>
      <w:r>
        <w:rPr>
          <w:iCs/>
          <w:i/>
        </w:rPr>
        <w:t xml:space="preserve">“</w:t>
      </w:r>
      <w:r>
        <w:rPr>
          <w:iCs/>
          <w:i/>
        </w:rPr>
        <w:t xml:space="preserve">The holy fathers in the council of Nicaea, gathering from the whole world, handed down a creed according to the catholic and apostolic faith after the Apostles</w:t>
      </w:r>
      <w:r>
        <w:rPr>
          <w:iCs/>
          <w:i/>
        </w:rPr>
        <w:t xml:space="preserve">”</w:t>
      </w:r>
      <w:r>
        <w:rPr>
          <w:iCs/>
          <w:i/>
        </w:rPr>
        <w:t xml:space="preserve"> </w:t>
      </w:r>
      <w:r>
        <w:rPr>
          <w:iCs/>
          <w:i/>
        </w:rPr>
        <w:t xml:space="preserve">— these, in condemning heresies, set the sacred writings as their foundation. So too Alexander III, in condemning the assertion saying that</w:t>
      </w:r>
      <w:r>
        <w:rPr>
          <w:iCs/>
          <w:i/>
        </w:rPr>
        <w:t xml:space="preserve"> </w:t>
      </w:r>
      <w:r>
        <w:rPr>
          <w:iCs/>
          <w:i/>
        </w:rPr>
        <w:t xml:space="preserve">“</w:t>
      </w:r>
      <w:r>
        <w:rPr>
          <w:iCs/>
          <w:i/>
        </w:rPr>
        <w:t xml:space="preserve">Christ is not something in that he is man,</w:t>
      </w:r>
      <w:r>
        <w:rPr>
          <w:iCs/>
          <w:i/>
        </w:rPr>
        <w:t xml:space="preserve">”</w:t>
      </w:r>
      <w:r>
        <w:rPr>
          <w:iCs/>
          <w:i/>
        </w:rPr>
        <w:t xml:space="preserve"> </w:t>
      </w:r>
      <w:r>
        <w:rPr>
          <w:iCs/>
          <w:i/>
        </w:rPr>
        <w:t xml:space="preserve">grounded himself on this truth taken from divine scripture:</w:t>
      </w:r>
      <w:r>
        <w:rPr>
          <w:iCs/>
          <w:i/>
        </w:rPr>
        <w:t xml:space="preserve"> </w:t>
      </w:r>
      <w:r>
        <w:rPr>
          <w:iCs/>
          <w:i/>
        </w:rPr>
        <w:t xml:space="preserve">“</w:t>
      </w:r>
      <w:r>
        <w:rPr>
          <w:iCs/>
          <w:i/>
        </w:rPr>
        <w:t xml:space="preserve">Christ is true God and man.</w:t>
      </w:r>
      <w:r>
        <w:rPr>
          <w:iCs/>
          <w:i/>
        </w:rPr>
        <w:t xml:space="preserve">”</w:t>
      </w:r>
      <w:r>
        <w:rPr>
          <w:iCs/>
          <w:i/>
        </w:rPr>
        <w:t xml:space="preserve"> </w:t>
      </w:r>
      <w:r>
        <w:rPr>
          <w:iCs/>
          <w:i/>
        </w:rPr>
        <w:t xml:space="preserve">So too the holy Doctors, in reproving them, tried to convince by the scriptures, as is commonly and plainly had in many places; whence also Isidore, as is had in 24 q. 3 c. </w:t>
      </w:r>
      <w:r>
        <w:rPr>
          <w:iCs/>
          <w:i/>
        </w:rPr>
        <w:t xml:space="preserve">“</w:t>
      </w:r>
      <w:r>
        <w:rPr>
          <w:iCs/>
          <w:i/>
        </w:rPr>
        <w:t xml:space="preserve">notandum,</w:t>
      </w:r>
      <w:r>
        <w:rPr>
          <w:iCs/>
          <w:i/>
        </w:rPr>
        <w:t xml:space="preserve">”</w:t>
      </w:r>
      <w:r>
        <w:rPr>
          <w:iCs/>
          <w:i/>
        </w:rPr>
        <w:t xml:space="preserve"> </w:t>
      </w:r>
      <w:r>
        <w:rPr>
          <w:iCs/>
          <w:i/>
        </w:rPr>
        <w:t xml:space="preserve">evidently argues against many heresies by the sacred scriptures.</w:t>
      </w:r>
    </w:p>
    <w:p>
      <w:pPr>
        <w:pStyle w:val="BodyText"/>
      </w:pPr>
      <w:r>
        <w:rPr>
          <w:iCs/>
          <w:i/>
        </w:rP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rPr>
          <w:iCs/>
          <w:i/>
        </w:rPr>
        <w:t xml:space="preserve"> </w:t>
      </w:r>
      <w:r>
        <w:rPr>
          <w:iCs/>
          <w:i/>
        </w:rPr>
        <w:t xml:space="preserve">“</w:t>
      </w:r>
      <w:r>
        <w:rPr>
          <w:iCs/>
          <w:i/>
        </w:rPr>
        <w:t xml:space="preserve">omnes,</w:t>
      </w:r>
      <w:r>
        <w:rPr>
          <w:iCs/>
          <w:i/>
        </w:rPr>
        <w:t xml:space="preserve">”</w:t>
      </w:r>
      <w:r>
        <w:rPr>
          <w:iCs/>
          <w:i/>
        </w:rPr>
        <w:t xml:space="preserve"> </w:t>
      </w:r>
      <w:r>
        <w:rPr>
          <w:iCs/>
          <w:i/>
        </w:rPr>
        <w:t xml:space="preserve">in the Decretum, distinction 22), where it is plainly gathered, defining</w:t>
      </w:r>
      <w:r>
        <w:rPr>
          <w:iCs/>
          <w:i/>
        </w:rPr>
        <w:t xml:space="preserve"> </w:t>
      </w:r>
      <w:r>
        <w:rPr>
          <w:iCs/>
          <w:i/>
        </w:rPr>
        <w:t xml:space="preserve">“</w:t>
      </w:r>
      <w:r>
        <w:rPr>
          <w:iCs/>
          <w:i/>
        </w:rPr>
        <w:t xml:space="preserve">that it is to be reckoned heretical to say that the Roman church is not the head of all churches,</w:t>
      </w:r>
      <w:r>
        <w:rPr>
          <w:iCs/>
          <w:i/>
        </w:rPr>
        <w:t xml:space="preserve">”</w:t>
      </w:r>
      <w:r>
        <w:rPr>
          <w:iCs/>
          <w:i/>
        </w:rPr>
        <w:t xml:space="preserve"> </w:t>
      </w:r>
      <w:r>
        <w:rPr>
          <w:iCs/>
          <w:i/>
        </w:rP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p>
      <w:pPr>
        <w:pStyle w:val="BodyText"/>
      </w:pPr>
      <w:r>
        <w:rPr>
          <w:iCs/>
          <w:i/>
        </w:rP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p>
      <w:pPr>
        <w:pStyle w:val="BodyText"/>
      </w:pPr>
      <w:r>
        <w:rPr>
          <w:iCs/>
          <w:i/>
        </w:rP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rPr>
          <w:iCs/>
          <w:i/>
        </w:rPr>
        <w:t xml:space="preserve"> </w:t>
      </w:r>
      <w:r>
        <w:rPr>
          <w:iCs/>
          <w:i/>
        </w:rPr>
        <w:t xml:space="preserve">“</w:t>
      </w:r>
      <w:r>
        <w:rPr>
          <w:iCs/>
          <w:i/>
        </w:rPr>
        <w:t xml:space="preserve">I am with you unto the consummation of the age,</w:t>
      </w:r>
      <w:r>
        <w:rPr>
          <w:iCs/>
          <w:i/>
        </w:rPr>
        <w:t xml:space="preserve">”</w:t>
      </w:r>
      <w:r>
        <w:rPr>
          <w:iCs/>
          <w:i/>
        </w:rPr>
        <w:t xml:space="preserve"> </w:t>
      </w:r>
      <w:r>
        <w:rPr>
          <w:iCs/>
          <w:i/>
        </w:rP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p>
      <w:pPr>
        <w:pStyle w:val="BodyText"/>
      </w:pPr>
      <w:r>
        <w:rPr>
          <w:iCs/>
          <w:i/>
        </w:rP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p>
      <w:pPr>
        <w:pStyle w:val="BodyText"/>
      </w:pPr>
      <w:r>
        <w:rPr>
          <w:iCs/>
          <w:i/>
        </w:rP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rPr>
          <w:iCs/>
          <w:i/>
        </w:rPr>
        <w:t xml:space="preserve"> </w:t>
      </w:r>
      <w:r>
        <w:rPr>
          <w:iCs/>
          <w:i/>
        </w:rPr>
        <w:t xml:space="preserve">“</w:t>
      </w:r>
      <w:r>
        <w:rPr>
          <w:iCs/>
          <w:i/>
        </w:rPr>
        <w:t xml:space="preserve">many will say to me in that day, Lord, Lord, did we not prophesy in thy name, and in thy name cast out demons, and in thy name do many mighty works? I will confess to them that I never knew you</w:t>
      </w:r>
      <w:r>
        <w:rPr>
          <w:iCs/>
          <w:i/>
        </w:rPr>
        <w:t xml:space="preserve">”</w:t>
      </w:r>
      <w:r>
        <w:rPr>
          <w:iCs/>
          <w:i/>
        </w:rPr>
        <w:t xml:space="preserve"> </w:t>
      </w:r>
      <w:r>
        <w:rPr>
          <w:iCs/>
          <w:i/>
        </w:rPr>
        <w:t xml:space="preserve">— that is, I never approved you. With this the Gloss agrees,</w:t>
      </w:r>
      <w:r>
        <w:rPr>
          <w:iCs/>
          <w:i/>
        </w:rPr>
        <w:t xml:space="preserve"> </w:t>
      </w:r>
      <w:r>
        <w:rPr>
          <w:iCs/>
          <w:i/>
        </w:rPr>
        <w:t xml:space="preserve">“</w:t>
      </w:r>
      <w:r>
        <w:rPr>
          <w:iCs/>
          <w:i/>
        </w:rPr>
        <w:t xml:space="preserve">extra, on heretics, cum ex iniuncto,</w:t>
      </w:r>
      <w:r>
        <w:rPr>
          <w:iCs/>
          <w:i/>
        </w:rPr>
        <w:t xml:space="preserve">”</w:t>
      </w:r>
      <w:r>
        <w:rPr>
          <w:iCs/>
          <w:i/>
        </w:rPr>
        <w:t xml:space="preserve"> </w:t>
      </w:r>
      <w:r>
        <w:rPr>
          <w:iCs/>
          <w:i/>
        </w:rPr>
        <w:t xml:space="preserve">where it holds that</w:t>
      </w:r>
      <w:r>
        <w:rPr>
          <w:iCs/>
          <w:i/>
        </w:rPr>
        <w:t xml:space="preserve"> </w:t>
      </w:r>
      <w:r>
        <w:rPr>
          <w:iCs/>
          <w:i/>
        </w:rPr>
        <w:t xml:space="preserve">“</w:t>
      </w:r>
      <w:r>
        <w:rPr>
          <w:iCs/>
          <w:i/>
        </w:rPr>
        <w:t xml:space="preserve">sometimes marvels are done by the wicked.</w:t>
      </w:r>
      <w:r>
        <w:rPr>
          <w:iCs/>
          <w:i/>
        </w:rPr>
        <w:t xml:space="preserve">”</w:t>
      </w:r>
      <w:r>
        <w:rPr>
          <w:iCs/>
          <w:i/>
        </w:rPr>
        <w:t xml:space="preserve"> </w:t>
      </w:r>
      <w:r>
        <w:rPr>
          <w:iCs/>
          <w:i/>
        </w:rP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p>
      <w:pPr>
        <w:pStyle w:val="BodyText"/>
      </w:pPr>
      <w:r>
        <w:rPr>
          <w:iCs/>
          <w:i/>
        </w:rP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p>
      <w:pPr>
        <w:pStyle w:val="BodyText"/>
      </w:pPr>
      <w:r>
        <w:rPr>
          <w:iCs/>
          <w:i/>
        </w:rPr>
        <w:t xml:space="preserve">(Here Goldast’s Cap. XXV ends; Cap. XXVI —</w:t>
      </w:r>
      <w:r>
        <w:rPr>
          <w:iCs/>
          <w:i/>
        </w:rPr>
        <w:t xml:space="preserve"> </w:t>
      </w:r>
      <w:r>
        <w:rPr>
          <w:iCs/>
          <w:i/>
        </w:rPr>
        <w:t xml:space="preserve">“</w:t>
      </w:r>
      <w:r>
        <w:rPr>
          <w:iCs/>
          <w:i/>
        </w:rPr>
        <w:t xml:space="preserve">Quaerit de illa modificatione, scilicet</w:t>
      </w:r>
      <w:r>
        <w:rPr>
          <w:iCs/>
          <w:i/>
        </w:rPr>
        <w:t xml:space="preserve"> </w:t>
      </w:r>
      <w:r>
        <w:rPr>
          <w:iCs/>
          <w:i/>
        </w:rPr>
        <w:t xml:space="preserve">‘</w:t>
      </w:r>
      <w:r>
        <w:rPr>
          <w:iCs/>
          <w:i/>
        </w:rPr>
        <w:t xml:space="preserve">damnamus si necessario</w:t>
      </w:r>
      <w:r>
        <w:rPr>
          <w:iCs/>
          <w:i/>
        </w:rPr>
        <w:t xml:space="preserve">’</w:t>
      </w:r>
      <w:r>
        <w:rPr>
          <w:iCs/>
          <w:i/>
        </w:rPr>
        <w:t xml:space="preserve">, requiratur adhuc ut ponatur explicite, quatenus catholici talem assertionem habeant reprobare ut haereticam</w:t>
      </w:r>
      <w:r>
        <w:rPr>
          <w:iCs/>
          <w:i/>
        </w:rPr>
        <w:t xml:space="preserve">”</w:t>
      </w:r>
      <w:r>
        <w:rPr>
          <w:iCs/>
          <w:i/>
        </w:rPr>
        <w:t xml:space="preserve"> </w:t>
      </w:r>
      <w:r>
        <w:rPr>
          <w:iCs/>
          <w:i/>
        </w:rPr>
        <w:t xml:space="preserve">— follows on printed p. 430.)</w:t>
      </w:r>
    </w:p>
    <w:bookmarkEnd w:id="24"/>
    <w:bookmarkEnd w:id="25"/>
    <w:bookmarkStart w:id="26" w:name="X0ceb51fd201999374dfa5abe560b1d6544b1629"/>
    <w:p>
      <w:pPr>
        <w:pStyle w:val="Heading2"/>
      </w:pPr>
      <w:r>
        <w:t xml:space="preserve">BLOCK C — Dialogus I lib. V: the whole multitude; promised to the whole, not to a part; the fewest faithful; baptized infants [Goldast 1614]</w:t>
      </w:r>
    </w:p>
    <w:bookmarkEnd w:id="26"/>
    <w:bookmarkStart w:id="32" w:name="block-c-lib.-v"/>
    <w:p>
      <w:pPr>
        <w:pStyle w:val="Heading2"/>
      </w:pPr>
      <w:r>
        <w:t xml:space="preserve">BLOCK C — lib. V</w:t>
      </w:r>
    </w:p>
    <w:bookmarkStart w:id="27" w:name="cap.-i-1"/>
    <w:p>
      <w:pPr>
        <w:pStyle w:val="Heading3"/>
      </w:pPr>
      <w:r>
        <w:t xml:space="preserve">Cap. I</w:t>
      </w:r>
    </w:p>
    <w:p>
      <w:pPr>
        <w:pStyle w:val="FirstParagraph"/>
      </w:pPr>
      <w:r>
        <w:rPr>
          <w:iCs/>
          <w:i/>
        </w:rPr>
        <w:t xml:space="preserve">Goldast title:</w:t>
      </w:r>
      <w:r>
        <w:t xml:space="preserve"> </w:t>
      </w:r>
      <w:r>
        <w:rPr>
          <w:bCs/>
          <w:b/>
        </w:rPr>
        <w:t xml:space="preserve">Capitulum primum quaerit, utrum Papa canonice electus haereticari possit. Quod sic: primo auctoritatibus, deinde exemplis ostenditur. Et hoc capitulo secundo.</w:t>
      </w:r>
    </w:p>
    <w:p>
      <w:pPr>
        <w:pStyle w:val="BodyText"/>
      </w:pPr>
      <w:r>
        <w:rPr>
          <w:iCs/>
          <w:i/>
        </w:rP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p>
      <w:pPr>
        <w:pStyle w:val="BodyText"/>
      </w:pPr>
      <w:r>
        <w:rPr>
          <w:iCs/>
          <w:i/>
        </w:rP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p>
      <w:pPr>
        <w:pStyle w:val="BodyText"/>
      </w:pPr>
      <w:r>
        <w:rPr>
          <w:iCs/>
          <w:i/>
        </w:rPr>
        <w:t xml:space="preserve">Do not put off explaining how those of the first opinion fortify their position.</w:t>
      </w:r>
    </w:p>
    <w:p>
      <w:pPr>
        <w:pStyle w:val="BodyText"/>
      </w:pPr>
      <w:r>
        <w:rPr>
          <w:iCs/>
          <w:i/>
        </w:rPr>
        <w:t xml:space="preserve">They strive to prop up the aforesaid assertion with authorities and also with arguments. First they try to show it by the authority of blessed Paul, since in Hebrews 7 it is read:</w:t>
      </w:r>
      <w:r>
        <w:rPr>
          <w:iCs/>
          <w:i/>
        </w:rPr>
        <w:t xml:space="preserve"> </w:t>
      </w:r>
      <w:r>
        <w:rPr>
          <w:iCs/>
          <w:i/>
        </w:rPr>
        <w:t xml:space="preserve">“</w:t>
      </w:r>
      <w:r>
        <w:rPr>
          <w:iCs/>
          <w:i/>
        </w:rP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rPr>
          <w:iCs/>
          <w:i/>
        </w:rPr>
        <w:t xml:space="preserve">”</w:t>
      </w:r>
      <w:r>
        <w:rPr>
          <w:iCs/>
          <w:i/>
        </w:rPr>
        <w:t xml:space="preserve"> </w:t>
      </w:r>
      <w:r>
        <w:rPr>
          <w:iCs/>
          <w:i/>
        </w:rP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rPr>
          <w:iCs/>
          <w:i/>
        </w:rPr>
        <w:t xml:space="preserve"> </w:t>
      </w:r>
      <w:r>
        <w:rPr>
          <w:iCs/>
          <w:i/>
        </w:rPr>
        <w:t xml:space="preserve">“</w:t>
      </w:r>
      <w:r>
        <w:rPr>
          <w:iCs/>
          <w:i/>
        </w:rPr>
        <w:t xml:space="preserve">Let him who thinks he stands take heed lest he fall.</w:t>
      </w:r>
      <w:r>
        <w:rPr>
          <w:iCs/>
          <w:i/>
        </w:rPr>
        <w:t xml:space="preserve">”</w:t>
      </w:r>
      <w:r>
        <w:rPr>
          <w:iCs/>
          <w:i/>
        </w:rPr>
        <w:t xml:space="preserve"> </w:t>
      </w:r>
      <w:r>
        <w:rPr>
          <w:iCs/>
          <w:i/>
        </w:rPr>
        <w:t xml:space="preserve">From these words it is given to understand that every man not confirmed in grace can fall into sin, and consequently can err against the faith. Likewise the Apostle, Galatians 6, instructing the whole body of prelates, how…</w:t>
      </w:r>
    </w:p>
    <w:p>
      <w:pPr>
        <w:pStyle w:val="BodyText"/>
      </w:pPr>
      <w:r>
        <w:rPr>
          <w:iCs/>
          <w:i/>
        </w:rPr>
        <w:t xml:space="preserve">(The Pauline/Galatians authorities continue onto printed p. 468; the opening exchange establishing the five positions and the two opinions about the Pope is complete above.)</w:t>
      </w:r>
    </w:p>
    <w:bookmarkEnd w:id="27"/>
    <w:bookmarkStart w:id="28" w:name="cap.-vii"/>
    <w:p>
      <w:pPr>
        <w:pStyle w:val="Heading3"/>
      </w:pPr>
      <w:r>
        <w:t xml:space="preserve">Cap. VII</w:t>
      </w:r>
    </w:p>
    <w:p>
      <w:pPr>
        <w:pStyle w:val="FirstParagraph"/>
      </w:pPr>
      <w:r>
        <w:rPr>
          <w:iCs/>
          <w:i/>
        </w:rPr>
        <w:t xml:space="preserve">Goldast title:</w:t>
      </w:r>
      <w:r>
        <w:t xml:space="preserve"> </w:t>
      </w:r>
      <w:r>
        <w:rPr>
          <w:bCs/>
          <w:b/>
        </w:rPr>
        <w:t xml:space="preserve">In quo secundum opinionem aliorum ad oppositum arguitur decem rationibus, probando quod collegium Cardinalium possit haeretica pravitate foedari: ad quas respondetur, c. 9 huius.</w:t>
      </w:r>
    </w:p>
    <w:p>
      <w:pPr>
        <w:pStyle w:val="BodyText"/>
      </w:pPr>
      <w:r>
        <w:rPr>
          <w:iCs/>
          <w:i/>
        </w:rPr>
        <w:t xml:space="preserve">Recount the contrary assertion with its grounds.</w:t>
      </w:r>
    </w:p>
    <w:p>
      <w:pPr>
        <w:pStyle w:val="BodyText"/>
      </w:pPr>
      <w:r>
        <w:rPr>
          <w:iCs/>
          <w:i/>
        </w:rP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p>
      <w:pPr>
        <w:pStyle w:val="BodyText"/>
      </w:pPr>
      <w:r>
        <w:rPr>
          <w:iCs/>
          <w:i/>
        </w:rPr>
        <w:t xml:space="preserve">(The Master here recites the tenth–position assertors’ ten arguments —</w:t>
      </w:r>
      <w:r>
        <w:rPr>
          <w:iCs/>
          <w:i/>
        </w:rPr>
        <w:t xml:space="preserve"> </w:t>
      </w:r>
      <w:r>
        <w:rPr>
          <w:iCs/>
          <w:i/>
        </w:rPr>
        <w:t xml:space="preserve">“</w:t>
      </w:r>
      <w:r>
        <w:rPr>
          <w:iCs/>
          <w:i/>
        </w:rPr>
        <w:t xml:space="preserve">secundum opinionem aliorum</w:t>
      </w:r>
      <w:r>
        <w:rPr>
          <w:iCs/>
          <w:i/>
        </w:rPr>
        <w:t xml:space="preserve">”</w:t>
      </w:r>
      <w:r>
        <w:rPr>
          <w:iCs/>
          <w:i/>
        </w:rPr>
        <w:t xml:space="preserve"> </w:t>
      </w:r>
      <w:r>
        <w:rPr>
          <w:iCs/>
          <w:i/>
        </w:rPr>
        <w:t xml:space="preserve">— not his own view. Arguments one through three run to the passage below.)</w:t>
      </w:r>
    </w:p>
    <w:p>
      <w:pPr>
        <w:pStyle w:val="BodyText"/>
      </w:pPr>
      <w:r>
        <w:rPr>
          <w:iCs/>
          <w:i/>
        </w:rP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p>
      <w:pPr>
        <w:pStyle w:val="BodyText"/>
      </w:pPr>
      <w:r>
        <w:rPr>
          <w:iCs/>
          <w:i/>
        </w:rPr>
        <w:t xml:space="preserve">By this argument it would be proved that the whole congregation of the faithful can err against the faith, since the whole is inferior to the pope.</w:t>
      </w:r>
    </w:p>
    <w:p>
      <w:pPr>
        <w:pStyle w:val="BodyText"/>
      </w:pPr>
      <w:r>
        <w:rPr>
          <w:iCs/>
          <w:i/>
        </w:rP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p>
      <w:pPr>
        <w:pStyle w:val="BodyText"/>
      </w:pPr>
      <w:r>
        <w:rPr>
          <w:iCs/>
          <w:i/>
        </w:rPr>
        <w:t xml:space="preserve">Complete the remaining arguments.</w:t>
      </w:r>
    </w:p>
    <w:p>
      <w:pPr>
        <w:pStyle w:val="BodyText"/>
      </w:pPr>
      <w:r>
        <w:rPr>
          <w:iCs/>
          <w:i/>
        </w:rPr>
        <w:t xml:space="preserve">(The Master then continues with the fifth argument,</w:t>
      </w:r>
      <w:r>
        <w:rPr>
          <w:iCs/>
          <w:i/>
        </w:rPr>
        <w:t xml:space="preserve"> </w:t>
      </w:r>
      <w:r>
        <w:rPr>
          <w:iCs/>
          <w:i/>
        </w:rPr>
        <w:t xml:space="preserve">“</w:t>
      </w:r>
      <w:r>
        <w:rPr>
          <w:iCs/>
          <w:i/>
        </w:rPr>
        <w:t xml:space="preserve">Quinta ratio est haec, de illa sola ecclesia firmiter obtinendum quod non potest contra fidem errare…</w:t>
      </w:r>
      <w:r>
        <w:rPr>
          <w:iCs/>
          <w:i/>
        </w:rPr>
        <w:t xml:space="preserve">”</w:t>
      </w:r>
      <w:r>
        <w:rPr>
          <w:iCs/>
          <w:i/>
        </w:rPr>
        <w:t xml:space="preserve">, and the sixth,</w:t>
      </w:r>
      <w:r>
        <w:rPr>
          <w:iCs/>
          <w:i/>
        </w:rPr>
        <w:t xml:space="preserve"> </w:t>
      </w:r>
      <w:r>
        <w:rPr>
          <w:iCs/>
          <w:i/>
        </w:rPr>
        <w:t xml:space="preserve">“</w:t>
      </w:r>
      <w:r>
        <w:rPr>
          <w:iCs/>
          <w:i/>
        </w:rPr>
        <w:t xml:space="preserve">Sexto sic: sicut omnis persona quae potest errare in moribus…</w:t>
      </w:r>
      <w:r>
        <w:rPr>
          <w:iCs/>
          <w:i/>
        </w:rPr>
        <w:t xml:space="preserve">”</w:t>
      </w:r>
      <w:r>
        <w:rPr>
          <w:iCs/>
          <w:i/>
        </w:rPr>
        <w:t xml:space="preserve">, still reciting the assertors’ opinion.)</w:t>
      </w:r>
    </w:p>
    <w:bookmarkEnd w:id="28"/>
    <w:bookmarkStart w:id="29" w:name="cap.-xxii"/>
    <w:p>
      <w:pPr>
        <w:pStyle w:val="Heading3"/>
      </w:pPr>
      <w:r>
        <w:t xml:space="preserve">Cap. XXII</w:t>
      </w:r>
    </w:p>
    <w:p>
      <w:pPr>
        <w:pStyle w:val="FirstParagraph"/>
      </w:pPr>
      <w:r>
        <w:rPr>
          <w:iCs/>
          <w:i/>
        </w:rPr>
        <w:t xml:space="preserve">Goldast title:</w:t>
      </w:r>
      <w:r>
        <w:t xml:space="preserve"> </w:t>
      </w:r>
      <w:r>
        <w:rPr>
          <w:bCs/>
          <w:b/>
        </w:rP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p>
      <w:pPr>
        <w:pStyle w:val="BodyText"/>
      </w:pPr>
      <w:r>
        <w:rPr>
          <w:iCs/>
          <w:i/>
        </w:rP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p>
      <w:pPr>
        <w:pStyle w:val="BodyText"/>
      </w:pPr>
      <w:r>
        <w:rPr>
          <w:iCs/>
          <w:i/>
        </w:rP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p>
      <w:pPr>
        <w:pStyle w:val="BodyText"/>
      </w:pPr>
      <w:r>
        <w:rPr>
          <w:iCs/>
          <w:i/>
        </w:rPr>
        <w:t xml:space="preserve">But when Christ said to Peter,</w:t>
      </w:r>
      <w:r>
        <w:rPr>
          <w:iCs/>
          <w:i/>
        </w:rPr>
        <w:t xml:space="preserve"> </w:t>
      </w:r>
      <w:r>
        <w:rPr>
          <w:iCs/>
          <w:i/>
        </w:rPr>
        <w:t xml:space="preserve">“</w:t>
      </w:r>
      <w:r>
        <w:rPr>
          <w:iCs/>
          <w:i/>
        </w:rPr>
        <w:t xml:space="preserve">I have prayed for you, Peter, that your faith may not fail,</w:t>
      </w:r>
      <w:r>
        <w:rPr>
          <w:iCs/>
          <w:i/>
        </w:rPr>
        <w:t xml:space="preserve">”</w:t>
      </w:r>
      <w:r>
        <w:rPr>
          <w:iCs/>
          <w:i/>
        </w:rPr>
        <w:t xml:space="preserve"> </w:t>
      </w:r>
      <w:r>
        <w:rPr>
          <w:iCs/>
          <w:i/>
        </w:rPr>
        <w:t xml:space="preserve">did he not promise to the church, of which Peter was to be the head, that its faith would never fail?</w:t>
      </w:r>
    </w:p>
    <w:p>
      <w:pPr>
        <w:pStyle w:val="BodyText"/>
      </w:pPr>
      <w:r>
        <w:rPr>
          <w:iCs/>
          <w:i/>
        </w:rPr>
        <w:t xml:space="preserve">They say that Christ said this to Peter not in the person of any particular church, but for the universal church. […]</w:t>
      </w:r>
    </w:p>
    <w:bookmarkEnd w:id="29"/>
    <w:bookmarkStart w:id="30" w:name="cap.-xxxiv"/>
    <w:p>
      <w:pPr>
        <w:pStyle w:val="Heading3"/>
      </w:pPr>
      <w:r>
        <w:t xml:space="preserve">Cap. XXXIV</w:t>
      </w:r>
    </w:p>
    <w:p>
      <w:pPr>
        <w:pStyle w:val="FirstParagraph"/>
      </w:pPr>
      <w:r>
        <w:rPr>
          <w:iCs/>
          <w:i/>
        </w:rPr>
        <w:t xml:space="preserve">Goldast title:</w:t>
      </w:r>
      <w:r>
        <w:t xml:space="preserve"> </w:t>
      </w:r>
      <w:r>
        <w:rPr>
          <w:bCs/>
          <w:b/>
        </w:rPr>
        <w:t xml:space="preserve">Ubi respondetur ad duas praecedentes rationes, quibus probatur quod non tota multitudo virorum contra fidem errare possit.</w:t>
      </w:r>
    </w:p>
    <w:p>
      <w:pPr>
        <w:pStyle w:val="BodyText"/>
      </w:pPr>
      <w:r>
        <w:rPr>
          <w:iCs/>
          <w:i/>
        </w:rPr>
        <w:t xml:space="preserve">Do you want me to disclose to you what I think about the aforesaid?</w:t>
      </w:r>
    </w:p>
    <w:p>
      <w:pPr>
        <w:pStyle w:val="BodyText"/>
      </w:pPr>
      <w:r>
        <w:rPr>
          <w:iCs/>
          <w:i/>
        </w:rPr>
        <w:t xml:space="preserve">I do not want you to reveal what you hold in your mind, but do not put off reciting some replies that could have been thought up or held by anyone at all.</w:t>
      </w:r>
    </w:p>
    <w:p>
      <w:pPr>
        <w:pStyle w:val="BodyText"/>
      </w:pPr>
      <w:r>
        <w:rPr>
          <w:iCs/>
          <w:i/>
        </w:rP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p>
      <w:pPr>
        <w:pStyle w:val="BodyText"/>
      </w:pPr>
      <w:r>
        <w:rPr>
          <w:iCs/>
          <w:i/>
        </w:rPr>
        <w:t xml:space="preserve">That you keep to this method, I accepted from the outset. […]</w:t>
      </w:r>
    </w:p>
    <w:p>
      <w:pPr>
        <w:pStyle w:val="BodyText"/>
      </w:pPr>
      <w:r>
        <w:rPr>
          <w:iCs/>
          <w:i/>
        </w:rPr>
        <w:t xml:space="preserve">(The Master then answers the two arguments, treating first whether Christ’s words on the</w:t>
      </w:r>
      <w:r>
        <w:rPr>
          <w:iCs/>
          <w:i/>
        </w:rPr>
        <w:t xml:space="preserve"> </w:t>
      </w:r>
      <w:r>
        <w:rPr>
          <w:iCs/>
          <w:i/>
        </w:rPr>
        <w:t xml:space="preserve">“</w:t>
      </w:r>
      <w:r>
        <w:rPr>
          <w:iCs/>
          <w:i/>
        </w:rPr>
        <w:t xml:space="preserve">great tribulation</w:t>
      </w:r>
      <w:r>
        <w:rPr>
          <w:iCs/>
          <w:i/>
        </w:rPr>
        <w:t xml:space="preserve">”</w:t>
      </w:r>
      <w:r>
        <w:rPr>
          <w:iCs/>
          <w:i/>
        </w:rPr>
        <w:t xml:space="preserve"> </w:t>
      </w:r>
      <w:r>
        <w:rPr>
          <w:iCs/>
          <w:i/>
        </w:rPr>
        <w:t xml:space="preserve">refer to the general tribulation of all mortals or the particular tribulation of the Jews under Titus and Vespasian. Into that reply falls the target passage:)</w:t>
      </w:r>
    </w:p>
    <w:p>
      <w:pPr>
        <w:pStyle w:val="BodyText"/>
      </w:pPr>
      <w:r>
        <w:rPr>
          <w:iCs/>
          <w:i/>
        </w:rP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p>
      <w:pPr>
        <w:pStyle w:val="BodyText"/>
      </w:pPr>
      <w:r>
        <w:rPr>
          <w:iCs/>
          <w:i/>
        </w:rPr>
        <w:t xml:space="preserve">It seems that those who hold the aforesaid assertion do not much esteem the stability of the church and the constancy of Christians.</w:t>
      </w:r>
    </w:p>
    <w:p>
      <w:pPr>
        <w:pStyle w:val="BodyText"/>
      </w:pPr>
      <w:r>
        <w:rPr>
          <w:iCs/>
          <w:i/>
        </w:rPr>
        <w:t xml:space="preserve">There is a certain assertion […]</w:t>
      </w:r>
    </w:p>
    <w:bookmarkEnd w:id="30"/>
    <w:bookmarkStart w:id="31" w:name="cap.-xxxv"/>
    <w:p>
      <w:pPr>
        <w:pStyle w:val="Heading3"/>
      </w:pPr>
      <w:r>
        <w:t xml:space="preserve">Cap. XXXV</w:t>
      </w:r>
    </w:p>
    <w:p>
      <w:pPr>
        <w:pStyle w:val="FirstParagraph"/>
      </w:pPr>
      <w:r>
        <w:rPr>
          <w:iCs/>
          <w:i/>
        </w:rPr>
        <w:t xml:space="preserve">Goldast title:</w:t>
      </w:r>
      <w:r>
        <w:t xml:space="preserve"> </w:t>
      </w:r>
      <w:r>
        <w:rPr>
          <w:bCs/>
          <w:b/>
        </w:rPr>
        <w:t xml:space="preserve">Ubi probatur quinque rationibus quod tota multitudo fidelium usum rationis habentium potest contra fidem errare.</w:t>
      </w:r>
    </w:p>
    <w:p>
      <w:pPr>
        <w:pStyle w:val="BodyText"/>
      </w:pPr>
      <w:r>
        <w:rPr>
          <w:iCs/>
          <w:i/>
        </w:rP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p>
      <w:pPr>
        <w:pStyle w:val="BodyText"/>
      </w:pPr>
      <w:r>
        <w:rPr>
          <w:iCs/>
          <w:i/>
        </w:rPr>
        <w:t xml:space="preserve">Jews, Saracens, and also pagans hold most firmly that the Christian faith is erroneous.</w:t>
      </w:r>
    </w:p>
    <w:p>
      <w:pPr>
        <w:pStyle w:val="BodyText"/>
      </w:pPr>
      <w:r>
        <w:rPr>
          <w:iCs/>
          <w:i/>
        </w:rPr>
        <w:t xml:space="preserve">I do not intend to ask about unbelievers. […]</w:t>
      </w:r>
    </w:p>
    <w:p>
      <w:pPr>
        <w:pStyle w:val="BodyText"/>
      </w:pPr>
      <w:r>
        <w:rPr>
          <w:iCs/>
          <w:i/>
        </w:rPr>
        <w:t xml:space="preserve">(The chapter then proves by five arguments — prima, secunda, tertia, quarta, quinta ratio — that the whole multitude of Christians having the use of reason can err against the faith. The fifth argument is the target passage:)</w:t>
      </w:r>
    </w:p>
    <w:p>
      <w:pPr>
        <w:pStyle w:val="BodyText"/>
      </w:pPr>
      <w:r>
        <w:rPr>
          <w:iCs/>
          <w:i/>
        </w:rP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bookmarkEnd w:id="31"/>
    <w:bookmarkEnd w:id="32"/>
    <w:bookmarkStart w:id="33" w:name="X656cfcff186b793a388d90401aa9b9b613e4b32"/>
    <w:p>
      <w:pPr>
        <w:pStyle w:val="Heading2"/>
      </w:pPr>
      <w:r>
        <w:t xml:space="preserve">BLOCK D — Compendium errorum papae Ioannis XXII, fols. 64r–67r: the pope can err; the heretic pope less than any bishop; judged and deposed [Lyons-family incunable 1494]</w:t>
      </w:r>
    </w:p>
    <w:bookmarkEnd w:id="33"/>
    <w:bookmarkStart w:id="34" w:name="f.-64r-col.-a"/>
    <w:p>
      <w:pPr>
        <w:pStyle w:val="Heading2"/>
      </w:pPr>
      <w:r>
        <w:t xml:space="preserve">{f. 64r} [col. a]</w:t>
      </w:r>
    </w:p>
    <w:p>
      <w:pPr>
        <w:pStyle w:val="FirstParagraph"/>
      </w:pPr>
      <w:r>
        <w:rPr>
          <w:iCs/>
          <w:i/>
        </w:rP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p>
      <w:pPr>
        <w:pStyle w:val="BodyText"/>
      </w:pPr>
      <w:r>
        <w:rPr>
          <w:iCs/>
          <w:i/>
          <w:bCs/>
          <w:b/>
        </w:rPr>
        <w:t xml:space="preserve">Note the mockery of the cavillers.</w:t>
      </w:r>
    </w:p>
    <w:p>
      <w:pPr>
        <w:pStyle w:val="BodyText"/>
      </w:pPr>
      <w:r>
        <w:rPr>
          <w:iCs/>
          <w:i/>
        </w:rPr>
        <w:t xml:space="preserve">Having examined in part the heresies and errors dogmatized by John XXII, it now remains to reply briefly to certain cavilling objections.</w:t>
      </w:r>
    </w:p>
    <w:p>
      <w:pPr>
        <w:pStyle w:val="BodyText"/>
      </w:pPr>
      <w:r>
        <w:rPr>
          <w:iCs/>
          <w:i/>
        </w:rP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rPr>
          <w:iCs/>
          <w:i/>
        </w:rPr>
        <w:t xml:space="preserve"> </w:t>
      </w:r>
      <w:r>
        <w:rPr>
          <w:iCs/>
          <w:i/>
        </w:rPr>
        <w:t xml:space="preserve">“</w:t>
      </w:r>
      <w:r>
        <w:rPr>
          <w:iCs/>
          <w:i/>
        </w:rPr>
        <w:t xml:space="preserve">Volo,</w:t>
      </w:r>
      <w:r>
        <w:rPr>
          <w:iCs/>
          <w:i/>
        </w:rPr>
        <w:t xml:space="preserve">”</w:t>
      </w:r>
      <w:r>
        <w:rPr>
          <w:iCs/>
          <w:i/>
        </w:rPr>
        <w:t xml:space="preserve"> </w:t>
      </w:r>
      <w:r>
        <w:rPr>
          <w:iCs/>
          <w:i/>
        </w:rP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p>
      <w:pPr>
        <w:pStyle w:val="BodyText"/>
      </w:pPr>
      <w:r>
        <w:rPr>
          <w:iCs/>
          <w:i/>
        </w:rP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bookmarkEnd w:id="34"/>
    <w:bookmarkStart w:id="35" w:name="f.-64v-col.-a"/>
    <w:p>
      <w:pPr>
        <w:pStyle w:val="Heading2"/>
      </w:pPr>
      <w:r>
        <w:t xml:space="preserve">{f. 64v} [col. a]</w:t>
      </w:r>
    </w:p>
    <w:p>
      <w:pPr>
        <w:pStyle w:val="FirstParagraph"/>
      </w:pPr>
      <w:r>
        <w:rPr>
          <w:iCs/>
          <w:i/>
        </w:rP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p>
      <w:pPr>
        <w:pStyle w:val="BodyText"/>
      </w:pPr>
      <w:r>
        <w:rPr>
          <w:iCs/>
          <w:i/>
        </w:rPr>
        <w:t xml:space="preserve">A third example is had concerning Pope Gaius, who — Diocletian, of whose family he was, compelling him — placed incense upon the idols (as is read in the chronicles); but afterwards he repented before a hundred and thirty bishops.</w:t>
      </w:r>
    </w:p>
    <w:p>
      <w:pPr>
        <w:pStyle w:val="BodyText"/>
      </w:pPr>
      <w:r>
        <w:rPr>
          <w:iCs/>
          <w:i/>
        </w:rP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p>
      <w:pPr>
        <w:pStyle w:val="BodyText"/>
      </w:pPr>
      <w:r>
        <w:rPr>
          <w:iCs/>
          <w:i/>
        </w:rP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p>
      <w:pPr>
        <w:pStyle w:val="BodyText"/>
      </w:pPr>
      <w:r>
        <w:rPr>
          <w:iCs/>
          <w:i/>
        </w:rP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rPr>
          <w:iCs/>
          <w:i/>
        </w:rPr>
        <w:t xml:space="preserve">“</w:t>
      </w:r>
      <w:r>
        <w:rPr>
          <w:iCs/>
          <w:i/>
        </w:rPr>
        <w:t xml:space="preserve">A recta,</w:t>
      </w:r>
      <w:r>
        <w:rPr>
          <w:iCs/>
          <w:i/>
        </w:rPr>
        <w:t xml:space="preserve">”</w:t>
      </w:r>
      <w:r>
        <w:rPr>
          <w:iCs/>
          <w:i/>
        </w:rPr>
        <w:t xml:space="preserve"> </w:t>
      </w:r>
      <w:r>
        <w:rPr>
          <w:iCs/>
          <w:i/>
        </w:rPr>
        <w:t xml:space="preserve">which says: as to which church you should understand what is said, that it cannot err — not of the pope himself who is called</w:t>
      </w:r>
      <w:r>
        <w:rPr>
          <w:iCs/>
          <w:i/>
        </w:rPr>
        <w:t xml:space="preserve"> </w:t>
      </w:r>
      <w:r>
        <w:rPr>
          <w:iCs/>
          <w:i/>
        </w:rPr>
        <w:t xml:space="preserve">“</w:t>
      </w:r>
      <w:r>
        <w:rPr>
          <w:iCs/>
          <w:i/>
        </w:rPr>
        <w:t xml:space="preserve">the church,</w:t>
      </w:r>
      <w:r>
        <w:rPr>
          <w:iCs/>
          <w:i/>
        </w:rPr>
        <w:t xml:space="preserve">”</w:t>
      </w:r>
      <w:r>
        <w:rPr>
          <w:iCs/>
          <w:i/>
        </w:rPr>
        <w:t xml:space="preserve"> </w:t>
      </w:r>
      <w:r>
        <w:rPr>
          <w:iCs/>
          <w:i/>
        </w:rPr>
        <w:t xml:space="preserve">per dist. 64</w:t>
      </w:r>
      <w:r>
        <w:rPr>
          <w:iCs/>
          <w:i/>
        </w:rPr>
        <w:t xml:space="preserve"> </w:t>
      </w:r>
      <w:r>
        <w:rPr>
          <w:iCs/>
          <w:i/>
        </w:rPr>
        <w:t xml:space="preserve">“</w:t>
      </w:r>
      <w:r>
        <w:rPr>
          <w:iCs/>
          <w:i/>
        </w:rPr>
        <w:t xml:space="preserve">Quicumque,</w:t>
      </w:r>
      <w:r>
        <w:rPr>
          <w:iCs/>
          <w:i/>
        </w:rPr>
        <w:t xml:space="preserve">”</w:t>
      </w:r>
      <w:r>
        <w:rPr>
          <w:iCs/>
          <w:i/>
        </w:rPr>
        <w:t xml:space="preserve"> </w:t>
      </w:r>
      <w:r>
        <w:rPr>
          <w:iCs/>
          <w:i/>
        </w:rPr>
        <w:t xml:space="preserve">and 7[?] q.1 [c.]</w:t>
      </w:r>
      <w:r>
        <w:rPr>
          <w:iCs/>
          <w:i/>
        </w:rPr>
        <w:t xml:space="preserve"> </w:t>
      </w:r>
      <w:r>
        <w:rPr>
          <w:iCs/>
          <w:i/>
        </w:rPr>
        <w:t xml:space="preserve">“</w:t>
      </w:r>
      <w:r>
        <w:rPr>
          <w:iCs/>
          <w:i/>
        </w:rPr>
        <w:t xml:space="preserve">Scire debes.</w:t>
      </w:r>
      <w:r>
        <w:rPr>
          <w:iCs/>
          <w:i/>
        </w:rPr>
        <w:t xml:space="preserve">”</w:t>
      </w:r>
    </w:p>
    <w:p>
      <w:pPr>
        <w:pStyle w:val="BodyText"/>
      </w:pPr>
      <w:r>
        <w:rPr>
          <w:iCs/>
          <w:i/>
        </w:rPr>
        <w:t xml:space="preserve">You ought to know that it is certain that a pope can err, as below at dist. [19]</w:t>
      </w:r>
      <w:r>
        <w:rPr>
          <w:iCs/>
          <w:i/>
        </w:rPr>
        <w:t xml:space="preserve"> </w:t>
      </w:r>
      <w:r>
        <w:rPr>
          <w:iCs/>
          <w:i/>
        </w:rPr>
        <w:t xml:space="preserve">“</w:t>
      </w:r>
      <w:r>
        <w:rPr>
          <w:iCs/>
          <w:i/>
        </w:rPr>
        <w:t xml:space="preserve">Anastasius,</w:t>
      </w:r>
      <w:r>
        <w:rPr>
          <w:iCs/>
          <w:i/>
        </w:rPr>
        <w:t xml:space="preserve">”</w:t>
      </w:r>
      <w:r>
        <w:rPr>
          <w:iCs/>
          <w:i/>
        </w:rPr>
        <w:t xml:space="preserve"> </w:t>
      </w:r>
      <w:r>
        <w:rPr>
          <w:iCs/>
          <w:i/>
        </w:rPr>
        <w:t xml:space="preserve">and dist. 40</w:t>
      </w:r>
      <w:r>
        <w:rPr>
          <w:iCs/>
          <w:i/>
        </w:rPr>
        <w:t xml:space="preserve"> </w:t>
      </w:r>
      <w:r>
        <w:rPr>
          <w:iCs/>
          <w:i/>
        </w:rPr>
        <w:t xml:space="preserve">“</w:t>
      </w:r>
      <w:r>
        <w:rPr>
          <w:iCs/>
          <w:i/>
        </w:rPr>
        <w:t xml:space="preserve">Si papa.</w:t>
      </w:r>
      <w:r>
        <w:rPr>
          <w:iCs/>
          <w:i/>
        </w:rPr>
        <w:t xml:space="preserve">”</w:t>
      </w:r>
      <w:r>
        <w:rPr>
          <w:iCs/>
          <w:i/>
        </w:rPr>
        <w:t xml:space="preserve"> </w:t>
      </w:r>
      <w:r>
        <w:rPr>
          <w:iCs/>
          <w:i/>
        </w:rPr>
        <w:t xml:space="preserve">Moreover, whoever can fall under a sentence of automatic excommunication (latae sententiae) and become less than any catholic, can err against the faith and be stained with heretical wickedness; but the pope is of this kind, C.24 q.1 [c.]</w:t>
      </w:r>
      <w:r>
        <w:rPr>
          <w:iCs/>
          <w:i/>
        </w:rPr>
        <w:t xml:space="preserve"> </w:t>
      </w:r>
      <w:r>
        <w:rPr>
          <w:iCs/>
          <w:i/>
        </w:rPr>
        <w:t xml:space="preserve">“</w:t>
      </w:r>
      <w:r>
        <w:rPr>
          <w:iCs/>
          <w:i/>
        </w:rPr>
        <w:t xml:space="preserve">Acacius,</w:t>
      </w:r>
      <w:r>
        <w:rPr>
          <w:iCs/>
          <w:i/>
        </w:rPr>
        <w:t xml:space="preserve">”</w:t>
      </w:r>
      <w:r>
        <w:rPr>
          <w:iCs/>
          <w:i/>
        </w:rPr>
        <w:t xml:space="preserve"> </w:t>
      </w:r>
      <w:r>
        <w:rPr>
          <w:iCs/>
          <w:i/>
        </w:rPr>
        <w:t xml:space="preserve">which — under the words</w:t>
      </w:r>
      <w:r>
        <w:rPr>
          <w:iCs/>
          <w:i/>
        </w:rPr>
        <w:t xml:space="preserve"> </w:t>
      </w:r>
      <w:r>
        <w:rPr>
          <w:iCs/>
          <w:i/>
        </w:rPr>
        <w:t xml:space="preserve">“</w:t>
      </w:r>
      <w:r>
        <w:rPr>
          <w:iCs/>
          <w:i/>
        </w:rPr>
        <w:t xml:space="preserve">whoever slips into a condemned heresy involves himself by that very condemnation</w:t>
      </w:r>
      <w:r>
        <w:rPr>
          <w:iCs/>
          <w:i/>
        </w:rPr>
        <w:t xml:space="preserve">”</w:t>
      </w:r>
      <w:r>
        <w:rPr>
          <w:iCs/>
          <w:i/>
        </w:rPr>
        <w:t xml:space="preserve"> </w:t>
      </w:r>
      <w:r>
        <w:rPr>
          <w:iCs/>
          <w:i/>
        </w:rPr>
        <w:t xml:space="preserve">— says thus: this is the case in which a pope can bind a pope, in which a pope falls under a canon of automatic excommunication. Nor does that rule stand in the way,</w:t>
      </w:r>
      <w:r>
        <w:rPr>
          <w:iCs/>
          <w:i/>
        </w:rPr>
        <w:t xml:space="preserve"> </w:t>
      </w:r>
      <w:r>
        <w:rPr>
          <w:iCs/>
          <w:i/>
        </w:rPr>
        <w:t xml:space="preserve">“</w:t>
      </w:r>
      <w:r>
        <w:rPr>
          <w:iCs/>
          <w:i/>
        </w:rPr>
        <w:t xml:space="preserve">that an equal cannot loose or [bind an equal]</w:t>
      </w:r>
      <w:r>
        <w:rPr>
          <w:iCs/>
          <w:i/>
        </w:rPr>
        <w:t xml:space="preserve">”</w:t>
      </w:r>
      <w:r>
        <w:rPr>
          <w:iCs/>
          <w:i/>
        </w:rPr>
        <w:t xml:space="preserve">…</w:t>
      </w:r>
    </w:p>
    <w:bookmarkEnd w:id="35"/>
    <w:bookmarkStart w:id="36" w:name="f.-65r-col.-a"/>
    <w:p>
      <w:pPr>
        <w:pStyle w:val="Heading2"/>
      </w:pPr>
      <w:r>
        <w:t xml:space="preserve">{f. 65r} [col. a]</w:t>
      </w:r>
    </w:p>
    <w:p>
      <w:pPr>
        <w:pStyle w:val="FirstParagraph"/>
      </w:pPr>
      <w:r>
        <w:rPr>
          <w:iCs/>
          <w:i/>
        </w:rPr>
        <w:t xml:space="preserve">…cannot bind. For if a pope is a heretic, in that in which he is a heretic he is less than any catholic bishop, because the Church brands the fact even without a [formal] sentence.</w:t>
      </w:r>
    </w:p>
    <w:p>
      <w:pPr>
        <w:pStyle w:val="BodyText"/>
      </w:pPr>
      <w:r>
        <w:rPr>
          <w:iCs/>
          <w:i/>
        </w:rP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rPr>
          <w:iCs/>
          <w:i/>
        </w:rPr>
        <w:t xml:space="preserve"> </w:t>
      </w:r>
      <w:r>
        <w:rPr>
          <w:iCs/>
          <w:i/>
        </w:rPr>
        <w:t xml:space="preserve">“</w:t>
      </w:r>
      <w:r>
        <w:rPr>
          <w:iCs/>
          <w:i/>
        </w:rPr>
        <w:t xml:space="preserve">Hinc etiam,</w:t>
      </w:r>
      <w:r>
        <w:rPr>
          <w:iCs/>
          <w:i/>
        </w:rPr>
        <w:t xml:space="preserve">”</w:t>
      </w:r>
      <w:r>
        <w:rPr>
          <w:iCs/>
          <w:i/>
        </w:rPr>
        <w:t xml:space="preserve"> </w:t>
      </w:r>
      <w:r>
        <w:rPr>
          <w:iCs/>
          <w:i/>
        </w:rP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rPr>
          <w:iCs/>
          <w:i/>
        </w:rPr>
        <w:t xml:space="preserve"> </w:t>
      </w:r>
      <w:r>
        <w:rPr>
          <w:iCs/>
          <w:i/>
        </w:rPr>
        <w:t xml:space="preserve">“</w:t>
      </w:r>
      <w:r>
        <w:rPr>
          <w:iCs/>
          <w:i/>
        </w:rPr>
        <w:t xml:space="preserve">counsel,</w:t>
      </w:r>
      <w:r>
        <w:rPr>
          <w:iCs/>
          <w:i/>
        </w:rPr>
        <w:t xml:space="preserve">”</w:t>
      </w:r>
      <w:r>
        <w:rPr>
          <w:iCs/>
          <w:i/>
        </w:rPr>
        <w:t xml:space="preserve"> </w:t>
      </w:r>
      <w:r>
        <w:rPr>
          <w:iCs/>
          <w:i/>
        </w:rPr>
        <w:t xml:space="preserve">which says: it seems therefore that the pope is bound to seek the counsel of the bishops, which is true where a matter of faith is at issue; and then the synod is greater than the pope, dist. 1[7?] c. Praeterea.</w:t>
      </w:r>
    </w:p>
    <w:p>
      <w:pPr>
        <w:pStyle w:val="BodyText"/>
      </w:pPr>
      <w:r>
        <w:rPr>
          <w:iCs/>
          <w:i/>
        </w:rPr>
        <w:t xml:space="preserve">Whoever can be deposed from the papacy has a superior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p>
      <w:pPr>
        <w:pStyle w:val="BodyText"/>
      </w:pPr>
      <w:r>
        <w:rPr>
          <w:iCs/>
          <w:i/>
        </w:rPr>
        <w:t xml:space="preserve">The third cavilling objection is that there is no appeal from a pope. But this cavil is easily refuted by what has been said. For from one who has a superior there can be an appeal, as was shown in the case</w:t>
      </w:r>
      <w:r>
        <w:rPr>
          <w:iCs/>
          <w:i/>
        </w:rPr>
        <w:t xml:space="preserve"> </w:t>
      </w:r>
      <w:r>
        <w:rPr>
          <w:iCs/>
          <w:i/>
        </w:rPr>
        <w:t xml:space="preserve">“</w:t>
      </w:r>
      <w:r>
        <w:rPr>
          <w:iCs/>
          <w:i/>
        </w:rPr>
        <w:t xml:space="preserve">if a pope has a superior</w:t>
      </w:r>
      <w:r>
        <w:rPr>
          <w:iCs/>
          <w:i/>
        </w:rPr>
        <w:t xml:space="preserve">”</w:t>
      </w:r>
      <w:r>
        <w:rPr>
          <w:iCs/>
          <w:i/>
        </w:rPr>
        <w:t xml:space="preserve"> </w:t>
      </w:r>
      <w:r>
        <w:rPr>
          <w:iCs/>
          <w:i/>
        </w:rP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bookmarkEnd w:id="36"/>
    <w:bookmarkStart w:id="37" w:name="f.-65v-col.-a"/>
    <w:p>
      <w:pPr>
        <w:pStyle w:val="Heading2"/>
      </w:pPr>
      <w:r>
        <w:t xml:space="preserve">{f. 65v} [col. a]</w:t>
      </w:r>
    </w:p>
    <w:p>
      <w:pPr>
        <w:pStyle w:val="FirstParagraph"/>
      </w:pPr>
      <w:r>
        <w:rPr>
          <w:iCs/>
          <w:i/>
        </w:rP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p>
      <w:pPr>
        <w:pStyle w:val="BodyText"/>
      </w:pPr>
      <w:r>
        <w:rPr>
          <w:iCs/>
          <w:i/>
        </w:rP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p>
      <w:pPr>
        <w:pStyle w:val="BodyText"/>
      </w:pPr>
      <w:r>
        <w:rPr>
          <w:iCs/>
          <w:i/>
        </w:rP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p>
      <w:pPr>
        <w:pStyle w:val="BodyText"/>
      </w:pPr>
      <w:r>
        <w:rPr>
          <w:iCs/>
          <w:i/>
        </w:rP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bookmarkEnd w:id="37"/>
    <w:bookmarkStart w:id="38" w:name="f.-66r-col.-a"/>
    <w:p>
      <w:pPr>
        <w:pStyle w:val="Heading2"/>
      </w:pPr>
      <w:r>
        <w:t xml:space="preserve">{f. 66r} [col. a]</w:t>
      </w:r>
    </w:p>
    <w:p>
      <w:pPr>
        <w:pStyle w:val="FirstParagraph"/>
      </w:pPr>
      <w:r>
        <w:rPr>
          <w:iCs/>
          <w:i/>
        </w:rP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p>
      <w:pPr>
        <w:pStyle w:val="BodyText"/>
      </w:pPr>
      <w:r>
        <w:rPr>
          <w:iCs/>
          <w:i/>
        </w:rP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p>
      <w:pPr>
        <w:pStyle w:val="BodyText"/>
      </w:pPr>
      <w:r>
        <w:rPr>
          <w:iCs/>
          <w:i/>
        </w:rP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Excommunicamus and c. Excommunicamus secundo. Therefore John XXII fell into condemned heresies, and so was excommunicated, and consequently could not excommunicate others. Likewise the same cause, q.1 c. Predictis,</w:t>
      </w:r>
      <w:r>
        <w:rPr>
          <w:iCs/>
          <w:i/>
        </w:rPr>
        <w:t xml:space="preserve"> </w:t>
      </w:r>
      <w:r>
        <w:rPr>
          <w:iCs/>
          <w:i/>
        </w:rPr>
        <w:t xml:space="preserve">“</w:t>
      </w:r>
      <w:r>
        <w:rPr>
          <w:iCs/>
          <w:i/>
        </w:rPr>
        <w:t xml:space="preserve">si autem,</w:t>
      </w:r>
      <w:r>
        <w:rPr>
          <w:iCs/>
          <w:i/>
        </w:rPr>
        <w:t xml:space="preserve">”</w:t>
      </w:r>
      <w:r>
        <w:rPr>
          <w:iCs/>
          <w:i/>
        </w:rPr>
        <w:t xml:space="preserve"> </w:t>
      </w:r>
      <w:r>
        <w:rPr>
          <w:iCs/>
          <w:i/>
        </w:rP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bookmarkEnd w:id="38"/>
    <w:bookmarkStart w:id="39" w:name="f.-66v-col.-a"/>
    <w:p>
      <w:pPr>
        <w:pStyle w:val="Heading2"/>
      </w:pPr>
      <w:r>
        <w:t xml:space="preserve">{f. 66v} [col. a]</w:t>
      </w:r>
    </w:p>
    <w:p>
      <w:pPr>
        <w:pStyle w:val="FirstParagraph"/>
      </w:pPr>
      <w:r>
        <w:rPr>
          <w:iCs/>
          <w:i/>
        </w:rP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p>
      <w:pPr>
        <w:pStyle w:val="BodyText"/>
      </w:pPr>
      <w:r>
        <w:rPr>
          <w:iCs/>
          <w:i/>
        </w:rP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Proposuit). And while an appeal is pending nothing can or ought to be changed to the prejudice of the appellant, nor any burden imposed upon him (C.2 q.7[?] c. Appellatione, and the Digest title</w:t>
      </w:r>
      <w:r>
        <w:rPr>
          <w:iCs/>
          <w:i/>
        </w:rPr>
        <w:t xml:space="preserve"> </w:t>
      </w:r>
      <w:r>
        <w:rPr>
          <w:iCs/>
          <w:i/>
        </w:rPr>
        <w:t xml:space="preserve">“</w:t>
      </w:r>
      <w:r>
        <w:rPr>
          <w:iCs/>
          <w:i/>
        </w:rPr>
        <w:t xml:space="preserve">that nothing be changed while an appeal is pending,</w:t>
      </w:r>
      <w:r>
        <w:rPr>
          <w:iCs/>
          <w:i/>
        </w:rPr>
        <w:t xml:space="preserve">”</w:t>
      </w:r>
      <w:r>
        <w:rPr>
          <w:iCs/>
          <w:i/>
        </w:rPr>
        <w:t xml:space="preserve"> </w:t>
      </w:r>
      <w:r>
        <w:rPr>
          <w:iCs/>
          <w:i/>
        </w:rPr>
        <w:t xml:space="preserve">laws 1 and 16). It belongs to the one to whom appeal is made to take cognizance of such an appeal, and not to the one from whom appeal is made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rPr>
          <w:iCs/>
          <w:i/>
        </w:rPr>
        <w:t xml:space="preserve"> </w:t>
      </w:r>
      <w:r>
        <w:rPr>
          <w:iCs/>
          <w:i/>
        </w:rPr>
        <w:t xml:space="preserve">“</w:t>
      </w:r>
      <w:r>
        <w:rPr>
          <w:iCs/>
          <w:i/>
        </w:rPr>
        <w:t xml:space="preserve">de occidendis,</w:t>
      </w:r>
      <w:r>
        <w:rPr>
          <w:iCs/>
          <w:i/>
        </w:rPr>
        <w:t xml:space="preserve">”</w:t>
      </w:r>
      <w:r>
        <w:rPr>
          <w:iCs/>
          <w:i/>
        </w:rPr>
        <w:t xml:space="preserve"> </w:t>
      </w:r>
      <w:r>
        <w:rPr>
          <w:iCs/>
          <w:i/>
        </w:rPr>
        <w:t xml:space="preserve">and q.[?] c. </w:t>
      </w:r>
      <w:r>
        <w:rPr>
          <w:iCs/>
          <w:i/>
        </w:rPr>
        <w:t xml:space="preserve">“</w:t>
      </w:r>
      <w:r>
        <w:rPr>
          <w:iCs/>
          <w:i/>
        </w:rPr>
        <w:t xml:space="preserve">Let no one judge or pronounce the law for himself in his own cause,</w:t>
      </w:r>
      <w:r>
        <w:rPr>
          <w:iCs/>
          <w:i/>
        </w:rPr>
        <w:t xml:space="preserve">”</w:t>
      </w:r>
      <w:r>
        <w:rPr>
          <w:iCs/>
          <w:i/>
        </w:rPr>
        <w:t xml:space="preserve"> </w:t>
      </w:r>
      <w:r>
        <w:rPr>
          <w:iCs/>
          <w:i/>
        </w:rP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p>
      <w:pPr>
        <w:pStyle w:val="BodyText"/>
      </w:pPr>
      <w:r>
        <w:rPr>
          <w:iCs/>
          <w:i/>
        </w:rP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rPr>
          <w:iCs/>
          <w:i/>
        </w:rPr>
        <w:t xml:space="preserve"> </w:t>
      </w:r>
      <w:r>
        <w:rPr>
          <w:iCs/>
          <w:i/>
        </w:rPr>
        <w:t xml:space="preserve">“</w:t>
      </w:r>
      <w:r>
        <w:rPr>
          <w:iCs/>
          <w:i/>
        </w:rPr>
        <w:t xml:space="preserve">Benedict the Twelfth</w:t>
      </w:r>
      <w:r>
        <w:rPr>
          <w:iCs/>
          <w:i/>
        </w:rPr>
        <w:t xml:space="preserve">”</w:t>
      </w:r>
      <w:r>
        <w:rPr>
          <w:iCs/>
          <w:i/>
        </w:rPr>
        <w:t xml:space="preserve"> </w:t>
      </w:r>
      <w:r>
        <w:rPr>
          <w:iCs/>
          <w:i/>
        </w:rP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rPr>
          <w:iCs/>
          <w:i/>
        </w:rPr>
        <w:t xml:space="preserve"> </w:t>
      </w:r>
      <w:r>
        <w:rPr>
          <w:iCs/>
          <w:i/>
        </w:rPr>
        <w:t xml:space="preserve">“</w:t>
      </w:r>
      <w:r>
        <w:rPr>
          <w:iCs/>
          <w:i/>
        </w:rPr>
        <w:t xml:space="preserve">supreme pontiff</w:t>
      </w:r>
      <w:r>
        <w:rPr>
          <w:iCs/>
          <w:i/>
        </w:rPr>
        <w:t xml:space="preserve">”</w:t>
      </w:r>
      <w:r>
        <w:rPr>
          <w:iCs/>
          <w:i/>
        </w:rPr>
        <w:t xml:space="preserve"> </w:t>
      </w:r>
      <w:r>
        <w:rPr>
          <w:iCs/>
          <w:i/>
        </w:rPr>
        <w:t xml:space="preserve">but rather [merely]</w:t>
      </w:r>
      <w:r>
        <w:rPr>
          <w:iCs/>
          <w:i/>
        </w:rPr>
        <w:t xml:space="preserve"> </w:t>
      </w:r>
      <w:r>
        <w:rPr>
          <w:iCs/>
          <w:i/>
        </w:rPr>
        <w:t xml:space="preserve">“</w:t>
      </w:r>
      <w:r>
        <w:rPr>
          <w:iCs/>
          <w:i/>
        </w:rPr>
        <w:t xml:space="preserve">pontifex.</w:t>
      </w:r>
      <w:r>
        <w:rPr>
          <w:iCs/>
          <w:i/>
        </w:rPr>
        <w:t xml:space="preserve">”</w:t>
      </w:r>
      <w:r>
        <w:rPr>
          <w:iCs/>
          <w:i/>
        </w:rPr>
        <w:t xml:space="preserve"> </w:t>
      </w:r>
      <w:r>
        <w:rPr>
          <w:iCs/>
          <w:i/>
        </w:rPr>
        <w:t xml:space="preserve">Furthermore, this</w:t>
      </w:r>
      <w:r>
        <w:rPr>
          <w:iCs/>
          <w:i/>
        </w:rPr>
        <w:t xml:space="preserve"> </w:t>
      </w:r>
      <w:r>
        <w:rPr>
          <w:iCs/>
          <w:i/>
        </w:rPr>
        <w:t xml:space="preserve">“</w:t>
      </w:r>
      <w:r>
        <w:rPr>
          <w:iCs/>
          <w:i/>
        </w:rPr>
        <w:t xml:space="preserve">Benedict</w:t>
      </w:r>
      <w:r>
        <w:rPr>
          <w:iCs/>
          <w:i/>
        </w:rPr>
        <w:t xml:space="preserve">”</w:t>
      </w:r>
      <w:r>
        <w:rPr>
          <w:iCs/>
          <w:i/>
        </w:rPr>
        <w:t xml:space="preserve"> </w:t>
      </w:r>
      <w:r>
        <w:rPr>
          <w:iCs/>
          <w:i/>
        </w:rP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bookmarkEnd w:id="39"/>
    <w:bookmarkStart w:id="40" w:name="f.-67r-col.-a"/>
    <w:p>
      <w:pPr>
        <w:pStyle w:val="Heading2"/>
      </w:pPr>
      <w:r>
        <w:t xml:space="preserve">{f. 67r} [col. a]</w:t>
      </w:r>
    </w:p>
    <w:p>
      <w:pPr>
        <w:pStyle w:val="FirstParagraph"/>
      </w:pPr>
      <w:r>
        <w:rPr>
          <w:iCs/>
          <w:i/>
        </w:rP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rPr>
          <w:iCs/>
          <w:i/>
        </w:rPr>
        <w:t xml:space="preserve"> </w:t>
      </w:r>
      <w:r>
        <w:rPr>
          <w:iCs/>
          <w:i/>
        </w:rPr>
        <w:t xml:space="preserve">“</w:t>
      </w:r>
      <w:r>
        <w:rPr>
          <w:iCs/>
          <w:i/>
        </w:rPr>
        <w:t xml:space="preserve">destitution,</w:t>
      </w:r>
      <w:r>
        <w:rPr>
          <w:iCs/>
          <w:i/>
        </w:rPr>
        <w:t xml:space="preserve">”</w:t>
      </w:r>
      <w:r>
        <w:rPr>
          <w:iCs/>
          <w:i/>
        </w:rPr>
        <w:t xml:space="preserve"> </w:t>
      </w:r>
      <w:r>
        <w:rPr>
          <w:iCs/>
          <w:i/>
        </w:rP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p>
      <w:pPr>
        <w:pStyle w:val="BodyText"/>
      </w:pPr>
      <w:r>
        <w:rPr>
          <w:iCs/>
          <w:i/>
        </w:rPr>
        <w:t xml:space="preserve">Hence, even though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p>
      <w:pPr>
        <w:pStyle w:val="BodyText"/>
      </w:pPr>
      <w:r>
        <w:rPr>
          <w:iCs/>
          <w:i/>
          <w:bCs/>
          <w:b/>
        </w:rPr>
        <w:t xml:space="preserve">End of the Compendium of the Errors of John the Twenty-Second.</w:t>
      </w:r>
    </w:p>
    <w:bookmarkEnd w:id="40"/>
    <w:bookmarkStart w:id="45" w:name="X977d0af858f8288e103f3fb974c6ebbfc757c91"/>
    <w:p>
      <w:pPr>
        <w:pStyle w:val="Heading2"/>
      </w:pPr>
      <w:r>
        <w:t xml:space="preserve">BLOCK E — Dialogus II De dogmatibus Ioannis XXII, fols. 1r–5r: John XXII’s consistory of 1334 branded manifest heresy [Lyons-family incunable 1494]</w:t>
      </w:r>
    </w:p>
    <w:bookmarkStart w:id="41" w:name="Xb94d4a1a37dcaaf8deaed0f72649b28e81e39ed"/>
    <w:p>
      <w:pPr>
        <w:pStyle w:val="Heading3"/>
      </w:pPr>
      <w:r>
        <w:t xml:space="preserve">Incipit secundus tractatus principalis Dialogorum venerabilis magistri Guillermi Okam, de dogmatibus Iohannis vicesimi secundi</w:t>
      </w:r>
    </w:p>
    <w:p>
      <w:pPr>
        <w:pStyle w:val="FirstParagraph"/>
      </w:pPr>
      <w:r>
        <w:rPr>
          <w:iCs/>
          <w:i/>
        </w:rP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p>
      <w:pPr>
        <w:pStyle w:val="BodyText"/>
      </w:pPr>
      <w:r>
        <w:rPr>
          <w:iCs/>
          <w:i/>
        </w:rPr>
        <w:t xml:space="preserve">The above-mentioned reports, then, begin with these words:</w:t>
      </w:r>
    </w:p>
    <w:p>
      <w:pPr>
        <w:pStyle w:val="BlockText"/>
      </w:pPr>
      <w:r>
        <w:rPr>
          <w:iCs/>
          <w:i/>
        </w:rPr>
        <w:t xml:space="preserve">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bookmarkEnd w:id="41"/>
    <w:bookmarkStart w:id="42" w:name="capitulum-primum"/>
    <w:p>
      <w:pPr>
        <w:pStyle w:val="Heading3"/>
      </w:pPr>
      <w:r>
        <w:t xml:space="preserve">Capitulum primum</w:t>
      </w:r>
    </w:p>
    <w:p>
      <w:pPr>
        <w:pStyle w:val="BlockText"/>
      </w:pPr>
      <w:r>
        <w:rPr>
          <w:iCs/>
          <w:i/>
        </w:rPr>
        <w:t xml:space="preserve">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rPr>
          <w:iCs/>
          <w:i/>
        </w:rPr>
        <w:t xml:space="preserve"> </w:t>
      </w:r>
      <w:r>
        <w:rPr>
          <w:iCs/>
          <w:i/>
        </w:rPr>
        <w:t xml:space="preserve">“</w:t>
      </w:r>
      <w:r>
        <w:rPr>
          <w:iCs/>
          <w:i/>
        </w:rPr>
        <w:t xml:space="preserve">and on the last day I shall rise again from the earth,</w:t>
      </w:r>
      <w:r>
        <w:rPr>
          <w:iCs/>
          <w:i/>
        </w:rPr>
        <w:t xml:space="preserve">”</w:t>
      </w:r>
      <w:r>
        <w:rPr>
          <w:iCs/>
          <w:i/>
        </w:rPr>
        <w:t xml:space="preserve"> </w:t>
      </w:r>
      <w:r>
        <w:rPr>
          <w:iCs/>
          <w:i/>
        </w:rPr>
        <w:t xml:space="preserve">and because in the Apocalypse the souls of the holy martyrs demand and, murmuring, implore vengeance for their own blood.</w:t>
      </w:r>
    </w:p>
    <w:p>
      <w:pPr>
        <w:pStyle w:val="FirstParagraph"/>
      </w:pPr>
      <w:r>
        <w:rPr>
          <w:iCs/>
          <w:i/>
        </w:rP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rPr>
          <w:iCs/>
          <w:i/>
        </w:rPr>
        <w:t xml:space="preserve"> </w:t>
      </w:r>
      <w:r>
        <w:rPr>
          <w:iCs/>
          <w:i/>
        </w:rPr>
        <w:t xml:space="preserve">“</w:t>
      </w:r>
      <w:r>
        <w:rPr>
          <w:iCs/>
          <w:i/>
        </w:rPr>
        <w:t xml:space="preserve">in thee, O Lord, have I hoped, let me not be confounded for ever</w:t>
      </w:r>
      <w:r>
        <w:rPr>
          <w:iCs/>
          <w:i/>
        </w:rPr>
        <w:t xml:space="preserve">”</w:t>
      </w:r>
      <w:r>
        <w:rPr>
          <w:iCs/>
          <w:i/>
        </w:rPr>
        <w:t xml:space="preserve">; while it shall be exulted to me…</w:t>
      </w:r>
    </w:p>
    <w:p>
      <w:pPr>
        <w:pStyle w:val="BodyText"/>
      </w:pPr>
      <w:r>
        <w:rPr>
          <w:iCs/>
          <w:i/>
        </w:rP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rPr>
          <w:iCs/>
          <w:i/>
        </w:rPr>
        <w:t xml:space="preserve"> </w:t>
      </w:r>
      <w:r>
        <w:rPr>
          <w:iCs/>
          <w:i/>
        </w:rPr>
        <w:t xml:space="preserve">“</w:t>
      </w:r>
      <w:r>
        <w:rPr>
          <w:iCs/>
          <w:i/>
        </w:rPr>
        <w:t xml:space="preserve">their angels always see the face of the Father</w:t>
      </w:r>
      <w:r>
        <w:rPr>
          <w:iCs/>
          <w:i/>
        </w:rPr>
        <w:t xml:space="preserve">”</w:t>
      </w:r>
      <w:r>
        <w:rPr>
          <w:iCs/>
          <w:i/>
        </w:rPr>
        <w:t xml:space="preserve">; therefore not everyone who hopes for some future thing, and so on. Having thus easily refuted the aforesaid heresy, we must reply to the sophistical argument which he brings forward in support of his principal error.</w:t>
      </w:r>
    </w:p>
    <w:p>
      <w:pPr>
        <w:pStyle w:val="BodyText"/>
      </w:pPr>
      <w:r>
        <w:rPr>
          <w:iCs/>
          <w:i/>
        </w:rP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p>
      <w:pPr>
        <w:pStyle w:val="BlockText"/>
      </w:pPr>
      <w:r>
        <w:rPr>
          <w:iCs/>
          <w:i/>
        </w:rPr>
        <w:t xml:space="preserve">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p>
      <w:pPr>
        <w:pStyle w:val="FirstParagraph"/>
      </w:pPr>
      <w:r>
        <w:rPr>
          <w:iCs/>
          <w:i/>
        </w:rP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rPr>
          <w:iCs/>
          <w:i/>
        </w:rPr>
        <w:t xml:space="preserve"> </w:t>
      </w:r>
      <w:r>
        <w:rPr>
          <w:iCs/>
          <w:i/>
        </w:rPr>
        <w:t xml:space="preserve">“</w:t>
      </w:r>
      <w:r>
        <w:rPr>
          <w:iCs/>
          <w:i/>
        </w:rPr>
        <w:t xml:space="preserve">faith is that by which we believe what we do not see,</w:t>
      </w:r>
      <w:r>
        <w:rPr>
          <w:iCs/>
          <w:i/>
        </w:rPr>
        <w:t xml:space="preserve">”</w:t>
      </w:r>
      <w:r>
        <w:rPr>
          <w:iCs/>
          <w:i/>
        </w:rPr>
        <w:t xml:space="preserve"> </w:t>
      </w:r>
      <w:r>
        <w:rPr>
          <w:iCs/>
          <w:i/>
        </w:rPr>
        <w:t xml:space="preserve">as is noted in the gloss, in the Decretals,</w:t>
      </w:r>
      <w:r>
        <w:rPr>
          <w:iCs/>
          <w:i/>
        </w:rPr>
        <w:t xml:space="preserve"> </w:t>
      </w:r>
      <w:r>
        <w:rPr>
          <w:iCs/>
          <w:i/>
        </w:rPr>
        <w:t xml:space="preserve">“</w:t>
      </w:r>
      <w:r>
        <w:rPr>
          <w:iCs/>
          <w:i/>
        </w:rPr>
        <w:t xml:space="preserve">On the Supreme Trinity and the Catholic Faith</w:t>
      </w:r>
      <w:r>
        <w:rPr>
          <w:iCs/>
          <w:i/>
        </w:rPr>
        <w:t xml:space="preserve">”</w:t>
      </w:r>
      <w:r>
        <w:rPr>
          <w:iCs/>
          <w:i/>
        </w:rPr>
        <w:t xml:space="preserve"> </w:t>
      </w:r>
      <w:r>
        <w:rPr>
          <w:iCs/>
          <w:i/>
        </w:rP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p>
      <w:pPr>
        <w:pStyle w:val="BodyText"/>
      </w:pPr>
      <w:r>
        <w:rPr>
          <w:iCs/>
          <w:i/>
        </w:rPr>
        <w:t xml:space="preserve">…a theological virtue, the souls of the saints, through acts of hoping, hope for the resurrection of their bodies, not for the vision of the divine essence. When the minor premise is proved by the authority of Job,</w:t>
      </w:r>
      <w:r>
        <w:rPr>
          <w:iCs/>
          <w:i/>
        </w:rPr>
        <w:t xml:space="preserve"> </w:t>
      </w:r>
      <w:r>
        <w:rPr>
          <w:iCs/>
          <w:i/>
        </w:rPr>
        <w:t xml:space="preserve">“</w:t>
      </w:r>
      <w:r>
        <w:rPr>
          <w:iCs/>
          <w:i/>
        </w:rPr>
        <w:t xml:space="preserve">on the last day etc.,</w:t>
      </w:r>
      <w:r>
        <w:rPr>
          <w:iCs/>
          <w:i/>
        </w:rPr>
        <w:t xml:space="preserve">”</w:t>
      </w:r>
      <w:r>
        <w:rPr>
          <w:iCs/>
          <w:i/>
        </w:rPr>
        <w:t xml:space="preserve"> </w:t>
      </w:r>
      <w:r>
        <w:rPr>
          <w:iCs/>
          <w:i/>
        </w:rP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rPr>
          <w:iCs/>
          <w:i/>
        </w:rPr>
        <w:t xml:space="preserve"> </w:t>
      </w:r>
      <w:r>
        <w:rPr>
          <w:iCs/>
          <w:i/>
        </w:rPr>
        <w:t xml:space="preserve">“</w:t>
      </w:r>
      <w:r>
        <w:rPr>
          <w:iCs/>
          <w:i/>
        </w:rPr>
        <w:t xml:space="preserve">how long, O Lord holy and true, dost thou not judge and avenge our blood on them that dwell on the earth</w:t>
      </w:r>
      <w:r>
        <w:rPr>
          <w:iCs/>
          <w:i/>
        </w:rPr>
        <w:t xml:space="preserve">”</w:t>
      </w:r>
      <w:r>
        <w:rPr>
          <w:iCs/>
          <w:i/>
        </w:rPr>
        <w:t xml:space="preserve"> </w:t>
      </w:r>
      <w:r>
        <w:rPr>
          <w:iCs/>
          <w:i/>
        </w:rP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rPr>
          <w:iCs/>
          <w:i/>
        </w:rPr>
        <w:t xml:space="preserve"> </w:t>
      </w:r>
      <w:r>
        <w:rPr>
          <w:iCs/>
          <w:i/>
        </w:rPr>
        <w:t xml:space="preserve">“</w:t>
      </w:r>
      <w:r>
        <w:rPr>
          <w:iCs/>
          <w:i/>
        </w:rPr>
        <w:t xml:space="preserve">to murmur</w:t>
      </w:r>
      <w:r>
        <w:rPr>
          <w:iCs/>
          <w:i/>
        </w:rPr>
        <w:t xml:space="preserve">”</w:t>
      </w:r>
      <w:r>
        <w:rPr>
          <w:iCs/>
          <w:i/>
        </w:rPr>
        <w:t xml:space="preserve"> </w:t>
      </w:r>
      <w:r>
        <w:rPr>
          <w:iCs/>
          <w:i/>
        </w:rP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rPr>
          <w:iCs/>
          <w:i/>
        </w:rPr>
        <w:t xml:space="preserve"> </w:t>
      </w:r>
      <w:r>
        <w:rPr>
          <w:iCs/>
          <w:i/>
        </w:rPr>
        <w:t xml:space="preserve">“</w:t>
      </w:r>
      <w:r>
        <w:rPr>
          <w:iCs/>
          <w:i/>
        </w:rPr>
        <w:t xml:space="preserve">murmuring they implore,</w:t>
      </w:r>
      <w:r>
        <w:rPr>
          <w:iCs/>
          <w:i/>
        </w:rPr>
        <w:t xml:space="preserve">”</w:t>
      </w:r>
      <w:r>
        <w:rPr>
          <w:iCs/>
          <w:i/>
        </w:rPr>
        <w:t xml:space="preserve"> </w:t>
      </w:r>
      <w:r>
        <w:rPr>
          <w:iCs/>
          <w:i/>
        </w:rPr>
        <w:t xml:space="preserve">he also hints at a new manifest heresy, namely that the saints in heaven are not wholly freed from every evil of guilt and punishment.</w:t>
      </w:r>
    </w:p>
    <w:bookmarkEnd w:id="42"/>
    <w:bookmarkStart w:id="43" w:name="capitulum-secundum"/>
    <w:p>
      <w:pPr>
        <w:pStyle w:val="Heading3"/>
      </w:pPr>
      <w:r>
        <w:t xml:space="preserve">Capitulum secundum</w:t>
      </w:r>
    </w:p>
    <w:p>
      <w:pPr>
        <w:pStyle w:val="FirstParagraph"/>
      </w:pPr>
      <w:r>
        <w:rPr>
          <w:iCs/>
          <w:i/>
        </w:rPr>
        <w:t xml:space="preserve">There follows, in the counterfeit and frivolous revocation, the second argument, which he made, which was as follows:</w:t>
      </w:r>
    </w:p>
    <w:p>
      <w:pPr>
        <w:pStyle w:val="BlockText"/>
      </w:pPr>
      <w:r>
        <w:rPr>
          <w:iCs/>
          <w:i/>
        </w:rPr>
        <w:t xml:space="preserve">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p>
      <w:pPr>
        <w:pStyle w:val="FirstParagraph"/>
      </w:pPr>
      <w:r>
        <w:rPr>
          <w:iCs/>
          <w:i/>
        </w:rP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p>
      <w:pPr>
        <w:pStyle w:val="BodyText"/>
      </w:pPr>
      <w:r>
        <w:rPr>
          <w:iCs/>
          <w:i/>
        </w:rP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p>
      <w:pPr>
        <w:pStyle w:val="BodyText"/>
      </w:pPr>
      <w:r>
        <w:rPr>
          <w:iCs/>
          <w:i/>
        </w:rPr>
        <w:t xml:space="preserve">…seeing the divine essence, could be exalted to a greater degree of perfection, namely of the divine vision. The minor is manifest according to all. The major is proved first by the authority of Augustine, to Orosius, who says:</w:t>
      </w:r>
      <w:r>
        <w:rPr>
          <w:iCs/>
          <w:i/>
        </w:rPr>
        <w:t xml:space="preserve"> </w:t>
      </w:r>
      <w:r>
        <w:rPr>
          <w:iCs/>
          <w:i/>
        </w:rPr>
        <w:t xml:space="preserve">“</w:t>
      </w:r>
      <w:r>
        <w:rPr>
          <w:iCs/>
          <w:i/>
        </w:rPr>
        <w:t xml:space="preserve">Paul had been so caught up into the third heaven, to an intellectual vision into God, not through the body nor through a likeness of the body, but as Truth itself is, that he might behold.</w:t>
      </w:r>
      <w:r>
        <w:rPr>
          <w:iCs/>
          <w:i/>
        </w:rPr>
        <w:t xml:space="preserve">”</w:t>
      </w:r>
      <w:r>
        <w:rPr>
          <w:iCs/>
          <w:i/>
        </w:rPr>
        <w:t xml:space="preserve"> </w:t>
      </w:r>
      <w:r>
        <w:rPr>
          <w:iCs/>
          <w:i/>
        </w:rPr>
        <w:t xml:space="preserve">From these words it is plainly held that Paul’s soul in the rapture saw God. Secondly the same is proved by the authority of the same Augustine, in book 12 of the Literal Commentary on Genesis, who says that</w:t>
      </w:r>
      <w:r>
        <w:rPr>
          <w:iCs/>
          <w:i/>
        </w:rPr>
        <w:t xml:space="preserve"> </w:t>
      </w:r>
      <w:r>
        <w:rPr>
          <w:iCs/>
          <w:i/>
        </w:rPr>
        <w:t xml:space="preserve">“</w:t>
      </w:r>
      <w:r>
        <w:rPr>
          <w:iCs/>
          <w:i/>
        </w:rP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rPr>
          <w:iCs/>
          <w:i/>
        </w:rPr>
        <w:t xml:space="preserve">”</w:t>
      </w:r>
      <w:r>
        <w:rPr>
          <w:iCs/>
          <w:i/>
        </w:rPr>
        <w:t xml:space="preserve"> </w:t>
      </w:r>
      <w:r>
        <w:rPr>
          <w:iCs/>
          <w:i/>
        </w:rP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rPr>
          <w:iCs/>
          <w:i/>
        </w:rPr>
        <w:t xml:space="preserve"> </w:t>
      </w:r>
      <w:r>
        <w:rPr>
          <w:iCs/>
          <w:i/>
        </w:rPr>
        <w:t xml:space="preserve">“</w:t>
      </w:r>
      <w:r>
        <w:rPr>
          <w:iCs/>
          <w:i/>
        </w:rPr>
        <w:t xml:space="preserve">the third, the supreme spiritual heaven, where the angels and holy souls enjoy the contemplation of God, to which when holy Paul says he was caught up, he signifies that God showed him the life in which he is to be seen forever. And afterward</w:t>
      </w:r>
      <w:r>
        <w:rPr>
          <w:iCs/>
          <w:i/>
        </w:rPr>
        <w:t xml:space="preserve"> </w:t>
      </w:r>
      <w:r>
        <w:rPr>
          <w:iCs/>
          <w:i/>
        </w:rPr>
        <w:t xml:space="preserve">‘</w:t>
      </w:r>
      <w:r>
        <w:rPr>
          <w:iCs/>
          <w:i/>
        </w:rPr>
        <w:t xml:space="preserve">I know such a man caught up,</w:t>
      </w:r>
      <w:r>
        <w:rPr>
          <w:iCs/>
          <w:i/>
        </w:rPr>
        <w:t xml:space="preserve">’</w:t>
      </w:r>
      <w:r>
        <w:rPr>
          <w:iCs/>
          <w:i/>
        </w:rPr>
        <w:t xml:space="preserve"> </w:t>
      </w:r>
      <w:r>
        <w:rPr>
          <w:iCs/>
          <w:i/>
        </w:rP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rPr>
          <w:iCs/>
          <w:i/>
        </w:rPr>
        <w:t xml:space="preserve"> </w:t>
      </w:r>
      <w:r>
        <w:rPr>
          <w:iCs/>
          <w:i/>
        </w:rPr>
        <w:t xml:space="preserve">‘</w:t>
      </w:r>
      <w:r>
        <w:rPr>
          <w:iCs/>
          <w:i/>
        </w:rPr>
        <w:t xml:space="preserve">caught up to the third heaven,</w:t>
      </w:r>
      <w:r>
        <w:rPr>
          <w:iCs/>
          <w:i/>
        </w:rPr>
        <w:t xml:space="preserve">’</w:t>
      </w:r>
      <w:r>
        <w:rPr>
          <w:iCs/>
          <w:i/>
        </w:rPr>
        <w:t xml:space="preserve"> </w:t>
      </w:r>
      <w:r>
        <w:rPr>
          <w:iCs/>
          <w:i/>
        </w:rPr>
        <w:t xml:space="preserve">as if he said: I saw not by human sense (and if in the body, the soul being present, he saw), lest it be contrary to that which God says to Moses:</w:t>
      </w:r>
      <w:r>
        <w:rPr>
          <w:iCs/>
          <w:i/>
        </w:rPr>
        <w:t xml:space="preserve"> </w:t>
      </w:r>
      <w:r>
        <w:rPr>
          <w:iCs/>
          <w:i/>
        </w:rPr>
        <w:t xml:space="preserve">‘</w:t>
      </w:r>
      <w:r>
        <w:rPr>
          <w:iCs/>
          <w:i/>
        </w:rPr>
        <w:t xml:space="preserve">man shall not see me and live.</w:t>
      </w:r>
      <w:r>
        <w:rPr>
          <w:iCs/>
          <w:i/>
        </w:rPr>
        <w:t xml:space="preserve">’</w:t>
      </w:r>
      <w:r>
        <w:rPr>
          <w:iCs/>
          <w:i/>
        </w:rPr>
        <w:t xml:space="preserve"> </w:t>
      </w:r>
      <w:r>
        <w:rPr>
          <w:iCs/>
          <w:i/>
        </w:rP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rPr>
          <w:iCs/>
          <w:i/>
        </w:rPr>
        <w:t xml:space="preserve">”</w:t>
      </w:r>
      <w:r>
        <w:rPr>
          <w:iCs/>
          <w:i/>
        </w:rPr>
        <w:t xml:space="preserve"> </w:t>
      </w:r>
      <w:r>
        <w:rPr>
          <w:iCs/>
          <w:i/>
        </w:rPr>
        <w:t xml:space="preserve">From these things three things are plainly gathered. The first is that blessed Paul saw the divine essence…</w:t>
      </w:r>
    </w:p>
    <w:p>
      <w:pPr>
        <w:pStyle w:val="BodyText"/>
      </w:pPr>
      <w:r>
        <w:rPr>
          <w:iCs/>
          <w:i/>
        </w:rP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p>
      <w:pPr>
        <w:pStyle w:val="BodyText"/>
      </w:pPr>
      <w:r>
        <w:rPr>
          <w:iCs/>
          <w:i/>
        </w:rP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rPr>
          <w:iCs/>
          <w:i/>
        </w:rPr>
        <w:t xml:space="preserve"> </w:t>
      </w:r>
      <w:r>
        <w:rPr>
          <w:iCs/>
          <w:i/>
        </w:rPr>
        <w:t xml:space="preserve">“</w:t>
      </w:r>
      <w:r>
        <w:rPr>
          <w:iCs/>
          <w:i/>
        </w:rPr>
        <w:t xml:space="preserve">star differs from star,</w:t>
      </w:r>
      <w:r>
        <w:rPr>
          <w:iCs/>
          <w:i/>
        </w:rPr>
        <w:t xml:space="preserve">”</w:t>
      </w:r>
      <w:r>
        <w:rPr>
          <w:iCs/>
          <w:i/>
        </w:rPr>
        <w:t xml:space="preserve"> </w:t>
      </w:r>
      <w:r>
        <w:rPr>
          <w:iCs/>
          <w:i/>
        </w:rPr>
        <w:t xml:space="preserve">according to the Apostle, First Corinthians 15, so one soul sees more clearly than another; which Augustine manifestly asserts in the book On Rebuke, and it is recited under</w:t>
      </w:r>
      <w:r>
        <w:rPr>
          <w:iCs/>
          <w:i/>
        </w:rPr>
        <w:t xml:space="preserve"> </w:t>
      </w:r>
      <w:r>
        <w:rPr>
          <w:iCs/>
          <w:i/>
        </w:rPr>
        <w:t xml:space="preserve">“</w:t>
      </w:r>
      <w:r>
        <w:rPr>
          <w:iCs/>
          <w:i/>
        </w:rPr>
        <w:t xml:space="preserve">On Penance,</w:t>
      </w:r>
      <w:r>
        <w:rPr>
          <w:iCs/>
          <w:i/>
        </w:rPr>
        <w:t xml:space="preserve">”</w:t>
      </w:r>
      <w:r>
        <w:rPr>
          <w:iCs/>
          <w:i/>
        </w:rPr>
        <w:t xml:space="preserve"> </w:t>
      </w:r>
      <w:r>
        <w:rPr>
          <w:iCs/>
          <w:i/>
        </w:rPr>
        <w:t xml:space="preserve">distinction 2, chapter</w:t>
      </w:r>
      <w:r>
        <w:rPr>
          <w:iCs/>
          <w:i/>
        </w:rPr>
        <w:t xml:space="preserve"> </w:t>
      </w:r>
      <w:r>
        <w:rPr>
          <w:iCs/>
          <w:i/>
        </w:rPr>
        <w:t xml:space="preserve">“</w:t>
      </w:r>
      <w:r>
        <w:rPr>
          <w:iCs/>
          <w:i/>
        </w:rPr>
        <w:t xml:space="preserve">In domo,</w:t>
      </w:r>
      <w:r>
        <w:rPr>
          <w:iCs/>
          <w:i/>
        </w:rPr>
        <w:t xml:space="preserve">”</w:t>
      </w:r>
      <w:r>
        <w:rPr>
          <w:iCs/>
          <w:i/>
        </w:rPr>
        <w:t xml:space="preserve"> </w:t>
      </w:r>
      <w:r>
        <w:rPr>
          <w:iCs/>
          <w:i/>
        </w:rPr>
        <w:t xml:space="preserve">who says thus:</w:t>
      </w:r>
      <w:r>
        <w:rPr>
          <w:iCs/>
          <w:i/>
        </w:rPr>
        <w:t xml:space="preserve"> </w:t>
      </w:r>
      <w:r>
        <w:rPr>
          <w:iCs/>
          <w:i/>
        </w:rPr>
        <w:t xml:space="preserve">“</w:t>
      </w:r>
      <w:r>
        <w:rPr>
          <w:iCs/>
          <w:i/>
        </w:rPr>
        <w:t xml:space="preserve">he prepares us for himself and himself for us, that he may abide in us and we in him, according as each shall be a partaker of him, more or less, according to the diversity of merits; and this is the multitude of mansions.</w:t>
      </w:r>
      <w:r>
        <w:rPr>
          <w:iCs/>
          <w:i/>
        </w:rPr>
        <w:t xml:space="preserve">”</w:t>
      </w:r>
      <w:r>
        <w:rPr>
          <w:iCs/>
          <w:i/>
        </w:rPr>
        <w:t xml:space="preserve"> </w:t>
      </w:r>
      <w:r>
        <w:rPr>
          <w:iCs/>
          <w:i/>
        </w:rPr>
        <w:t xml:space="preserve">Therefore it is not to be said that God cannot, if he will, exalt a soul seeing God to a clearer degree of vision.</w:t>
      </w:r>
    </w:p>
    <w:p>
      <w:pPr>
        <w:pStyle w:val="BodyText"/>
      </w:pPr>
      <w:r>
        <w:rPr>
          <w:iCs/>
          <w:i/>
        </w:rP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rPr>
          <w:iCs/>
          <w:i/>
        </w:rPr>
        <w:t xml:space="preserve"> </w:t>
      </w:r>
      <w:r>
        <w:rPr>
          <w:iCs/>
          <w:i/>
        </w:rPr>
        <w:t xml:space="preserve">“</w:t>
      </w:r>
      <w:r>
        <w:rPr>
          <w:iCs/>
          <w:i/>
        </w:rPr>
        <w:t xml:space="preserve">he humbled himself, becoming obedient unto death, even the death of the cross, wherefore God also exalted him.</w:t>
      </w:r>
      <w:r>
        <w:rPr>
          <w:iCs/>
          <w:i/>
        </w:rPr>
        <w:t xml:space="preserve">”</w:t>
      </w:r>
      <w:r>
        <w:rPr>
          <w:iCs/>
          <w:i/>
        </w:rPr>
        <w:t xml:space="preserve"> </w:t>
      </w:r>
      <w:r>
        <w:rPr>
          <w:iCs/>
          <w:i/>
        </w:rP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p>
      <w:pPr>
        <w:pStyle w:val="BodyText"/>
      </w:pPr>
      <w:r>
        <w:rPr>
          <w:iCs/>
          <w:i/>
        </w:rPr>
        <w:t xml:space="preserve">The aforesaid heretical assertion is also contradicted by the words of blessed Peter. For blessed Peter, speaking, as is had in Acts 2, of Christ after his passion, says:</w:t>
      </w:r>
      <w:r>
        <w:rPr>
          <w:iCs/>
          <w:i/>
        </w:rPr>
        <w:t xml:space="preserve"> </w:t>
      </w:r>
      <w:r>
        <w:rPr>
          <w:iCs/>
          <w:i/>
        </w:rPr>
        <w:t xml:space="preserve">“</w:t>
      </w:r>
      <w:r>
        <w:rPr>
          <w:iCs/>
          <w:i/>
        </w:rPr>
        <w:t xml:space="preserve">this Jesus God raised up, whereof we are witnesses; being therefore exalted by the right hand of God, and having received of the Father the promise of the Holy Spirit, he poured forth,</w:t>
      </w:r>
      <w:r>
        <w:rPr>
          <w:iCs/>
          <w:i/>
        </w:rPr>
        <w:t xml:space="preserve">”</w:t>
      </w:r>
      <w:r>
        <w:rPr>
          <w:iCs/>
          <w:i/>
        </w:rPr>
        <w:t xml:space="preserve"> </w:t>
      </w:r>
      <w:r>
        <w:rPr>
          <w:iCs/>
          <w:i/>
        </w:rP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p>
      <w:pPr>
        <w:pStyle w:val="BodyText"/>
      </w:pPr>
      <w:r>
        <w:rPr>
          <w:iCs/>
          <w:i/>
        </w:rPr>
        <w:t xml:space="preserve">Furthermore, the assertion…</w:t>
      </w:r>
    </w:p>
    <w:p>
      <w:pPr>
        <w:pStyle w:val="BodyText"/>
      </w:pPr>
      <w:r>
        <w:rPr>
          <w:iCs/>
          <w:i/>
        </w:rPr>
        <w:t xml:space="preserve">…calls to mind contradicts the holy Gospel. For glorification can be called an exaltation; but Christ, after his soul saw the divine essence, was glorified; which blessed John the Evangelist, chapter 7, openly hints, saying:</w:t>
      </w:r>
      <w:r>
        <w:rPr>
          <w:iCs/>
          <w:i/>
        </w:rPr>
        <w:t xml:space="preserve"> </w:t>
      </w:r>
      <w:r>
        <w:rPr>
          <w:iCs/>
          <w:i/>
        </w:rPr>
        <w:t xml:space="preserve">“</w:t>
      </w:r>
      <w:r>
        <w:rPr>
          <w:iCs/>
          <w:i/>
        </w:rP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rPr>
          <w:iCs/>
          <w:i/>
        </w:rPr>
        <w:t xml:space="preserve">”</w:t>
      </w:r>
      <w:r>
        <w:rPr>
          <w:iCs/>
          <w:i/>
        </w:rPr>
        <w:t xml:space="preserve"> </w:t>
      </w:r>
      <w:r>
        <w:rPr>
          <w:iCs/>
          <w:i/>
        </w:rP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p>
      <w:pPr>
        <w:pStyle w:val="BodyText"/>
      </w:pPr>
      <w:r>
        <w:rPr>
          <w:iCs/>
          <w:i/>
        </w:rP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rPr>
          <w:iCs/>
          <w:i/>
        </w:rPr>
        <w:t xml:space="preserve"> </w:t>
      </w:r>
      <w:r>
        <w:rPr>
          <w:iCs/>
          <w:i/>
        </w:rPr>
        <w:t xml:space="preserve">“</w:t>
      </w:r>
      <w:r>
        <w:rPr>
          <w:iCs/>
          <w:i/>
        </w:rPr>
        <w:t xml:space="preserve">while we are in the body, we are pilgrims away from the Lord, for we walk by faith and not by hope.</w:t>
      </w:r>
      <w:r>
        <w:rPr>
          <w:iCs/>
          <w:i/>
        </w:rPr>
        <w:t xml:space="preserve">”</w:t>
      </w:r>
      <w:r>
        <w:rPr>
          <w:iCs/>
          <w:i/>
        </w:rPr>
        <w:t xml:space="preserve"> </w:t>
      </w:r>
      <w:r>
        <w:rPr>
          <w:iCs/>
          <w:i/>
        </w:rP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rPr>
          <w:iCs/>
          <w:i/>
        </w:rPr>
        <w:t xml:space="preserve"> </w:t>
      </w:r>
      <w:r>
        <w:rPr>
          <w:iCs/>
          <w:i/>
        </w:rPr>
        <w:t xml:space="preserve">“</w:t>
      </w:r>
      <w:r>
        <w:rPr>
          <w:iCs/>
          <w:i/>
        </w:rPr>
        <w:t xml:space="preserve">but we are confident and have the good will rather to be pilgrims away from the body and to be present to God.</w:t>
      </w:r>
      <w:r>
        <w:rPr>
          <w:iCs/>
          <w:i/>
        </w:rPr>
        <w:t xml:space="preserve">”</w:t>
      </w:r>
      <w:r>
        <w:rPr>
          <w:iCs/>
          <w:i/>
        </w:rPr>
        <w:t xml:space="preserve"> </w:t>
      </w:r>
      <w:r>
        <w:rPr>
          <w:iCs/>
          <w:i/>
        </w:rP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p>
      <w:pPr>
        <w:pStyle w:val="BodyText"/>
      </w:pPr>
      <w:r>
        <w:rPr>
          <w:iCs/>
          <w:i/>
        </w:rP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p>
      <w:pPr>
        <w:pStyle w:val="BodyText"/>
      </w:pPr>
      <w:r>
        <w:rPr>
          <w:iCs/>
          <w:i/>
        </w:rP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rPr>
          <w:iCs/>
          <w:i/>
        </w:rPr>
        <w:t xml:space="preserve"> </w:t>
      </w:r>
      <w:r>
        <w:rPr>
          <w:iCs/>
          <w:i/>
        </w:rPr>
        <w:t xml:space="preserve">“</w:t>
      </w:r>
      <w:r>
        <w:rPr>
          <w:iCs/>
          <w:i/>
        </w:rPr>
        <w:t xml:space="preserve">my soul is sorrowful even unto death.</w:t>
      </w:r>
      <w:r>
        <w:rPr>
          <w:iCs/>
          <w:i/>
        </w:rPr>
        <w:t xml:space="preserve">”</w:t>
      </w:r>
    </w:p>
    <w:p>
      <w:pPr>
        <w:pStyle w:val="BodyText"/>
      </w:pPr>
      <w:r>
        <w:rPr>
          <w:iCs/>
          <w:i/>
        </w:rP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p>
      <w:pPr>
        <w:pStyle w:val="BodyText"/>
      </w:pPr>
      <w:r>
        <w:rPr>
          <w:iCs/>
          <w:i/>
        </w:rP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rPr>
          <w:iCs/>
          <w:i/>
        </w:rPr>
        <w:t xml:space="preserve"> </w:t>
      </w:r>
      <w:r>
        <w:rPr>
          <w:iCs/>
          <w:i/>
        </w:rPr>
        <w:t xml:space="preserve">“</w:t>
      </w:r>
      <w:r>
        <w:rPr>
          <w:iCs/>
          <w:i/>
        </w:rPr>
        <w:t xml:space="preserve">the aforesaid facial vision is not compatible with a desire for any other thing</w:t>
      </w:r>
      <w:r>
        <w:rPr>
          <w:iCs/>
          <w:i/>
        </w:rPr>
        <w:t xml:space="preserve">”</w:t>
      </w:r>
      <w:r>
        <w:rPr>
          <w:iCs/>
          <w:i/>
        </w:rPr>
        <w:t xml:space="preserve"> </w:t>
      </w:r>
      <w:r>
        <w:rPr>
          <w:iCs/>
          <w:i/>
        </w:rPr>
        <w:t xml:space="preserve">— which are most openly to be reckoned heretical, because they contradict the Gospel, since Christ, who saw the divine essence, says in Luke 22:</w:t>
      </w:r>
      <w:r>
        <w:rPr>
          <w:iCs/>
          <w:i/>
        </w:rPr>
        <w:t xml:space="preserve"> </w:t>
      </w:r>
      <w:r>
        <w:rPr>
          <w:iCs/>
          <w:i/>
        </w:rPr>
        <w:t xml:space="preserve">“</w:t>
      </w:r>
      <w:r>
        <w:rPr>
          <w:iCs/>
          <w:i/>
        </w:rPr>
        <w:t xml:space="preserve">with desire I have desired to eat this passover with you.</w:t>
      </w:r>
      <w:r>
        <w:rPr>
          <w:iCs/>
          <w:i/>
        </w:rPr>
        <w:t xml:space="preserve">”</w:t>
      </w:r>
      <w:r>
        <w:rPr>
          <w:iCs/>
          <w:i/>
        </w:rPr>
        <w:t xml:space="preserve"> </w:t>
      </w:r>
      <w:r>
        <w:rPr>
          <w:iCs/>
          <w:i/>
        </w:rPr>
        <w:t xml:space="preserve">From which words it is plainly inferred that the facial vision is compatible with the desire of some thing.</w:t>
      </w:r>
    </w:p>
    <w:p>
      <w:pPr>
        <w:pStyle w:val="BodyText"/>
      </w:pPr>
      <w:r>
        <w:rPr>
          <w:iCs/>
          <w:i/>
        </w:rP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p>
      <w:pPr>
        <w:pStyle w:val="BodyText"/>
      </w:pPr>
      <w:r>
        <w:rPr>
          <w:iCs/>
          <w:i/>
        </w:rP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p>
      <w:pPr>
        <w:pStyle w:val="BodyText"/>
      </w:pPr>
      <w:r>
        <w:rPr>
          <w:iCs/>
          <w:i/>
        </w:rP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rPr>
          <w:iCs/>
          <w:i/>
        </w:rPr>
        <w:t xml:space="preserve"> </w:t>
      </w:r>
      <w:r>
        <w:rPr>
          <w:iCs/>
          <w:i/>
        </w:rPr>
        <w:t xml:space="preserve">“</w:t>
      </w:r>
      <w:r>
        <w:rPr>
          <w:iCs/>
          <w:i/>
        </w:rPr>
        <w:t xml:space="preserve">but that which others say above seems more probable, that the angels can advance in knowledge and in other things up to the judgment.</w:t>
      </w:r>
      <w:r>
        <w:rPr>
          <w:iCs/>
          <w:i/>
        </w:rPr>
        <w:t xml:space="preserve">”</w:t>
      </w:r>
      <w:r>
        <w:rPr>
          <w:iCs/>
          <w:i/>
        </w:rPr>
        <w:t xml:space="preserve"> </w:t>
      </w:r>
      <w:r>
        <w:rPr>
          <w:iCs/>
          <w:i/>
        </w:rP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p>
      <w:pPr>
        <w:pStyle w:val="BodyText"/>
      </w:pPr>
      <w:r>
        <w:rPr>
          <w:iCs/>
          <w:i/>
        </w:rPr>
        <w:t xml:space="preserve">These things seen, it is easy to reply to his argument. For when he first says</w:t>
      </w:r>
      <w:r>
        <w:rPr>
          <w:iCs/>
          <w:i/>
        </w:rPr>
        <w:t xml:space="preserve"> </w:t>
      </w:r>
      <w:r>
        <w:rPr>
          <w:iCs/>
          <w:i/>
        </w:rPr>
        <w:t xml:space="preserve">“</w:t>
      </w:r>
      <w:r>
        <w:rPr>
          <w:iCs/>
          <w:i/>
        </w:rPr>
        <w:t xml:space="preserve">beyond the clear vision of the divine essence souls cannot be exalted,</w:t>
      </w:r>
      <w:r>
        <w:rPr>
          <w:iCs/>
          <w:i/>
        </w:rPr>
        <w:t xml:space="preserve">”</w:t>
      </w:r>
      <w:r>
        <w:rPr>
          <w:iCs/>
          <w:i/>
        </w:rPr>
        <w:t xml:space="preserve"> </w:t>
      </w:r>
      <w:r>
        <w:rPr>
          <w:iCs/>
          <w:i/>
        </w:rP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p>
      <w:pPr>
        <w:pStyle w:val="BodyText"/>
      </w:pPr>
      <w:r>
        <w:rPr>
          <w:iCs/>
          <w:i/>
        </w:rPr>
        <w:t xml:space="preserve">When secondly he says</w:t>
      </w:r>
      <w:r>
        <w:rPr>
          <w:iCs/>
          <w:i/>
        </w:rPr>
        <w:t xml:space="preserve"> </w:t>
      </w:r>
      <w:r>
        <w:rPr>
          <w:iCs/>
          <w:i/>
        </w:rPr>
        <w:t xml:space="preserve">“</w:t>
      </w:r>
      <w:r>
        <w:rPr>
          <w:iCs/>
          <w:i/>
        </w:rPr>
        <w:t xml:space="preserve">beyond the highest, nothing,</w:t>
      </w:r>
      <w:r>
        <w:rPr>
          <w:iCs/>
          <w:i/>
        </w:rPr>
        <w:t xml:space="preserve">”</w:t>
      </w:r>
      <w:r>
        <w:rPr>
          <w:iCs/>
          <w:i/>
        </w:rPr>
        <w:t xml:space="preserve"> </w:t>
      </w:r>
      <w:r>
        <w:rPr>
          <w:iCs/>
          <w:i/>
        </w:rP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p>
      <w:pPr>
        <w:pStyle w:val="BodyText"/>
      </w:pPr>
      <w:r>
        <w:rPr>
          <w:iCs/>
          <w:i/>
        </w:rPr>
        <w:t xml:space="preserve">…and greatest.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then, in the first way, thus nothing is higher than the highest.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thus nothing is higher than the highest in such a species; hence than the most intense blackness no black color is higher, yet there is some other color higher. For thus it is clear that</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can be taken in many ways, and therefore that saying,</w:t>
      </w:r>
      <w:r>
        <w:rPr>
          <w:iCs/>
          <w:i/>
        </w:rPr>
        <w:t xml:space="preserve"> </w:t>
      </w:r>
      <w:r>
        <w:rPr>
          <w:iCs/>
          <w:i/>
        </w:rPr>
        <w:t xml:space="preserve">“</w:t>
      </w:r>
      <w:r>
        <w:rPr>
          <w:iCs/>
          <w:i/>
        </w:rPr>
        <w:t xml:space="preserve">nothing is higher than the highest,</w:t>
      </w:r>
      <w:r>
        <w:rPr>
          <w:iCs/>
          <w:i/>
        </w:rPr>
        <w:t xml:space="preserve">”</w:t>
      </w:r>
      <w:r>
        <w:rPr>
          <w:iCs/>
          <w:i/>
        </w:rPr>
        <w:t xml:space="preserve"> </w:t>
      </w:r>
      <w:r>
        <w:rPr>
          <w:iCs/>
          <w:i/>
        </w:rPr>
        <w:t xml:space="preserve">has various senses, of which one is true and another false.</w:t>
      </w:r>
    </w:p>
    <w:p>
      <w:pPr>
        <w:pStyle w:val="BodyText"/>
      </w:pPr>
      <w:r>
        <w:rPr>
          <w:iCs/>
          <w:i/>
        </w:rPr>
        <w:t xml:space="preserve">But when he takes, thirdly, that the clear vision is the highest exaltation of souls, it is clear from what has been said that this has various false senses, because it is false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and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thus; others saying that the love or fruition is more perfect and higher than the vision — and they would say that the vision is not the highest exaltation of souls, but the fruition.</w:t>
      </w:r>
    </w:p>
    <w:p>
      <w:pPr>
        <w:pStyle w:val="BodyText"/>
      </w:pPr>
      <w:r>
        <w:rPr>
          <w:iCs/>
          <w:i/>
        </w:rP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p>
      <w:pPr>
        <w:pStyle w:val="BodyText"/>
      </w:pPr>
      <w:r>
        <w:rPr>
          <w:iCs/>
          <w:i/>
        </w:rPr>
        <w:t xml:space="preserve">But when he says, sixthly,</w:t>
      </w:r>
      <w:r>
        <w:rPr>
          <w:iCs/>
          <w:i/>
        </w:rPr>
        <w:t xml:space="preserve"> </w:t>
      </w:r>
      <w:r>
        <w:rPr>
          <w:iCs/>
          <w:i/>
        </w:rPr>
        <w:t xml:space="preserve">“</w:t>
      </w:r>
      <w:r>
        <w:rPr>
          <w:iCs/>
          <w:i/>
        </w:rPr>
        <w:t xml:space="preserve">otherwise they would then not [be exalted]</w:t>
      </w:r>
      <w:r>
        <w:rPr>
          <w:iCs/>
          <w:i/>
        </w:rPr>
        <w:t xml:space="preserve">”</w:t>
      </w:r>
      <w:r>
        <w:rPr>
          <w:iCs/>
          <w:i/>
        </w:rPr>
        <w:t xml:space="preserve">…</w:t>
      </w:r>
    </w:p>
    <w:p>
      <w:pPr>
        <w:pStyle w:val="BodyText"/>
      </w:pPr>
      <w:r>
        <w:rPr>
          <w:iCs/>
          <w:i/>
        </w:rP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p>
      <w:pPr>
        <w:pStyle w:val="BodyText"/>
      </w:pPr>
      <w:r>
        <w:rPr>
          <w:iCs/>
          <w:i/>
        </w:rP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p>
      <w:pPr>
        <w:pStyle w:val="BodyText"/>
      </w:pPr>
      <w:r>
        <w:rPr>
          <w:iCs/>
          <w:i/>
        </w:rP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p>
      <w:pPr>
        <w:pStyle w:val="BodyText"/>
      </w:pPr>
      <w:r>
        <w:rPr>
          <w:iCs/>
          <w:i/>
        </w:rP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p>
      <w:pPr>
        <w:pStyle w:val="BodyText"/>
      </w:pPr>
      <w:r>
        <w:rPr>
          <w:iCs/>
          <w:i/>
        </w:rPr>
        <w:t xml:space="preserve">But when he lastly alleges blessed Peter saying</w:t>
      </w:r>
      <w:r>
        <w:rPr>
          <w:iCs/>
          <w:i/>
        </w:rPr>
        <w:t xml:space="preserve"> </w:t>
      </w:r>
      <w:r>
        <w:rPr>
          <w:iCs/>
          <w:i/>
        </w:rPr>
        <w:t xml:space="preserve">“</w:t>
      </w:r>
      <w:r>
        <w:rPr>
          <w:iCs/>
          <w:i/>
        </w:rPr>
        <w:t xml:space="preserve">that he may exalt us unto salvation,</w:t>
      </w:r>
      <w:r>
        <w:rPr>
          <w:iCs/>
          <w:i/>
        </w:rPr>
        <w:t xml:space="preserve">”</w:t>
      </w:r>
      <w:r>
        <w:rPr>
          <w:iCs/>
          <w:i/>
        </w:rPr>
        <w:t xml:space="preserve"> </w:t>
      </w:r>
      <w:r>
        <w:rPr>
          <w:iCs/>
          <w:i/>
        </w:rP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p>
      <w:pPr>
        <w:pStyle w:val="BodyText"/>
      </w:pPr>
      <w:r>
        <w:rPr>
          <w:iCs/>
          <w:i/>
        </w:rPr>
        <w:t xml:space="preserve">…in his two greatest prolix treatises, are resolved, because they speak of the elect composed of body and soul, who by common law will not see God before the day of judgment.</w:t>
      </w:r>
    </w:p>
    <w:bookmarkEnd w:id="43"/>
    <w:bookmarkStart w:id="44" w:name="capitulum-tertium"/>
    <w:p>
      <w:pPr>
        <w:pStyle w:val="Heading3"/>
      </w:pPr>
      <w:r>
        <w:t xml:space="preserve">Capitulum tertium</w:t>
      </w:r>
    </w:p>
    <w:p>
      <w:pPr>
        <w:pStyle w:val="FirstParagraph"/>
      </w:pPr>
      <w:r>
        <w:rPr>
          <w:iCs/>
          <w:i/>
        </w:rPr>
        <w:t xml:space="preserve">The third way on which he grounded himself is this:</w:t>
      </w:r>
    </w:p>
    <w:p>
      <w:pPr>
        <w:pStyle w:val="BlockText"/>
      </w:pPr>
      <w:r>
        <w:rPr>
          <w:iCs/>
          <w:i/>
        </w:rPr>
        <w:t xml:space="preserve">Because (as he says) the beatific vision does not stand together with instruction, for whoever clearly sees God sees also all things, according to Gregory saying:</w:t>
      </w:r>
      <w:r>
        <w:rPr>
          <w:iCs/>
          <w:i/>
        </w:rPr>
        <w:t xml:space="preserve"> </w:t>
      </w:r>
      <w:r>
        <w:rPr>
          <w:iCs/>
          <w:i/>
        </w:rPr>
        <w:t xml:space="preserve">“</w:t>
      </w:r>
      <w:r>
        <w:rPr>
          <w:iCs/>
          <w:i/>
        </w:rPr>
        <w:t xml:space="preserve">what is there that he does not see, who sees Him who sees all things?</w:t>
      </w:r>
      <w:r>
        <w:rPr>
          <w:iCs/>
          <w:i/>
        </w:rPr>
        <w:t xml:space="preserve">”</w:t>
      </w:r>
      <w:r>
        <w:rPr>
          <w:iCs/>
          <w:i/>
        </w:rPr>
        <w:t xml:space="preserve"> </w:t>
      </w:r>
      <w:r>
        <w:rPr>
          <w:iCs/>
          <w:i/>
        </w:rPr>
        <w:t xml:space="preserve">But according to blessed Augustine, in the work</w:t>
      </w:r>
      <w:r>
        <w:rPr>
          <w:iCs/>
          <w:i/>
        </w:rPr>
        <w:t xml:space="preserve"> </w:t>
      </w:r>
      <w:r>
        <w:rPr>
          <w:iCs/>
          <w:i/>
        </w:rPr>
        <w:t xml:space="preserve">“</w:t>
      </w:r>
      <w:r>
        <w:rPr>
          <w:iCs/>
          <w:i/>
        </w:rPr>
        <w:t xml:space="preserve">On the Care of the Dead,</w:t>
      </w:r>
      <w:r>
        <w:rPr>
          <w:iCs/>
          <w:i/>
        </w:rPr>
        <w:t xml:space="preserve">”</w:t>
      </w:r>
      <w:r>
        <w:rPr>
          <w:iCs/>
          <w:i/>
        </w:rPr>
        <w:t xml:space="preserve"> </w:t>
      </w:r>
      <w:r>
        <w:rPr>
          <w:iCs/>
          <w:i/>
        </w:rP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p>
      <w:pPr>
        <w:pStyle w:val="FirstParagraph"/>
      </w:pPr>
      <w:r>
        <w:rPr>
          <w:iCs/>
          <w:i/>
        </w:rP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rPr>
          <w:iCs/>
          <w:i/>
        </w:rPr>
        <w:t xml:space="preserve"> </w:t>
      </w:r>
      <w:r>
        <w:rPr>
          <w:iCs/>
          <w:i/>
        </w:rPr>
        <w:t xml:space="preserve">“</w:t>
      </w:r>
      <w:r>
        <w:rPr>
          <w:iCs/>
          <w:i/>
        </w:rP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rPr>
          <w:iCs/>
          <w:i/>
        </w:rPr>
        <w:t xml:space="preserve">”</w:t>
      </w:r>
    </w:p>
    <w:p>
      <w:pPr>
        <w:pStyle w:val="BodyText"/>
      </w:pPr>
      <w:r>
        <w:rPr>
          <w:iCs/>
          <w:i/>
        </w:rP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rPr>
          <w:iCs/>
          <w:i/>
        </w:rPr>
        <w:t xml:space="preserve"> </w:t>
      </w:r>
      <w:r>
        <w:rPr>
          <w:iCs/>
          <w:i/>
        </w:rPr>
        <w:t xml:space="preserve">“</w:t>
      </w:r>
      <w:r>
        <w:rPr>
          <w:iCs/>
          <w:i/>
        </w:rPr>
        <w:t xml:space="preserve">because it is given to me to evangelize and to enlighten and to see — what is this? because through this they will receive something who have learned many secrets in it; and as for what he says,</w:t>
      </w:r>
      <w:r>
        <w:rPr>
          <w:iCs/>
          <w:i/>
        </w:rPr>
        <w:t xml:space="preserve"> </w:t>
      </w:r>
      <w:r>
        <w:rPr>
          <w:iCs/>
          <w:i/>
        </w:rPr>
        <w:t xml:space="preserve">‘</w:t>
      </w:r>
      <w:r>
        <w:rPr>
          <w:iCs/>
          <w:i/>
        </w:rPr>
        <w:t xml:space="preserve">to evangelize,</w:t>
      </w:r>
      <w:r>
        <w:rPr>
          <w:iCs/>
          <w:i/>
        </w:rPr>
        <w:t xml:space="preserve">’</w:t>
      </w:r>
      <w:r>
        <w:rPr>
          <w:iCs/>
          <w:i/>
        </w:rPr>
        <w:t xml:space="preserve"> </w:t>
      </w:r>
      <w:r>
        <w:rPr>
          <w:iCs/>
          <w:i/>
        </w:rP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rPr>
          <w:iCs/>
          <w:i/>
        </w:rPr>
        <w:t xml:space="preserve">”</w:t>
      </w:r>
      <w:r>
        <w:rPr>
          <w:iCs/>
          <w:i/>
        </w:rPr>
        <w:t xml:space="preserve"> </w:t>
      </w:r>
      <w:r>
        <w:rPr>
          <w:iCs/>
          <w:i/>
        </w:rP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rPr>
          <w:iCs/>
          <w:i/>
        </w:rPr>
        <w:t xml:space="preserve"> </w:t>
      </w:r>
      <w:r>
        <w:rPr>
          <w:iCs/>
          <w:i/>
        </w:rPr>
        <w:t xml:space="preserve">“</w:t>
      </w:r>
      <w:r>
        <w:rPr>
          <w:iCs/>
          <w:i/>
        </w:rPr>
        <w:t xml:space="preserve">who is this that comes from Edom?</w:t>
      </w:r>
      <w:r>
        <w:rPr>
          <w:iCs/>
          <w:i/>
        </w:rPr>
        <w:t xml:space="preserve">”</w:t>
      </w:r>
      <w:r>
        <w:rPr>
          <w:iCs/>
          <w:i/>
        </w:rPr>
        <w:t xml:space="preserve">, and in the psalm,</w:t>
      </w:r>
      <w:r>
        <w:rPr>
          <w:iCs/>
          <w:i/>
        </w:rPr>
        <w:t xml:space="preserve"> </w:t>
      </w:r>
      <w:r>
        <w:rPr>
          <w:iCs/>
          <w:i/>
        </w:rPr>
        <w:t xml:space="preserve">“</w:t>
      </w:r>
      <w:r>
        <w:rPr>
          <w:iCs/>
          <w:i/>
        </w:rPr>
        <w:t xml:space="preserve">who is this king of glory?</w:t>
      </w:r>
      <w:r>
        <w:rPr>
          <w:iCs/>
          <w:i/>
        </w:rPr>
        <w:t xml:space="preserve">”</w:t>
      </w:r>
      <w:r>
        <w:rPr>
          <w:iCs/>
          <w:i/>
        </w:rPr>
        <w:t xml:space="preserve"> </w:t>
      </w:r>
      <w:r>
        <w:rPr>
          <w:iCs/>
          <w:i/>
        </w:rPr>
        <w:t xml:space="preserve">Not only, therefore, to the patriarchs and prophets, but also to the heavenly powers has the manifold wisdom of God been revealed through the Church. And afterward:</w:t>
      </w:r>
      <w:r>
        <w:rPr>
          <w:iCs/>
          <w:i/>
        </w:rPr>
        <w:t xml:space="preserve"> </w:t>
      </w:r>
      <w:r>
        <w:rPr>
          <w:iCs/>
          <w:i/>
        </w:rPr>
        <w:t xml:space="preserve">“</w:t>
      </w:r>
      <w:r>
        <w:rPr>
          <w:iCs/>
          <w:i/>
        </w:rPr>
        <w:t xml:space="preserve">the wisdom of God, therefore, is called manifold because, having in manifold manner many species and forms, the principalities and powers came to know it through the Church.</w:t>
      </w:r>
      <w:r>
        <w:rPr>
          <w:iCs/>
          <w:i/>
        </w:rPr>
        <w:t xml:space="preserve">”</w:t>
      </w:r>
      <w:r>
        <w:rPr>
          <w:iCs/>
          <w:i/>
        </w:rPr>
        <w:t xml:space="preserve"> </w:t>
      </w:r>
      <w:r>
        <w:rPr>
          <w:iCs/>
          <w:i/>
        </w:rPr>
        <w:t xml:space="preserve">From all these things it is evidently gathered that to the angels seeing God something accrued…</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2026-09-09T16:45:04Z</dcterms:created>
  <dcterms:modified xsi:type="dcterms:W3CDTF">2026-09-09T16:45:04Z</dcterms:modified>
</cp:coreProperties>
</file>

<file path=docProps/custom.xml><?xml version="1.0" encoding="utf-8"?>
<Properties xmlns="http://schemas.openxmlformats.org/officeDocument/2006/custom-properties" xmlns:vt="http://schemas.openxmlformats.org/officeDocument/2006/docPropsVTypes"/>
</file>