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2026-08-06T09:38:55.799048+00:00 · Stakeholder brief</w:t>
      </w:r>
    </w:p>
    <w:p>
      <w:pPr>
        <w:pStyle w:val="Heading1"/>
      </w:pPr>
      <w:r>
        <w:t>Executive summary</w:t>
      </w:r>
    </w:p>
    <w:p>
      <w:r>
        <w:t>Of 45 tracked scope items, 39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