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2026-08-05T10:00:19.142222+00:00 · Stakeholder brief</w:t>
      </w:r>
    </w:p>
    <w:p>
      <w:pPr>
        <w:pStyle w:val="Heading1"/>
      </w:pPr>
      <w:r>
        <w:t>Executive summary</w:t>
      </w:r>
    </w:p>
    <w:p>
      <w:r>
        <w:t>Of 44 tracked scope items, 38 are DELIVERED, 1 are PARTIAL (blocked on external credentials or roadmap-tagged) and 5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</w:t>
            </w:r>
          </w:p>
        </w:tc>
        <w:tc>
          <w:tcPr>
            <w:tcW w:type="dxa" w:w="1728"/>
            <w:vAlign w:val="top"/>
          </w:tcPr>
          <w:p>
            <w:r>
              <w:t>Currently rubric-scored, but a firewall role split (`tech_evaluator` cannot see commercial score until joint meeting) is not enforced</w:t>
            </w:r>
          </w:p>
        </w:tc>
        <w:tc>
          <w:tcPr>
            <w:tcW w:type="dxa" w:w="1728"/>
            <w:vAlign w:val="top"/>
          </w:tcPr>
          <w:p>
            <w:r>
              <w:t>Roadmap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