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28800" cy="1828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mc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jc w:val="center"/>
      </w:pPr>
      <w:r>
        <w:rPr>
          <w:b/>
          <w:color w:val="0B2E4F"/>
          <w:sz w:val="52"/>
        </w:rPr>
        <w:t>PMC Managers Portal</w:t>
      </w:r>
    </w:p>
    <w:p>
      <w:pPr>
        <w:jc w:val="center"/>
      </w:pPr>
      <w:r>
        <w:rPr>
          <w:b w:val="0"/>
          <w:i/>
          <w:color w:val="C89B3C"/>
          <w:sz w:val="28"/>
        </w:rPr>
        <w:t>Trainee Handbook — Illustrated Edition</w:t>
      </w:r>
    </w:p>
    <w:p/>
    <w:p/>
    <w:p>
      <w:pPr>
        <w:jc w:val="center"/>
      </w:pPr>
      <w:r>
        <w:rPr>
          <w:b w:val="0"/>
          <w:i w:val="0"/>
          <w:sz w:val="24"/>
        </w:rPr>
        <w:t>Every module, every screen, captured from the live portal.</w:t>
      </w:r>
    </w:p>
    <w:p/>
    <w:p/>
    <w:p/>
    <w:p/>
    <w:p/>
    <w:p/>
    <w:p>
      <w:pPr>
        <w:jc w:val="center"/>
      </w:pPr>
      <w:r>
        <w:rPr>
          <w:b w:val="0"/>
          <w:i/>
          <w:color w:val="0B2E4F"/>
          <w:sz w:val="22"/>
        </w:rPr>
        <w:t>PMC Managers Limited  ·  August 2026</w:t>
      </w:r>
    </w:p>
    <w:p>
      <w:pPr>
        <w:jc w:val="center"/>
      </w:pPr>
      <w:r>
        <w:rPr>
          <w:b w:val="0"/>
          <w:i w:val="0"/>
          <w:sz w:val="22"/>
        </w:rPr>
        <w:t>www.pmcmanagers.com</w:t>
      </w:r>
    </w:p>
    <w:p>
      <w:r>
        <w:br w:type="page"/>
      </w:r>
    </w:p>
    <w:p>
      <w:r>
        <w:rPr>
          <w:b/>
          <w:color w:val="0B2E4F"/>
          <w:sz w:val="36"/>
        </w:rPr>
        <w:t>Welcome!</w:t>
      </w:r>
    </w:p>
    <w:p>
      <w:r>
        <w:rPr>
          <w:b w:val="0"/>
          <w:i w:val="0"/>
          <w:sz w:val="22"/>
        </w:rPr>
        <w:t>This is the illustrated version of the PMC Managers trainee handbook. Every chapter includes a real screenshot from the live portal so you can match the words in front of you to the screen in front of you.</w:t>
      </w:r>
    </w:p>
    <w:p>
      <w:r>
        <w:rPr>
          <w:b w:val="0"/>
          <w:i/>
          <w:sz w:val="22"/>
        </w:rPr>
        <w:t>Estimated self-training time: 4–6 hours across 2 days.</w:t>
      </w:r>
    </w:p>
    <w:p>
      <w:r>
        <w:rPr>
          <w:b w:val="0"/>
          <w:i w:val="0"/>
          <w:sz w:val="22"/>
        </w:rPr>
        <w:t>Chapters 1–11 are essential. Chapters 12–22 give you full command of every module. Chapters 23–24 are your ongoing hygiene routine.</w:t>
      </w:r>
    </w:p>
    <w:p>
      <w:r>
        <w:br w:type="page"/>
      </w:r>
    </w:p>
    <w:p>
      <w:r>
        <w:rPr>
          <w:b/>
          <w:color w:val="0B2E4F"/>
          <w:sz w:val="36"/>
        </w:rPr>
        <w:t>Chapter 1 — Before You Start</w:t>
      </w:r>
    </w:p>
    <w:p>
      <w:r>
        <w:rPr>
          <w:b w:val="0"/>
          <w:i w:val="0"/>
          <w:sz w:val="22"/>
        </w:rPr>
        <w:t>A few essentials to have ready before you sign in for the first time.</w:t>
      </w:r>
    </w:p>
    <w:p>
      <w:r>
        <w:rPr>
          <w:b/>
          <w:color w:val="0B2E4F"/>
          <w:sz w:val="26"/>
        </w:rPr>
        <w:t>Requirements</w:t>
      </w:r>
    </w:p>
    <w:p>
      <w:pPr>
        <w:pStyle w:val="ListBullet"/>
      </w:pPr>
      <w:r>
        <w:rPr>
          <w:sz w:val="22"/>
        </w:rPr>
        <w:t>A modern browser (Chrome, Edge, or Firefox — latest version).</w:t>
      </w:r>
    </w:p>
    <w:p>
      <w:pPr>
        <w:pStyle w:val="ListBullet"/>
      </w:pPr>
      <w:r>
        <w:rPr>
          <w:sz w:val="22"/>
        </w:rPr>
        <w:t>A stable internet connection.</w:t>
      </w:r>
    </w:p>
    <w:p>
      <w:pPr>
        <w:pStyle w:val="ListBullet"/>
      </w:pPr>
      <w:r>
        <w:rPr>
          <w:sz w:val="22"/>
        </w:rPr>
        <w:t>Your login credentials (provided by your admin).</w:t>
      </w:r>
    </w:p>
    <w:p>
      <w:pPr>
        <w:pStyle w:val="ListBullet"/>
      </w:pPr>
      <w:r>
        <w:rPr>
          <w:sz w:val="22"/>
        </w:rPr>
        <w:t>This handbook open on a second screen or printed alongside you.</w:t>
      </w:r>
    </w:p>
    <w:p>
      <w:r>
        <w:rPr>
          <w:b/>
          <w:color w:val="0B2E4F"/>
          <w:sz w:val="26"/>
        </w:rPr>
        <w:t>Portal URL</w:t>
      </w:r>
    </w:p>
    <w:p>
      <w:pPr>
        <w:pStyle w:val="ListBullet"/>
      </w:pPr>
      <w:r>
        <w:rPr>
          <w:sz w:val="22"/>
        </w:rPr>
        <w:t>https://www.pmcmanagers.com — bookmark this now.</w:t>
      </w:r>
    </w:p>
    <w:p/>
    <w:p>
      <w:r>
        <w:rPr>
          <w:b/>
          <w:color w:val="0B2E4F"/>
          <w:sz w:val="36"/>
        </w:rPr>
        <w:t>Chapter 2 — Logging In</w:t>
      </w:r>
    </w:p>
    <w:p>
      <w:r>
        <w:rPr>
          <w:b w:val="0"/>
          <w:i w:val="0"/>
          <w:sz w:val="22"/>
        </w:rPr>
        <w:t>PMC uses a dual-portal login. Employees on the left, vendors on the right.</w:t>
      </w:r>
    </w:p>
    <w:p>
      <w:r>
        <w:rPr>
          <w:b/>
          <w:color w:val="0B2E4F"/>
          <w:sz w:val="26"/>
        </w:rPr>
        <w:t>Step-by-step (Employee)</w:t>
      </w:r>
    </w:p>
    <w:p>
      <w:pPr>
        <w:pStyle w:val="ListBullet"/>
      </w:pPr>
      <w:r>
        <w:rPr>
          <w:sz w:val="22"/>
        </w:rPr>
        <w:t>Open https://www.pmcmanagers.com and click “Sign in”.</w:t>
      </w:r>
    </w:p>
    <w:p>
      <w:pPr>
        <w:pStyle w:val="ListBullet"/>
      </w:pPr>
      <w:r>
        <w:rPr>
          <w:sz w:val="22"/>
        </w:rPr>
        <w:t>You land on the “Choose your portal” screen.</w:t>
      </w:r>
    </w:p>
    <w:p>
      <w:pPr>
        <w:pStyle w:val="ListBullet"/>
      </w:pPr>
      <w:r>
        <w:rPr>
          <w:sz w:val="22"/>
        </w:rPr>
        <w:t>On the left card, enter your PMC email.</w:t>
      </w:r>
    </w:p>
    <w:p>
      <w:pPr>
        <w:pStyle w:val="ListBullet"/>
      </w:pPr>
      <w:r>
        <w:rPr>
          <w:sz w:val="22"/>
        </w:rPr>
        <w:t>Enter your temporary password.</w:t>
      </w:r>
    </w:p>
    <w:p>
      <w:pPr>
        <w:pStyle w:val="ListBullet"/>
      </w:pPr>
      <w:r>
        <w:rPr>
          <w:sz w:val="22"/>
        </w:rPr>
        <w:t>Pick your Employee Role from the dropdown (Admin, Escrow, Certifier, Legal, Accounting, Committee, Reviewer, Auditor, Support).</w:t>
      </w:r>
    </w:p>
    <w:p>
      <w:pPr>
        <w:pStyle w:val="ListBullet"/>
      </w:pPr>
      <w:r>
        <w:rPr>
          <w:sz w:val="22"/>
        </w:rPr>
        <w:t>Click “Sign in as Employee”.</w:t>
      </w:r>
    </w:p>
    <w:p>
      <w:pPr>
        <w:pStyle w:val="ListBullet"/>
      </w:pPr>
      <w:r>
        <w:rPr>
          <w:sz w:val="22"/>
        </w:rPr>
        <w:t>On first sign-in you will be forced to change your password — use at least 12 characters, mixed types.</w:t>
      </w:r>
    </w:p>
    <w:p>
      <w:pPr>
        <w:pStyle w:val="ListBullet"/>
      </w:pPr>
      <w:r>
        <w:rPr>
          <w:sz w:val="22"/>
        </w:rPr>
        <w:t>You land on the Admin Console dashboard.</w:t>
      </w:r>
    </w:p>
    <w:p>
      <w:r>
        <w:rPr>
          <w:b/>
          <w:color w:val="0B2E4F"/>
          <w:sz w:val="26"/>
        </w:rPr>
        <w:t>Step-by-step (Vendor)</w:t>
      </w:r>
    </w:p>
    <w:p>
      <w:pPr>
        <w:pStyle w:val="ListBullet"/>
      </w:pPr>
      <w:r>
        <w:rPr>
          <w:sz w:val="22"/>
        </w:rPr>
        <w:t>Same URL, right-hand card.</w:t>
      </w:r>
    </w:p>
    <w:p>
      <w:pPr>
        <w:pStyle w:val="ListBullet"/>
      </w:pPr>
      <w:r>
        <w:rPr>
          <w:sz w:val="22"/>
        </w:rPr>
        <w:t>Enter your registered vendor email + password.</w:t>
      </w:r>
    </w:p>
    <w:p>
      <w:pPr>
        <w:pStyle w:val="ListBullet"/>
      </w:pPr>
      <w:r>
        <w:rPr>
          <w:sz w:val="22"/>
        </w:rPr>
        <w:t>Click “Sign in as Vendor”.</w:t>
      </w:r>
    </w:p>
    <w:p>
      <w:pPr>
        <w:pStyle w:val="ListBullet"/>
      </w:pPr>
      <w:r>
        <w:rPr>
          <w:sz w:val="22"/>
        </w:rPr>
        <w:t>New suppliers: use the “Register your company” link below the form.</w:t>
      </w:r>
    </w:p>
    <w:p>
      <w:r>
        <w:rPr>
          <w:b/>
          <w:color w:val="0B2E4F"/>
          <w:sz w:val="26"/>
        </w:rPr>
        <w:t>Troubleshooting</w:t>
      </w:r>
    </w:p>
    <w:p>
      <w:pPr>
        <w:pStyle w:val="ListBullet"/>
      </w:pPr>
      <w:r>
        <w:rPr>
          <w:sz w:val="22"/>
        </w:rPr>
        <w:t>Forgot password → click the “Forgot password” link on the login screen.</w:t>
      </w:r>
    </w:p>
    <w:p>
      <w:pPr>
        <w:pStyle w:val="ListBullet"/>
      </w:pPr>
      <w:r>
        <w:rPr>
          <w:sz w:val="22"/>
        </w:rPr>
        <w:t>Locked out after too many attempts → wait 15 minutes or email adminsupport@pmcmanagers.com.</w:t>
      </w:r>
    </w:p>
    <w:p>
      <w:pPr>
        <w:pStyle w:val="ListBullet"/>
      </w:pPr>
      <w:r>
        <w:rPr>
          <w:sz w:val="22"/>
        </w:rPr>
        <w:t>Blank screen → hard refresh (Ctrl + Shift + R).</w:t>
      </w:r>
    </w:p>
    <w:p>
      <w:pPr>
        <w:pStyle w:val="ListBullet"/>
      </w:pPr>
      <w:r>
        <w:rPr>
          <w:sz w:val="22"/>
        </w:rPr>
        <w:t>Language: switch between EN / RU / KK via the top-right toggle.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004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b-login-fresh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Figure — Logging In</w:t>
      </w:r>
    </w:p>
    <w:p/>
    <w:p/>
    <w:p>
      <w:r>
        <w:rPr>
          <w:b/>
          <w:color w:val="0B2E4F"/>
          <w:sz w:val="36"/>
        </w:rPr>
        <w:t>Chapter 3 — The Admin Console at a Glance</w:t>
      </w:r>
    </w:p>
    <w:p>
      <w:r>
        <w:rPr>
          <w:b w:val="0"/>
          <w:i w:val="0"/>
          <w:sz w:val="22"/>
        </w:rPr>
        <w:t>Once signed in as an employee you land on the “Operations overview”. This is your control tower — 22 tabs, one screen.</w:t>
      </w:r>
    </w:p>
    <w:p>
      <w:r>
        <w:rPr>
          <w:b/>
          <w:color w:val="0B2E4F"/>
          <w:sz w:val="26"/>
        </w:rPr>
        <w:t>Regions to memorise</w:t>
      </w:r>
    </w:p>
    <w:p>
      <w:pPr>
        <w:pStyle w:val="ListBullet"/>
      </w:pPr>
      <w:r>
        <w:rPr>
          <w:sz w:val="22"/>
        </w:rPr>
        <w:t>Top bar: PMC logo, public menu (Notices / Register / Check status), language toggle, Sign out.</w:t>
      </w:r>
    </w:p>
    <w:p>
      <w:pPr>
        <w:pStyle w:val="ListBullet"/>
      </w:pPr>
      <w:r>
        <w:rPr>
          <w:sz w:val="22"/>
        </w:rPr>
        <w:t>Header card: kicker (‘PMC · Admin Console’), title, quick actions — Portal switch, Alerts, AI Copilot, Security · 2FA, and your signed-in email.</w:t>
      </w:r>
    </w:p>
    <w:p>
      <w:pPr>
        <w:pStyle w:val="ListBullet"/>
      </w:pPr>
      <w:r>
        <w:rPr>
          <w:sz w:val="22"/>
        </w:rPr>
        <w:t>Tab strip: 22 module tabs (Dashboard, Registrations, Vendors, Notices, Corrigenda, Tender Builder, Bidding Ops, Escrow (EMD), Evaluation, Awards &amp; POs, DocuSign, Reverse Auctions, Meetings, L1 Comparison, BOQ &amp; Contracts, Vendor Intel, Masters, Permissions, Packages, Audit, Product Catalog, Engagements, Stakeholder Reports).</w:t>
      </w:r>
    </w:p>
    <w:p>
      <w:pPr>
        <w:pStyle w:val="ListBullet"/>
      </w:pPr>
      <w:r>
        <w:rPr>
          <w:sz w:val="22"/>
        </w:rPr>
        <w:t>KPI cards: Published Notices, Vendors, Bids, Awarded, Pending EMD, EMD Collected, Active Contracts.</w:t>
      </w:r>
    </w:p>
    <w:p>
      <w:pPr>
        <w:pStyle w:val="ListBullet"/>
      </w:pPr>
      <w:r>
        <w:rPr>
          <w:sz w:val="22"/>
        </w:rPr>
        <w:t>Pipeline Funnel: counts at each pipeline stage (emd_pending → awarded).</w:t>
      </w:r>
    </w:p>
    <w:p>
      <w:pPr>
        <w:pStyle w:val="ListBullet"/>
      </w:pPr>
      <w:r>
        <w:rPr>
          <w:sz w:val="22"/>
        </w:rPr>
        <w:t>Top-Priced Bids table: quick ranking of the highest-value bids in the system.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004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nalytics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Figure — The Admin Console at a Glance</w:t>
      </w:r>
    </w:p>
    <w:p/>
    <w:p/>
    <w:p>
      <w:r>
        <w:rPr>
          <w:b/>
          <w:color w:val="0B2E4F"/>
          <w:sz w:val="36"/>
        </w:rPr>
        <w:t>Chapter 4 — Notice Board (Public + Admin)</w:t>
      </w:r>
    </w:p>
    <w:p>
      <w:r>
        <w:rPr>
          <w:b w:val="0"/>
          <w:i w:val="0"/>
          <w:sz w:val="22"/>
        </w:rPr>
        <w:t>The Notice Board is the public face of every tender. Admins manage it from the “Notices” tab.</w:t>
      </w:r>
    </w:p>
    <w:p>
      <w:r>
        <w:rPr>
          <w:b/>
          <w:color w:val="0B2E4F"/>
          <w:sz w:val="26"/>
        </w:rPr>
        <w:t>Public flow</w:t>
      </w:r>
    </w:p>
    <w:p>
      <w:pPr>
        <w:pStyle w:val="ListBullet"/>
      </w:pPr>
      <w:r>
        <w:rPr>
          <w:sz w:val="22"/>
        </w:rPr>
        <w:t>Anyone can open /notices without logging in.</w:t>
      </w:r>
    </w:p>
    <w:p>
      <w:pPr>
        <w:pStyle w:val="ListBullet"/>
      </w:pPr>
      <w:r>
        <w:rPr>
          <w:sz w:val="22"/>
        </w:rPr>
        <w:t>Filter tenders by type (Tender / RFP / RFQ) and by country.</w:t>
      </w:r>
    </w:p>
    <w:p>
      <w:pPr>
        <w:pStyle w:val="ListBullet"/>
      </w:pPr>
      <w:r>
        <w:rPr>
          <w:sz w:val="22"/>
        </w:rPr>
        <w:t>Click any card to open the full brief and download the RFP PDF.</w:t>
      </w:r>
    </w:p>
    <w:p>
      <w:pPr>
        <w:pStyle w:val="ListBullet"/>
      </w:pPr>
      <w:r>
        <w:rPr>
          <w:sz w:val="22"/>
        </w:rPr>
        <w:t>Note the closing date and EMD amount before you start a bid.</w:t>
      </w:r>
    </w:p>
    <w:p>
      <w:r>
        <w:rPr>
          <w:b/>
          <w:color w:val="0B2E4F"/>
          <w:sz w:val="26"/>
        </w:rPr>
        <w:t>Admin flow (Notices tab)</w:t>
      </w:r>
    </w:p>
    <w:p>
      <w:pPr>
        <w:pStyle w:val="ListBullet"/>
      </w:pPr>
      <w:r>
        <w:rPr>
          <w:sz w:val="22"/>
        </w:rPr>
        <w:t>Click “New Notice” at the top-right to publish a fresh tender.</w:t>
      </w:r>
    </w:p>
    <w:p>
      <w:pPr>
        <w:pStyle w:val="ListBullet"/>
      </w:pPr>
      <w:r>
        <w:rPr>
          <w:sz w:val="22"/>
        </w:rPr>
        <w:t>Attach the tender PDF (or link a template from Tender Builder).</w:t>
      </w:r>
    </w:p>
    <w:p>
      <w:pPr>
        <w:pStyle w:val="ListBullet"/>
      </w:pPr>
      <w:r>
        <w:rPr>
          <w:sz w:val="22"/>
        </w:rPr>
        <w:t>Use “Preview as Bidder” to see exactly what suppliers will see.</w:t>
      </w:r>
    </w:p>
    <w:p>
      <w:pPr>
        <w:pStyle w:val="ListBullet"/>
      </w:pPr>
      <w:r>
        <w:rPr>
          <w:sz w:val="22"/>
        </w:rPr>
        <w:t>Notices marked TEMPLATE LINKED reuse a saved template.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004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notices-admin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Figure — Notice Board (Public + Admin)</w:t>
      </w:r>
    </w:p>
    <w:p/>
    <w:p/>
    <w:p>
      <w:r>
        <w:rPr>
          <w:b/>
          <w:color w:val="0B2E4F"/>
          <w:sz w:val="36"/>
        </w:rPr>
        <w:t>Chapter 5 — Vendor Registration</w:t>
      </w:r>
    </w:p>
    <w:p>
      <w:r>
        <w:rPr>
          <w:b w:val="0"/>
          <w:i w:val="0"/>
          <w:sz w:val="22"/>
        </w:rPr>
        <w:t>Suppliers self-onboard through a three-section wizard. Admins approve them from the Registrations tab.</w:t>
      </w:r>
    </w:p>
    <w:p>
      <w:r>
        <w:rPr>
          <w:b/>
          <w:color w:val="0B2E4F"/>
          <w:sz w:val="26"/>
        </w:rPr>
        <w:t>Vendor’s three sections</w:t>
      </w:r>
    </w:p>
    <w:p>
      <w:pPr>
        <w:pStyle w:val="ListBullet"/>
      </w:pPr>
      <w:r>
        <w:rPr>
          <w:sz w:val="22"/>
        </w:rPr>
        <w:t>Section A — Company details: legal name, tax ID, HQ address, contact.</w:t>
      </w:r>
    </w:p>
    <w:p>
      <w:pPr>
        <w:pStyle w:val="ListBullet"/>
      </w:pPr>
      <w:r>
        <w:rPr>
          <w:sz w:val="22"/>
        </w:rPr>
        <w:t>Section B — Documents: certificate of incorporation, tax cert, bank letter (PDF/JPG, ≤ 10 MB).</w:t>
      </w:r>
    </w:p>
    <w:p>
      <w:pPr>
        <w:pStyle w:val="ListBullet"/>
      </w:pPr>
      <w:r>
        <w:rPr>
          <w:sz w:val="22"/>
        </w:rPr>
        <w:t>Section C — Categories: pick UNSPSC codes for the goods and services supplied.</w:t>
      </w:r>
    </w:p>
    <w:p>
      <w:pPr>
        <w:pStyle w:val="ListBullet"/>
      </w:pPr>
      <w:r>
        <w:rPr>
          <w:sz w:val="22"/>
        </w:rPr>
        <w:t>Submit → the vendor enters KYC review status.</w:t>
      </w:r>
    </w:p>
    <w:p>
      <w:r>
        <w:rPr>
          <w:b/>
          <w:color w:val="0B2E4F"/>
          <w:sz w:val="26"/>
        </w:rPr>
        <w:t>Admin action</w:t>
      </w:r>
    </w:p>
    <w:p>
      <w:pPr>
        <w:pStyle w:val="ListBullet"/>
      </w:pPr>
      <w:r>
        <w:rPr>
          <w:sz w:val="22"/>
        </w:rPr>
        <w:t>Open the Registrations tab.</w:t>
      </w:r>
    </w:p>
    <w:p>
      <w:pPr>
        <w:pStyle w:val="ListBullet"/>
      </w:pPr>
      <w:r>
        <w:rPr>
          <w:sz w:val="22"/>
        </w:rPr>
        <w:t>Review submitted documents.</w:t>
      </w:r>
    </w:p>
    <w:p>
      <w:pPr>
        <w:pStyle w:val="ListBullet"/>
      </w:pPr>
      <w:r>
        <w:rPr>
          <w:sz w:val="22"/>
        </w:rPr>
        <w:t>Approve, request corrections, or reject.</w:t>
      </w:r>
    </w:p>
    <w:p>
      <w:pPr>
        <w:pStyle w:val="ListBullet"/>
      </w:pPr>
      <w:r>
        <w:rPr>
          <w:sz w:val="22"/>
        </w:rPr>
        <w:t>Approved vendors appear in the Vendors tab and can bid.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004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vendor-register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Figure — Vendor Registration</w:t>
      </w:r>
    </w:p>
    <w:p/>
    <w:p/>
    <w:p>
      <w:r>
        <w:rPr>
          <w:b/>
          <w:color w:val="0B2E4F"/>
          <w:sz w:val="36"/>
        </w:rPr>
        <w:t>Chapter 6 — Package Tracker</w:t>
      </w:r>
    </w:p>
    <w:p>
      <w:r>
        <w:rPr>
          <w:b w:val="0"/>
          <w:i w:val="0"/>
          <w:sz w:val="22"/>
        </w:rPr>
        <w:t>Every tender is a “package”. The Packages tab shows exactly where each package is in the lifecycle.</w:t>
      </w:r>
    </w:p>
    <w:p>
      <w:r>
        <w:rPr>
          <w:b/>
          <w:color w:val="0B2E4F"/>
          <w:sz w:val="26"/>
        </w:rPr>
        <w:t>What to look for</w:t>
      </w:r>
    </w:p>
    <w:p>
      <w:pPr>
        <w:pStyle w:val="ListBullet"/>
      </w:pPr>
      <w:r>
        <w:rPr>
          <w:sz w:val="22"/>
        </w:rPr>
        <w:t>Package status stepper: Draft → Published → Bidding → Evaluation → Award → Signed.</w:t>
      </w:r>
    </w:p>
    <w:p>
      <w:pPr>
        <w:pStyle w:val="ListBullet"/>
      </w:pPr>
      <w:r>
        <w:rPr>
          <w:sz w:val="22"/>
        </w:rPr>
        <w:t>Filter by tenant, status, or wave.</w:t>
      </w:r>
    </w:p>
    <w:p>
      <w:pPr>
        <w:pStyle w:val="ListBullet"/>
      </w:pPr>
      <w:r>
        <w:rPr>
          <w:sz w:val="22"/>
        </w:rPr>
        <w:t>Click any package to drill into its documents, bidders, and status history.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004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packages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Figure — Package Tracker</w:t>
      </w:r>
    </w:p>
    <w:p/>
    <w:p/>
    <w:p>
      <w:r>
        <w:rPr>
          <w:b/>
          <w:color w:val="0B2E4F"/>
          <w:sz w:val="36"/>
        </w:rPr>
        <w:t>Chapter 7 — Bidding Ops</w:t>
      </w:r>
    </w:p>
    <w:p>
      <w:r>
        <w:rPr>
          <w:b w:val="0"/>
          <w:i w:val="0"/>
          <w:sz w:val="22"/>
        </w:rPr>
        <w:t>The heart of the platform. Vendors submit bids; admins open and manage the envelopes.</w:t>
      </w:r>
    </w:p>
    <w:p>
      <w:r>
        <w:rPr>
          <w:b/>
          <w:color w:val="0B2E4F"/>
          <w:sz w:val="26"/>
        </w:rPr>
        <w:t>Vendor flow</w:t>
      </w:r>
    </w:p>
    <w:p>
      <w:pPr>
        <w:pStyle w:val="ListBullet"/>
      </w:pPr>
      <w:r>
        <w:rPr>
          <w:sz w:val="22"/>
        </w:rPr>
        <w:t>Open a tender from the Notice Board.</w:t>
      </w:r>
    </w:p>
    <w:p>
      <w:pPr>
        <w:pStyle w:val="ListBullet"/>
      </w:pPr>
      <w:r>
        <w:rPr>
          <w:sz w:val="22"/>
        </w:rPr>
        <w:t>Click “Submit Bid”.</w:t>
      </w:r>
    </w:p>
    <w:p>
      <w:pPr>
        <w:pStyle w:val="ListBullet"/>
      </w:pPr>
      <w:r>
        <w:rPr>
          <w:sz w:val="22"/>
        </w:rPr>
        <w:t>Pay EMD via Stripe (sandbox card 4242 4242 4242 4242).</w:t>
      </w:r>
    </w:p>
    <w:p>
      <w:pPr>
        <w:pStyle w:val="ListBullet"/>
      </w:pPr>
      <w:r>
        <w:rPr>
          <w:sz w:val="22"/>
        </w:rPr>
        <w:t>Upload technical + commercial envelopes.</w:t>
      </w:r>
    </w:p>
    <w:p>
      <w:pPr>
        <w:pStyle w:val="ListBullet"/>
      </w:pPr>
      <w:r>
        <w:rPr>
          <w:sz w:val="22"/>
        </w:rPr>
        <w:t>Confirm submission — you receive a unique Bid ID (e.g. PMC-BID-2026-00005).</w:t>
      </w:r>
    </w:p>
    <w:p>
      <w:r>
        <w:rPr>
          <w:b/>
          <w:color w:val="0B2E4F"/>
          <w:sz w:val="26"/>
        </w:rPr>
        <w:t>Admin flow</w:t>
      </w:r>
    </w:p>
    <w:p>
      <w:pPr>
        <w:pStyle w:val="ListBullet"/>
      </w:pPr>
      <w:r>
        <w:rPr>
          <w:sz w:val="22"/>
        </w:rPr>
        <w:t>Bidding Ops tab → select the tender.</w:t>
      </w:r>
    </w:p>
    <w:p>
      <w:pPr>
        <w:pStyle w:val="ListBullet"/>
      </w:pPr>
      <w:r>
        <w:rPr>
          <w:sz w:val="22"/>
        </w:rPr>
        <w:t>Wait until the closing time, then click “Open Envelopes”.</w:t>
      </w:r>
    </w:p>
    <w:p>
      <w:pPr>
        <w:pStyle w:val="ListBullet"/>
      </w:pPr>
      <w:r>
        <w:rPr>
          <w:sz w:val="22"/>
        </w:rPr>
        <w:t>Review each bid; forward scores to the Evaluation module.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004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bidding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Figure — Bidding Ops</w:t>
      </w:r>
    </w:p>
    <w:p/>
    <w:p/>
    <w:p>
      <w:r>
        <w:rPr>
          <w:b/>
          <w:color w:val="0B2E4F"/>
          <w:sz w:val="36"/>
        </w:rPr>
        <w:t>Chapter 8 — Escrow (EMD)</w:t>
      </w:r>
    </w:p>
    <w:p>
      <w:r>
        <w:rPr>
          <w:b w:val="0"/>
          <w:i w:val="0"/>
          <w:sz w:val="22"/>
        </w:rPr>
        <w:t>Earnest Money Deposits are held in escrow until the bid outcome. This tab is the escrow officer’s workspace.</w:t>
      </w:r>
    </w:p>
    <w:p>
      <w:r>
        <w:rPr>
          <w:b/>
          <w:color w:val="0B2E4F"/>
          <w:sz w:val="26"/>
        </w:rPr>
        <w:t>Officer actions</w:t>
      </w:r>
    </w:p>
    <w:p>
      <w:pPr>
        <w:pStyle w:val="ListBullet"/>
      </w:pPr>
      <w:r>
        <w:rPr>
          <w:sz w:val="22"/>
        </w:rPr>
        <w:t>See every EMD in flight, grouped by status.</w:t>
      </w:r>
    </w:p>
    <w:p>
      <w:pPr>
        <w:pStyle w:val="ListBullet"/>
      </w:pPr>
      <w:r>
        <w:rPr>
          <w:sz w:val="22"/>
        </w:rPr>
        <w:t>Accept / release / forfeit deposits in line with tender rules.</w:t>
      </w:r>
    </w:p>
    <w:p>
      <w:pPr>
        <w:pStyle w:val="ListBullet"/>
      </w:pPr>
      <w:r>
        <w:rPr>
          <w:sz w:val="22"/>
        </w:rPr>
        <w:t>Auto-audit every action into the Audit ledger.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004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escrow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Figure — Escrow (EMD)</w:t>
      </w:r>
    </w:p>
    <w:p/>
    <w:p/>
    <w:p>
      <w:r>
        <w:rPr>
          <w:b/>
          <w:color w:val="0B2E4F"/>
          <w:sz w:val="36"/>
        </w:rPr>
        <w:t>Chapter 9 — Evaluation &amp; L1 Comparison</w:t>
      </w:r>
    </w:p>
    <w:p>
      <w:r>
        <w:rPr>
          <w:b w:val="0"/>
          <w:i w:val="0"/>
          <w:sz w:val="22"/>
        </w:rPr>
        <w:t>The Evaluation tab lets committees score bids. L1 Comparison shows the lowest technically-qualified price.</w:t>
      </w:r>
    </w:p>
    <w:p>
      <w:r>
        <w:rPr>
          <w:b/>
          <w:color w:val="0B2E4F"/>
          <w:sz w:val="26"/>
        </w:rPr>
        <w:t>Steps</w:t>
      </w:r>
    </w:p>
    <w:p>
      <w:pPr>
        <w:pStyle w:val="ListBullet"/>
      </w:pPr>
      <w:r>
        <w:rPr>
          <w:sz w:val="22"/>
        </w:rPr>
        <w:t>Open Evaluation → pick the tender.</w:t>
      </w:r>
    </w:p>
    <w:p>
      <w:pPr>
        <w:pStyle w:val="ListBullet"/>
      </w:pPr>
      <w:r>
        <w:rPr>
          <w:sz w:val="22"/>
        </w:rPr>
        <w:t>Enter technical scores per bidder (0–100).</w:t>
      </w:r>
    </w:p>
    <w:p>
      <w:pPr>
        <w:pStyle w:val="ListBullet"/>
      </w:pPr>
      <w:r>
        <w:rPr>
          <w:sz w:val="22"/>
        </w:rPr>
        <w:t>Enter commercial scores — the system computes the weighted total.</w:t>
      </w:r>
    </w:p>
    <w:p>
      <w:pPr>
        <w:pStyle w:val="ListBullet"/>
      </w:pPr>
      <w:r>
        <w:rPr>
          <w:sz w:val="22"/>
        </w:rPr>
        <w:t>The top-ranked bidder is highlighted.</w:t>
      </w:r>
    </w:p>
    <w:p>
      <w:pPr>
        <w:pStyle w:val="ListBullet"/>
      </w:pPr>
      <w:r>
        <w:rPr>
          <w:sz w:val="22"/>
        </w:rPr>
        <w:t>Click “Award” — Award Letter, PO, SLA, and Contract are drafted automatically.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004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evaluation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Figure — Evaluation &amp; L1 Comparison</w:t>
      </w:r>
    </w:p>
    <w:p/>
    <w:p/>
    <w:p>
      <w:r>
        <w:rPr>
          <w:b/>
          <w:color w:val="0B2E4F"/>
          <w:sz w:val="36"/>
        </w:rPr>
        <w:t>Chapter 10 — Awards &amp; Purchase Orders</w:t>
      </w:r>
    </w:p>
    <w:p>
      <w:r>
        <w:rPr>
          <w:b w:val="0"/>
          <w:i w:val="0"/>
          <w:sz w:val="22"/>
        </w:rPr>
        <w:t>The moment a bid is awarded, PMC auto-generates the full document set: Purchase Order, SLA, and Contract / LOA.</w:t>
      </w:r>
    </w:p>
    <w:p>
      <w:r>
        <w:rPr>
          <w:b/>
          <w:color w:val="0B2E4F"/>
          <w:sz w:val="26"/>
        </w:rPr>
        <w:t>Card layout</w:t>
      </w:r>
    </w:p>
    <w:p>
      <w:pPr>
        <w:pStyle w:val="ListBullet"/>
      </w:pPr>
      <w:r>
        <w:rPr>
          <w:sz w:val="22"/>
        </w:rPr>
        <w:t>Each award has three cards: Purchase Order, Service Level Agreement, Contract / LOA.</w:t>
      </w:r>
    </w:p>
    <w:p>
      <w:pPr>
        <w:pStyle w:val="ListBullet"/>
      </w:pPr>
      <w:r>
        <w:rPr>
          <w:sz w:val="22"/>
        </w:rPr>
        <w:t>Each card shows the document number, issue date, file size.</w:t>
      </w:r>
    </w:p>
    <w:p>
      <w:pPr>
        <w:pStyle w:val="ListBullet"/>
      </w:pPr>
      <w:r>
        <w:rPr>
          <w:sz w:val="22"/>
        </w:rPr>
        <w:t>Actions per card: Download PDF, Send for Signature.</w:t>
      </w:r>
    </w:p>
    <w:p>
      <w:pPr>
        <w:pStyle w:val="ListBullet"/>
      </w:pPr>
      <w:r>
        <w:rPr>
          <w:sz w:val="22"/>
        </w:rPr>
        <w:t>“Regenerate documents” rebuilds the entire pack in one click if a template changes.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004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awards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Figure — Awards &amp; Purchase Orders</w:t>
      </w:r>
    </w:p>
    <w:p/>
    <w:p/>
    <w:p>
      <w:r>
        <w:rPr>
          <w:b/>
          <w:color w:val="0B2E4F"/>
          <w:sz w:val="36"/>
        </w:rPr>
        <w:t>Chapter 11 — DocuSign eSignature</w:t>
      </w:r>
    </w:p>
    <w:p>
      <w:r>
        <w:rPr>
          <w:b w:val="0"/>
          <w:i w:val="0"/>
          <w:sz w:val="22"/>
        </w:rPr>
        <w:t>PMC integrates DocuSign via JWT Grant + Connect Webhook. All award docs can be signed without leaving the portal.</w:t>
      </w:r>
    </w:p>
    <w:p>
      <w:r>
        <w:rPr>
          <w:b/>
          <w:color w:val="0B2E4F"/>
          <w:sz w:val="26"/>
        </w:rPr>
        <w:t>Connection panel</w:t>
      </w:r>
    </w:p>
    <w:p>
      <w:pPr>
        <w:pStyle w:val="ListBullet"/>
      </w:pPr>
      <w:r>
        <w:rPr>
          <w:sz w:val="22"/>
        </w:rPr>
        <w:t>Environment: sandbox (or live once switched).</w:t>
      </w:r>
    </w:p>
    <w:p>
      <w:pPr>
        <w:pStyle w:val="ListBullet"/>
      </w:pPr>
      <w:r>
        <w:rPr>
          <w:sz w:val="22"/>
        </w:rPr>
        <w:t>Credentials + User consent must show ✓ granted.</w:t>
      </w:r>
    </w:p>
    <w:p>
      <w:pPr>
        <w:pStyle w:val="ListBullet"/>
      </w:pPr>
      <w:r>
        <w:rPr>
          <w:sz w:val="22"/>
        </w:rPr>
        <w:t>Account ID is masked for security.</w:t>
      </w:r>
    </w:p>
    <w:p>
      <w:r>
        <w:rPr>
          <w:b/>
          <w:color w:val="0B2E4F"/>
          <w:sz w:val="26"/>
        </w:rPr>
        <w:t>Requesting a signature</w:t>
      </w:r>
    </w:p>
    <w:p>
      <w:pPr>
        <w:pStyle w:val="ListBullet"/>
      </w:pPr>
      <w:r>
        <w:rPr>
          <w:sz w:val="22"/>
        </w:rPr>
        <w:t>Pick the delivery mode: Embedded (in-browser, recommended) or Email.</w:t>
      </w:r>
    </w:p>
    <w:p>
      <w:pPr>
        <w:pStyle w:val="ListBullet"/>
      </w:pPr>
      <w:r>
        <w:rPr>
          <w:sz w:val="22"/>
        </w:rPr>
        <w:t>Select the awarded bid + document (PO / SLA / Contract).</w:t>
      </w:r>
    </w:p>
    <w:p>
      <w:pPr>
        <w:pStyle w:val="ListBullet"/>
      </w:pPr>
      <w:r>
        <w:rPr>
          <w:sz w:val="22"/>
        </w:rPr>
        <w:t>Click “Send” — status flips to “sent”, then “delivered”, then “completed” via webhook.</w:t>
      </w:r>
    </w:p>
    <w:p>
      <w:pPr>
        <w:pStyle w:val="ListBullet"/>
      </w:pPr>
      <w:r>
        <w:rPr>
          <w:sz w:val="22"/>
        </w:rPr>
        <w:t>For the investor demo, always use Embedded — sandbox blocks external emails.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004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docusign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Figure — DocuSign eSignature</w:t>
      </w:r>
    </w:p>
    <w:p/>
    <w:p/>
    <w:p>
      <w:r>
        <w:rPr>
          <w:b/>
          <w:color w:val="0B2E4F"/>
          <w:sz w:val="36"/>
        </w:rPr>
        <w:t>Chapter 12 — Reverse Auctions</w:t>
      </w:r>
    </w:p>
    <w:p>
      <w:r>
        <w:rPr>
          <w:b w:val="0"/>
          <w:i w:val="0"/>
          <w:sz w:val="22"/>
        </w:rPr>
        <w:t>Live e-auctions let shortlisted vendors bid down in real time.</w:t>
      </w:r>
    </w:p>
    <w:p>
      <w:r>
        <w:rPr>
          <w:b/>
          <w:color w:val="0B2E4F"/>
          <w:sz w:val="26"/>
        </w:rPr>
        <w:t>Steps</w:t>
      </w:r>
    </w:p>
    <w:p>
      <w:pPr>
        <w:pStyle w:val="ListBullet"/>
      </w:pPr>
      <w:r>
        <w:rPr>
          <w:sz w:val="22"/>
        </w:rPr>
        <w:t>Open Reverse Auctions tab → schedule a new auction.</w:t>
      </w:r>
    </w:p>
    <w:p>
      <w:pPr>
        <w:pStyle w:val="ListBullet"/>
      </w:pPr>
      <w:r>
        <w:rPr>
          <w:sz w:val="22"/>
        </w:rPr>
        <w:t>Invite the shortlisted vendors.</w:t>
      </w:r>
    </w:p>
    <w:p>
      <w:pPr>
        <w:pStyle w:val="ListBullet"/>
      </w:pPr>
      <w:r>
        <w:rPr>
          <w:sz w:val="22"/>
        </w:rPr>
        <w:t>At the start time, vendors compete in a live price-drop.</w:t>
      </w:r>
    </w:p>
    <w:p>
      <w:pPr>
        <w:pStyle w:val="ListBullet"/>
      </w:pPr>
      <w:r>
        <w:rPr>
          <w:sz w:val="22"/>
        </w:rPr>
        <w:t>Winner is captured automatically at auction close.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004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-auctions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Figure — Reverse Auctions</w:t>
      </w:r>
    </w:p>
    <w:p/>
    <w:p/>
    <w:p>
      <w:r>
        <w:rPr>
          <w:b/>
          <w:color w:val="0B2E4F"/>
          <w:sz w:val="36"/>
        </w:rPr>
        <w:t>Chapter 13 — Meetings</w:t>
      </w:r>
    </w:p>
    <w:p>
      <w:r>
        <w:rPr>
          <w:b w:val="0"/>
          <w:i w:val="0"/>
          <w:sz w:val="22"/>
        </w:rPr>
        <w:t>Pre-bid conferences and clarification meetings — hosted via Zoom or Jitsi links from within the portal.</w:t>
      </w:r>
    </w:p>
    <w:p>
      <w:r>
        <w:rPr>
          <w:b/>
          <w:color w:val="0B2E4F"/>
          <w:sz w:val="26"/>
        </w:rPr>
        <w:t>Steps</w:t>
      </w:r>
    </w:p>
    <w:p>
      <w:pPr>
        <w:pStyle w:val="ListBullet"/>
      </w:pPr>
      <w:r>
        <w:rPr>
          <w:sz w:val="22"/>
        </w:rPr>
        <w:t>Meetings tab → “Schedule meeting”.</w:t>
      </w:r>
    </w:p>
    <w:p>
      <w:pPr>
        <w:pStyle w:val="ListBullet"/>
      </w:pPr>
      <w:r>
        <w:rPr>
          <w:sz w:val="22"/>
        </w:rPr>
        <w:t>Pick provider (Zoom / Jitsi), date/time, attendees.</w:t>
      </w:r>
    </w:p>
    <w:p>
      <w:pPr>
        <w:pStyle w:val="ListBullet"/>
      </w:pPr>
      <w:r>
        <w:rPr>
          <w:sz w:val="22"/>
        </w:rPr>
        <w:t>The system emails join links + posts to the Notice Board.</w:t>
      </w:r>
    </w:p>
    <w:p>
      <w:pPr>
        <w:pStyle w:val="ListBullet"/>
      </w:pPr>
      <w:r>
        <w:rPr>
          <w:sz w:val="22"/>
        </w:rPr>
        <w:t>Recordings and minutes attach back to the tender package.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0045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meetings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Figure — Meetings</w:t>
      </w:r>
    </w:p>
    <w:p/>
    <w:p/>
    <w:p>
      <w:r>
        <w:rPr>
          <w:b/>
          <w:color w:val="0B2E4F"/>
          <w:sz w:val="36"/>
        </w:rPr>
        <w:t>Chapter 14 — BOQ &amp; Contracts</w:t>
      </w:r>
    </w:p>
    <w:p>
      <w:r>
        <w:rPr>
          <w:b w:val="0"/>
          <w:i w:val="0"/>
          <w:sz w:val="22"/>
        </w:rPr>
        <w:t>Bill-of-Quantities builder feeds the Contract module. Every line item can be tagged with a UNSPSC code.</w:t>
      </w:r>
    </w:p>
    <w:p>
      <w:r>
        <w:rPr>
          <w:b/>
          <w:color w:val="0B2E4F"/>
          <w:sz w:val="26"/>
        </w:rPr>
        <w:t>Steps</w:t>
      </w:r>
    </w:p>
    <w:p>
      <w:pPr>
        <w:pStyle w:val="ListBullet"/>
      </w:pPr>
      <w:r>
        <w:rPr>
          <w:sz w:val="22"/>
        </w:rPr>
        <w:t>Open BOQ &amp; Contracts inside the tender you are drafting.</w:t>
      </w:r>
    </w:p>
    <w:p>
      <w:pPr>
        <w:pStyle w:val="ListBullet"/>
      </w:pPr>
      <w:r>
        <w:rPr>
          <w:sz w:val="22"/>
        </w:rPr>
        <w:t>Click “+ Add Line Item”.</w:t>
      </w:r>
    </w:p>
    <w:p>
      <w:pPr>
        <w:pStyle w:val="ListBullet"/>
      </w:pPr>
      <w:r>
        <w:rPr>
          <w:sz w:val="22"/>
        </w:rPr>
        <w:t>Enter description, unit, quantity, and rate.</w:t>
      </w:r>
    </w:p>
    <w:p>
      <w:pPr>
        <w:pStyle w:val="ListBullet"/>
      </w:pPr>
      <w:r>
        <w:rPr>
          <w:sz w:val="22"/>
        </w:rPr>
        <w:t>Attach the correct UNSPSC code from the picker.</w:t>
      </w:r>
    </w:p>
    <w:p>
      <w:pPr>
        <w:pStyle w:val="ListBullet"/>
      </w:pPr>
      <w:r>
        <w:rPr>
          <w:sz w:val="22"/>
        </w:rPr>
        <w:t>Save — totals auto-calculate.</w:t>
      </w:r>
    </w:p>
    <w:p>
      <w:pPr>
        <w:pStyle w:val="ListBullet"/>
      </w:pPr>
      <w:r>
        <w:rPr>
          <w:sz w:val="22"/>
        </w:rPr>
        <w:t>Export the BOQ as PDF or Excel from the top-right menu.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0045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boq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Figure — BOQ &amp; Contracts</w:t>
      </w:r>
    </w:p>
    <w:p/>
    <w:p/>
    <w:p>
      <w:r>
        <w:rPr>
          <w:b/>
          <w:color w:val="0B2E4F"/>
          <w:sz w:val="36"/>
        </w:rPr>
        <w:t>Chapter 15 — Vendor Intelligence</w:t>
      </w:r>
    </w:p>
    <w:p>
      <w:r>
        <w:rPr>
          <w:b w:val="0"/>
          <w:i w:val="0"/>
          <w:sz w:val="22"/>
        </w:rPr>
        <w:t>A 360° view of each supplier: performance history, risk flags, past awards.</w:t>
      </w:r>
    </w:p>
    <w:p>
      <w:r>
        <w:rPr>
          <w:b/>
          <w:color w:val="0B2E4F"/>
          <w:sz w:val="26"/>
        </w:rPr>
        <w:t>What you see</w:t>
      </w:r>
    </w:p>
    <w:p>
      <w:pPr>
        <w:pStyle w:val="ListBullet"/>
      </w:pPr>
      <w:r>
        <w:rPr>
          <w:sz w:val="22"/>
        </w:rPr>
        <w:t>Search by name or tax ID.</w:t>
      </w:r>
    </w:p>
    <w:p>
      <w:pPr>
        <w:pStyle w:val="ListBullet"/>
      </w:pPr>
      <w:r>
        <w:rPr>
          <w:sz w:val="22"/>
        </w:rPr>
        <w:t>Vendor performance score.</w:t>
      </w:r>
    </w:p>
    <w:p>
      <w:pPr>
        <w:pStyle w:val="ListBullet"/>
      </w:pPr>
      <w:r>
        <w:rPr>
          <w:sz w:val="22"/>
        </w:rPr>
        <w:t>Award / bid history.</w:t>
      </w:r>
    </w:p>
    <w:p>
      <w:pPr>
        <w:pStyle w:val="ListBullet"/>
      </w:pPr>
      <w:r>
        <w:rPr>
          <w:sz w:val="22"/>
        </w:rPr>
        <w:t>Risk flags — sanctions, blacklists, poor delivery scores.</w:t>
      </w:r>
    </w:p>
    <w:p>
      <w:pPr>
        <w:pStyle w:val="ListBullet"/>
      </w:pPr>
      <w:r>
        <w:rPr>
          <w:sz w:val="22"/>
        </w:rPr>
        <w:t>Use this before shortlisting on high-value tenders.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0045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vintel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Figure — Vendor Intelligence</w:t>
      </w:r>
    </w:p>
    <w:p/>
    <w:p/>
    <w:p>
      <w:r>
        <w:rPr>
          <w:b/>
          <w:color w:val="0B2E4F"/>
          <w:sz w:val="36"/>
        </w:rPr>
        <w:t>Chapter 16 — Product Catalog</w:t>
      </w:r>
    </w:p>
    <w:p>
      <w:r>
        <w:rPr>
          <w:b w:val="0"/>
          <w:i w:val="0"/>
          <w:sz w:val="22"/>
        </w:rPr>
        <w:t>The commercial engine. Publish catalog items that vendors can subscribe to or purchase via Stripe.</w:t>
      </w:r>
    </w:p>
    <w:p>
      <w:r>
        <w:rPr>
          <w:b/>
          <w:color w:val="0B2E4F"/>
          <w:sz w:val="26"/>
        </w:rPr>
        <w:t>Admin actions</w:t>
      </w:r>
    </w:p>
    <w:p>
      <w:pPr>
        <w:pStyle w:val="ListBullet"/>
      </w:pPr>
      <w:r>
        <w:rPr>
          <w:sz w:val="22"/>
        </w:rPr>
        <w:t>Add / edit catalog items.</w:t>
      </w:r>
    </w:p>
    <w:p>
      <w:pPr>
        <w:pStyle w:val="ListBullet"/>
      </w:pPr>
      <w:r>
        <w:rPr>
          <w:sz w:val="22"/>
        </w:rPr>
        <w:t>Set price, tax code, description, imagery.</w:t>
      </w:r>
    </w:p>
    <w:p>
      <w:pPr>
        <w:pStyle w:val="ListBullet"/>
      </w:pPr>
      <w:r>
        <w:rPr>
          <w:sz w:val="22"/>
        </w:rPr>
        <w:t>Enable Stripe checkout per item.</w:t>
      </w:r>
    </w:p>
    <w:p>
      <w:pPr>
        <w:pStyle w:val="ListBullet"/>
      </w:pPr>
      <w:r>
        <w:rPr>
          <w:sz w:val="22"/>
        </w:rPr>
        <w:t>Track engagements and quotes.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0045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catalog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Figure — Product Catalog</w:t>
      </w:r>
    </w:p>
    <w:p/>
    <w:p/>
    <w:p>
      <w:r>
        <w:rPr>
          <w:b/>
          <w:color w:val="0B2E4F"/>
          <w:sz w:val="36"/>
        </w:rPr>
        <w:t>Chapter 17 — Stakeholder Reports</w:t>
      </w:r>
    </w:p>
    <w:p>
      <w:r>
        <w:rPr>
          <w:b w:val="0"/>
          <w:i w:val="0"/>
          <w:sz w:val="22"/>
        </w:rPr>
        <w:t>One-click exports of the portfolio for management, board packs, and investor updates.</w:t>
      </w:r>
    </w:p>
    <w:p>
      <w:r>
        <w:rPr>
          <w:b/>
          <w:color w:val="0B2E4F"/>
          <w:sz w:val="26"/>
        </w:rPr>
        <w:t>What you can export</w:t>
      </w:r>
    </w:p>
    <w:p>
      <w:pPr>
        <w:pStyle w:val="ListBullet"/>
      </w:pPr>
      <w:r>
        <w:rPr>
          <w:sz w:val="22"/>
        </w:rPr>
        <w:t>Tender pipeline snapshot.</w:t>
      </w:r>
    </w:p>
    <w:p>
      <w:pPr>
        <w:pStyle w:val="ListBullet"/>
      </w:pPr>
      <w:r>
        <w:rPr>
          <w:sz w:val="22"/>
        </w:rPr>
        <w:t>Awarded contracts by tenant / country / period.</w:t>
      </w:r>
    </w:p>
    <w:p>
      <w:pPr>
        <w:pStyle w:val="ListBullet"/>
      </w:pPr>
      <w:r>
        <w:rPr>
          <w:sz w:val="22"/>
        </w:rPr>
        <w:t>Vendor onboarding funnel.</w:t>
      </w:r>
    </w:p>
    <w:p>
      <w:pPr>
        <w:pStyle w:val="ListBullet"/>
      </w:pPr>
      <w:r>
        <w:rPr>
          <w:sz w:val="22"/>
        </w:rPr>
        <w:t>EMD collection ledger.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0045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report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Figure — Stakeholder Reports</w:t>
      </w:r>
    </w:p>
    <w:p/>
    <w:p/>
    <w:p>
      <w:r>
        <w:rPr>
          <w:b/>
          <w:color w:val="0B2E4F"/>
          <w:sz w:val="36"/>
        </w:rPr>
        <w:t>Chapter 18 — Masters</w:t>
      </w:r>
    </w:p>
    <w:p>
      <w:r>
        <w:rPr>
          <w:b w:val="0"/>
          <w:i w:val="0"/>
          <w:sz w:val="22"/>
        </w:rPr>
        <w:t>System-wide reference data: tenants, currencies, tax codes, notice templates. Keep this tidy.</w:t>
      </w:r>
    </w:p>
    <w:p>
      <w:r>
        <w:rPr>
          <w:b/>
          <w:color w:val="0B2E4F"/>
          <w:sz w:val="26"/>
        </w:rPr>
        <w:t>Rules</w:t>
      </w:r>
    </w:p>
    <w:p>
      <w:pPr>
        <w:pStyle w:val="ListBullet"/>
      </w:pPr>
      <w:r>
        <w:rPr>
          <w:sz w:val="22"/>
        </w:rPr>
        <w:t>Only Master Admins can edit masters.</w:t>
      </w:r>
    </w:p>
    <w:p>
      <w:pPr>
        <w:pStyle w:val="ListBullet"/>
      </w:pPr>
      <w:r>
        <w:rPr>
          <w:sz w:val="22"/>
        </w:rPr>
        <w:t>Every change writes to the Audit ledger.</w:t>
      </w:r>
    </w:p>
    <w:p>
      <w:pPr>
        <w:pStyle w:val="ListBullet"/>
      </w:pPr>
      <w:r>
        <w:rPr>
          <w:sz w:val="22"/>
        </w:rPr>
        <w:t>Deleting a master row is soft-delete — it is preserved for compliance.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0045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-masters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Figure — Masters</w:t>
      </w:r>
    </w:p>
    <w:p/>
    <w:p/>
    <w:p>
      <w:r>
        <w:rPr>
          <w:b/>
          <w:color w:val="0B2E4F"/>
          <w:sz w:val="36"/>
        </w:rPr>
        <w:t>Chapter 19 — Registrations Queue</w:t>
      </w:r>
    </w:p>
    <w:p>
      <w:r>
        <w:rPr>
          <w:b w:val="0"/>
          <w:i w:val="0"/>
          <w:sz w:val="22"/>
        </w:rPr>
        <w:t>The KYC officer’s daily inbox — every pending vendor registration lives here.</w:t>
      </w:r>
    </w:p>
    <w:p>
      <w:r>
        <w:rPr>
          <w:b/>
          <w:color w:val="0B2E4F"/>
          <w:sz w:val="26"/>
        </w:rPr>
        <w:t>Daily rhythm</w:t>
      </w:r>
    </w:p>
    <w:p>
      <w:pPr>
        <w:pStyle w:val="ListBullet"/>
      </w:pPr>
      <w:r>
        <w:rPr>
          <w:sz w:val="22"/>
        </w:rPr>
        <w:t>Open Registrations first thing every morning.</w:t>
      </w:r>
    </w:p>
    <w:p>
      <w:pPr>
        <w:pStyle w:val="ListBullet"/>
      </w:pPr>
      <w:r>
        <w:rPr>
          <w:sz w:val="22"/>
        </w:rPr>
        <w:t>Sort by submission date ascending — oldest first.</w:t>
      </w:r>
    </w:p>
    <w:p>
      <w:pPr>
        <w:pStyle w:val="ListBullet"/>
      </w:pPr>
      <w:r>
        <w:rPr>
          <w:sz w:val="22"/>
        </w:rPr>
        <w:t>Approve, return-for-correction, or reject with a reason (visible to the vendor).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0045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registrations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Figure — Registrations Queue</w:t>
      </w:r>
    </w:p>
    <w:p/>
    <w:p/>
    <w:p>
      <w:r>
        <w:rPr>
          <w:b/>
          <w:color w:val="0B2E4F"/>
          <w:sz w:val="36"/>
        </w:rPr>
        <w:t>Chapter 20 — Audit Trail</w:t>
      </w:r>
    </w:p>
    <w:p>
      <w:r>
        <w:rPr>
          <w:b w:val="0"/>
          <w:i w:val="0"/>
          <w:sz w:val="22"/>
        </w:rPr>
        <w:t>Every action in PMC is written to a SHA-256 hash-chained ledger. Nothing can be quietly changed.</w:t>
      </w:r>
    </w:p>
    <w:p>
      <w:r>
        <w:rPr>
          <w:b/>
          <w:color w:val="0B2E4F"/>
          <w:sz w:val="26"/>
        </w:rPr>
        <w:t>What to check weekly</w:t>
      </w:r>
    </w:p>
    <w:p>
      <w:pPr>
        <w:pStyle w:val="ListBullet"/>
      </w:pPr>
      <w:r>
        <w:rPr>
          <w:sz w:val="22"/>
        </w:rPr>
        <w:t>Number of admin logins vs expected staff.</w:t>
      </w:r>
    </w:p>
    <w:p>
      <w:pPr>
        <w:pStyle w:val="ListBullet"/>
      </w:pPr>
      <w:r>
        <w:rPr>
          <w:sz w:val="22"/>
        </w:rPr>
        <w:t>Password change events.</w:t>
      </w:r>
    </w:p>
    <w:p>
      <w:pPr>
        <w:pStyle w:val="ListBullet"/>
      </w:pPr>
      <w:r>
        <w:rPr>
          <w:sz w:val="22"/>
        </w:rPr>
        <w:t>Any hash-chain gap → click “Verify chain” to reassure yourself.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0045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-audit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Figure — Audit Trail</w:t>
      </w:r>
    </w:p>
    <w:p/>
    <w:p/>
    <w:p>
      <w:r>
        <w:rPr>
          <w:b/>
          <w:color w:val="0B2E4F"/>
          <w:sz w:val="36"/>
        </w:rPr>
        <w:t>Chapter 21 — Vendors Directory</w:t>
      </w:r>
    </w:p>
    <w:p>
      <w:r>
        <w:rPr>
          <w:b w:val="0"/>
          <w:i w:val="0"/>
          <w:sz w:val="22"/>
        </w:rPr>
        <w:t>The active supplier roster — approved and bid-ready.</w:t>
      </w:r>
    </w:p>
    <w:p>
      <w:r>
        <w:rPr>
          <w:b/>
          <w:color w:val="0B2E4F"/>
          <w:sz w:val="26"/>
        </w:rPr>
        <w:t>What you can do</w:t>
      </w:r>
    </w:p>
    <w:p>
      <w:pPr>
        <w:pStyle w:val="ListBullet"/>
      </w:pPr>
      <w:r>
        <w:rPr>
          <w:sz w:val="22"/>
        </w:rPr>
        <w:t>Search, sort, and filter suppliers.</w:t>
      </w:r>
    </w:p>
    <w:p>
      <w:pPr>
        <w:pStyle w:val="ListBullet"/>
      </w:pPr>
      <w:r>
        <w:rPr>
          <w:sz w:val="22"/>
        </w:rPr>
        <w:t>Open a vendor card to see documents, contacts, and history.</w:t>
      </w:r>
    </w:p>
    <w:p>
      <w:pPr>
        <w:pStyle w:val="ListBullet"/>
      </w:pPr>
      <w:r>
        <w:rPr>
          <w:sz w:val="22"/>
        </w:rPr>
        <w:t>Suspend or reactivate a vendor when needed.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0045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vendor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Figure — Vendors Directory</w:t>
      </w:r>
    </w:p>
    <w:p/>
    <w:p/>
    <w:p>
      <w:r>
        <w:rPr>
          <w:b/>
          <w:color w:val="0B2E4F"/>
          <w:sz w:val="36"/>
        </w:rPr>
        <w:t>Chapter 22 — Corrigenda &amp; Tender Builder</w:t>
      </w:r>
    </w:p>
    <w:p>
      <w:r>
        <w:rPr>
          <w:b w:val="0"/>
          <w:i w:val="0"/>
          <w:sz w:val="22"/>
        </w:rPr>
        <w:t>Corrigenda are corrections to published tenders. Tender Builder is where reusable templates live.</w:t>
      </w:r>
    </w:p>
    <w:p>
      <w:r>
        <w:rPr>
          <w:b/>
          <w:color w:val="0B2E4F"/>
          <w:sz w:val="26"/>
        </w:rPr>
        <w:t>Corrigenda</w:t>
      </w:r>
    </w:p>
    <w:p>
      <w:pPr>
        <w:pStyle w:val="ListBullet"/>
      </w:pPr>
      <w:r>
        <w:rPr>
          <w:sz w:val="22"/>
        </w:rPr>
        <w:t>Every correction after a notice is published must be issued as a corrigendum.</w:t>
      </w:r>
    </w:p>
    <w:p>
      <w:pPr>
        <w:pStyle w:val="ListBullet"/>
      </w:pPr>
      <w:r>
        <w:rPr>
          <w:sz w:val="22"/>
        </w:rPr>
        <w:t>The system versions the tender document and re-notifies bidders automatically.</w:t>
      </w:r>
    </w:p>
    <w:p>
      <w:r>
        <w:rPr>
          <w:b/>
          <w:color w:val="0B2E4F"/>
          <w:sz w:val="26"/>
        </w:rPr>
        <w:t>Tender Builder</w:t>
      </w:r>
    </w:p>
    <w:p>
      <w:pPr>
        <w:pStyle w:val="ListBullet"/>
      </w:pPr>
      <w:r>
        <w:rPr>
          <w:sz w:val="22"/>
        </w:rPr>
        <w:t>Reusable templates for Tender / RFP / RFQ.</w:t>
      </w:r>
    </w:p>
    <w:p>
      <w:pPr>
        <w:pStyle w:val="ListBullet"/>
      </w:pPr>
      <w:r>
        <w:rPr>
          <w:sz w:val="22"/>
        </w:rPr>
        <w:t>Link a template when creating a new notice to inherit clauses, evaluation criteria, and BOQ skeleton.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0045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tender-builder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Figure — Corrigenda &amp; Tender Builder</w:t>
      </w:r>
    </w:p>
    <w:p/>
    <w:p/>
    <w:p>
      <w:r>
        <w:rPr>
          <w:b/>
          <w:color w:val="0B2E4F"/>
          <w:sz w:val="36"/>
        </w:rPr>
        <w:t>Chapter 23 — Your Profile &amp; Security</w:t>
      </w:r>
    </w:p>
    <w:p>
      <w:r>
        <w:rPr>
          <w:b w:val="0"/>
          <w:i w:val="0"/>
          <w:sz w:val="22"/>
        </w:rPr>
        <w:t>Owning your account security is not optional.</w:t>
      </w:r>
    </w:p>
    <w:p>
      <w:r>
        <w:rPr>
          <w:b/>
          <w:color w:val="0B2E4F"/>
          <w:sz w:val="26"/>
        </w:rPr>
        <w:t>Daily hygiene</w:t>
      </w:r>
    </w:p>
    <w:p>
      <w:pPr>
        <w:pStyle w:val="ListBullet"/>
      </w:pPr>
      <w:r>
        <w:rPr>
          <w:sz w:val="22"/>
        </w:rPr>
        <w:t>Never share credentials.</w:t>
      </w:r>
    </w:p>
    <w:p>
      <w:pPr>
        <w:pStyle w:val="ListBullet"/>
      </w:pPr>
      <w:r>
        <w:rPr>
          <w:sz w:val="22"/>
        </w:rPr>
        <w:t>Enable 2FA under “Security · 2FA” in the top bar.</w:t>
      </w:r>
    </w:p>
    <w:p>
      <w:pPr>
        <w:pStyle w:val="ListBullet"/>
      </w:pPr>
      <w:r>
        <w:rPr>
          <w:sz w:val="22"/>
        </w:rPr>
        <w:t>Change your password every 90 days.</w:t>
      </w:r>
    </w:p>
    <w:p>
      <w:pPr>
        <w:pStyle w:val="ListBullet"/>
      </w:pPr>
      <w:r>
        <w:rPr>
          <w:sz w:val="22"/>
        </w:rPr>
        <w:t>Sign out on shared computers.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0045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-audit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Figure — Your Profile &amp; Security</w:t>
      </w:r>
    </w:p>
    <w:p/>
    <w:p/>
    <w:p>
      <w:r>
        <w:rPr>
          <w:b/>
          <w:color w:val="0B2E4F"/>
          <w:sz w:val="36"/>
        </w:rPr>
        <w:t>Chapter 24 — Trainee Daily Checklist</w:t>
      </w:r>
    </w:p>
    <w:p>
      <w:r>
        <w:rPr>
          <w:b w:val="0"/>
          <w:i w:val="0"/>
          <w:sz w:val="22"/>
        </w:rPr>
        <w:t>Run this checklist every day for your first two weeks.</w:t>
      </w:r>
    </w:p>
    <w:p>
      <w:r>
        <w:rPr>
          <w:b/>
          <w:color w:val="0B2E4F"/>
          <w:sz w:val="26"/>
        </w:rPr>
        <w:t>Every morning</w:t>
      </w:r>
    </w:p>
    <w:p>
      <w:pPr>
        <w:pStyle w:val="ListBullet"/>
      </w:pPr>
      <w:r>
        <w:rPr>
          <w:sz w:val="22"/>
        </w:rPr>
        <w:t>Log in and skim the Dashboard KPI cards.</w:t>
      </w:r>
    </w:p>
    <w:p>
      <w:pPr>
        <w:pStyle w:val="ListBullet"/>
      </w:pPr>
      <w:r>
        <w:rPr>
          <w:sz w:val="22"/>
        </w:rPr>
        <w:t>Open Registrations — clear anything pending &gt; 24 hours.</w:t>
      </w:r>
    </w:p>
    <w:p>
      <w:pPr>
        <w:pStyle w:val="ListBullet"/>
      </w:pPr>
      <w:r>
        <w:rPr>
          <w:sz w:val="22"/>
        </w:rPr>
        <w:t>Review tenders closing within 48 hours (Notices → filter by closing date).</w:t>
      </w:r>
    </w:p>
    <w:p>
      <w:pPr>
        <w:pStyle w:val="ListBullet"/>
      </w:pPr>
      <w:r>
        <w:rPr>
          <w:sz w:val="22"/>
        </w:rPr>
        <w:t>Bidding Ops — confirm no bids are stuck in “Awaiting Envelope Open”.</w:t>
      </w:r>
    </w:p>
    <w:p>
      <w:pPr>
        <w:pStyle w:val="ListBullet"/>
      </w:pPr>
      <w:r>
        <w:rPr>
          <w:sz w:val="22"/>
        </w:rPr>
        <w:t>DocuSign — verify envelope statuses have refreshed.</w:t>
      </w:r>
    </w:p>
    <w:p>
      <w:pPr>
        <w:pStyle w:val="ListBullet"/>
      </w:pPr>
      <w:r>
        <w:rPr>
          <w:sz w:val="22"/>
        </w:rPr>
        <w:t>Audit — glance at yesterday’s activity for anomalies.</w:t>
      </w:r>
    </w:p>
    <w:p>
      <w:pPr>
        <w:pStyle w:val="ListBullet"/>
      </w:pPr>
      <w:r>
        <w:rPr>
          <w:sz w:val="22"/>
        </w:rPr>
        <w:t>Log any anomaly in the internal ticket tool before leaving.</w:t>
      </w:r>
    </w:p>
    <w:p/>
    <w:p>
      <w:r>
        <w:rPr>
          <w:b/>
          <w:color w:val="0B2E4F"/>
          <w:sz w:val="36"/>
        </w:rPr>
        <w:t>Chapter 25 — Glossary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0B2E4F"/>
          </w:tcPr>
          <w:p>
            <w:r/>
            <w:r>
              <w:rPr>
                <w:b/>
                <w:color w:val="FFFFFF"/>
                <w:sz w:val="22"/>
              </w:rPr>
              <w:t>Term</w:t>
            </w:r>
          </w:p>
        </w:tc>
        <w:tc>
          <w:tcPr>
            <w:tcW w:type="dxa" w:w="4968"/>
            <w:shd w:fill="0B2E4F"/>
          </w:tcPr>
          <w:p>
            <w:r/>
            <w:r>
              <w:rPr>
                <w:b/>
                <w:color w:val="FFFFFF"/>
                <w:sz w:val="22"/>
              </w:rPr>
              <w:t>Meaning</w:t>
            </w:r>
          </w:p>
        </w:tc>
      </w:tr>
      <w:tr>
        <w:tc>
          <w:tcPr>
            <w:tcW w:type="dxa" w:w="4968"/>
          </w:tcPr>
          <w:p>
            <w:r>
              <w:rPr>
                <w:sz w:val="20"/>
              </w:rPr>
              <w:t>Tender</w:t>
            </w:r>
          </w:p>
        </w:tc>
        <w:tc>
          <w:tcPr>
            <w:tcW w:type="dxa" w:w="4968"/>
          </w:tcPr>
          <w:p>
            <w:r>
              <w:rPr>
                <w:sz w:val="20"/>
              </w:rPr>
              <w:t>A formal invitation to submit an offer</w:t>
            </w:r>
          </w:p>
        </w:tc>
      </w:tr>
      <w:tr>
        <w:tc>
          <w:tcPr>
            <w:tcW w:type="dxa" w:w="4968"/>
          </w:tcPr>
          <w:p>
            <w:r>
              <w:rPr>
                <w:sz w:val="20"/>
              </w:rPr>
              <w:t>RFP</w:t>
            </w:r>
          </w:p>
        </w:tc>
        <w:tc>
          <w:tcPr>
            <w:tcW w:type="dxa" w:w="4968"/>
          </w:tcPr>
          <w:p>
            <w:r>
              <w:rPr>
                <w:sz w:val="20"/>
              </w:rPr>
              <w:t>Request for Proposal</w:t>
            </w:r>
          </w:p>
        </w:tc>
      </w:tr>
      <w:tr>
        <w:tc>
          <w:tcPr>
            <w:tcW w:type="dxa" w:w="4968"/>
          </w:tcPr>
          <w:p>
            <w:r>
              <w:rPr>
                <w:sz w:val="20"/>
              </w:rPr>
              <w:t>RFQ</w:t>
            </w:r>
          </w:p>
        </w:tc>
        <w:tc>
          <w:tcPr>
            <w:tcW w:type="dxa" w:w="4968"/>
          </w:tcPr>
          <w:p>
            <w:r>
              <w:rPr>
                <w:sz w:val="20"/>
              </w:rPr>
              <w:t>Request for Quotation</w:t>
            </w:r>
          </w:p>
        </w:tc>
      </w:tr>
      <w:tr>
        <w:tc>
          <w:tcPr>
            <w:tcW w:type="dxa" w:w="4968"/>
          </w:tcPr>
          <w:p>
            <w:r>
              <w:rPr>
                <w:sz w:val="20"/>
              </w:rPr>
              <w:t>EMD</w:t>
            </w:r>
          </w:p>
        </w:tc>
        <w:tc>
          <w:tcPr>
            <w:tcW w:type="dxa" w:w="4968"/>
          </w:tcPr>
          <w:p>
            <w:r>
              <w:rPr>
                <w:sz w:val="20"/>
              </w:rPr>
              <w:t>Earnest Money Deposit</w:t>
            </w:r>
          </w:p>
        </w:tc>
      </w:tr>
      <w:tr>
        <w:tc>
          <w:tcPr>
            <w:tcW w:type="dxa" w:w="4968"/>
          </w:tcPr>
          <w:p>
            <w:r>
              <w:rPr>
                <w:sz w:val="20"/>
              </w:rPr>
              <w:t>BOQ</w:t>
            </w:r>
          </w:p>
        </w:tc>
        <w:tc>
          <w:tcPr>
            <w:tcW w:type="dxa" w:w="4968"/>
          </w:tcPr>
          <w:p>
            <w:r>
              <w:rPr>
                <w:sz w:val="20"/>
              </w:rPr>
              <w:t>Bill of Quantities</w:t>
            </w:r>
          </w:p>
        </w:tc>
      </w:tr>
      <w:tr>
        <w:tc>
          <w:tcPr>
            <w:tcW w:type="dxa" w:w="4968"/>
          </w:tcPr>
          <w:p>
            <w:r>
              <w:rPr>
                <w:sz w:val="20"/>
              </w:rPr>
              <w:t>UNSPSC</w:t>
            </w:r>
          </w:p>
        </w:tc>
        <w:tc>
          <w:tcPr>
            <w:tcW w:type="dxa" w:w="4968"/>
          </w:tcPr>
          <w:p>
            <w:r>
              <w:rPr>
                <w:sz w:val="20"/>
              </w:rPr>
              <w:t>United Nations Standard Products &amp; Services Code</w:t>
            </w:r>
          </w:p>
        </w:tc>
      </w:tr>
      <w:tr>
        <w:tc>
          <w:tcPr>
            <w:tcW w:type="dxa" w:w="4968"/>
          </w:tcPr>
          <w:p>
            <w:r>
              <w:rPr>
                <w:sz w:val="20"/>
              </w:rPr>
              <w:t>KYC</w:t>
            </w:r>
          </w:p>
        </w:tc>
        <w:tc>
          <w:tcPr>
            <w:tcW w:type="dxa" w:w="4968"/>
          </w:tcPr>
          <w:p>
            <w:r>
              <w:rPr>
                <w:sz w:val="20"/>
              </w:rPr>
              <w:t>Know Your Customer verification</w:t>
            </w:r>
          </w:p>
        </w:tc>
      </w:tr>
      <w:tr>
        <w:tc>
          <w:tcPr>
            <w:tcW w:type="dxa" w:w="4968"/>
          </w:tcPr>
          <w:p>
            <w:r>
              <w:rPr>
                <w:sz w:val="20"/>
              </w:rPr>
              <w:t>PO</w:t>
            </w:r>
          </w:p>
        </w:tc>
        <w:tc>
          <w:tcPr>
            <w:tcW w:type="dxa" w:w="4968"/>
          </w:tcPr>
          <w:p>
            <w:r>
              <w:rPr>
                <w:sz w:val="20"/>
              </w:rPr>
              <w:t>Purchase Order</w:t>
            </w:r>
          </w:p>
        </w:tc>
      </w:tr>
      <w:tr>
        <w:tc>
          <w:tcPr>
            <w:tcW w:type="dxa" w:w="4968"/>
          </w:tcPr>
          <w:p>
            <w:r>
              <w:rPr>
                <w:sz w:val="20"/>
              </w:rPr>
              <w:t>SLA</w:t>
            </w:r>
          </w:p>
        </w:tc>
        <w:tc>
          <w:tcPr>
            <w:tcW w:type="dxa" w:w="4968"/>
          </w:tcPr>
          <w:p>
            <w:r>
              <w:rPr>
                <w:sz w:val="20"/>
              </w:rPr>
              <w:t>Service Level Agreement</w:t>
            </w:r>
          </w:p>
        </w:tc>
      </w:tr>
      <w:tr>
        <w:tc>
          <w:tcPr>
            <w:tcW w:type="dxa" w:w="4968"/>
          </w:tcPr>
          <w:p>
            <w:r>
              <w:rPr>
                <w:sz w:val="20"/>
              </w:rPr>
              <w:t>LOA</w:t>
            </w:r>
          </w:p>
        </w:tc>
        <w:tc>
          <w:tcPr>
            <w:tcW w:type="dxa" w:w="4968"/>
          </w:tcPr>
          <w:p>
            <w:r>
              <w:rPr>
                <w:sz w:val="20"/>
              </w:rPr>
              <w:t>Letter of Award</w:t>
            </w:r>
          </w:p>
        </w:tc>
      </w:tr>
      <w:tr>
        <w:tc>
          <w:tcPr>
            <w:tcW w:type="dxa" w:w="4968"/>
          </w:tcPr>
          <w:p>
            <w:r>
              <w:rPr>
                <w:sz w:val="20"/>
              </w:rPr>
              <w:t>L1</w:t>
            </w:r>
          </w:p>
        </w:tc>
        <w:tc>
          <w:tcPr>
            <w:tcW w:type="dxa" w:w="4968"/>
          </w:tcPr>
          <w:p>
            <w:r>
              <w:rPr>
                <w:sz w:val="20"/>
              </w:rPr>
              <w:t>Lowest technically-qualified price</w:t>
            </w:r>
          </w:p>
        </w:tc>
      </w:tr>
      <w:tr>
        <w:tc>
          <w:tcPr>
            <w:tcW w:type="dxa" w:w="4968"/>
          </w:tcPr>
          <w:p>
            <w:r>
              <w:rPr>
                <w:sz w:val="20"/>
              </w:rPr>
              <w:t>Envelope</w:t>
            </w:r>
          </w:p>
        </w:tc>
        <w:tc>
          <w:tcPr>
            <w:tcW w:type="dxa" w:w="4968"/>
          </w:tcPr>
          <w:p>
            <w:r>
              <w:rPr>
                <w:sz w:val="20"/>
              </w:rPr>
              <w:t>Sealed set of bid documents (technical / commercial)</w:t>
            </w:r>
          </w:p>
        </w:tc>
      </w:tr>
      <w:tr>
        <w:tc>
          <w:tcPr>
            <w:tcW w:type="dxa" w:w="4968"/>
          </w:tcPr>
          <w:p>
            <w:r>
              <w:rPr>
                <w:sz w:val="20"/>
              </w:rPr>
              <w:t>Corrigendum</w:t>
            </w:r>
          </w:p>
        </w:tc>
        <w:tc>
          <w:tcPr>
            <w:tcW w:type="dxa" w:w="4968"/>
          </w:tcPr>
          <w:p>
            <w:r>
              <w:rPr>
                <w:sz w:val="20"/>
              </w:rPr>
              <w:t>Amendment to a published tender</w:t>
            </w:r>
          </w:p>
        </w:tc>
      </w:tr>
      <w:tr>
        <w:tc>
          <w:tcPr>
            <w:tcW w:type="dxa" w:w="4968"/>
          </w:tcPr>
          <w:p>
            <w:r>
              <w:rPr>
                <w:sz w:val="20"/>
              </w:rPr>
              <w:t>Escrow</w:t>
            </w:r>
          </w:p>
        </w:tc>
        <w:tc>
          <w:tcPr>
            <w:tcW w:type="dxa" w:w="4968"/>
          </w:tcPr>
          <w:p>
            <w:r>
              <w:rPr>
                <w:sz w:val="20"/>
              </w:rPr>
              <w:t>Neutral holding of EMD until the tender concludes</w:t>
            </w:r>
          </w:p>
        </w:tc>
      </w:tr>
    </w:tbl>
    <w:p/>
    <w:p>
      <w:r>
        <w:rPr>
          <w:b/>
          <w:color w:val="0B2E4F"/>
          <w:sz w:val="36"/>
        </w:rPr>
        <w:t>You Are Ready!</w:t>
      </w:r>
    </w:p>
    <w:p>
      <w:r>
        <w:rPr>
          <w:b w:val="0"/>
          <w:i/>
          <w:sz w:val="22"/>
        </w:rPr>
        <w:t>Complete Chapters 1–11 in your first sitting. Practise Chapters 12–22 in the sandbox environment before touching production data. When in doubt — ask, don't guess.</w:t>
      </w:r>
    </w:p>
    <w:p>
      <w:pPr>
        <w:jc w:val="center"/>
      </w:pPr>
      <w:r>
        <w:rPr>
          <w:b/>
          <w:i w:val="0"/>
          <w:color w:val="0B2E4F"/>
          <w:sz w:val="22"/>
        </w:rPr>
        <w:t>Welcome to the PMC Managers team.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