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f36a0228ded936a1c36c41ca15e84a2e1e84eac"/>
    <w:p>
      <w:pPr>
        <w:pStyle w:val="Heading1"/>
      </w:pPr>
      <w:r>
        <w:t xml:space="preserve">PMC Managers Limited — Business Analysis: Gap Assessment</w:t>
      </w:r>
    </w:p>
    <w:p>
      <w:pPr>
        <w:pStyle w:val="FirstParagraph"/>
      </w:pPr>
      <w:r>
        <w:rPr>
          <w:bCs/>
          <w:b/>
        </w:rPr>
        <w:t xml:space="preserve">Prepared for:</w:t>
      </w:r>
      <w:r>
        <w:t xml:space="preserve"> </w:t>
      </w:r>
      <w:r>
        <w:t xml:space="preserve">Client / Board Discussion</w:t>
      </w:r>
      <w:r>
        <w:t xml:space="preserve"> </w:t>
      </w:r>
      <w:r>
        <w:rPr>
          <w:bCs/>
          <w:b/>
        </w:rPr>
        <w:t xml:space="preserve">Date:</w:t>
      </w:r>
      <w:r>
        <w:t xml:space="preserve"> </w:t>
      </w:r>
      <w:r>
        <w:t xml:space="preserve">February 2026</w:t>
      </w:r>
      <w:r>
        <w:t xml:space="preserve"> </w:t>
      </w:r>
      <w:r>
        <w:rPr>
          <w:bCs/>
          <w:b/>
        </w:rPr>
        <w:t xml:space="preserve">Version:</w:t>
      </w:r>
      <w:r>
        <w:t xml:space="preserve"> </w:t>
      </w:r>
      <w:r>
        <w:t xml:space="preserve">1.0</w:t>
      </w:r>
      <w:r>
        <w:t xml:space="preserve"> </w:t>
      </w:r>
      <w:r>
        <w:rPr>
          <w:bCs/>
          <w:b/>
        </w:rPr>
        <w:t xml:space="preserve">Prepared by:</w:t>
      </w:r>
      <w:r>
        <w:t xml:space="preserve"> </w:t>
      </w:r>
      <w:r>
        <w:t xml:space="preserve">Delivery Team</w:t>
      </w:r>
    </w:p>
    <w:p>
      <w:r>
        <w:pict>
          <v:rect style="width:0;height:1.5pt" o:hralign="center" o:hrstd="t" o:hr="t"/>
        </w:pict>
      </w:r>
    </w:p>
    <w:bookmarkStart w:id="20" w:name="executive-summary"/>
    <w:p>
      <w:pPr>
        <w:pStyle w:val="Heading2"/>
      </w:pPr>
      <w:r>
        <w:t xml:space="preserve">1. Executive Summary</w:t>
      </w:r>
    </w:p>
    <w:p>
      <w:pPr>
        <w:pStyle w:val="FirstParagraph"/>
      </w:pPr>
      <w:r>
        <w:t xml:space="preserve">You have two new source documents on the table:</w:t>
      </w:r>
    </w:p>
    <w:p>
      <w:pPr>
        <w:numPr>
          <w:ilvl w:val="0"/>
          <w:numId w:val="1001"/>
        </w:numPr>
        <w:pStyle w:val="Compact"/>
      </w:pPr>
      <w:r>
        <w:rPr>
          <w:bCs/>
          <w:b/>
        </w:rPr>
        <w:t xml:space="preserve">PMC Transaction Structure &amp; Funds-Flow Report</w:t>
      </w:r>
      <w:r>
        <w:t xml:space="preserve"> </w:t>
      </w:r>
      <w:r>
        <w:t xml:space="preserve">(v1.0, 24 July 2026) — a</w:t>
      </w:r>
      <w:r>
        <w:t xml:space="preserve"> </w:t>
      </w:r>
      <w:r>
        <w:rPr>
          <w:bCs/>
          <w:b/>
        </w:rPr>
        <w:t xml:space="preserve">commercial-legal</w:t>
      </w:r>
      <w:r>
        <w:t xml:space="preserve"> </w:t>
      </w:r>
      <w:r>
        <w:t xml:space="preserve">framework describing how money flows and who must hold what.</w:t>
      </w:r>
    </w:p>
    <w:p>
      <w:pPr>
        <w:numPr>
          <w:ilvl w:val="0"/>
          <w:numId w:val="1001"/>
        </w:numPr>
        <w:pStyle w:val="Compact"/>
      </w:pPr>
      <w:r>
        <w:rPr>
          <w:bCs/>
          <w:b/>
        </w:rPr>
        <w:t xml:space="preserve">PMC Build Sheet v2 AWS</w:t>
      </w:r>
      <w:r>
        <w:t xml:space="preserve"> </w:t>
      </w:r>
      <w:r>
        <w:t xml:space="preserve">(24 July 2026) — a</w:t>
      </w:r>
      <w:r>
        <w:t xml:space="preserve"> </w:t>
      </w:r>
      <w:r>
        <w:rPr>
          <w:bCs/>
          <w:b/>
        </w:rPr>
        <w:t xml:space="preserve">technical re-architecture</w:t>
      </w:r>
      <w:r>
        <w:t xml:space="preserve"> </w:t>
      </w:r>
      <w:r>
        <w:t xml:space="preserve">describing a native-AWS stack with four discrete applications.</w:t>
      </w:r>
    </w:p>
    <w:p>
      <w:pPr>
        <w:pStyle w:val="FirstParagraph"/>
      </w:pPr>
      <w:r>
        <w:t xml:space="preserve">Against this, we have already delivered a fully-functional</w:t>
      </w:r>
      <w:r>
        <w:t xml:space="preserve"> </w:t>
      </w:r>
      <w:r>
        <w:rPr>
          <w:bCs/>
          <w:b/>
        </w:rPr>
        <w:t xml:space="preserve">v2.0 Tender Management Platform</w:t>
      </w:r>
      <w:r>
        <w:t xml:space="preserve"> </w:t>
      </w:r>
      <w:r>
        <w:t xml:space="preserve">built on Emergent (FastAPI + MongoDB + React). It covers registration, bidding, evaluation, award, and audit — the classic tender lifecycle.</w:t>
      </w:r>
    </w:p>
    <w:p>
      <w:pPr>
        <w:pStyle w:val="BodyText"/>
      </w:pPr>
      <w:r>
        <w:rPr>
          <w:bCs/>
          <w:b/>
        </w:rPr>
        <w:t xml:space="preserve">The core message for the client:</w:t>
      </w:r>
      <w:r>
        <w:t xml:space="preserve"> </w:t>
      </w:r>
      <w:r>
        <w:t xml:space="preserve">&gt;</w:t>
      </w:r>
      <w:r>
        <w:t xml:space="preserve"> </w:t>
      </w:r>
      <w:r>
        <w:rPr>
          <w:bCs/>
          <w:b/>
        </w:rPr>
        <w:t xml:space="preserve">The new scope is not an incremental change. It is a strategic pivot in three dimensions at once: architecture (Emergent stack → AWS-native), scope (single unified platform → four discrete apps), and commercial model (a fee/bid platform → a certified-instruction platform that stewards other people’s money).</w:t>
      </w:r>
    </w:p>
    <w:p>
      <w:pPr>
        <w:pStyle w:val="BodyText"/>
      </w:pPr>
      <w:r>
        <w:t xml:space="preserve">The client must be made to understand these three shifts so that decisions on time, cost and re-use can be made deliberately, not by drift.</w:t>
      </w:r>
    </w:p>
    <w:p>
      <w:r>
        <w:pict>
          <v:rect style="width:0;height:1.5pt" o:hralign="center" o:hrstd="t" o:hr="t"/>
        </w:pict>
      </w:r>
    </w:p>
    <w:bookmarkEnd w:id="20"/>
    <w:bookmarkStart w:id="21" w:name="what-we-have-already-built-baseline"/>
    <w:p>
      <w:pPr>
        <w:pStyle w:val="Heading2"/>
      </w:pPr>
      <w:r>
        <w:t xml:space="preserve">2. What We Have Already Built (Baseline)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Delivered v2.0 Feature</w:t>
            </w:r>
          </w:p>
        </w:tc>
        <w:tc>
          <w:tcPr/>
          <w:p>
            <w:pPr>
              <w:pStyle w:val="Compact"/>
              <w:jc w:val="left"/>
            </w:pPr>
            <w:r>
              <w:t xml:space="preserve">Status</w:t>
            </w:r>
          </w:p>
        </w:tc>
      </w:tr>
      <w:tr>
        <w:tc>
          <w:tcPr/>
          <w:p>
            <w:pPr>
              <w:pStyle w:val="Compact"/>
              <w:jc w:val="left"/>
            </w:pPr>
            <w:r>
              <w:rPr>
                <w:bCs/>
                <w:b/>
              </w:rPr>
              <w:t xml:space="preserve">Platform</w:t>
            </w:r>
          </w:p>
        </w:tc>
        <w:tc>
          <w:tcPr/>
          <w:p>
            <w:pPr>
              <w:pStyle w:val="Compact"/>
              <w:jc w:val="left"/>
            </w:pPr>
            <w:r>
              <w:t xml:space="preserve">Emergent SaaS · React SPA · FastAPI · MongoDB · single-region</w:t>
            </w:r>
          </w:p>
        </w:tc>
        <w:tc>
          <w:tcPr/>
          <w:p>
            <w:pPr>
              <w:pStyle w:val="Compact"/>
              <w:jc w:val="left"/>
            </w:pPr>
            <w:r>
              <w:t xml:space="preserve">Live in production</w:t>
            </w:r>
          </w:p>
        </w:tc>
      </w:tr>
      <w:tr>
        <w:tc>
          <w:tcPr/>
          <w:p>
            <w:pPr>
              <w:pStyle w:val="Compact"/>
              <w:jc w:val="left"/>
            </w:pPr>
            <w:r>
              <w:rPr>
                <w:bCs/>
                <w:b/>
              </w:rPr>
              <w:t xml:space="preserve">Auth</w:t>
            </w:r>
          </w:p>
        </w:tc>
        <w:tc>
          <w:tcPr/>
          <w:p>
            <w:pPr>
              <w:pStyle w:val="Compact"/>
              <w:jc w:val="left"/>
            </w:pPr>
            <w:r>
              <w:t xml:space="preserve">JWT (httpOnly cookies) + Emergent-managed Google OAuth</w:t>
            </w:r>
          </w:p>
        </w:tc>
        <w:tc>
          <w:tcPr/>
          <w:p>
            <w:pPr>
              <w:pStyle w:val="Compact"/>
              <w:jc w:val="left"/>
            </w:pPr>
            <w:r>
              <w:t xml:space="preserve">Working</w:t>
            </w:r>
          </w:p>
        </w:tc>
      </w:tr>
      <w:tr>
        <w:tc>
          <w:tcPr/>
          <w:p>
            <w:pPr>
              <w:pStyle w:val="Compact"/>
              <w:jc w:val="left"/>
            </w:pPr>
            <w:r>
              <w:rPr>
                <w:bCs/>
                <w:b/>
              </w:rPr>
              <w:t xml:space="preserve">Vendor onboarding</w:t>
            </w:r>
          </w:p>
        </w:tc>
        <w:tc>
          <w:tcPr/>
          <w:p>
            <w:pPr>
              <w:pStyle w:val="Compact"/>
              <w:jc w:val="left"/>
            </w:pPr>
            <w:r>
              <w:t xml:space="preserve">Pre-Tender Registration Form (Sections A–E), KYC uploads, 6 declarations + eSignature</w:t>
            </w:r>
          </w:p>
        </w:tc>
        <w:tc>
          <w:tcPr/>
          <w:p>
            <w:pPr>
              <w:pStyle w:val="Compact"/>
              <w:jc w:val="left"/>
            </w:pPr>
            <w:r>
              <w:t xml:space="preserve">Working</w:t>
            </w:r>
          </w:p>
        </w:tc>
      </w:tr>
      <w:tr>
        <w:tc>
          <w:tcPr/>
          <w:p>
            <w:pPr>
              <w:pStyle w:val="Compact"/>
              <w:jc w:val="left"/>
            </w:pPr>
            <w:r>
              <w:rPr>
                <w:bCs/>
                <w:b/>
              </w:rPr>
              <w:t xml:space="preserve">Stripe fee</w:t>
            </w:r>
          </w:p>
        </w:tc>
        <w:tc>
          <w:tcPr/>
          <w:p>
            <w:pPr>
              <w:pStyle w:val="Compact"/>
              <w:jc w:val="left"/>
            </w:pPr>
            <w:r>
              <w:t xml:space="preserve">One-time vendor registration fee via Stripe checkout</w:t>
            </w:r>
          </w:p>
        </w:tc>
        <w:tc>
          <w:tcPr/>
          <w:p>
            <w:pPr>
              <w:pStyle w:val="Compact"/>
              <w:jc w:val="left"/>
            </w:pPr>
            <w:r>
              <w:t xml:space="preserve">Working</w:t>
            </w:r>
          </w:p>
        </w:tc>
      </w:tr>
      <w:tr>
        <w:tc>
          <w:tcPr/>
          <w:p>
            <w:pPr>
              <w:pStyle w:val="Compact"/>
              <w:jc w:val="left"/>
            </w:pPr>
            <w:r>
              <w:rPr>
                <w:bCs/>
                <w:b/>
              </w:rPr>
              <w:t xml:space="preserve">Tender lifecycle</w:t>
            </w:r>
          </w:p>
        </w:tc>
        <w:tc>
          <w:tcPr/>
          <w:p>
            <w:pPr>
              <w:pStyle w:val="Compact"/>
              <w:jc w:val="left"/>
            </w:pPr>
            <w:r>
              <w:t xml:space="preserve">Unified RFP / RFQ / Tender with draft → pending_approval → open → closed / awarded</w:t>
            </w:r>
          </w:p>
        </w:tc>
        <w:tc>
          <w:tcPr/>
          <w:p>
            <w:pPr>
              <w:pStyle w:val="Compact"/>
              <w:jc w:val="left"/>
            </w:pPr>
            <w:r>
              <w:t xml:space="preserve">Working</w:t>
            </w:r>
          </w:p>
        </w:tc>
      </w:tr>
      <w:tr>
        <w:tc>
          <w:tcPr/>
          <w:p>
            <w:pPr>
              <w:pStyle w:val="Compact"/>
              <w:jc w:val="left"/>
            </w:pPr>
            <w:r>
              <w:rPr>
                <w:bCs/>
                <w:b/>
              </w:rPr>
              <w:t xml:space="preserve">Multi-level approval</w:t>
            </w:r>
          </w:p>
        </w:tc>
        <w:tc>
          <w:tcPr/>
          <w:p>
            <w:pPr>
              <w:pStyle w:val="Compact"/>
              <w:jc w:val="left"/>
            </w:pPr>
            <w:r>
              <w:t xml:space="preserve">Buyer Orgs, Departments, budget-threshold approval chains</w:t>
            </w:r>
          </w:p>
        </w:tc>
        <w:tc>
          <w:tcPr/>
          <w:p>
            <w:pPr>
              <w:pStyle w:val="Compact"/>
              <w:jc w:val="left"/>
            </w:pPr>
            <w:r>
              <w:t xml:space="preserve">Working</w:t>
            </w:r>
          </w:p>
        </w:tc>
      </w:tr>
      <w:tr>
        <w:tc>
          <w:tcPr/>
          <w:p>
            <w:pPr>
              <w:pStyle w:val="Compact"/>
              <w:jc w:val="left"/>
            </w:pPr>
            <w:r>
              <w:rPr>
                <w:bCs/>
                <w:b/>
              </w:rPr>
              <w:t xml:space="preserve">Two-envelope RFP</w:t>
            </w:r>
          </w:p>
        </w:tc>
        <w:tc>
          <w:tcPr/>
          <w:p>
            <w:pPr>
              <w:pStyle w:val="Compact"/>
              <w:jc w:val="left"/>
            </w:pPr>
            <w:r>
              <w:t xml:space="preserve">Sealed technical + commercial envelopes, timed open, technical qualification gate before award</w:t>
            </w:r>
          </w:p>
        </w:tc>
        <w:tc>
          <w:tcPr/>
          <w:p>
            <w:pPr>
              <w:pStyle w:val="Compact"/>
              <w:jc w:val="left"/>
            </w:pPr>
            <w:r>
              <w:t xml:space="preserve">Working</w:t>
            </w:r>
          </w:p>
        </w:tc>
      </w:tr>
      <w:tr>
        <w:tc>
          <w:tcPr/>
          <w:p>
            <w:pPr>
              <w:pStyle w:val="Compact"/>
              <w:jc w:val="left"/>
            </w:pPr>
            <w:r>
              <w:rPr>
                <w:bCs/>
                <w:b/>
              </w:rPr>
              <w:t xml:space="preserve">Bidding</w:t>
            </w:r>
          </w:p>
        </w:tc>
        <w:tc>
          <w:tcPr/>
          <w:p>
            <w:pPr>
              <w:pStyle w:val="Compact"/>
              <w:jc w:val="left"/>
            </w:pPr>
            <w:r>
              <w:t xml:space="preserve">Bid creation, comparison view, lowest-bid highlight, RFP weighted scoring</w:t>
            </w:r>
          </w:p>
        </w:tc>
        <w:tc>
          <w:tcPr/>
          <w:p>
            <w:pPr>
              <w:pStyle w:val="Compact"/>
              <w:jc w:val="left"/>
            </w:pPr>
            <w:r>
              <w:t xml:space="preserve">Working</w:t>
            </w:r>
          </w:p>
        </w:tc>
      </w:tr>
      <w:tr>
        <w:tc>
          <w:tcPr/>
          <w:p>
            <w:pPr>
              <w:pStyle w:val="Compact"/>
              <w:jc w:val="left"/>
            </w:pPr>
            <w:r>
              <w:rPr>
                <w:bCs/>
                <w:b/>
              </w:rPr>
              <w:t xml:space="preserve">EMD (Earnest Money Deposit)</w:t>
            </w:r>
          </w:p>
        </w:tc>
        <w:tc>
          <w:tcPr/>
          <w:p>
            <w:pPr>
              <w:pStyle w:val="Compact"/>
              <w:jc w:val="left"/>
            </w:pPr>
            <w:r>
              <w:t xml:space="preserve">Stripe-backed EMD, refund / forfeit workflow</w:t>
            </w:r>
          </w:p>
        </w:tc>
        <w:tc>
          <w:tcPr/>
          <w:p>
            <w:pPr>
              <w:pStyle w:val="Compact"/>
              <w:jc w:val="left"/>
            </w:pPr>
            <w:r>
              <w:t xml:space="preserve">Working</w:t>
            </w:r>
          </w:p>
        </w:tc>
      </w:tr>
      <w:tr>
        <w:tc>
          <w:tcPr/>
          <w:p>
            <w:pPr>
              <w:pStyle w:val="Compact"/>
              <w:jc w:val="left"/>
            </w:pPr>
            <w:r>
              <w:rPr>
                <w:bCs/>
                <w:b/>
              </w:rPr>
              <w:t xml:space="preserve">Pre-bid Q&amp;A + Corrigenda</w:t>
            </w:r>
          </w:p>
        </w:tc>
        <w:tc>
          <w:tcPr/>
          <w:p>
            <w:pPr>
              <w:pStyle w:val="Compact"/>
              <w:jc w:val="left"/>
            </w:pPr>
            <w:r>
              <w:t xml:space="preserve">Anonymised questions, buyer answers, addenda publishing</w:t>
            </w:r>
          </w:p>
        </w:tc>
        <w:tc>
          <w:tcPr/>
          <w:p>
            <w:pPr>
              <w:pStyle w:val="Compact"/>
              <w:jc w:val="left"/>
            </w:pPr>
            <w:r>
              <w:t xml:space="preserve">Working</w:t>
            </w:r>
          </w:p>
        </w:tc>
      </w:tr>
      <w:tr>
        <w:tc>
          <w:tcPr/>
          <w:p>
            <w:pPr>
              <w:pStyle w:val="Compact"/>
              <w:jc w:val="left"/>
            </w:pPr>
            <w:r>
              <w:rPr>
                <w:bCs/>
                <w:b/>
              </w:rPr>
              <w:t xml:space="preserve">Notifications</w:t>
            </w:r>
          </w:p>
        </w:tc>
        <w:tc>
          <w:tcPr/>
          <w:p>
            <w:pPr>
              <w:pStyle w:val="Compact"/>
              <w:jc w:val="left"/>
            </w:pPr>
            <w:r>
              <w:t xml:space="preserve">In-app + Resend email (branded)</w:t>
            </w:r>
          </w:p>
        </w:tc>
        <w:tc>
          <w:tcPr/>
          <w:p>
            <w:pPr>
              <w:pStyle w:val="Compact"/>
              <w:jc w:val="left"/>
            </w:pPr>
            <w:r>
              <w:t xml:space="preserve">Working</w:t>
            </w:r>
          </w:p>
        </w:tc>
      </w:tr>
      <w:tr>
        <w:tc>
          <w:tcPr/>
          <w:p>
            <w:pPr>
              <w:pStyle w:val="Compact"/>
              <w:jc w:val="left"/>
            </w:pPr>
            <w:r>
              <w:rPr>
                <w:bCs/>
                <w:b/>
              </w:rPr>
              <w:t xml:space="preserve">Live feed</w:t>
            </w:r>
          </w:p>
        </w:tc>
        <w:tc>
          <w:tcPr/>
          <w:p>
            <w:pPr>
              <w:pStyle w:val="Compact"/>
              <w:jc w:val="left"/>
            </w:pPr>
            <w:r>
              <w:t xml:space="preserve">Server-Sent Events tender feed with filters + per-user read state</w:t>
            </w:r>
          </w:p>
        </w:tc>
        <w:tc>
          <w:tcPr/>
          <w:p>
            <w:pPr>
              <w:pStyle w:val="Compact"/>
              <w:jc w:val="left"/>
            </w:pPr>
            <w:r>
              <w:t xml:space="preserve">Working</w:t>
            </w:r>
          </w:p>
        </w:tc>
      </w:tr>
      <w:tr>
        <w:tc>
          <w:tcPr/>
          <w:p>
            <w:pPr>
              <w:pStyle w:val="Compact"/>
              <w:jc w:val="left"/>
            </w:pPr>
            <w:r>
              <w:rPr>
                <w:bCs/>
                <w:b/>
              </w:rPr>
              <w:t xml:space="preserve">Audit trail</w:t>
            </w:r>
          </w:p>
        </w:tc>
        <w:tc>
          <w:tcPr/>
          <w:p>
            <w:pPr>
              <w:pStyle w:val="Compact"/>
              <w:jc w:val="left"/>
            </w:pPr>
            <w:r>
              <w:t xml:space="preserve">Application-level SHA-256 hash-chained immutable ledger, admin verify button</w:t>
            </w:r>
          </w:p>
        </w:tc>
        <w:tc>
          <w:tcPr/>
          <w:p>
            <w:pPr>
              <w:pStyle w:val="Compact"/>
              <w:jc w:val="left"/>
            </w:pPr>
            <w:r>
              <w:t xml:space="preserve">Working</w:t>
            </w:r>
          </w:p>
        </w:tc>
      </w:tr>
      <w:tr>
        <w:tc>
          <w:tcPr/>
          <w:p>
            <w:pPr>
              <w:pStyle w:val="Compact"/>
              <w:jc w:val="left"/>
            </w:pPr>
            <w:r>
              <w:rPr>
                <w:bCs/>
                <w:b/>
              </w:rPr>
              <w:t xml:space="preserve">FX Conversion</w:t>
            </w:r>
          </w:p>
        </w:tc>
        <w:tc>
          <w:tcPr/>
          <w:p>
            <w:pPr>
              <w:pStyle w:val="Compact"/>
              <w:jc w:val="left"/>
            </w:pPr>
            <w:r>
              <w:t xml:space="preserve">Live rates (</w:t>
            </w:r>
            <w:r>
              <w:rPr>
                <w:rStyle w:val="VerbatimChar"/>
              </w:rPr>
              <w:t xml:space="preserve">open.er-api.com</w:t>
            </w:r>
            <w:r>
              <w:t xml:space="preserve">), currency chip on tender detail</w:t>
            </w:r>
          </w:p>
        </w:tc>
        <w:tc>
          <w:tcPr/>
          <w:p>
            <w:pPr>
              <w:pStyle w:val="Compact"/>
              <w:jc w:val="left"/>
            </w:pPr>
            <w:r>
              <w:t xml:space="preserve">Working</w:t>
            </w:r>
          </w:p>
        </w:tc>
      </w:tr>
      <w:tr>
        <w:tc>
          <w:tcPr/>
          <w:p>
            <w:pPr>
              <w:pStyle w:val="Compact"/>
              <w:jc w:val="left"/>
            </w:pPr>
            <w:r>
              <w:rPr>
                <w:bCs/>
                <w:b/>
              </w:rPr>
              <w:t xml:space="preserve">SBD Template Library</w:t>
            </w:r>
          </w:p>
        </w:tc>
        <w:tc>
          <w:tcPr/>
          <w:p>
            <w:pPr>
              <w:pStyle w:val="Compact"/>
              <w:jc w:val="left"/>
            </w:pPr>
            <w:r>
              <w:t xml:space="preserve">Admin uploads standard bidding docs; buyers attach via dropdown</w:t>
            </w:r>
          </w:p>
        </w:tc>
        <w:tc>
          <w:tcPr/>
          <w:p>
            <w:pPr>
              <w:pStyle w:val="Compact"/>
              <w:jc w:val="left"/>
            </w:pPr>
            <w:r>
              <w:t xml:space="preserve">Working</w:t>
            </w:r>
          </w:p>
        </w:tc>
      </w:tr>
      <w:tr>
        <w:tc>
          <w:tcPr/>
          <w:p>
            <w:pPr>
              <w:pStyle w:val="Compact"/>
              <w:jc w:val="left"/>
            </w:pPr>
            <w:r>
              <w:rPr>
                <w:bCs/>
                <w:b/>
              </w:rPr>
              <w:t xml:space="preserve">Vendor KPI Dashboard</w:t>
            </w:r>
          </w:p>
        </w:tc>
        <w:tc>
          <w:tcPr/>
          <w:p>
            <w:pPr>
              <w:pStyle w:val="Compact"/>
              <w:jc w:val="left"/>
            </w:pPr>
            <w:r>
              <w:t xml:space="preserve">Win-rate, avg price/delivery, category history, suggestions</w:t>
            </w:r>
          </w:p>
        </w:tc>
        <w:tc>
          <w:tcPr/>
          <w:p>
            <w:pPr>
              <w:pStyle w:val="Compact"/>
              <w:jc w:val="left"/>
            </w:pPr>
            <w:r>
              <w:t xml:space="preserve">Working</w:t>
            </w:r>
          </w:p>
        </w:tc>
      </w:tr>
      <w:tr>
        <w:tc>
          <w:tcPr/>
          <w:p>
            <w:pPr>
              <w:pStyle w:val="Compact"/>
              <w:jc w:val="left"/>
            </w:pPr>
            <w:r>
              <w:rPr>
                <w:bCs/>
                <w:b/>
              </w:rPr>
              <w:t xml:space="preserve">i18n</w:t>
            </w:r>
          </w:p>
        </w:tc>
        <w:tc>
          <w:tcPr/>
          <w:p>
            <w:pPr>
              <w:pStyle w:val="Compact"/>
              <w:jc w:val="left"/>
            </w:pPr>
            <w:r>
              <w:t xml:space="preserve">English + Russian (Kazakh partial)</w:t>
            </w:r>
          </w:p>
        </w:tc>
        <w:tc>
          <w:tcPr/>
          <w:p>
            <w:pPr>
              <w:pStyle w:val="Compact"/>
              <w:jc w:val="left"/>
            </w:pPr>
            <w:r>
              <w:t xml:space="preserve">Working</w:t>
            </w:r>
          </w:p>
        </w:tc>
      </w:tr>
      <w:tr>
        <w:tc>
          <w:tcPr/>
          <w:p>
            <w:pPr>
              <w:pStyle w:val="Compact"/>
              <w:jc w:val="left"/>
            </w:pPr>
            <w:r>
              <w:rPr>
                <w:bCs/>
                <w:b/>
              </w:rPr>
              <w:t xml:space="preserve">Deployment</w:t>
            </w:r>
          </w:p>
        </w:tc>
        <w:tc>
          <w:tcPr/>
          <w:p>
            <w:pPr>
              <w:pStyle w:val="Compact"/>
              <w:jc w:val="left"/>
            </w:pPr>
            <w:r>
              <w:t xml:space="preserve">Deployed to Emergent-managed production URL</w:t>
            </w:r>
          </w:p>
        </w:tc>
        <w:tc>
          <w:tcPr/>
          <w:p>
            <w:pPr>
              <w:pStyle w:val="Compact"/>
              <w:jc w:val="left"/>
            </w:pPr>
            <w:r>
              <w:t xml:space="preserve">Live</w:t>
            </w:r>
          </w:p>
        </w:tc>
      </w:tr>
    </w:tbl>
    <w:p>
      <w:pPr>
        <w:pStyle w:val="BodyText"/>
      </w:pPr>
      <w:r>
        <w:rPr>
          <w:bCs/>
          <w:b/>
        </w:rPr>
        <w:t xml:space="preserve">Bottom line:</w:t>
      </w:r>
      <w:r>
        <w:t xml:space="preserve"> </w:t>
      </w:r>
      <w:r>
        <w:t xml:space="preserve">we have a working, tested tender platform (28/28 P2 tests + 42/42 P1 tests pass) that could take live tenders tomorrow.</w:t>
      </w:r>
    </w:p>
    <w:p>
      <w:r>
        <w:pict>
          <v:rect style="width:0;height:1.5pt" o:hralign="center" o:hrstd="t" o:hr="t"/>
        </w:pict>
      </w:r>
    </w:p>
    <w:bookmarkEnd w:id="21"/>
    <w:bookmarkStart w:id="24" w:name="the-new-scope-decoded"/>
    <w:p>
      <w:pPr>
        <w:pStyle w:val="Heading2"/>
      </w:pPr>
      <w:r>
        <w:t xml:space="preserve">3. The New Scope, Decoded</w:t>
      </w:r>
    </w:p>
    <w:bookmarkStart w:id="22" w:name="document-1-transaction-structure-report"/>
    <w:p>
      <w:pPr>
        <w:pStyle w:val="Heading3"/>
      </w:pPr>
      <w:r>
        <w:t xml:space="preserve">3.1 Document 1 — Transaction Structure Report</w:t>
      </w:r>
    </w:p>
    <w:p>
      <w:pPr>
        <w:pStyle w:val="FirstParagraph"/>
      </w:pPr>
      <w:r>
        <w:t xml:space="preserve">This is a</w:t>
      </w:r>
      <w:r>
        <w:t xml:space="preserve"> </w:t>
      </w:r>
      <w:r>
        <w:rPr>
          <w:bCs/>
          <w:b/>
        </w:rPr>
        <w:t xml:space="preserve">commercial and legal framework</w:t>
      </w:r>
      <w:r>
        <w:t xml:space="preserve">, not a build spec. It says:</w:t>
      </w:r>
    </w:p>
    <w:p>
      <w:pPr>
        <w:numPr>
          <w:ilvl w:val="0"/>
          <w:numId w:val="1002"/>
        </w:numPr>
        <w:pStyle w:val="Compact"/>
      </w:pPr>
      <w:r>
        <w:rPr>
          <w:bCs/>
          <w:b/>
        </w:rPr>
        <w:t xml:space="preserve">Money splits into two categories:</w:t>
      </w:r>
    </w:p>
    <w:p>
      <w:pPr>
        <w:numPr>
          <w:ilvl w:val="1"/>
          <w:numId w:val="1003"/>
        </w:numPr>
        <w:pStyle w:val="Compact"/>
      </w:pPr>
      <w:r>
        <w:rPr>
          <w:bCs/>
          <w:b/>
        </w:rPr>
        <w:t xml:space="preserve">Category A — PMC Revenue</w:t>
      </w:r>
      <w:r>
        <w:t xml:space="preserve"> </w:t>
      </w:r>
      <w:r>
        <w:t xml:space="preserve">(fees for services PMC performs). PMC keeps this.</w:t>
      </w:r>
    </w:p>
    <w:p>
      <w:pPr>
        <w:numPr>
          <w:ilvl w:val="1"/>
          <w:numId w:val="1003"/>
        </w:numPr>
        <w:pStyle w:val="Compact"/>
      </w:pPr>
      <w:r>
        <w:rPr>
          <w:bCs/>
          <w:b/>
        </w:rPr>
        <w:t xml:space="preserve">Category B — Stewarded Funds</w:t>
      </w:r>
      <w:r>
        <w:t xml:space="preserve"> </w:t>
      </w:r>
      <w:r>
        <w:t xml:space="preserve">(EMD, performance bonds, retention, drawdowns). PMC never holds this — it instructs and reconciles only.</w:t>
      </w:r>
    </w:p>
    <w:p>
      <w:pPr>
        <w:numPr>
          <w:ilvl w:val="0"/>
          <w:numId w:val="1002"/>
        </w:numPr>
        <w:pStyle w:val="Compact"/>
      </w:pPr>
      <w:r>
        <w:rPr>
          <w:bCs/>
          <w:b/>
        </w:rPr>
        <w:t xml:space="preserve">Four money pipes</w:t>
      </w:r>
      <w:r>
        <w:t xml:space="preserve">, each with a different holder:</w:t>
      </w:r>
    </w:p>
    <w:p>
      <w:pPr>
        <w:numPr>
          <w:ilvl w:val="1"/>
          <w:numId w:val="1004"/>
        </w:numPr>
        <w:pStyle w:val="Compact"/>
      </w:pPr>
      <w:r>
        <w:t xml:space="preserve">PMC fees → PMC’s operating accounts via commercial gateway</w:t>
      </w:r>
    </w:p>
    <w:p>
      <w:pPr>
        <w:numPr>
          <w:ilvl w:val="1"/>
          <w:numId w:val="1004"/>
        </w:numPr>
        <w:pStyle w:val="Compact"/>
      </w:pPr>
      <w:r>
        <w:t xml:space="preserve">Bid security (EMD) → regulated escrow agent</w:t>
      </w:r>
    </w:p>
    <w:p>
      <w:pPr>
        <w:numPr>
          <w:ilvl w:val="1"/>
          <w:numId w:val="1004"/>
        </w:numPr>
        <w:pStyle w:val="Compact"/>
      </w:pPr>
      <w:r>
        <w:t xml:space="preserve">Performance guarantees + retention → guarantee bank</w:t>
      </w:r>
    </w:p>
    <w:p>
      <w:pPr>
        <w:numPr>
          <w:ilvl w:val="1"/>
          <w:numId w:val="1004"/>
        </w:numPr>
        <w:pStyle w:val="Compact"/>
      </w:pPr>
      <w:r>
        <w:t xml:space="preserve">Construction drawdowns → bond trustee / paying agent</w:t>
      </w:r>
    </w:p>
    <w:p>
      <w:pPr>
        <w:numPr>
          <w:ilvl w:val="0"/>
          <w:numId w:val="1002"/>
        </w:numPr>
        <w:pStyle w:val="Compact"/>
      </w:pPr>
      <w:r>
        <w:rPr>
          <w:bCs/>
          <w:b/>
        </w:rPr>
        <w:t xml:space="preserve">Ten roles to appoint</w:t>
      </w:r>
      <w:r>
        <w:t xml:space="preserve"> </w:t>
      </w:r>
      <w:r>
        <w:t xml:space="preserve">externally: Escrow Agent, Guarantee Bank, Bond Trustee, Security Agent, Paying Agent, Independent Certifier, Account Bank, Payment Gateway, Legal Counsel, KYC/Screening Provider.</w:t>
      </w:r>
    </w:p>
    <w:p>
      <w:pPr>
        <w:numPr>
          <w:ilvl w:val="0"/>
          <w:numId w:val="1002"/>
        </w:numPr>
        <w:pStyle w:val="Compact"/>
      </w:pPr>
      <w:r>
        <w:rPr>
          <w:bCs/>
          <w:b/>
        </w:rPr>
        <w:t xml:space="preserve">Six controls to build in</w:t>
      </w:r>
      <w:r>
        <w:t xml:space="preserve">: segregation, account-control agreements, certified-instruction workflow, float-interest disclosure, immutable audit trail, related-party register.</w:t>
      </w:r>
    </w:p>
    <w:p>
      <w:pPr>
        <w:numPr>
          <w:ilvl w:val="0"/>
          <w:numId w:val="1002"/>
        </w:numPr>
        <w:pStyle w:val="Compact"/>
      </w:pPr>
      <w:r>
        <w:rPr>
          <w:bCs/>
          <w:b/>
        </w:rPr>
        <w:t xml:space="preserve">Six open legal questions</w:t>
      </w:r>
      <w:r>
        <w:t xml:space="preserve"> </w:t>
      </w:r>
      <w:r>
        <w:t xml:space="preserve">blocking activation of the corresponding money flows.</w:t>
      </w:r>
    </w:p>
    <w:p>
      <w:pPr>
        <w:pStyle w:val="FirstParagraph"/>
      </w:pPr>
      <w:r>
        <w:rPr>
          <w:bCs/>
          <w:b/>
        </w:rPr>
        <w:t xml:space="preserve">Implication for us:</w:t>
      </w:r>
      <w:r>
        <w:t xml:space="preserve"> </w:t>
      </w:r>
      <w:r>
        <w:t xml:space="preserve">This is largely</w:t>
      </w:r>
      <w:r>
        <w:t xml:space="preserve"> </w:t>
      </w:r>
      <w:r>
        <w:rPr>
          <w:bCs/>
          <w:b/>
        </w:rPr>
        <w:t xml:space="preserve">legal &amp; organisational work outside the platform</w:t>
      </w:r>
      <w:r>
        <w:t xml:space="preserve">, but it imposes concrete technical requirements — most notably a</w:t>
      </w:r>
      <w:r>
        <w:t xml:space="preserve"> </w:t>
      </w:r>
      <w:r>
        <w:rPr>
          <w:bCs/>
          <w:b/>
        </w:rPr>
        <w:t xml:space="preserve">certified-instruction workflow</w:t>
      </w:r>
      <w:r>
        <w:t xml:space="preserve"> </w:t>
      </w:r>
      <w:r>
        <w:t xml:space="preserve">and</w:t>
      </w:r>
      <w:r>
        <w:t xml:space="preserve"> </w:t>
      </w:r>
      <w:r>
        <w:rPr>
          <w:bCs/>
          <w:b/>
        </w:rPr>
        <w:t xml:space="preserve">immutable ledger</w:t>
      </w:r>
      <w:r>
        <w:t xml:space="preserve"> </w:t>
      </w:r>
      <w:r>
        <w:t xml:space="preserve">that must interface with regulated third parties.</w:t>
      </w:r>
    </w:p>
    <w:bookmarkEnd w:id="22"/>
    <w:bookmarkStart w:id="23" w:name="document-2-build-sheet-v2-aws"/>
    <w:p>
      <w:pPr>
        <w:pStyle w:val="Heading3"/>
      </w:pPr>
      <w:r>
        <w:t xml:space="preserve">3.2 Document 2 — Build Sheet v2 AWS</w:t>
      </w:r>
    </w:p>
    <w:p>
      <w:pPr>
        <w:pStyle w:val="FirstParagraph"/>
      </w:pPr>
      <w:r>
        <w:t xml:space="preserve">This is a</w:t>
      </w:r>
      <w:r>
        <w:t xml:space="preserve"> </w:t>
      </w:r>
      <w:r>
        <w:rPr>
          <w:bCs/>
          <w:b/>
        </w:rPr>
        <w:t xml:space="preserve">complete technical re-architecture</w:t>
      </w:r>
      <w:r>
        <w:t xml:space="preserve">. It says:</w:t>
      </w:r>
    </w:p>
    <w:p>
      <w:pPr>
        <w:numPr>
          <w:ilvl w:val="0"/>
          <w:numId w:val="1005"/>
        </w:numPr>
        <w:pStyle w:val="Compact"/>
      </w:pPr>
      <w:r>
        <w:rPr>
          <w:bCs/>
          <w:b/>
        </w:rPr>
        <w:t xml:space="preserve">Move off Emergent’s managed stack</w:t>
      </w:r>
      <w:r>
        <w:t xml:space="preserve"> </w:t>
      </w:r>
      <w:r>
        <w:t xml:space="preserve">to AWS-native: RDS PostgreSQL 16 Multi-AZ · S3 with Object Lock (Compliance Mode, 7-year retention) · Cognito · ECS Fargate · SES · CloudWatch · Terraform IaC.</w:t>
      </w:r>
    </w:p>
    <w:p>
      <w:pPr>
        <w:numPr>
          <w:ilvl w:val="0"/>
          <w:numId w:val="1005"/>
        </w:numPr>
        <w:pStyle w:val="Compact"/>
      </w:pPr>
      <w:r>
        <w:rPr>
          <w:bCs/>
          <w:b/>
        </w:rPr>
        <w:t xml:space="preserve">Split the platform into FOUR separate applications</w:t>
      </w:r>
      <w:r>
        <w:t xml:space="preserve">:</w:t>
      </w:r>
    </w:p>
    <w:p>
      <w:pPr>
        <w:numPr>
          <w:ilvl w:val="1"/>
          <w:numId w:val="1006"/>
        </w:numPr>
        <w:pStyle w:val="Compact"/>
      </w:pPr>
      <w:r>
        <w:rPr>
          <w:bCs/>
          <w:b/>
        </w:rPr>
        <w:t xml:space="preserve">App 1 — Milestone Evidence Capture</w:t>
      </w:r>
      <w:r>
        <w:t xml:space="preserve"> </w:t>
      </w:r>
      <w:r>
        <w:t xml:space="preserve">(React Native mobile, offline-first with SQLite, GPS-stamped, witness-signed, WORM evidence).</w:t>
      </w:r>
    </w:p>
    <w:p>
      <w:pPr>
        <w:numPr>
          <w:ilvl w:val="1"/>
          <w:numId w:val="1006"/>
        </w:numPr>
        <w:pStyle w:val="Compact"/>
      </w:pPr>
      <w:r>
        <w:rPr>
          <w:bCs/>
          <w:b/>
        </w:rPr>
        <w:t xml:space="preserve">App 2 — Package Tracker</w:t>
      </w:r>
      <w:r>
        <w:t xml:space="preserve"> </w:t>
      </w:r>
      <w:r>
        <w:t xml:space="preserve">(internal, Retool, admin/site_lead only).</w:t>
      </w:r>
    </w:p>
    <w:p>
      <w:pPr>
        <w:numPr>
          <w:ilvl w:val="1"/>
          <w:numId w:val="1006"/>
        </w:numPr>
        <w:pStyle w:val="Compact"/>
      </w:pPr>
      <w:r>
        <w:rPr>
          <w:bCs/>
          <w:b/>
        </w:rPr>
        <w:t xml:space="preserve">App 3 — Pre-Tender Registration Portal</w:t>
      </w:r>
      <w:r>
        <w:t xml:space="preserve"> </w:t>
      </w:r>
      <w:r>
        <w:t xml:space="preserve">(React web, magic-link resume, EN/RU/KK).</w:t>
      </w:r>
    </w:p>
    <w:p>
      <w:pPr>
        <w:numPr>
          <w:ilvl w:val="1"/>
          <w:numId w:val="1006"/>
        </w:numPr>
        <w:pStyle w:val="Compact"/>
      </w:pPr>
      <w:r>
        <w:rPr>
          <w:bCs/>
          <w:b/>
        </w:rPr>
        <w:t xml:space="preserve">App 4 — Public Tender Notice Board</w:t>
      </w:r>
      <w:r>
        <w:t xml:space="preserve"> </w:t>
      </w:r>
      <w:r>
        <w:t xml:space="preserve">(Next.js SSR, SEO-optimised, no login).</w:t>
      </w:r>
    </w:p>
    <w:p>
      <w:pPr>
        <w:numPr>
          <w:ilvl w:val="0"/>
          <w:numId w:val="1005"/>
        </w:numPr>
        <w:pStyle w:val="Compact"/>
      </w:pPr>
      <w:r>
        <w:rPr>
          <w:bCs/>
          <w:b/>
        </w:rPr>
        <w:t xml:space="preserve">One central FastAPI + SQLAlchemy API</w:t>
      </w:r>
      <w:r>
        <w:t xml:space="preserve"> </w:t>
      </w:r>
      <w:r>
        <w:t xml:space="preserve">on Fargate — apps never touch the database directly.</w:t>
      </w:r>
    </w:p>
    <w:p>
      <w:pPr>
        <w:numPr>
          <w:ilvl w:val="0"/>
          <w:numId w:val="1005"/>
        </w:numPr>
        <w:pStyle w:val="Compact"/>
      </w:pPr>
      <w:r>
        <w:rPr>
          <w:bCs/>
          <w:b/>
        </w:rPr>
        <w:t xml:space="preserve">Multi-tenancy via PostgreSQL RLS</w:t>
      </w:r>
      <w:r>
        <w:t xml:space="preserve"> </w:t>
      </w:r>
      <w:r>
        <w:t xml:space="preserve">driven by session variables from Cognito claims.</w:t>
      </w:r>
    </w:p>
    <w:p>
      <w:pPr>
        <w:numPr>
          <w:ilvl w:val="0"/>
          <w:numId w:val="1005"/>
        </w:numPr>
        <w:pStyle w:val="Compact"/>
      </w:pPr>
      <w:r>
        <w:rPr>
          <w:bCs/>
          <w:b/>
        </w:rPr>
        <w:t xml:space="preserve">Explicit OUT-OF-SCOPE clause</w:t>
      </w:r>
      <w:r>
        <w:t xml:space="preserve">:</w:t>
      </w:r>
      <w:r>
        <w:t xml:space="preserve"> </w:t>
      </w:r>
      <w:r>
        <w:t xml:space="preserve">“</w:t>
      </w:r>
      <w:r>
        <w:t xml:space="preserve">never implement — encryption, key management,</w:t>
      </w:r>
      <w:r>
        <w:t xml:space="preserve"> </w:t>
      </w:r>
      <w:r>
        <w:rPr>
          <w:bCs/>
          <w:b/>
        </w:rPr>
        <w:t xml:space="preserve">bid submission, bid opening, evaluation scoring, contract award, payment processing</w:t>
      </w:r>
      <w:r>
        <w:t xml:space="preserve">.</w:t>
      </w:r>
      <w:r>
        <w:t xml:space="preserve">”</w:t>
      </w:r>
    </w:p>
    <w:p>
      <w:pPr>
        <w:pStyle w:val="FirstParagraph"/>
      </w:pPr>
      <w:r>
        <w:rPr>
          <w:bCs/>
          <w:b/>
        </w:rPr>
        <w:t xml:space="preserve">Implication for us:</w:t>
      </w:r>
      <w:r>
        <w:t xml:space="preserve"> </w:t>
      </w:r>
      <w:r>
        <w:t xml:space="preserve">The document deliberately</w:t>
      </w:r>
      <w:r>
        <w:t xml:space="preserve"> </w:t>
      </w:r>
      <w:r>
        <w:rPr>
          <w:bCs/>
          <w:b/>
        </w:rPr>
        <w:t xml:space="preserve">omits most of what we already built</w:t>
      </w:r>
      <w:r>
        <w:t xml:space="preserve"> </w:t>
      </w:r>
      <w:r>
        <w:t xml:space="preserve">and replaces it with</w:t>
      </w:r>
      <w:r>
        <w:t xml:space="preserve"> </w:t>
      </w:r>
      <w:r>
        <w:rPr>
          <w:bCs/>
          <w:b/>
        </w:rPr>
        <w:t xml:space="preserve">a milestone-evidence and public-notice-board focus</w:t>
      </w:r>
      <w:r>
        <w:t xml:space="preserve">. Bidding, evaluation and payment are explicitly excluded from this build phase.</w:t>
      </w:r>
    </w:p>
    <w:p>
      <w:r>
        <w:pict>
          <v:rect style="width:0;height:1.5pt" o:hralign="center" o:hrstd="t" o:hr="t"/>
        </w:pict>
      </w:r>
    </w:p>
    <w:bookmarkEnd w:id="23"/>
    <w:bookmarkEnd w:id="24"/>
    <w:bookmarkStart w:id="25" w:name="gap-analysis-point-by-point-comparison"/>
    <w:p>
      <w:pPr>
        <w:pStyle w:val="Heading2"/>
      </w:pPr>
      <w:r>
        <w:t xml:space="preserve">4. Gap Analysis — Point-by-Point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Current (v2.0, delivered)</w:t>
            </w:r>
          </w:p>
        </w:tc>
        <w:tc>
          <w:tcPr/>
          <w:p>
            <w:pPr>
              <w:pStyle w:val="Compact"/>
              <w:jc w:val="left"/>
            </w:pPr>
            <w:r>
              <w:t xml:space="preserve">New Scope (Doc 1 + Doc 2)</w:t>
            </w:r>
          </w:p>
        </w:tc>
        <w:tc>
          <w:tcPr/>
          <w:p>
            <w:pPr>
              <w:pStyle w:val="Compact"/>
              <w:jc w:val="left"/>
            </w:pPr>
            <w:r>
              <w:t xml:space="preserve">Gap Type</w:t>
            </w:r>
          </w:p>
        </w:tc>
        <w:tc>
          <w:tcPr/>
          <w:p>
            <w:pPr>
              <w:pStyle w:val="Compact"/>
              <w:jc w:val="left"/>
            </w:pPr>
            <w:r>
              <w:t xml:space="preserve">Impact</w:t>
            </w:r>
          </w:p>
        </w:tc>
      </w:tr>
      <w:tr>
        <w:tc>
          <w:tcPr/>
          <w:p>
            <w:pPr>
              <w:pStyle w:val="Compact"/>
              <w:jc w:val="left"/>
            </w:pPr>
            <w:r>
              <w:t xml:space="preserve">1</w:t>
            </w:r>
          </w:p>
        </w:tc>
        <w:tc>
          <w:tcPr/>
          <w:p>
            <w:pPr>
              <w:pStyle w:val="Compact"/>
              <w:jc w:val="left"/>
            </w:pPr>
            <w:r>
              <w:rPr>
                <w:bCs/>
                <w:b/>
              </w:rPr>
              <w:t xml:space="preserve">Cloud platform</w:t>
            </w:r>
          </w:p>
        </w:tc>
        <w:tc>
          <w:tcPr/>
          <w:p>
            <w:pPr>
              <w:pStyle w:val="Compact"/>
              <w:jc w:val="left"/>
            </w:pPr>
            <w:r>
              <w:t xml:space="preserve">Emergent-managed (opinionated PaaS)</w:t>
            </w:r>
          </w:p>
        </w:tc>
        <w:tc>
          <w:tcPr/>
          <w:p>
            <w:pPr>
              <w:pStyle w:val="Compact"/>
              <w:jc w:val="left"/>
            </w:pPr>
            <w:r>
              <w:t xml:space="preserve">AWS-native (RDS · S3 · Cognito · Fargate · Terraform)</w:t>
            </w:r>
          </w:p>
        </w:tc>
        <w:tc>
          <w:tcPr/>
          <w:p>
            <w:pPr>
              <w:pStyle w:val="Compact"/>
              <w:jc w:val="left"/>
            </w:pPr>
            <w:r>
              <w:rPr>
                <w:bCs/>
                <w:b/>
              </w:rPr>
              <w:t xml:space="preserve">Replacement</w:t>
            </w:r>
          </w:p>
        </w:tc>
        <w:tc>
          <w:tcPr/>
          <w:p>
            <w:pPr>
              <w:pStyle w:val="Compact"/>
              <w:jc w:val="left"/>
            </w:pPr>
            <w:r>
              <w:t xml:space="preserve">HIGH — full re-platform</w:t>
            </w:r>
          </w:p>
        </w:tc>
      </w:tr>
      <w:tr>
        <w:tc>
          <w:tcPr/>
          <w:p>
            <w:pPr>
              <w:pStyle w:val="Compact"/>
              <w:jc w:val="left"/>
            </w:pPr>
            <w:r>
              <w:t xml:space="preserve">2</w:t>
            </w:r>
          </w:p>
        </w:tc>
        <w:tc>
          <w:tcPr/>
          <w:p>
            <w:pPr>
              <w:pStyle w:val="Compact"/>
              <w:jc w:val="left"/>
            </w:pPr>
            <w:r>
              <w:rPr>
                <w:bCs/>
                <w:b/>
              </w:rPr>
              <w:t xml:space="preserve">Database</w:t>
            </w:r>
          </w:p>
        </w:tc>
        <w:tc>
          <w:tcPr/>
          <w:p>
            <w:pPr>
              <w:pStyle w:val="Compact"/>
              <w:jc w:val="left"/>
            </w:pPr>
            <w:r>
              <w:t xml:space="preserve">MongoDB (document, single-tenant)</w:t>
            </w:r>
          </w:p>
        </w:tc>
        <w:tc>
          <w:tcPr/>
          <w:p>
            <w:pPr>
              <w:pStyle w:val="Compact"/>
              <w:jc w:val="left"/>
            </w:pPr>
            <w:r>
              <w:t xml:space="preserve">PostgreSQL 16 Multi-AZ with RLS multi-tenancy</w:t>
            </w:r>
          </w:p>
        </w:tc>
        <w:tc>
          <w:tcPr/>
          <w:p>
            <w:pPr>
              <w:pStyle w:val="Compact"/>
              <w:jc w:val="left"/>
            </w:pPr>
            <w:r>
              <w:rPr>
                <w:bCs/>
                <w:b/>
              </w:rPr>
              <w:t xml:space="preserve">Replacement</w:t>
            </w:r>
          </w:p>
        </w:tc>
        <w:tc>
          <w:tcPr/>
          <w:p>
            <w:pPr>
              <w:pStyle w:val="Compact"/>
              <w:jc w:val="left"/>
            </w:pPr>
            <w:r>
              <w:t xml:space="preserve">HIGH — schema + query rewrite</w:t>
            </w:r>
          </w:p>
        </w:tc>
      </w:tr>
      <w:tr>
        <w:tc>
          <w:tcPr/>
          <w:p>
            <w:pPr>
              <w:pStyle w:val="Compact"/>
              <w:jc w:val="left"/>
            </w:pPr>
            <w:r>
              <w:t xml:space="preserve">3</w:t>
            </w:r>
          </w:p>
        </w:tc>
        <w:tc>
          <w:tcPr/>
          <w:p>
            <w:pPr>
              <w:pStyle w:val="Compact"/>
              <w:jc w:val="left"/>
            </w:pPr>
            <w:r>
              <w:rPr>
                <w:bCs/>
                <w:b/>
              </w:rPr>
              <w:t xml:space="preserve">Auth</w:t>
            </w:r>
          </w:p>
        </w:tc>
        <w:tc>
          <w:tcPr/>
          <w:p>
            <w:pPr>
              <w:pStyle w:val="Compact"/>
              <w:jc w:val="left"/>
            </w:pPr>
            <w:r>
              <w:t xml:space="preserve">JWT + Emergent Google OAuth</w:t>
            </w:r>
          </w:p>
        </w:tc>
        <w:tc>
          <w:tcPr/>
          <w:p>
            <w:pPr>
              <w:pStyle w:val="Compact"/>
              <w:jc w:val="left"/>
            </w:pPr>
            <w:r>
              <w:t xml:space="preserve">AWS Cognito with hosted UI + MFA optional / admin mandatory</w:t>
            </w:r>
          </w:p>
        </w:tc>
        <w:tc>
          <w:tcPr/>
          <w:p>
            <w:pPr>
              <w:pStyle w:val="Compact"/>
              <w:jc w:val="left"/>
            </w:pPr>
            <w:r>
              <w:rPr>
                <w:bCs/>
                <w:b/>
              </w:rPr>
              <w:t xml:space="preserve">Replacement</w:t>
            </w:r>
          </w:p>
        </w:tc>
        <w:tc>
          <w:tcPr/>
          <w:p>
            <w:pPr>
              <w:pStyle w:val="Compact"/>
              <w:jc w:val="left"/>
            </w:pPr>
            <w:r>
              <w:t xml:space="preserve">MEDIUM — user &amp; session migration</w:t>
            </w:r>
          </w:p>
        </w:tc>
      </w:tr>
      <w:tr>
        <w:tc>
          <w:tcPr/>
          <w:p>
            <w:pPr>
              <w:pStyle w:val="Compact"/>
              <w:jc w:val="left"/>
            </w:pPr>
            <w:r>
              <w:t xml:space="preserve">4</w:t>
            </w:r>
          </w:p>
        </w:tc>
        <w:tc>
          <w:tcPr/>
          <w:p>
            <w:pPr>
              <w:pStyle w:val="Compact"/>
              <w:jc w:val="left"/>
            </w:pPr>
            <w:r>
              <w:rPr>
                <w:bCs/>
                <w:b/>
              </w:rPr>
              <w:t xml:space="preserve">Tenancy model</w:t>
            </w:r>
          </w:p>
        </w:tc>
        <w:tc>
          <w:tcPr/>
          <w:p>
            <w:pPr>
              <w:pStyle w:val="Compact"/>
              <w:jc w:val="left"/>
            </w:pPr>
            <w:r>
              <w:t xml:space="preserve">Single-tenant (implicit)</w:t>
            </w:r>
          </w:p>
        </w:tc>
        <w:tc>
          <w:tcPr/>
          <w:p>
            <w:pPr>
              <w:pStyle w:val="Compact"/>
              <w:jc w:val="left"/>
            </w:pPr>
            <w:r>
              <w:t xml:space="preserve">Multi-tenant via</w:t>
            </w:r>
            <w:r>
              <w:t xml:space="preserve"> </w:t>
            </w:r>
            <w:r>
              <w:rPr>
                <w:rStyle w:val="VerbatimChar"/>
              </w:rPr>
              <w:t xml:space="preserve">tenant_id</w:t>
            </w:r>
            <w:r>
              <w:t xml:space="preserve"> </w:t>
            </w:r>
            <w:r>
              <w:t xml:space="preserve">from Cognito, enforced by RLS</w:t>
            </w:r>
            <w:r>
              <w:t xml:space="preserve"> </w:t>
            </w:r>
            <w:r>
              <w:rPr>
                <w:rStyle w:val="VerbatimChar"/>
              </w:rPr>
              <w:t xml:space="preserve">force row level security</w:t>
            </w:r>
          </w:p>
        </w:tc>
        <w:tc>
          <w:tcPr/>
          <w:p>
            <w:pPr>
              <w:pStyle w:val="Compact"/>
              <w:jc w:val="left"/>
            </w:pPr>
            <w:r>
              <w:rPr>
                <w:bCs/>
                <w:b/>
              </w:rPr>
              <w:t xml:space="preserve">Addition</w:t>
            </w:r>
          </w:p>
        </w:tc>
        <w:tc>
          <w:tcPr/>
          <w:p>
            <w:pPr>
              <w:pStyle w:val="Compact"/>
              <w:jc w:val="left"/>
            </w:pPr>
            <w:r>
              <w:t xml:space="preserve">HIGH — data model change</w:t>
            </w:r>
          </w:p>
        </w:tc>
      </w:tr>
      <w:tr>
        <w:tc>
          <w:tcPr/>
          <w:p>
            <w:pPr>
              <w:pStyle w:val="Compact"/>
              <w:jc w:val="left"/>
            </w:pPr>
            <w:r>
              <w:t xml:space="preserve">5</w:t>
            </w:r>
          </w:p>
        </w:tc>
        <w:tc>
          <w:tcPr/>
          <w:p>
            <w:pPr>
              <w:pStyle w:val="Compact"/>
              <w:jc w:val="left"/>
            </w:pPr>
            <w:r>
              <w:rPr>
                <w:bCs/>
                <w:b/>
              </w:rPr>
              <w:t xml:space="preserve">File storage</w:t>
            </w:r>
          </w:p>
        </w:tc>
        <w:tc>
          <w:tcPr/>
          <w:p>
            <w:pPr>
              <w:pStyle w:val="Compact"/>
              <w:jc w:val="left"/>
            </w:pPr>
            <w:r>
              <w:t xml:space="preserve">MongoDB blob attachments + Emergent object store</w:t>
            </w:r>
          </w:p>
        </w:tc>
        <w:tc>
          <w:tcPr/>
          <w:p>
            <w:pPr>
              <w:pStyle w:val="Compact"/>
              <w:jc w:val="left"/>
            </w:pPr>
            <w:r>
              <w:t xml:space="preserve">S3 with SSE-KMS + Object Lock (Compliance Mode, 7-year, WORM) —</w:t>
            </w:r>
            <w:r>
              <w:t xml:space="preserve"> </w:t>
            </w:r>
            <w:r>
              <w:rPr>
                <w:bCs/>
                <w:b/>
              </w:rPr>
              <w:t xml:space="preserve">irreversible on day one</w:t>
            </w:r>
          </w:p>
        </w:tc>
        <w:tc>
          <w:tcPr/>
          <w:p>
            <w:pPr>
              <w:pStyle w:val="Compact"/>
              <w:jc w:val="left"/>
            </w:pPr>
            <w:r>
              <w:rPr>
                <w:bCs/>
                <w:b/>
              </w:rPr>
              <w:t xml:space="preserve">Replacement + Upgrade</w:t>
            </w:r>
          </w:p>
        </w:tc>
        <w:tc>
          <w:tcPr/>
          <w:p>
            <w:pPr>
              <w:pStyle w:val="Compact"/>
              <w:jc w:val="left"/>
            </w:pPr>
            <w:r>
              <w:t xml:space="preserve">HIGH — evidence chain-of-custody</w:t>
            </w:r>
          </w:p>
        </w:tc>
      </w:tr>
      <w:tr>
        <w:tc>
          <w:tcPr/>
          <w:p>
            <w:pPr>
              <w:pStyle w:val="Compact"/>
              <w:jc w:val="left"/>
            </w:pPr>
            <w:r>
              <w:t xml:space="preserve">6</w:t>
            </w:r>
          </w:p>
        </w:tc>
        <w:tc>
          <w:tcPr/>
          <w:p>
            <w:pPr>
              <w:pStyle w:val="Compact"/>
              <w:jc w:val="left"/>
            </w:pPr>
            <w:r>
              <w:rPr>
                <w:bCs/>
                <w:b/>
              </w:rPr>
              <w:t xml:space="preserve">Tender lifecycle (draft → open → award)</w:t>
            </w:r>
          </w:p>
        </w:tc>
        <w:tc>
          <w:tcPr/>
          <w:p>
            <w:pPr>
              <w:pStyle w:val="Compact"/>
              <w:jc w:val="left"/>
            </w:pPr>
            <w:r>
              <w:t xml:space="preserve">Full lifecycle implemented</w:t>
            </w:r>
          </w:p>
        </w:tc>
        <w:tc>
          <w:tcPr/>
          <w:p>
            <w:pPr>
              <w:pStyle w:val="Compact"/>
              <w:jc w:val="left"/>
            </w:pPr>
            <w:r>
              <w:rPr>
                <w:bCs/>
                <w:b/>
              </w:rPr>
              <w:t xml:space="preserve">Out of scope</w:t>
            </w:r>
            <w:r>
              <w:t xml:space="preserve"> </w:t>
            </w:r>
            <w:r>
              <w:t xml:space="preserve">per new build sheet Part 5</w:t>
            </w:r>
          </w:p>
        </w:tc>
        <w:tc>
          <w:tcPr/>
          <w:p>
            <w:pPr>
              <w:pStyle w:val="Compact"/>
              <w:jc w:val="left"/>
            </w:pPr>
            <w:r>
              <w:rPr>
                <w:bCs/>
                <w:b/>
              </w:rPr>
              <w:t xml:space="preserve">Removal from Phase 1</w:t>
            </w:r>
          </w:p>
        </w:tc>
        <w:tc>
          <w:tcPr/>
          <w:p>
            <w:pPr>
              <w:pStyle w:val="Compact"/>
              <w:jc w:val="left"/>
            </w:pPr>
            <w:r>
              <w:t xml:space="preserve">CRITICAL — clarify with client</w:t>
            </w:r>
          </w:p>
        </w:tc>
      </w:tr>
      <w:tr>
        <w:tc>
          <w:tcPr/>
          <w:p>
            <w:pPr>
              <w:pStyle w:val="Compact"/>
              <w:jc w:val="left"/>
            </w:pPr>
            <w:r>
              <w:t xml:space="preserve">7</w:t>
            </w:r>
          </w:p>
        </w:tc>
        <w:tc>
          <w:tcPr/>
          <w:p>
            <w:pPr>
              <w:pStyle w:val="Compact"/>
              <w:jc w:val="left"/>
            </w:pPr>
            <w:r>
              <w:rPr>
                <w:bCs/>
                <w:b/>
              </w:rPr>
              <w:t xml:space="preserve">Bidding, evaluation, scoring</w:t>
            </w:r>
          </w:p>
        </w:tc>
        <w:tc>
          <w:tcPr/>
          <w:p>
            <w:pPr>
              <w:pStyle w:val="Compact"/>
              <w:jc w:val="left"/>
            </w:pPr>
            <w:r>
              <w:t xml:space="preserve">Full RFP/RFQ bidding, weighted scoring, comparison, award</w:t>
            </w:r>
          </w:p>
        </w:tc>
        <w:tc>
          <w:tcPr/>
          <w:p>
            <w:pPr>
              <w:pStyle w:val="Compact"/>
              <w:jc w:val="left"/>
            </w:pPr>
            <w:r>
              <w:rPr>
                <w:bCs/>
                <w:b/>
              </w:rPr>
              <w:t xml:space="preserve">“</w:t>
            </w:r>
            <w:r>
              <w:rPr>
                <w:bCs/>
                <w:b/>
              </w:rPr>
              <w:t xml:space="preserve">Never implement</w:t>
            </w:r>
            <w:r>
              <w:rPr>
                <w:bCs/>
                <w:b/>
              </w:rPr>
              <w:t xml:space="preserve">”</w:t>
            </w:r>
            <w:r>
              <w:t xml:space="preserve"> </w:t>
            </w:r>
            <w:r>
              <w:t xml:space="preserve">in the new phase</w:t>
            </w:r>
          </w:p>
        </w:tc>
        <w:tc>
          <w:tcPr/>
          <w:p>
            <w:pPr>
              <w:pStyle w:val="Compact"/>
              <w:jc w:val="left"/>
            </w:pPr>
            <w:r>
              <w:rPr>
                <w:bCs/>
                <w:b/>
              </w:rPr>
              <w:t xml:space="preserve">Removal from Phase 1</w:t>
            </w:r>
          </w:p>
        </w:tc>
        <w:tc>
          <w:tcPr/>
          <w:p>
            <w:pPr>
              <w:pStyle w:val="Compact"/>
              <w:jc w:val="left"/>
            </w:pPr>
            <w:r>
              <w:t xml:space="preserve">CRITICAL — clarify with client</w:t>
            </w:r>
          </w:p>
        </w:tc>
      </w:tr>
      <w:tr>
        <w:tc>
          <w:tcPr/>
          <w:p>
            <w:pPr>
              <w:pStyle w:val="Compact"/>
              <w:jc w:val="left"/>
            </w:pPr>
            <w:r>
              <w:t xml:space="preserve">8</w:t>
            </w:r>
          </w:p>
        </w:tc>
        <w:tc>
          <w:tcPr/>
          <w:p>
            <w:pPr>
              <w:pStyle w:val="Compact"/>
              <w:jc w:val="left"/>
            </w:pPr>
            <w:r>
              <w:rPr>
                <w:bCs/>
                <w:b/>
              </w:rPr>
              <w:t xml:space="preserve">Two-envelope sealed bidding</w:t>
            </w:r>
          </w:p>
        </w:tc>
        <w:tc>
          <w:tcPr/>
          <w:p>
            <w:pPr>
              <w:pStyle w:val="Compact"/>
              <w:jc w:val="left"/>
            </w:pPr>
            <w:r>
              <w:t xml:space="preserve">Delivered</w:t>
            </w:r>
          </w:p>
        </w:tc>
        <w:tc>
          <w:tcPr/>
          <w:p>
            <w:pPr>
              <w:pStyle w:val="Compact"/>
              <w:jc w:val="left"/>
            </w:pPr>
            <w:r>
              <w:t xml:space="preserve">Not in scope</w:t>
            </w:r>
          </w:p>
        </w:tc>
        <w:tc>
          <w:tcPr/>
          <w:p>
            <w:pPr>
              <w:pStyle w:val="Compact"/>
              <w:jc w:val="left"/>
            </w:pPr>
            <w:r>
              <w:rPr>
                <w:bCs/>
                <w:b/>
              </w:rPr>
              <w:t xml:space="preserve">Removal from Phase 1</w:t>
            </w:r>
          </w:p>
        </w:tc>
        <w:tc>
          <w:tcPr/>
          <w:p>
            <w:pPr>
              <w:pStyle w:val="Compact"/>
              <w:jc w:val="left"/>
            </w:pPr>
            <w:r>
              <w:t xml:space="preserve">Retain code for later phase</w:t>
            </w:r>
          </w:p>
        </w:tc>
      </w:tr>
      <w:tr>
        <w:tc>
          <w:tcPr/>
          <w:p>
            <w:pPr>
              <w:pStyle w:val="Compact"/>
              <w:jc w:val="left"/>
            </w:pPr>
            <w:r>
              <w:t xml:space="preserve">9</w:t>
            </w:r>
          </w:p>
        </w:tc>
        <w:tc>
          <w:tcPr/>
          <w:p>
            <w:pPr>
              <w:pStyle w:val="Compact"/>
              <w:jc w:val="left"/>
            </w:pPr>
            <w:r>
              <w:rPr>
                <w:bCs/>
                <w:b/>
              </w:rPr>
              <w:t xml:space="preserve">EMD workflow</w:t>
            </w:r>
          </w:p>
        </w:tc>
        <w:tc>
          <w:tcPr/>
          <w:p>
            <w:pPr>
              <w:pStyle w:val="Compact"/>
              <w:jc w:val="left"/>
            </w:pPr>
            <w:r>
              <w:t xml:space="preserve">Stripe-backed EMD refund/forfeit</w:t>
            </w:r>
          </w:p>
        </w:tc>
        <w:tc>
          <w:tcPr/>
          <w:p>
            <w:pPr>
              <w:pStyle w:val="Compact"/>
              <w:jc w:val="left"/>
            </w:pPr>
            <w:r>
              <w:t xml:space="preserve">Doc 1 mandates EMD sits in a</w:t>
            </w:r>
            <w:r>
              <w:t xml:space="preserve"> </w:t>
            </w:r>
            <w:r>
              <w:rPr>
                <w:bCs/>
                <w:b/>
              </w:rPr>
              <w:t xml:space="preserve">regulated escrow account</w:t>
            </w:r>
            <w:r>
              <w:t xml:space="preserve">, not with PMC. Doc 2 does not implement it.</w:t>
            </w:r>
          </w:p>
        </w:tc>
        <w:tc>
          <w:tcPr/>
          <w:p>
            <w:pPr>
              <w:pStyle w:val="Compact"/>
              <w:jc w:val="left"/>
            </w:pPr>
            <w:r>
              <w:rPr>
                <w:bCs/>
                <w:b/>
              </w:rPr>
              <w:t xml:space="preserve">Redesign</w:t>
            </w:r>
          </w:p>
        </w:tc>
        <w:tc>
          <w:tcPr/>
          <w:p>
            <w:pPr>
              <w:pStyle w:val="Compact"/>
              <w:jc w:val="left"/>
            </w:pPr>
            <w:r>
              <w:t xml:space="preserve">Existing EMD code is incompatible with Doc 1’s regulatory model</w:t>
            </w:r>
          </w:p>
        </w:tc>
      </w:tr>
      <w:tr>
        <w:tc>
          <w:tcPr/>
          <w:p>
            <w:pPr>
              <w:pStyle w:val="Compact"/>
              <w:jc w:val="left"/>
            </w:pPr>
            <w:r>
              <w:t xml:space="preserve">10</w:t>
            </w:r>
          </w:p>
        </w:tc>
        <w:tc>
          <w:tcPr/>
          <w:p>
            <w:pPr>
              <w:pStyle w:val="Compact"/>
              <w:jc w:val="left"/>
            </w:pPr>
            <w:r>
              <w:rPr>
                <w:bCs/>
                <w:b/>
              </w:rPr>
              <w:t xml:space="preserve">Payment processing</w:t>
            </w:r>
          </w:p>
        </w:tc>
        <w:tc>
          <w:tcPr/>
          <w:p>
            <w:pPr>
              <w:pStyle w:val="Compact"/>
              <w:jc w:val="left"/>
            </w:pPr>
            <w:r>
              <w:t xml:space="preserve">Stripe for registration fee + EMD</w:t>
            </w:r>
          </w:p>
        </w:tc>
        <w:tc>
          <w:tcPr/>
          <w:p>
            <w:pPr>
              <w:pStyle w:val="Compact"/>
              <w:jc w:val="left"/>
            </w:pPr>
            <w:r>
              <w:rPr>
                <w:bCs/>
                <w:b/>
              </w:rPr>
              <w:t xml:space="preserve">“</w:t>
            </w:r>
            <w:r>
              <w:rPr>
                <w:bCs/>
                <w:b/>
              </w:rPr>
              <w:t xml:space="preserve">Never implement</w:t>
            </w:r>
            <w:r>
              <w:rPr>
                <w:bCs/>
                <w:b/>
              </w:rPr>
              <w:t xml:space="preserve">”</w:t>
            </w:r>
            <w:r>
              <w:t xml:space="preserve"> </w:t>
            </w:r>
            <w:r>
              <w:t xml:space="preserve">in the new phase</w:t>
            </w:r>
          </w:p>
        </w:tc>
        <w:tc>
          <w:tcPr/>
          <w:p>
            <w:pPr>
              <w:pStyle w:val="Compact"/>
              <w:jc w:val="left"/>
            </w:pPr>
            <w:r>
              <w:rPr>
                <w:bCs/>
                <w:b/>
              </w:rPr>
              <w:t xml:space="preserve">Removal from Phase 1</w:t>
            </w:r>
          </w:p>
        </w:tc>
        <w:tc>
          <w:tcPr/>
          <w:p>
            <w:pPr>
              <w:pStyle w:val="Compact"/>
              <w:jc w:val="left"/>
            </w:pPr>
            <w:r>
              <w:t xml:space="preserve">Keep Stripe route but scope out</w:t>
            </w:r>
          </w:p>
        </w:tc>
      </w:tr>
      <w:tr>
        <w:tc>
          <w:tcPr/>
          <w:p>
            <w:pPr>
              <w:pStyle w:val="Compact"/>
              <w:jc w:val="left"/>
            </w:pPr>
            <w:r>
              <w:t xml:space="preserve">11</w:t>
            </w:r>
          </w:p>
        </w:tc>
        <w:tc>
          <w:tcPr/>
          <w:p>
            <w:pPr>
              <w:pStyle w:val="Compact"/>
              <w:jc w:val="left"/>
            </w:pPr>
            <w:r>
              <w:rPr>
                <w:bCs/>
                <w:b/>
              </w:rPr>
              <w:t xml:space="preserve">Vendor pre-tender registration</w:t>
            </w:r>
          </w:p>
        </w:tc>
        <w:tc>
          <w:tcPr/>
          <w:p>
            <w:pPr>
              <w:pStyle w:val="Compact"/>
              <w:jc w:val="left"/>
            </w:pPr>
            <w:r>
              <w:t xml:space="preserve">Delivered (Sections A–E, single app)</w:t>
            </w:r>
          </w:p>
        </w:tc>
        <w:tc>
          <w:tcPr/>
          <w:p>
            <w:pPr>
              <w:pStyle w:val="Compact"/>
              <w:jc w:val="left"/>
            </w:pPr>
            <w:r>
              <w:t xml:space="preserve">App 3 (fresh build, magic-link resume, EN/RU/KK)</w:t>
            </w:r>
          </w:p>
        </w:tc>
        <w:tc>
          <w:tcPr/>
          <w:p>
            <w:pPr>
              <w:pStyle w:val="Compact"/>
              <w:jc w:val="left"/>
            </w:pPr>
            <w:r>
              <w:rPr>
                <w:bCs/>
                <w:b/>
              </w:rPr>
              <w:t xml:space="preserve">Rebuild in new stack</w:t>
            </w:r>
          </w:p>
        </w:tc>
        <w:tc>
          <w:tcPr/>
          <w:p>
            <w:pPr>
              <w:pStyle w:val="Compact"/>
              <w:jc w:val="left"/>
            </w:pPr>
            <w:r>
              <w:t xml:space="preserve">Existing form logic re-usable as spec</w:t>
            </w:r>
          </w:p>
        </w:tc>
      </w:tr>
      <w:tr>
        <w:tc>
          <w:tcPr/>
          <w:p>
            <w:pPr>
              <w:pStyle w:val="Compact"/>
              <w:jc w:val="left"/>
            </w:pPr>
            <w:r>
              <w:t xml:space="preserve">12</w:t>
            </w:r>
          </w:p>
        </w:tc>
        <w:tc>
          <w:tcPr/>
          <w:p>
            <w:pPr>
              <w:pStyle w:val="Compact"/>
              <w:jc w:val="left"/>
            </w:pPr>
            <w:r>
              <w:rPr>
                <w:bCs/>
                <w:b/>
              </w:rPr>
              <w:t xml:space="preserve">Public tender notice board</w:t>
            </w:r>
          </w:p>
        </w:tc>
        <w:tc>
          <w:tcPr/>
          <w:p>
            <w:pPr>
              <w:pStyle w:val="Compact"/>
              <w:jc w:val="left"/>
            </w:pPr>
            <w:r>
              <w:t xml:space="preserve">Not built (auth required for tender views)</w:t>
            </w:r>
          </w:p>
        </w:tc>
        <w:tc>
          <w:tcPr/>
          <w:p>
            <w:pPr>
              <w:pStyle w:val="Compact"/>
              <w:jc w:val="left"/>
            </w:pPr>
            <w:r>
              <w:t xml:space="preserve">App 4 (Next.js SSR, no-auth, SEO + JSON-LD)</w:t>
            </w:r>
          </w:p>
        </w:tc>
        <w:tc>
          <w:tcPr/>
          <w:p>
            <w:pPr>
              <w:pStyle w:val="Compact"/>
              <w:jc w:val="left"/>
            </w:pPr>
            <w:r>
              <w:rPr>
                <w:bCs/>
                <w:b/>
              </w:rPr>
              <w:t xml:space="preserve">Addition</w:t>
            </w:r>
          </w:p>
        </w:tc>
        <w:tc>
          <w:tcPr/>
          <w:p>
            <w:pPr>
              <w:pStyle w:val="Compact"/>
              <w:jc w:val="left"/>
            </w:pPr>
            <w:r>
              <w:t xml:space="preserve">New workstream</w:t>
            </w:r>
          </w:p>
        </w:tc>
      </w:tr>
      <w:tr>
        <w:tc>
          <w:tcPr/>
          <w:p>
            <w:pPr>
              <w:pStyle w:val="Compact"/>
              <w:jc w:val="left"/>
            </w:pPr>
            <w:r>
              <w:t xml:space="preserve">13</w:t>
            </w:r>
          </w:p>
        </w:tc>
        <w:tc>
          <w:tcPr/>
          <w:p>
            <w:pPr>
              <w:pStyle w:val="Compact"/>
              <w:jc w:val="left"/>
            </w:pPr>
            <w:r>
              <w:rPr>
                <w:bCs/>
                <w:b/>
              </w:rPr>
              <w:t xml:space="preserve">Milestone evidence capture</w:t>
            </w:r>
          </w:p>
        </w:tc>
        <w:tc>
          <w:tcPr/>
          <w:p>
            <w:pPr>
              <w:pStyle w:val="Compact"/>
              <w:jc w:val="left"/>
            </w:pPr>
            <w:r>
              <w:t xml:space="preserve">Not built</w:t>
            </w:r>
          </w:p>
        </w:tc>
        <w:tc>
          <w:tcPr/>
          <w:p>
            <w:pPr>
              <w:pStyle w:val="Compact"/>
              <w:jc w:val="left"/>
            </w:pPr>
            <w:r>
              <w:t xml:space="preserve">App 1 (mobile, offline-first, WORM, GPS, witness signature, idempotent sync)</w:t>
            </w:r>
          </w:p>
        </w:tc>
        <w:tc>
          <w:tcPr/>
          <w:p>
            <w:pPr>
              <w:pStyle w:val="Compact"/>
              <w:jc w:val="left"/>
            </w:pPr>
            <w:r>
              <w:rPr>
                <w:bCs/>
                <w:b/>
              </w:rPr>
              <w:t xml:space="preserve">Addition</w:t>
            </w:r>
          </w:p>
        </w:tc>
        <w:tc>
          <w:tcPr/>
          <w:p>
            <w:pPr>
              <w:pStyle w:val="Compact"/>
              <w:jc w:val="left"/>
            </w:pPr>
            <w:r>
              <w:t xml:space="preserve">Largest new workstream</w:t>
            </w:r>
          </w:p>
        </w:tc>
      </w:tr>
      <w:tr>
        <w:tc>
          <w:tcPr/>
          <w:p>
            <w:pPr>
              <w:pStyle w:val="Compact"/>
              <w:jc w:val="left"/>
            </w:pPr>
            <w:r>
              <w:t xml:space="preserve">14</w:t>
            </w:r>
          </w:p>
        </w:tc>
        <w:tc>
          <w:tcPr/>
          <w:p>
            <w:pPr>
              <w:pStyle w:val="Compact"/>
              <w:jc w:val="left"/>
            </w:pPr>
            <w:r>
              <w:rPr>
                <w:bCs/>
                <w:b/>
              </w:rPr>
              <w:t xml:space="preserve">Package Tracker (internal)</w:t>
            </w:r>
          </w:p>
        </w:tc>
        <w:tc>
          <w:tcPr/>
          <w:p>
            <w:pPr>
              <w:pStyle w:val="Compact"/>
              <w:jc w:val="left"/>
            </w:pPr>
            <w:r>
              <w:t xml:space="preserve">Partial (admin dashboards)</w:t>
            </w:r>
          </w:p>
        </w:tc>
        <w:tc>
          <w:tcPr/>
          <w:p>
            <w:pPr>
              <w:pStyle w:val="Compact"/>
              <w:jc w:val="left"/>
            </w:pPr>
            <w:r>
              <w:t xml:space="preserve">App 2 (Retool, drag-and-drop board, 203 KZ packages import)</w:t>
            </w:r>
          </w:p>
        </w:tc>
        <w:tc>
          <w:tcPr/>
          <w:p>
            <w:pPr>
              <w:pStyle w:val="Compact"/>
              <w:jc w:val="left"/>
            </w:pPr>
            <w:r>
              <w:rPr>
                <w:bCs/>
                <w:b/>
              </w:rPr>
              <w:t xml:space="preserve">Replacement / Rebuild</w:t>
            </w:r>
          </w:p>
        </w:tc>
        <w:tc>
          <w:tcPr/>
          <w:p>
            <w:pPr>
              <w:pStyle w:val="Compact"/>
              <w:jc w:val="left"/>
            </w:pPr>
            <w:r>
              <w:t xml:space="preserve">Use Retool = faster</w:t>
            </w:r>
          </w:p>
        </w:tc>
      </w:tr>
      <w:tr>
        <w:tc>
          <w:tcPr/>
          <w:p>
            <w:pPr>
              <w:pStyle w:val="Compact"/>
              <w:jc w:val="left"/>
            </w:pPr>
            <w:r>
              <w:t xml:space="preserve">15</w:t>
            </w:r>
          </w:p>
        </w:tc>
        <w:tc>
          <w:tcPr/>
          <w:p>
            <w:pPr>
              <w:pStyle w:val="Compact"/>
              <w:jc w:val="left"/>
            </w:pPr>
            <w:r>
              <w:rPr>
                <w:bCs/>
                <w:b/>
              </w:rPr>
              <w:t xml:space="preserve">Multi-language</w:t>
            </w:r>
          </w:p>
        </w:tc>
        <w:tc>
          <w:tcPr/>
          <w:p>
            <w:pPr>
              <w:pStyle w:val="Compact"/>
              <w:jc w:val="left"/>
            </w:pPr>
            <w:r>
              <w:t xml:space="preserve">EN + RU + partial KK</w:t>
            </w:r>
          </w:p>
        </w:tc>
        <w:tc>
          <w:tcPr/>
          <w:p>
            <w:pPr>
              <w:pStyle w:val="Compact"/>
              <w:jc w:val="left"/>
            </w:pPr>
            <w:r>
              <w:t xml:space="preserve">EN + RU on App 1 &amp; App 4; EN + RU + KK on App 3</w:t>
            </w:r>
          </w:p>
        </w:tc>
        <w:tc>
          <w:tcPr/>
          <w:p>
            <w:pPr>
              <w:pStyle w:val="Compact"/>
              <w:jc w:val="left"/>
            </w:pPr>
            <w:r>
              <w:rPr>
                <w:bCs/>
                <w:b/>
              </w:rPr>
              <w:t xml:space="preserve">Extend</w:t>
            </w:r>
          </w:p>
        </w:tc>
        <w:tc>
          <w:tcPr/>
          <w:p>
            <w:pPr>
              <w:pStyle w:val="Compact"/>
              <w:jc w:val="left"/>
            </w:pPr>
            <w:r>
              <w:t xml:space="preserve">Add KK completeness on registration app</w:t>
            </w:r>
          </w:p>
        </w:tc>
      </w:tr>
      <w:tr>
        <w:tc>
          <w:tcPr/>
          <w:p>
            <w:pPr>
              <w:pStyle w:val="Compact"/>
              <w:jc w:val="left"/>
            </w:pPr>
            <w:r>
              <w:t xml:space="preserve">16</w:t>
            </w:r>
          </w:p>
        </w:tc>
        <w:tc>
          <w:tcPr/>
          <w:p>
            <w:pPr>
              <w:pStyle w:val="Compact"/>
              <w:jc w:val="left"/>
            </w:pPr>
            <w:r>
              <w:rPr>
                <w:bCs/>
                <w:b/>
              </w:rPr>
              <w:t xml:space="preserve">Audit trail</w:t>
            </w:r>
          </w:p>
        </w:tc>
        <w:tc>
          <w:tcPr/>
          <w:p>
            <w:pPr>
              <w:pStyle w:val="Compact"/>
              <w:jc w:val="left"/>
            </w:pPr>
            <w:r>
              <w:t xml:space="preserve">Application-level SHA-256 hash chain in MongoDB</w:t>
            </w:r>
          </w:p>
        </w:tc>
        <w:tc>
          <w:tcPr/>
          <w:p>
            <w:pPr>
              <w:pStyle w:val="Compact"/>
              <w:jc w:val="left"/>
            </w:pPr>
            <w:r>
              <w:rPr>
                <w:bCs/>
                <w:b/>
              </w:rPr>
              <w:t xml:space="preserve">S3 Object Lock (Compliance Mode)</w:t>
            </w:r>
            <w:r>
              <w:t xml:space="preserve"> </w:t>
            </w:r>
            <w:r>
              <w:t xml:space="preserve">for evidence + audit_event table with append-only triggers</w:t>
            </w:r>
          </w:p>
        </w:tc>
        <w:tc>
          <w:tcPr/>
          <w:p>
            <w:pPr>
              <w:pStyle w:val="Compact"/>
              <w:jc w:val="left"/>
            </w:pPr>
            <w:r>
              <w:rPr>
                <w:bCs/>
                <w:b/>
              </w:rPr>
              <w:t xml:space="preserve">Upgrade</w:t>
            </w:r>
          </w:p>
        </w:tc>
        <w:tc>
          <w:tcPr/>
          <w:p>
            <w:pPr>
              <w:pStyle w:val="Compact"/>
              <w:jc w:val="left"/>
            </w:pPr>
            <w:r>
              <w:t xml:space="preserve">New scope’s WORM is stronger — regulator/underwriter-grade</w:t>
            </w:r>
          </w:p>
        </w:tc>
      </w:tr>
      <w:tr>
        <w:tc>
          <w:tcPr/>
          <w:p>
            <w:pPr>
              <w:pStyle w:val="Compact"/>
              <w:jc w:val="left"/>
            </w:pPr>
            <w:r>
              <w:t xml:space="preserve">17</w:t>
            </w:r>
          </w:p>
        </w:tc>
        <w:tc>
          <w:tcPr/>
          <w:p>
            <w:pPr>
              <w:pStyle w:val="Compact"/>
              <w:jc w:val="left"/>
            </w:pPr>
            <w:r>
              <w:rPr>
                <w:bCs/>
                <w:b/>
              </w:rPr>
              <w:t xml:space="preserve">Certified-instruction workflow</w:t>
            </w:r>
          </w:p>
        </w:tc>
        <w:tc>
          <w:tcPr/>
          <w:p>
            <w:pPr>
              <w:pStyle w:val="Compact"/>
              <w:jc w:val="left"/>
            </w:pPr>
            <w:r>
              <w:t xml:space="preserve">Not built explicitly</w:t>
            </w:r>
          </w:p>
        </w:tc>
        <w:tc>
          <w:tcPr/>
          <w:p>
            <w:pPr>
              <w:pStyle w:val="Compact"/>
              <w:jc w:val="left"/>
            </w:pPr>
            <w:r>
              <w:t xml:space="preserve">Required by Doc 1 Section 7 for every release of EMD, retention, drawdown</w:t>
            </w:r>
          </w:p>
        </w:tc>
        <w:tc>
          <w:tcPr/>
          <w:p>
            <w:pPr>
              <w:pStyle w:val="Compact"/>
              <w:jc w:val="left"/>
            </w:pPr>
            <w:r>
              <w:rPr>
                <w:bCs/>
                <w:b/>
              </w:rPr>
              <w:t xml:space="preserve">Addition</w:t>
            </w:r>
          </w:p>
        </w:tc>
        <w:tc>
          <w:tcPr/>
          <w:p>
            <w:pPr>
              <w:pStyle w:val="Compact"/>
              <w:jc w:val="left"/>
            </w:pPr>
            <w:r>
              <w:t xml:space="preserve">New workstream</w:t>
            </w:r>
          </w:p>
        </w:tc>
      </w:tr>
      <w:tr>
        <w:tc>
          <w:tcPr/>
          <w:p>
            <w:pPr>
              <w:pStyle w:val="Compact"/>
              <w:jc w:val="left"/>
            </w:pPr>
            <w:r>
              <w:t xml:space="preserve">18</w:t>
            </w:r>
          </w:p>
        </w:tc>
        <w:tc>
          <w:tcPr/>
          <w:p>
            <w:pPr>
              <w:pStyle w:val="Compact"/>
              <w:jc w:val="left"/>
            </w:pPr>
            <w:r>
              <w:rPr>
                <w:bCs/>
                <w:b/>
              </w:rPr>
              <w:t xml:space="preserve">Regulated third-party integration</w:t>
            </w:r>
          </w:p>
        </w:tc>
        <w:tc>
          <w:tcPr/>
          <w:p>
            <w:pPr>
              <w:pStyle w:val="Compact"/>
              <w:jc w:val="left"/>
            </w:pPr>
            <w:r>
              <w:t xml:space="preserve">None</w:t>
            </w:r>
          </w:p>
        </w:tc>
        <w:tc>
          <w:tcPr/>
          <w:p>
            <w:pPr>
              <w:pStyle w:val="Compact"/>
              <w:jc w:val="left"/>
            </w:pPr>
            <w:r>
              <w:t xml:space="preserve">Doc 1: Escrow Agent, Guarantee Bank, Bond Trustee, Paying Agent, Account Bank must all be integrated for instructions &amp; reconciliation</w:t>
            </w:r>
          </w:p>
        </w:tc>
        <w:tc>
          <w:tcPr/>
          <w:p>
            <w:pPr>
              <w:pStyle w:val="Compact"/>
              <w:jc w:val="left"/>
            </w:pPr>
            <w:r>
              <w:rPr>
                <w:bCs/>
                <w:b/>
              </w:rPr>
              <w:t xml:space="preserve">Addition</w:t>
            </w:r>
          </w:p>
        </w:tc>
        <w:tc>
          <w:tcPr/>
          <w:p>
            <w:pPr>
              <w:pStyle w:val="Compact"/>
              <w:jc w:val="left"/>
            </w:pPr>
            <w:r>
              <w:t xml:space="preserve">Depends on legal appointments (Doc 1 Section 6)</w:t>
            </w:r>
          </w:p>
        </w:tc>
      </w:tr>
      <w:tr>
        <w:tc>
          <w:tcPr/>
          <w:p>
            <w:pPr>
              <w:pStyle w:val="Compact"/>
              <w:jc w:val="left"/>
            </w:pPr>
            <w:r>
              <w:t xml:space="preserve">19</w:t>
            </w:r>
          </w:p>
        </w:tc>
        <w:tc>
          <w:tcPr/>
          <w:p>
            <w:pPr>
              <w:pStyle w:val="Compact"/>
              <w:jc w:val="left"/>
            </w:pPr>
            <w:r>
              <w:rPr>
                <w:bCs/>
                <w:b/>
              </w:rPr>
              <w:t xml:space="preserve">Independent Certifier / Engineer role</w:t>
            </w:r>
          </w:p>
        </w:tc>
        <w:tc>
          <w:tcPr/>
          <w:p>
            <w:pPr>
              <w:pStyle w:val="Compact"/>
              <w:jc w:val="left"/>
            </w:pPr>
            <w:r>
              <w:t xml:space="preserve">Not built</w:t>
            </w:r>
          </w:p>
        </w:tc>
        <w:tc>
          <w:tcPr/>
          <w:p>
            <w:pPr>
              <w:pStyle w:val="Compact"/>
              <w:jc w:val="left"/>
            </w:pPr>
            <w:r>
              <w:t xml:space="preserve">Doc 1 positions PMC as Independent Certifier via the milestone evidence engine (App 1)</w:t>
            </w:r>
          </w:p>
        </w:tc>
        <w:tc>
          <w:tcPr/>
          <w:p>
            <w:pPr>
              <w:pStyle w:val="Compact"/>
              <w:jc w:val="left"/>
            </w:pPr>
            <w:r>
              <w:rPr>
                <w:bCs/>
                <w:b/>
              </w:rPr>
              <w:t xml:space="preserve">Addition</w:t>
            </w:r>
          </w:p>
        </w:tc>
        <w:tc>
          <w:tcPr/>
          <w:p>
            <w:pPr>
              <w:pStyle w:val="Compact"/>
              <w:jc w:val="left"/>
            </w:pPr>
            <w:r>
              <w:t xml:space="preserve">App 1 is the deliverable that makes this role real</w:t>
            </w:r>
          </w:p>
        </w:tc>
      </w:tr>
      <w:tr>
        <w:tc>
          <w:tcPr/>
          <w:p>
            <w:pPr>
              <w:pStyle w:val="Compact"/>
              <w:jc w:val="left"/>
            </w:pPr>
            <w:r>
              <w:t xml:space="preserve">20</w:t>
            </w:r>
          </w:p>
        </w:tc>
        <w:tc>
          <w:tcPr/>
          <w:p>
            <w:pPr>
              <w:pStyle w:val="Compact"/>
              <w:jc w:val="left"/>
            </w:pPr>
            <w:r>
              <w:rPr>
                <w:bCs/>
                <w:b/>
              </w:rPr>
              <w:t xml:space="preserve">Related-party register + float-interest disclosure</w:t>
            </w:r>
          </w:p>
        </w:tc>
        <w:tc>
          <w:tcPr/>
          <w:p>
            <w:pPr>
              <w:pStyle w:val="Compact"/>
              <w:jc w:val="left"/>
            </w:pPr>
            <w:r>
              <w:t xml:space="preserve">Not built</w:t>
            </w:r>
          </w:p>
        </w:tc>
        <w:tc>
          <w:tcPr/>
          <w:p>
            <w:pPr>
              <w:pStyle w:val="Compact"/>
              <w:jc w:val="left"/>
            </w:pPr>
            <w:r>
              <w:t xml:space="preserve">Doc 1 Section 7 controls</w:t>
            </w:r>
          </w:p>
        </w:tc>
        <w:tc>
          <w:tcPr/>
          <w:p>
            <w:pPr>
              <w:pStyle w:val="Compact"/>
              <w:jc w:val="left"/>
            </w:pPr>
            <w:r>
              <w:rPr>
                <w:bCs/>
                <w:b/>
              </w:rPr>
              <w:t xml:space="preserve">Addition</w:t>
            </w:r>
          </w:p>
        </w:tc>
        <w:tc>
          <w:tcPr/>
          <w:p>
            <w:pPr>
              <w:pStyle w:val="Compact"/>
              <w:jc w:val="left"/>
            </w:pPr>
            <w:r>
              <w:t xml:space="preserve">Small module</w:t>
            </w:r>
          </w:p>
        </w:tc>
      </w:tr>
      <w:tr>
        <w:tc>
          <w:tcPr/>
          <w:p>
            <w:pPr>
              <w:pStyle w:val="Compact"/>
              <w:jc w:val="left"/>
            </w:pPr>
            <w:r>
              <w:t xml:space="preserve">21</w:t>
            </w:r>
          </w:p>
        </w:tc>
        <w:tc>
          <w:tcPr/>
          <w:p>
            <w:pPr>
              <w:pStyle w:val="Compact"/>
              <w:jc w:val="left"/>
            </w:pPr>
            <w:r>
              <w:rPr>
                <w:bCs/>
                <w:b/>
              </w:rPr>
              <w:t xml:space="preserve">Deployment / IaC</w:t>
            </w:r>
          </w:p>
        </w:tc>
        <w:tc>
          <w:tcPr/>
          <w:p>
            <w:pPr>
              <w:pStyle w:val="Compact"/>
              <w:jc w:val="left"/>
            </w:pPr>
            <w:r>
              <w:t xml:space="preserve">Emergent one-click</w:t>
            </w:r>
          </w:p>
        </w:tc>
        <w:tc>
          <w:tcPr/>
          <w:p>
            <w:pPr>
              <w:pStyle w:val="Compact"/>
              <w:jc w:val="left"/>
            </w:pPr>
            <w:r>
              <w:t xml:space="preserve">Terraform in</w:t>
            </w:r>
            <w:r>
              <w:t xml:space="preserve"> </w:t>
            </w:r>
            <w:r>
              <w:rPr>
                <w:rStyle w:val="VerbatimChar"/>
              </w:rPr>
              <w:t xml:space="preserve">pmc-infra</w:t>
            </w:r>
            <w:r>
              <w:t xml:space="preserve"> </w:t>
            </w:r>
            <w:r>
              <w:t xml:space="preserve">repo, five GitHub repos, branch protection, CI scans</w:t>
            </w:r>
          </w:p>
        </w:tc>
        <w:tc>
          <w:tcPr/>
          <w:p>
            <w:pPr>
              <w:pStyle w:val="Compact"/>
              <w:jc w:val="left"/>
            </w:pPr>
            <w:r>
              <w:rPr>
                <w:bCs/>
                <w:b/>
              </w:rPr>
              <w:t xml:space="preserve">Replacement</w:t>
            </w:r>
          </w:p>
        </w:tc>
        <w:tc>
          <w:tcPr/>
          <w:p>
            <w:pPr>
              <w:pStyle w:val="Compact"/>
              <w:jc w:val="left"/>
            </w:pPr>
            <w:r>
              <w:t xml:space="preserve">DevOps re-work</w:t>
            </w:r>
          </w:p>
        </w:tc>
      </w:tr>
      <w:tr>
        <w:tc>
          <w:tcPr/>
          <w:p>
            <w:pPr>
              <w:pStyle w:val="Compact"/>
              <w:jc w:val="left"/>
            </w:pPr>
            <w:r>
              <w:t xml:space="preserve">22</w:t>
            </w:r>
          </w:p>
        </w:tc>
        <w:tc>
          <w:tcPr/>
          <w:p>
            <w:pPr>
              <w:pStyle w:val="Compact"/>
              <w:jc w:val="left"/>
            </w:pPr>
            <w:r>
              <w:rPr>
                <w:bCs/>
                <w:b/>
              </w:rPr>
              <w:t xml:space="preserve">Data residency</w:t>
            </w:r>
          </w:p>
        </w:tc>
        <w:tc>
          <w:tcPr/>
          <w:p>
            <w:pPr>
              <w:pStyle w:val="Compact"/>
              <w:jc w:val="left"/>
            </w:pPr>
            <w:r>
              <w:t xml:space="preserve">Emergent default region</w:t>
            </w:r>
          </w:p>
        </w:tc>
        <w:tc>
          <w:tcPr/>
          <w:p>
            <w:pPr>
              <w:pStyle w:val="Compact"/>
              <w:jc w:val="left"/>
            </w:pPr>
            <w:r>
              <w:t xml:space="preserve">Native regional (Kazakhstan) as a Terraform variable</w:t>
            </w:r>
          </w:p>
        </w:tc>
        <w:tc>
          <w:tcPr/>
          <w:p>
            <w:pPr>
              <w:pStyle w:val="Compact"/>
              <w:jc w:val="left"/>
            </w:pPr>
            <w:r>
              <w:rPr>
                <w:bCs/>
                <w:b/>
              </w:rPr>
              <w:t xml:space="preserve">Upgrade</w:t>
            </w:r>
          </w:p>
        </w:tc>
        <w:tc>
          <w:tcPr/>
          <w:p>
            <w:pPr>
              <w:pStyle w:val="Compact"/>
              <w:jc w:val="left"/>
            </w:pPr>
            <w:r>
              <w:t xml:space="preserve">Enables gov / in-country deals</w:t>
            </w:r>
          </w:p>
        </w:tc>
      </w:tr>
      <w:tr>
        <w:tc>
          <w:tcPr/>
          <w:p>
            <w:pPr>
              <w:pStyle w:val="Compact"/>
              <w:jc w:val="left"/>
            </w:pPr>
            <w:r>
              <w:t xml:space="preserve">23</w:t>
            </w:r>
          </w:p>
        </w:tc>
        <w:tc>
          <w:tcPr/>
          <w:p>
            <w:pPr>
              <w:pStyle w:val="Compact"/>
              <w:jc w:val="left"/>
            </w:pPr>
            <w:r>
              <w:rPr>
                <w:bCs/>
                <w:b/>
              </w:rPr>
              <w:t xml:space="preserve">Monthly OpEx</w:t>
            </w:r>
          </w:p>
        </w:tc>
        <w:tc>
          <w:tcPr/>
          <w:p>
            <w:pPr>
              <w:pStyle w:val="Compact"/>
              <w:jc w:val="left"/>
            </w:pPr>
            <w:r>
              <w:t xml:space="preserve">Emergent subscription</w:t>
            </w:r>
          </w:p>
        </w:tc>
        <w:tc>
          <w:tcPr/>
          <w:p>
            <w:pPr>
              <w:pStyle w:val="Compact"/>
              <w:jc w:val="left"/>
            </w:pPr>
            <w:r>
              <w:t xml:space="preserve">~$450–525 / month (RDS + Fargate + S3 + SES + Cognito + Retool + Emergent build months)</w:t>
            </w:r>
          </w:p>
        </w:tc>
        <w:tc>
          <w:tcPr/>
          <w:p>
            <w:pPr>
              <w:pStyle w:val="Compact"/>
              <w:jc w:val="left"/>
            </w:pPr>
            <w:r>
              <w:rPr>
                <w:bCs/>
                <w:b/>
              </w:rPr>
              <w:t xml:space="preserve">Increase</w:t>
            </w:r>
          </w:p>
        </w:tc>
        <w:tc>
          <w:tcPr/>
          <w:p>
            <w:pPr>
              <w:pStyle w:val="Compact"/>
              <w:jc w:val="left"/>
            </w:pPr>
            <w:r>
              <w:t xml:space="preserve">+~$150/month over shortcut route</w:t>
            </w:r>
          </w:p>
        </w:tc>
      </w:tr>
    </w:tbl>
    <w:p>
      <w:r>
        <w:pict>
          <v:rect style="width:0;height:1.5pt" o:hralign="center" o:hrstd="t" o:hr="t"/>
        </w:pict>
      </w:r>
    </w:p>
    <w:bookmarkEnd w:id="25"/>
    <w:bookmarkStart w:id="31" w:name="what-the-client-must-decide"/>
    <w:p>
      <w:pPr>
        <w:pStyle w:val="Heading2"/>
      </w:pPr>
      <w:r>
        <w:t xml:space="preserve">5. What the Client Must Decide</w:t>
      </w:r>
    </w:p>
    <w:p>
      <w:pPr>
        <w:pStyle w:val="FirstParagraph"/>
      </w:pPr>
      <w:r>
        <w:t xml:space="preserve">There are</w:t>
      </w:r>
      <w:r>
        <w:t xml:space="preserve"> </w:t>
      </w:r>
      <w:r>
        <w:rPr>
          <w:bCs/>
          <w:b/>
        </w:rPr>
        <w:t xml:space="preserve">five decision points</w:t>
      </w:r>
      <w:r>
        <w:t xml:space="preserve"> </w:t>
      </w:r>
      <w:r>
        <w:t xml:space="preserve">that will determine the delivery plan and budget. None of these can be answered by us alone.</w:t>
      </w:r>
    </w:p>
    <w:bookmarkStart w:id="26" w:name="X00a1699113349a083b64e3ac4c48f41a57e5ce6"/>
    <w:p>
      <w:pPr>
        <w:pStyle w:val="Heading3"/>
      </w:pPr>
      <w:r>
        <w:t xml:space="preserve">Decision 1 — Do we replatform, or do we extend?</w:t>
      </w:r>
    </w:p>
    <w:p>
      <w:pPr>
        <w:numPr>
          <w:ilvl w:val="0"/>
          <w:numId w:val="1007"/>
        </w:numPr>
        <w:pStyle w:val="Compact"/>
      </w:pPr>
      <w:r>
        <w:rPr>
          <w:bCs/>
          <w:b/>
        </w:rPr>
        <w:t xml:space="preserve">Option A (Replatform to AWS as Doc 2 says):</w:t>
      </w:r>
      <w:r>
        <w:t xml:space="preserve"> </w:t>
      </w:r>
      <w:r>
        <w:t xml:space="preserve">Rebuild against AWS-native stack. The v2.0 delivered platform becomes a reference/spec, not the running system. Estimated effort</w:t>
      </w:r>
      <w:r>
        <w:t xml:space="preserve"> </w:t>
      </w:r>
      <w:r>
        <w:rPr>
          <w:bCs/>
          <w:b/>
        </w:rPr>
        <w:t xml:space="preserve">7 weeks minimum</w:t>
      </w:r>
      <w:r>
        <w:t xml:space="preserve"> </w:t>
      </w:r>
      <w:r>
        <w:t xml:space="preserve">per Doc 2 Part 8.</w:t>
      </w:r>
    </w:p>
    <w:p>
      <w:pPr>
        <w:numPr>
          <w:ilvl w:val="0"/>
          <w:numId w:val="1007"/>
        </w:numPr>
        <w:pStyle w:val="Compact"/>
      </w:pPr>
      <w:r>
        <w:rPr>
          <w:bCs/>
          <w:b/>
        </w:rPr>
        <w:t xml:space="preserve">Option B (Extend the current Emergent platform):</w:t>
      </w:r>
      <w:r>
        <w:t xml:space="preserve"> </w:t>
      </w:r>
      <w:r>
        <w:t xml:space="preserve">Add App 1 (mobile evidence capture) and App 4 (public board) alongside the existing platform on Emergent. Faster, cheaper, but does not deliver Object Lock, native residency or the multi-tenant AWS control plane.</w:t>
      </w:r>
    </w:p>
    <w:p>
      <w:pPr>
        <w:numPr>
          <w:ilvl w:val="0"/>
          <w:numId w:val="1007"/>
        </w:numPr>
        <w:pStyle w:val="Compact"/>
      </w:pPr>
      <w:r>
        <w:rPr>
          <w:bCs/>
          <w:b/>
        </w:rPr>
        <w:t xml:space="preserve">Option C (Hybrid):</w:t>
      </w:r>
      <w:r>
        <w:t xml:space="preserve"> </w:t>
      </w:r>
      <w:r>
        <w:t xml:space="preserve">Keep v2.0 running for tender lifecycle (which the new build sheet explicitly excludes), and build Doc 2’s four apps in AWS in parallel. Costs and integration complexity go up but no functionality is lost.</w:t>
      </w:r>
    </w:p>
    <w:p>
      <w:pPr>
        <w:pStyle w:val="FirstParagraph"/>
      </w:pPr>
      <w:r>
        <w:rPr>
          <w:bCs/>
          <w:b/>
        </w:rPr>
        <w:t xml:space="preserve">Our recommendation:</w:t>
      </w:r>
      <w:r>
        <w:t xml:space="preserve"> </w:t>
      </w:r>
      <w:r>
        <w:t xml:space="preserve">Option C, phased — because the delivered tender lifecycle is production-ready and the new build sheet does not replace it, only adds to it.</w:t>
      </w:r>
    </w:p>
    <w:bookmarkEnd w:id="26"/>
    <w:bookmarkStart w:id="27" w:name="X7ea13a04337a2e05b401891f6e056cf793f6c27"/>
    <w:p>
      <w:pPr>
        <w:pStyle w:val="Heading3"/>
      </w:pPr>
      <w:r>
        <w:t xml:space="preserve">Decision 2 — Is bidding really out of scope, or only out of Phase 1?</w:t>
      </w:r>
    </w:p>
    <w:p>
      <w:pPr>
        <w:pStyle w:val="FirstParagraph"/>
      </w:pPr>
      <w:r>
        <w:t xml:space="preserve">Doc 2 Part 5 says</w:t>
      </w:r>
      <w:r>
        <w:t xml:space="preserve"> </w:t>
      </w:r>
      <w:r>
        <w:t xml:space="preserve">“</w:t>
      </w:r>
      <w:r>
        <w:rPr>
          <w:bCs/>
          <w:b/>
        </w:rPr>
        <w:t xml:space="preserve">Never implement — bid submission, bid opening, evaluation scoring, contract award, payment processing.</w:t>
      </w:r>
      <w:r>
        <w:t xml:space="preserve">”</w:t>
      </w:r>
      <w:r>
        <w:t xml:space="preserve"> </w:t>
      </w:r>
      <w:r>
        <w:t xml:space="preserve">But those features are</w:t>
      </w:r>
      <w:r>
        <w:t xml:space="preserve"> </w:t>
      </w:r>
      <w:r>
        <w:rPr>
          <w:bCs/>
          <w:b/>
        </w:rPr>
        <w:t xml:space="preserve">already built and working</w:t>
      </w:r>
      <w:r>
        <w:t xml:space="preserve"> </w:t>
      </w:r>
      <w:r>
        <w:t xml:space="preserve">in v2.0. This looks like a</w:t>
      </w:r>
      <w:r>
        <w:t xml:space="preserve"> </w:t>
      </w:r>
      <w:r>
        <w:rPr>
          <w:bCs/>
          <w:b/>
        </w:rPr>
        <w:t xml:space="preserve">phasing statement</w:t>
      </w:r>
      <w:r>
        <w:t xml:space="preserve"> </w:t>
      </w:r>
      <w:r>
        <w:t xml:space="preserve">(</w:t>
      </w:r>
      <w:r>
        <w:t xml:space="preserve">“</w:t>
      </w:r>
      <w:r>
        <w:t xml:space="preserve">do not build in the new AWS apps yet</w:t>
      </w:r>
      <w:r>
        <w:t xml:space="preserve">”</w:t>
      </w:r>
      <w:r>
        <w:t xml:space="preserve">) rather than an instruction to</w:t>
      </w:r>
      <w:r>
        <w:t xml:space="preserve"> </w:t>
      </w:r>
      <w:r>
        <w:rPr>
          <w:bCs/>
          <w:b/>
        </w:rPr>
        <w:t xml:space="preserve">delete</w:t>
      </w:r>
      <w:r>
        <w:t xml:space="preserve"> </w:t>
      </w:r>
      <w:r>
        <w:t xml:space="preserve">them.</w:t>
      </w:r>
    </w:p>
    <w:p>
      <w:pPr>
        <w:pStyle w:val="BodyText"/>
      </w:pPr>
      <w:r>
        <w:rPr>
          <w:bCs/>
          <w:b/>
        </w:rPr>
        <w:t xml:space="preserve">Client must confirm:</w:t>
      </w:r>
      <w:r>
        <w:t xml:space="preserve"> </w:t>
      </w:r>
      <w:r>
        <w:t xml:space="preserve">- Does</w:t>
      </w:r>
      <w:r>
        <w:t xml:space="preserve"> </w:t>
      </w:r>
      <w:r>
        <w:t xml:space="preserve">“</w:t>
      </w:r>
      <w:r>
        <w:t xml:space="preserve">never implement</w:t>
      </w:r>
      <w:r>
        <w:t xml:space="preserve">”</w:t>
      </w:r>
      <w:r>
        <w:t xml:space="preserve"> </w:t>
      </w:r>
      <w:r>
        <w:t xml:space="preserve">mean (a) don’t touch it in the new AWS apps, keep v2.0 running, or (b) formally decommission bidding entirely?</w:t>
      </w:r>
    </w:p>
    <w:bookmarkEnd w:id="27"/>
    <w:bookmarkStart w:id="28" w:name="decision-3-who-holds-the-money"/>
    <w:p>
      <w:pPr>
        <w:pStyle w:val="Heading3"/>
      </w:pPr>
      <w:r>
        <w:t xml:space="preserve">Decision 3 — Who holds the money?</w:t>
      </w:r>
    </w:p>
    <w:p>
      <w:pPr>
        <w:pStyle w:val="FirstParagraph"/>
      </w:pPr>
      <w:r>
        <w:t xml:space="preserve">Doc 1 makes it clear that PMC</w:t>
      </w:r>
      <w:r>
        <w:t xml:space="preserve"> </w:t>
      </w:r>
      <w:r>
        <w:rPr>
          <w:bCs/>
          <w:b/>
        </w:rPr>
        <w:t xml:space="preserve">must not</w:t>
      </w:r>
      <w:r>
        <w:t xml:space="preserve"> </w:t>
      </w:r>
      <w:r>
        <w:t xml:space="preserve">hold EMD, performance bonds, retention or construction drawdowns. Today, our v2.0 Stripe-backed EMD workflow does exactly that (funds sit in Stripe under PMC’s account).</w:t>
      </w:r>
    </w:p>
    <w:p>
      <w:pPr>
        <w:pStyle w:val="BodyText"/>
      </w:pPr>
      <w:r>
        <w:rPr>
          <w:bCs/>
          <w:b/>
        </w:rPr>
        <w:t xml:space="preserve">Client must confirm:</w:t>
      </w:r>
      <w:r>
        <w:t xml:space="preserve"> </w:t>
      </w:r>
      <w:r>
        <w:t xml:space="preserve">- Which regulated party will hold EMD? (Kazakh bank escrow division? AIFC escrow company? A DIFC / ADGM specialist?)</w:t>
      </w:r>
      <w:r>
        <w:t xml:space="preserve"> </w:t>
      </w:r>
      <w:r>
        <w:t xml:space="preserve">- Until this is decided, the certified-instruction workflow cannot be turned on for real money — but the platform can still be built to instruct-and-reconcile against a mock/test escrow.</w:t>
      </w:r>
    </w:p>
    <w:bookmarkEnd w:id="28"/>
    <w:bookmarkStart w:id="29" w:name="Xdba00316df986ffcc9a27eda10e79a62705c8a3"/>
    <w:p>
      <w:pPr>
        <w:pStyle w:val="Heading3"/>
      </w:pPr>
      <w:r>
        <w:t xml:space="preserve">Decision 4 — Open legal questions (Doc 1 Section 9)</w:t>
      </w:r>
    </w:p>
    <w:p>
      <w:pPr>
        <w:pStyle w:val="FirstParagraph"/>
      </w:pPr>
      <w:r>
        <w:t xml:space="preserve">Six questions gate the corresponding money flows. Until each is answered, that flow stays disabled in the platform:</w:t>
      </w:r>
    </w:p>
    <w:p>
      <w:pPr>
        <w:numPr>
          <w:ilvl w:val="0"/>
          <w:numId w:val="1008"/>
        </w:numPr>
        <w:pStyle w:val="Compact"/>
      </w:pPr>
      <w:r>
        <w:t xml:space="preserve">Land-grant procurement obligations?</w:t>
      </w:r>
    </w:p>
    <w:p>
      <w:pPr>
        <w:numPr>
          <w:ilvl w:val="0"/>
          <w:numId w:val="1008"/>
        </w:numPr>
        <w:pStyle w:val="Compact"/>
      </w:pPr>
      <w:r>
        <w:t xml:space="preserve">Concession / PPP status?</w:t>
      </w:r>
    </w:p>
    <w:p>
      <w:pPr>
        <w:numPr>
          <w:ilvl w:val="0"/>
          <w:numId w:val="1008"/>
        </w:numPr>
        <w:pStyle w:val="Compact"/>
      </w:pPr>
      <w:r>
        <w:t xml:space="preserve">Legality of verification / document fees?</w:t>
      </w:r>
    </w:p>
    <w:p>
      <w:pPr>
        <w:numPr>
          <w:ilvl w:val="0"/>
          <w:numId w:val="1008"/>
        </w:numPr>
        <w:pStyle w:val="Compact"/>
      </w:pPr>
      <w:r>
        <w:t xml:space="preserve">Who may hold EMD and guarantees?</w:t>
      </w:r>
    </w:p>
    <w:p>
      <w:pPr>
        <w:numPr>
          <w:ilvl w:val="0"/>
          <w:numId w:val="1008"/>
        </w:numPr>
        <w:pStyle w:val="Compact"/>
      </w:pPr>
      <w:r>
        <w:t xml:space="preserve">Float-interest entitlement?</w:t>
      </w:r>
    </w:p>
    <w:p>
      <w:pPr>
        <w:numPr>
          <w:ilvl w:val="0"/>
          <w:numId w:val="1008"/>
        </w:numPr>
        <w:pStyle w:val="Compact"/>
      </w:pPr>
      <w:r>
        <w:t xml:space="preserve">Bond-terms disclosure obligations?</w:t>
      </w:r>
    </w:p>
    <w:p>
      <w:pPr>
        <w:pStyle w:val="FirstParagraph"/>
      </w:pPr>
      <w:r>
        <w:rPr>
          <w:bCs/>
          <w:b/>
        </w:rPr>
        <w:t xml:space="preserve">Client must engage counsel</w:t>
      </w:r>
      <w:r>
        <w:t xml:space="preserve"> </w:t>
      </w:r>
      <w:r>
        <w:t xml:space="preserve">in UK, Kazakhstan and Luxembourg</w:t>
      </w:r>
      <w:r>
        <w:t xml:space="preserve"> </w:t>
      </w:r>
      <w:r>
        <w:rPr>
          <w:bCs/>
          <w:b/>
        </w:rPr>
        <w:t xml:space="preserve">before Phase-1 go-live</w:t>
      </w:r>
      <w:r>
        <w:t xml:space="preserve">.</w:t>
      </w:r>
    </w:p>
    <w:bookmarkEnd w:id="29"/>
    <w:bookmarkStart w:id="30" w:name="X57dee9f777ad8f312a0227d81014a049887e0ed"/>
    <w:p>
      <w:pPr>
        <w:pStyle w:val="Heading3"/>
      </w:pPr>
      <w:r>
        <w:t xml:space="preserve">Decision 5 — GitHub org &amp; AWS account ownership</w:t>
      </w:r>
    </w:p>
    <w:p>
      <w:pPr>
        <w:pStyle w:val="FirstParagraph"/>
      </w:pPr>
      <w:r>
        <w:t xml:space="preserve">Doc 2 assumes a</w:t>
      </w:r>
      <w:r>
        <w:t xml:space="preserve"> </w:t>
      </w:r>
      <w:r>
        <w:rPr>
          <w:rStyle w:val="VerbatimChar"/>
          <w:bCs/>
          <w:b/>
        </w:rPr>
        <w:t xml:space="preserve">pmc-managers</w:t>
      </w:r>
      <w:r>
        <w:rPr>
          <w:bCs/>
          <w:b/>
        </w:rPr>
        <w:t xml:space="preserve"> </w:t>
      </w:r>
      <w:r>
        <w:rPr>
          <w:bCs/>
          <w:b/>
        </w:rPr>
        <w:t xml:space="preserve">GitHub org with five repos</w:t>
      </w:r>
      <w:r>
        <w:t xml:space="preserve"> </w:t>
      </w:r>
      <w:r>
        <w:t xml:space="preserve">and a dedicated AWS account with Terraform-managed infra. Both must exist and be owned by the correct legal entity before we can begin.</w:t>
      </w:r>
    </w:p>
    <w:p>
      <w:pPr>
        <w:pStyle w:val="BodyText"/>
      </w:pPr>
      <w:r>
        <w:rPr>
          <w:bCs/>
          <w:b/>
        </w:rPr>
        <w:t xml:space="preserve">Client must:</w:t>
      </w:r>
      <w:r>
        <w:t xml:space="preserve"> </w:t>
      </w:r>
      <w:r>
        <w:t xml:space="preserve">- Create/nominate the AWS account (payer, region, tag policy).</w:t>
      </w:r>
      <w:r>
        <w:t xml:space="preserve"> </w:t>
      </w:r>
      <w:r>
        <w:t xml:space="preserve">- Create/nominate the GitHub org with billing plan.</w:t>
      </w:r>
      <w:r>
        <w:t xml:space="preserve"> </w:t>
      </w:r>
      <w:r>
        <w:t xml:space="preserve">- Confirm who owns the Terraform state (recommend an S3 backend with lock table in the same AWS account).</w:t>
      </w:r>
    </w:p>
    <w:p>
      <w:r>
        <w:pict>
          <v:rect style="width:0;height:1.5pt" o:hralign="center" o:hrstd="t" o:hr="t"/>
        </w:pict>
      </w:r>
    </w:p>
    <w:bookmarkEnd w:id="30"/>
    <w:bookmarkEnd w:id="31"/>
    <w:bookmarkStart w:id="40" w:name="proposed-phased-roadmap"/>
    <w:p>
      <w:pPr>
        <w:pStyle w:val="Heading2"/>
      </w:pPr>
      <w:r>
        <w:t xml:space="preserve">6. Proposed Phased Roadmap</w:t>
      </w:r>
    </w:p>
    <w:p>
      <w:pPr>
        <w:pStyle w:val="FirstParagraph"/>
      </w:pPr>
      <w:r>
        <w:t xml:space="preserve">Assuming the client agrees to Option C (hybrid — extend + build new apps in AWS):</w:t>
      </w:r>
    </w:p>
    <w:bookmarkStart w:id="32" w:name="Xf813a512b6db59445f54166942d1b53fff0b38b"/>
    <w:p>
      <w:pPr>
        <w:pStyle w:val="Heading3"/>
      </w:pPr>
      <w:r>
        <w:t xml:space="preserve">Phase 0 — Governance &amp; Legal (Weeks 1–4, in parallel)</w:t>
      </w:r>
    </w:p>
    <w:p>
      <w:pPr>
        <w:numPr>
          <w:ilvl w:val="0"/>
          <w:numId w:val="1009"/>
        </w:numPr>
        <w:pStyle w:val="Compact"/>
      </w:pPr>
      <w:r>
        <w:t xml:space="preserve">Counsel engaged on 6 open legal questions</w:t>
      </w:r>
    </w:p>
    <w:p>
      <w:pPr>
        <w:numPr>
          <w:ilvl w:val="0"/>
          <w:numId w:val="1009"/>
        </w:numPr>
        <w:pStyle w:val="Compact"/>
      </w:pPr>
      <w:r>
        <w:t xml:space="preserve">Escrow Agent, Guarantee Bank, Bond Trustee identified &amp; LOI’d</w:t>
      </w:r>
    </w:p>
    <w:p>
      <w:pPr>
        <w:numPr>
          <w:ilvl w:val="0"/>
          <w:numId w:val="1009"/>
        </w:numPr>
        <w:pStyle w:val="Compact"/>
      </w:pPr>
      <w:r>
        <w:t xml:space="preserve">AWS account + GitHub org provisioned</w:t>
      </w:r>
    </w:p>
    <w:p>
      <w:pPr>
        <w:numPr>
          <w:ilvl w:val="0"/>
          <w:numId w:val="1009"/>
        </w:numPr>
        <w:pStyle w:val="Compact"/>
      </w:pPr>
      <w:r>
        <w:t xml:space="preserve">Terraform bootstrap (Part 1 of Doc 2)</w:t>
      </w:r>
    </w:p>
    <w:bookmarkEnd w:id="32"/>
    <w:bookmarkStart w:id="33" w:name="phase-1-aws-foundation-weeks-23"/>
    <w:p>
      <w:pPr>
        <w:pStyle w:val="Heading3"/>
      </w:pPr>
      <w:r>
        <w:t xml:space="preserve">Phase 1 — AWS Foundation (Weeks 2–3)</w:t>
      </w:r>
    </w:p>
    <w:p>
      <w:pPr>
        <w:numPr>
          <w:ilvl w:val="0"/>
          <w:numId w:val="1010"/>
        </w:numPr>
        <w:pStyle w:val="Compact"/>
      </w:pPr>
      <w:r>
        <w:t xml:space="preserve">Terraform provisions RDS, S3 (Object Lock), Cognito, ECS, SES, Secrets Manager, CloudWatch</w:t>
      </w:r>
    </w:p>
    <w:p>
      <w:pPr>
        <w:numPr>
          <w:ilvl w:val="0"/>
          <w:numId w:val="1010"/>
        </w:numPr>
        <w:pStyle w:val="Compact"/>
      </w:pPr>
      <w:r>
        <w:rPr>
          <w:bCs/>
          <w:b/>
        </w:rPr>
        <w:t xml:space="preserve">Object Lock configured at bucket creation</w:t>
      </w:r>
      <w:r>
        <w:t xml:space="preserve"> </w:t>
      </w:r>
      <w:r>
        <w:t xml:space="preserve">(Doc 2 warns this is irreversible)</w:t>
      </w:r>
    </w:p>
    <w:p>
      <w:pPr>
        <w:numPr>
          <w:ilvl w:val="0"/>
          <w:numId w:val="1010"/>
        </w:numPr>
        <w:pStyle w:val="Compact"/>
      </w:pPr>
      <w:r>
        <w:rPr>
          <w:rStyle w:val="VerbatimChar"/>
        </w:rPr>
        <w:t xml:space="preserve">pmc-api</w:t>
      </w:r>
      <w:r>
        <w:t xml:space="preserve"> </w:t>
      </w:r>
      <w:r>
        <w:t xml:space="preserve">FastAPI + SQLAlchemy scaffolded on Fargate</w:t>
      </w:r>
    </w:p>
    <w:p>
      <w:pPr>
        <w:numPr>
          <w:ilvl w:val="0"/>
          <w:numId w:val="1010"/>
        </w:numPr>
        <w:pStyle w:val="Compact"/>
      </w:pPr>
      <w:r>
        <w:t xml:space="preserve">RLS policies + tenant middleware working (RLS proof-test 5, 7, 8, 9 in Doc 2 Part 7)</w:t>
      </w:r>
    </w:p>
    <w:bookmarkEnd w:id="33"/>
    <w:bookmarkStart w:id="34" w:name="phase-2-app-4-public-notice-board-week-4"/>
    <w:p>
      <w:pPr>
        <w:pStyle w:val="Heading3"/>
      </w:pPr>
      <w:r>
        <w:t xml:space="preserve">Phase 2 — App 4 Public Notice Board (Week 4)</w:t>
      </w:r>
    </w:p>
    <w:p>
      <w:pPr>
        <w:numPr>
          <w:ilvl w:val="0"/>
          <w:numId w:val="1011"/>
        </w:numPr>
        <w:pStyle w:val="Compact"/>
      </w:pPr>
      <w:r>
        <w:t xml:space="preserve">Next.js SSR, no auth, SEO + JSON-LD</w:t>
      </w:r>
    </w:p>
    <w:p>
      <w:pPr>
        <w:numPr>
          <w:ilvl w:val="0"/>
          <w:numId w:val="1011"/>
        </w:numPr>
        <w:pStyle w:val="Compact"/>
      </w:pPr>
      <w:r>
        <w:t xml:space="preserve">Reuses existing v2.0 tender data via a read-only sync/export bridge until full migration</w:t>
      </w:r>
    </w:p>
    <w:bookmarkEnd w:id="34"/>
    <w:bookmarkStart w:id="35" w:name="Xe5ac3674c50570d37feef032a5aacecbebaca26"/>
    <w:p>
      <w:pPr>
        <w:pStyle w:val="Heading3"/>
      </w:pPr>
      <w:r>
        <w:t xml:space="preserve">Phase 3 — App 2 Package Tracker in Retool (Weeks 4–5)</w:t>
      </w:r>
    </w:p>
    <w:p>
      <w:pPr>
        <w:numPr>
          <w:ilvl w:val="0"/>
          <w:numId w:val="1012"/>
        </w:numPr>
        <w:pStyle w:val="Compact"/>
      </w:pPr>
      <w:r>
        <w:t xml:space="preserve">203 KZ packages CSV imported</w:t>
      </w:r>
    </w:p>
    <w:p>
      <w:pPr>
        <w:numPr>
          <w:ilvl w:val="0"/>
          <w:numId w:val="1012"/>
        </w:numPr>
        <w:pStyle w:val="Compact"/>
      </w:pPr>
      <w:r>
        <w:t xml:space="preserve">Contract &amp; milestone setup (this is the data App 1 consumes)</w:t>
      </w:r>
    </w:p>
    <w:bookmarkEnd w:id="35"/>
    <w:bookmarkStart w:id="36" w:name="Xe30d7ea81af763cf1159d25f53e65b7bf276f05"/>
    <w:p>
      <w:pPr>
        <w:pStyle w:val="Heading3"/>
      </w:pPr>
      <w:r>
        <w:t xml:space="preserve">Phase 4 — App 1 Milestone Evidence Capture (Weeks 5–7)</w:t>
      </w:r>
    </w:p>
    <w:p>
      <w:pPr>
        <w:numPr>
          <w:ilvl w:val="0"/>
          <w:numId w:val="1013"/>
        </w:numPr>
        <w:pStyle w:val="Compact"/>
      </w:pPr>
      <w:r>
        <w:t xml:space="preserve">React Native mobile</w:t>
      </w:r>
    </w:p>
    <w:p>
      <w:pPr>
        <w:numPr>
          <w:ilvl w:val="0"/>
          <w:numId w:val="1013"/>
        </w:numPr>
        <w:pStyle w:val="Compact"/>
      </w:pPr>
      <w:r>
        <w:t xml:space="preserve">SQLite offline queue</w:t>
      </w:r>
    </w:p>
    <w:p>
      <w:pPr>
        <w:numPr>
          <w:ilvl w:val="0"/>
          <w:numId w:val="1013"/>
        </w:numPr>
        <w:pStyle w:val="Compact"/>
      </w:pPr>
      <w:r>
        <w:t xml:space="preserve">Presign → S3 → sync flow (idempotency, immutability, Object Lock proofs)</w:t>
      </w:r>
    </w:p>
    <w:p>
      <w:pPr>
        <w:numPr>
          <w:ilvl w:val="0"/>
          <w:numId w:val="1013"/>
        </w:numPr>
        <w:pStyle w:val="Compact"/>
      </w:pPr>
      <w:r>
        <w:t xml:space="preserve">Two site-device pilot</w:t>
      </w:r>
    </w:p>
    <w:bookmarkEnd w:id="36"/>
    <w:bookmarkStart w:id="37" w:name="X36306d22c1e708c3b9ee2ead4929318cca60e39"/>
    <w:p>
      <w:pPr>
        <w:pStyle w:val="Heading3"/>
      </w:pPr>
      <w:r>
        <w:t xml:space="preserve">Phase 5 — App 3 Pre-Tender Registration Portal (Weeks 7–12)</w:t>
      </w:r>
    </w:p>
    <w:p>
      <w:pPr>
        <w:numPr>
          <w:ilvl w:val="0"/>
          <w:numId w:val="1014"/>
        </w:numPr>
        <w:pStyle w:val="Compact"/>
      </w:pPr>
      <w:r>
        <w:t xml:space="preserve">Rebuild vendor registration in the new stack (reuses v2.0 form logic as spec)</w:t>
      </w:r>
    </w:p>
    <w:p>
      <w:pPr>
        <w:numPr>
          <w:ilvl w:val="0"/>
          <w:numId w:val="1014"/>
        </w:numPr>
        <w:pStyle w:val="Compact"/>
      </w:pPr>
      <w:r>
        <w:t xml:space="preserve">EN/RU/KK</w:t>
      </w:r>
    </w:p>
    <w:p>
      <w:pPr>
        <w:numPr>
          <w:ilvl w:val="0"/>
          <w:numId w:val="1014"/>
        </w:numPr>
        <w:pStyle w:val="Compact"/>
      </w:pPr>
      <w:r>
        <w:t xml:space="preserve">Magic-link resume</w:t>
      </w:r>
    </w:p>
    <w:p>
      <w:pPr>
        <w:numPr>
          <w:ilvl w:val="0"/>
          <w:numId w:val="1014"/>
        </w:numPr>
        <w:pStyle w:val="Compact"/>
      </w:pPr>
      <w:r>
        <w:t xml:space="preserve">Approval workflow ties into existing v2.0 admin queue via API bridge, or fully migrates</w:t>
      </w:r>
    </w:p>
    <w:bookmarkEnd w:id="37"/>
    <w:bookmarkStart w:id="38" w:name="X64cee57c99be36dd9944902787831c775d7b83d"/>
    <w:p>
      <w:pPr>
        <w:pStyle w:val="Heading3"/>
      </w:pPr>
      <w:r>
        <w:t xml:space="preserve">Phase 6 — Certified-instruction &amp; Escrow Bridge (Weeks 10+)</w:t>
      </w:r>
    </w:p>
    <w:p>
      <w:pPr>
        <w:numPr>
          <w:ilvl w:val="0"/>
          <w:numId w:val="1015"/>
        </w:numPr>
        <w:pStyle w:val="Compact"/>
      </w:pPr>
      <w:r>
        <w:t xml:space="preserve">Machine-readable release instructions to appointed escrow agent</w:t>
      </w:r>
    </w:p>
    <w:p>
      <w:pPr>
        <w:numPr>
          <w:ilvl w:val="0"/>
          <w:numId w:val="1015"/>
        </w:numPr>
        <w:pStyle w:val="Compact"/>
      </w:pPr>
      <w:r>
        <w:t xml:space="preserve">Reconciliation dashboards</w:t>
      </w:r>
    </w:p>
    <w:p>
      <w:pPr>
        <w:numPr>
          <w:ilvl w:val="0"/>
          <w:numId w:val="1015"/>
        </w:numPr>
        <w:pStyle w:val="Compact"/>
      </w:pPr>
      <w:r>
        <w:t xml:space="preserve">Related-party register + float-interest disclosure UI</w:t>
      </w:r>
    </w:p>
    <w:bookmarkEnd w:id="38"/>
    <w:bookmarkStart w:id="39" w:name="Xdbf5c5f03cf63a76364f34d11723b3401d5d0b3"/>
    <w:p>
      <w:pPr>
        <w:pStyle w:val="Heading3"/>
      </w:pPr>
      <w:r>
        <w:t xml:space="preserve">Phase 7 — v2.0 Bidding Platform Decision (post-Phase 5)</w:t>
      </w:r>
    </w:p>
    <w:p>
      <w:pPr>
        <w:numPr>
          <w:ilvl w:val="0"/>
          <w:numId w:val="1016"/>
        </w:numPr>
        <w:pStyle w:val="Compact"/>
      </w:pPr>
      <w:r>
        <w:t xml:space="preserve">Depending on Client decision, either:</w:t>
      </w:r>
    </w:p>
    <w:p>
      <w:pPr>
        <w:numPr>
          <w:ilvl w:val="1"/>
          <w:numId w:val="1017"/>
        </w:numPr>
        <w:pStyle w:val="Compact"/>
      </w:pPr>
      <w:r>
        <w:t xml:space="preserve">Migrate v2.0 bidding module onto AWS stack, OR</w:t>
      </w:r>
    </w:p>
    <w:p>
      <w:pPr>
        <w:numPr>
          <w:ilvl w:val="1"/>
          <w:numId w:val="1017"/>
        </w:numPr>
        <w:pStyle w:val="Compact"/>
      </w:pPr>
      <w:r>
        <w:t xml:space="preserve">Keep v2.0 on Emergent as the bidding platform and integrate via API, OR</w:t>
      </w:r>
    </w:p>
    <w:p>
      <w:pPr>
        <w:numPr>
          <w:ilvl w:val="1"/>
          <w:numId w:val="1017"/>
        </w:numPr>
        <w:pStyle w:val="Compact"/>
      </w:pPr>
      <w:r>
        <w:t xml:space="preserve">Decommission v2.0 bidding</w:t>
      </w:r>
    </w:p>
    <w:p>
      <w:r>
        <w:pict>
          <v:rect style="width:0;height:1.5pt" o:hralign="center" o:hrstd="t" o:hr="t"/>
        </w:pict>
      </w:r>
    </w:p>
    <w:bookmarkEnd w:id="39"/>
    <w:bookmarkEnd w:id="40"/>
    <w:bookmarkStart w:id="41" w:name="risks-considerations"/>
    <w:p>
      <w:pPr>
        <w:pStyle w:val="Heading2"/>
      </w:pPr>
      <w:r>
        <w:t xml:space="preserve">7. Risks &amp; Considerations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rPr>
                <w:bCs/>
                <w:b/>
              </w:rPr>
              <w:t xml:space="preserve">Object Lock is irreversible</w:t>
            </w:r>
            <w:r>
              <w:t xml:space="preserve"> </w:t>
            </w:r>
            <w:r>
              <w:t xml:space="preserve">— a wrong config on day one means rebuilding the bucket later and losing chain-of-custody on everything already in it (Doc 2 warns explicitly)</w:t>
            </w:r>
          </w:p>
        </w:tc>
        <w:tc>
          <w:tcPr/>
          <w:p>
            <w:pPr>
              <w:pStyle w:val="Compact"/>
              <w:jc w:val="left"/>
            </w:pPr>
            <w:r>
              <w:t xml:space="preserve">HIGH</w:t>
            </w:r>
          </w:p>
        </w:tc>
        <w:tc>
          <w:tcPr/>
          <w:p>
            <w:pPr>
              <w:pStyle w:val="Compact"/>
              <w:jc w:val="left"/>
            </w:pPr>
            <w:r>
              <w:t xml:space="preserve">Dry-run in a non-prod bucket first; run the Object-Lock refusal test (Part 7 item 9) before any real evidence uploaded</w:t>
            </w:r>
          </w:p>
        </w:tc>
      </w:tr>
      <w:tr>
        <w:tc>
          <w:tcPr/>
          <w:p>
            <w:pPr>
              <w:pStyle w:val="Compact"/>
              <w:jc w:val="left"/>
            </w:pPr>
            <w:r>
              <w:rPr>
                <w:bCs/>
                <w:b/>
              </w:rPr>
              <w:t xml:space="preserve">RLS silent failure</w:t>
            </w:r>
            <w:r>
              <w:t xml:space="preserve"> </w:t>
            </w:r>
            <w:r>
              <w:t xml:space="preserve">—</w:t>
            </w:r>
            <w:r>
              <w:t xml:space="preserve"> </w:t>
            </w:r>
            <w:r>
              <w:rPr>
                <w:rStyle w:val="VerbatimChar"/>
              </w:rPr>
              <w:t xml:space="preserve">set local</w:t>
            </w:r>
            <w:r>
              <w:t xml:space="preserve"> </w:t>
            </w:r>
            <w:r>
              <w:t xml:space="preserve">outside a transaction returns zero rows silently (Doc 2 4.1)</w:t>
            </w:r>
          </w:p>
        </w:tc>
        <w:tc>
          <w:tcPr/>
          <w:p>
            <w:pPr>
              <w:pStyle w:val="Compact"/>
              <w:jc w:val="left"/>
            </w:pPr>
            <w:r>
              <w:t xml:space="preserve">HIGH</w:t>
            </w:r>
          </w:p>
        </w:tc>
        <w:tc>
          <w:tcPr/>
          <w:p>
            <w:pPr>
              <w:pStyle w:val="Compact"/>
              <w:jc w:val="left"/>
            </w:pPr>
            <w:r>
              <w:t xml:space="preserve">Explicit failure-mode test (Part 7 item 5) written into CI</w:t>
            </w:r>
          </w:p>
        </w:tc>
      </w:tr>
      <w:tr>
        <w:tc>
          <w:tcPr/>
          <w:p>
            <w:pPr>
              <w:pStyle w:val="Compact"/>
              <w:jc w:val="left"/>
            </w:pPr>
            <w:r>
              <w:rPr>
                <w:bCs/>
                <w:b/>
              </w:rPr>
              <w:t xml:space="preserve">v2.0 investment write-off</w:t>
            </w:r>
            <w:r>
              <w:t xml:space="preserve"> </w:t>
            </w:r>
            <w:r>
              <w:t xml:space="preserve">— if Option A (full replatform) is chosen, ~4 months of v2.0 work becomes reference material, not running code</w:t>
            </w:r>
          </w:p>
        </w:tc>
        <w:tc>
          <w:tcPr/>
          <w:p>
            <w:pPr>
              <w:pStyle w:val="Compact"/>
              <w:jc w:val="left"/>
            </w:pPr>
            <w:r>
              <w:t xml:space="preserve">HIGH (financial)</w:t>
            </w:r>
          </w:p>
        </w:tc>
        <w:tc>
          <w:tcPr/>
          <w:p>
            <w:pPr>
              <w:pStyle w:val="Compact"/>
              <w:jc w:val="left"/>
            </w:pPr>
            <w:r>
              <w:t xml:space="preserve">Reuse spec, form structure, UX patterns, evaluation logic as documentation for the AWS rebuild</w:t>
            </w:r>
          </w:p>
        </w:tc>
      </w:tr>
      <w:tr>
        <w:tc>
          <w:tcPr/>
          <w:p>
            <w:pPr>
              <w:pStyle w:val="Compact"/>
              <w:jc w:val="left"/>
            </w:pPr>
            <w:r>
              <w:rPr>
                <w:bCs/>
                <w:b/>
              </w:rPr>
              <w:t xml:space="preserve">Regulatory delay</w:t>
            </w:r>
            <w:r>
              <w:t xml:space="preserve"> </w:t>
            </w:r>
            <w:r>
              <w:t xml:space="preserve">— 6 open legal questions could delay real-money go-live by 3–6 months</w:t>
            </w:r>
          </w:p>
        </w:tc>
        <w:tc>
          <w:tcPr/>
          <w:p>
            <w:pPr>
              <w:pStyle w:val="Compact"/>
              <w:jc w:val="left"/>
            </w:pPr>
            <w:r>
              <w:t xml:space="preserve">HIGH</w:t>
            </w:r>
          </w:p>
        </w:tc>
        <w:tc>
          <w:tcPr/>
          <w:p>
            <w:pPr>
              <w:pStyle w:val="Compact"/>
              <w:jc w:val="left"/>
            </w:pPr>
            <w:r>
              <w:t xml:space="preserve">Build against</w:t>
            </w:r>
            <w:r>
              <w:t xml:space="preserve"> </w:t>
            </w:r>
            <w:r>
              <w:rPr>
                <w:bCs/>
                <w:b/>
              </w:rPr>
              <w:t xml:space="preserve">mock escrow</w:t>
            </w:r>
            <w:r>
              <w:t xml:space="preserve"> </w:t>
            </w:r>
            <w:r>
              <w:t xml:space="preserve">endpoints so the platform is ready before the appointments are finalised</w:t>
            </w:r>
          </w:p>
        </w:tc>
      </w:tr>
      <w:tr>
        <w:tc>
          <w:tcPr/>
          <w:p>
            <w:pPr>
              <w:pStyle w:val="Compact"/>
              <w:jc w:val="left"/>
            </w:pPr>
            <w:r>
              <w:rPr>
                <w:bCs/>
                <w:b/>
              </w:rPr>
              <w:t xml:space="preserve">Multi-tenancy retrofit</w:t>
            </w:r>
            <w:r>
              <w:t xml:space="preserve"> </w:t>
            </w:r>
            <w:r>
              <w:t xml:space="preserve">— v2.0 is single-tenant. AWS build is multi-tenant with</w:t>
            </w:r>
            <w:r>
              <w:t xml:space="preserve"> </w:t>
            </w:r>
            <w:r>
              <w:rPr>
                <w:rStyle w:val="VerbatimChar"/>
              </w:rPr>
              <w:t xml:space="preserve">tenant_id</w:t>
            </w:r>
            <w:r>
              <w:t xml:space="preserve"> </w:t>
            </w:r>
            <w:r>
              <w:t xml:space="preserve">everywhere. Migrating existing data means synthesising a tenant_id per record.</w:t>
            </w:r>
          </w:p>
        </w:tc>
        <w:tc>
          <w:tcPr/>
          <w:p>
            <w:pPr>
              <w:pStyle w:val="Compact"/>
              <w:jc w:val="left"/>
            </w:pPr>
            <w:r>
              <w:t xml:space="preserve">MEDIUM</w:t>
            </w:r>
          </w:p>
        </w:tc>
        <w:tc>
          <w:tcPr/>
          <w:p>
            <w:pPr>
              <w:pStyle w:val="Compact"/>
              <w:jc w:val="left"/>
            </w:pPr>
            <w:r>
              <w:t xml:space="preserve">Snapshot v2.0 as tenant #1 during migration</w:t>
            </w:r>
          </w:p>
        </w:tc>
      </w:tr>
      <w:tr>
        <w:tc>
          <w:tcPr/>
          <w:p>
            <w:pPr>
              <w:pStyle w:val="Compact"/>
              <w:jc w:val="left"/>
            </w:pPr>
            <w:r>
              <w:rPr>
                <w:bCs/>
                <w:b/>
              </w:rPr>
              <w:t xml:space="preserve">Cognito ≠ Emergent Google OAuth</w:t>
            </w:r>
            <w:r>
              <w:t xml:space="preserve"> </w:t>
            </w:r>
            <w:r>
              <w:t xml:space="preserve">— existing users have Emergent-managed identities. Migration to Cognito is a one-way door for existing session state.</w:t>
            </w:r>
          </w:p>
        </w:tc>
        <w:tc>
          <w:tcPr/>
          <w:p>
            <w:pPr>
              <w:pStyle w:val="Compact"/>
              <w:jc w:val="left"/>
            </w:pPr>
            <w:r>
              <w:t xml:space="preserve">MEDIUM</w:t>
            </w:r>
          </w:p>
        </w:tc>
        <w:tc>
          <w:tcPr/>
          <w:p>
            <w:pPr>
              <w:pStyle w:val="Compact"/>
              <w:jc w:val="left"/>
            </w:pPr>
            <w:r>
              <w:t xml:space="preserve">Password reset flow for all existing users at cutover; SES email templates prepared</w:t>
            </w:r>
          </w:p>
        </w:tc>
      </w:tr>
      <w:tr>
        <w:tc>
          <w:tcPr/>
          <w:p>
            <w:pPr>
              <w:pStyle w:val="Compact"/>
              <w:jc w:val="left"/>
            </w:pPr>
            <w:r>
              <w:rPr>
                <w:bCs/>
                <w:b/>
              </w:rPr>
              <w:t xml:space="preserve">Stripe out-of-scope</w:t>
            </w:r>
            <w:r>
              <w:t xml:space="preserve"> </w:t>
            </w:r>
            <w:r>
              <w:t xml:space="preserve">— Doc 2 Part 5 explicitly excludes payment processing. Existing Stripe integration must be retired or moved out of the AWS build.</w:t>
            </w:r>
          </w:p>
        </w:tc>
        <w:tc>
          <w:tcPr/>
          <w:p>
            <w:pPr>
              <w:pStyle w:val="Compact"/>
              <w:jc w:val="left"/>
            </w:pPr>
            <w:r>
              <w:t xml:space="preserve">MEDIUM</w:t>
            </w:r>
          </w:p>
        </w:tc>
        <w:tc>
          <w:tcPr/>
          <w:p>
            <w:pPr>
              <w:pStyle w:val="Compact"/>
              <w:jc w:val="left"/>
            </w:pPr>
            <w:r>
              <w:t xml:space="preserve">Retain Stripe only in v2.0; new AWS build never touches payments (per doc)</w:t>
            </w:r>
          </w:p>
        </w:tc>
      </w:tr>
      <w:tr>
        <w:tc>
          <w:tcPr/>
          <w:p>
            <w:pPr>
              <w:pStyle w:val="Compact"/>
              <w:jc w:val="left"/>
            </w:pPr>
            <w:r>
              <w:rPr>
                <w:bCs/>
                <w:b/>
              </w:rPr>
              <w:t xml:space="preserve">Kazakh + Russian + English language load</w:t>
            </w:r>
            <w:r>
              <w:t xml:space="preserve"> </w:t>
            </w:r>
            <w:r>
              <w:t xml:space="preserve">— App 3 requires KK; current i18n is EN/RU + partial KK</w:t>
            </w:r>
          </w:p>
        </w:tc>
        <w:tc>
          <w:tcPr/>
          <w:p>
            <w:pPr>
              <w:pStyle w:val="Compact"/>
              <w:jc w:val="left"/>
            </w:pPr>
            <w:r>
              <w:t xml:space="preserve">LOW</w:t>
            </w:r>
          </w:p>
        </w:tc>
        <w:tc>
          <w:tcPr/>
          <w:p>
            <w:pPr>
              <w:pStyle w:val="Compact"/>
              <w:jc w:val="left"/>
            </w:pPr>
            <w:r>
              <w:t xml:space="preserve">Complete KK strings during App 3 build</w:t>
            </w:r>
          </w:p>
        </w:tc>
      </w:tr>
      <w:tr>
        <w:tc>
          <w:tcPr/>
          <w:p>
            <w:pPr>
              <w:pStyle w:val="Compact"/>
              <w:jc w:val="left"/>
            </w:pPr>
            <w:r>
              <w:rPr>
                <w:bCs/>
                <w:b/>
              </w:rPr>
              <w:t xml:space="preserve">GitHub push blocker</w:t>
            </w:r>
            <w:r>
              <w:t xml:space="preserve"> </w:t>
            </w:r>
            <w:r>
              <w:t xml:space="preserve">(current)</w:t>
            </w:r>
          </w:p>
        </w:tc>
        <w:tc>
          <w:tcPr/>
          <w:p>
            <w:pPr>
              <w:pStyle w:val="Compact"/>
              <w:jc w:val="left"/>
            </w:pPr>
            <w:r>
              <w:t xml:space="preserve">LOW</w:t>
            </w:r>
          </w:p>
        </w:tc>
        <w:tc>
          <w:tcPr/>
          <w:p>
            <w:pPr>
              <w:pStyle w:val="Compact"/>
              <w:jc w:val="left"/>
            </w:pPr>
            <w:r>
              <w:t xml:space="preserve">Resolve via OAuth flow (see prior guidance) before Phase 0</w:t>
            </w:r>
          </w:p>
        </w:tc>
      </w:tr>
    </w:tbl>
    <w:p>
      <w:r>
        <w:pict>
          <v:rect style="width:0;height:1.5pt" o:hralign="center" o:hrstd="t" o:hr="t"/>
        </w:pict>
      </w:r>
    </w:p>
    <w:bookmarkEnd w:id="41"/>
    <w:bookmarkStart w:id="42" w:name="cost-timeline-summary"/>
    <w:p>
      <w:pPr>
        <w:pStyle w:val="Heading2"/>
      </w:pPr>
      <w:r>
        <w:t xml:space="preserve">8. Cost &amp; Timeline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Baseline (delivered v2.0)</w:t>
            </w:r>
          </w:p>
        </w:tc>
        <w:tc>
          <w:tcPr/>
          <w:p>
            <w:pPr>
              <w:pStyle w:val="Compact"/>
              <w:jc w:val="left"/>
            </w:pPr>
            <w:r>
              <w:t xml:space="preserve">New Scope (Option C hybrid)</w:t>
            </w:r>
          </w:p>
        </w:tc>
      </w:tr>
      <w:tr>
        <w:tc>
          <w:tcPr/>
          <w:p>
            <w:pPr>
              <w:pStyle w:val="Compact"/>
              <w:jc w:val="left"/>
            </w:pPr>
            <w:r>
              <w:rPr>
                <w:bCs/>
                <w:b/>
              </w:rPr>
              <w:t xml:space="preserve">Build effort remaining</w:t>
            </w:r>
          </w:p>
        </w:tc>
        <w:tc>
          <w:tcPr/>
          <w:p>
            <w:pPr>
              <w:pStyle w:val="Compact"/>
              <w:jc w:val="left"/>
            </w:pPr>
            <w:r>
              <w:t xml:space="preserve">~0 (production-ready)</w:t>
            </w:r>
          </w:p>
        </w:tc>
        <w:tc>
          <w:tcPr/>
          <w:p>
            <w:pPr>
              <w:pStyle w:val="Compact"/>
              <w:jc w:val="left"/>
            </w:pPr>
            <w:r>
              <w:t xml:space="preserve">~10–12 weeks across 4 apps + API + infra</w:t>
            </w:r>
          </w:p>
        </w:tc>
      </w:tr>
      <w:tr>
        <w:tc>
          <w:tcPr/>
          <w:p>
            <w:pPr>
              <w:pStyle w:val="Compact"/>
              <w:jc w:val="left"/>
            </w:pPr>
            <w:r>
              <w:rPr>
                <w:bCs/>
                <w:b/>
              </w:rPr>
              <w:t xml:space="preserve">Monthly OpEx</w:t>
            </w:r>
          </w:p>
        </w:tc>
        <w:tc>
          <w:tcPr/>
          <w:p>
            <w:pPr>
              <w:pStyle w:val="Compact"/>
              <w:jc w:val="left"/>
            </w:pPr>
            <w:r>
              <w:t xml:space="preserve">Emergent subscription only</w:t>
            </w:r>
          </w:p>
        </w:tc>
        <w:tc>
          <w:tcPr/>
          <w:p>
            <w:pPr>
              <w:pStyle w:val="Compact"/>
              <w:jc w:val="left"/>
            </w:pPr>
            <w:r>
              <w:t xml:space="preserve">~$450–525 / month (AWS) + Emergent build months</w:t>
            </w:r>
          </w:p>
        </w:tc>
      </w:tr>
      <w:tr>
        <w:tc>
          <w:tcPr/>
          <w:p>
            <w:pPr>
              <w:pStyle w:val="Compact"/>
              <w:jc w:val="left"/>
            </w:pPr>
            <w:r>
              <w:rPr>
                <w:bCs/>
                <w:b/>
              </w:rPr>
              <w:t xml:space="preserve">Regulatory / Legal cost</w:t>
            </w:r>
          </w:p>
        </w:tc>
        <w:tc>
          <w:tcPr/>
          <w:p>
            <w:pPr>
              <w:pStyle w:val="Compact"/>
              <w:jc w:val="left"/>
            </w:pPr>
            <w:r>
              <w:t xml:space="preserve">Not applicable</w:t>
            </w:r>
          </w:p>
        </w:tc>
        <w:tc>
          <w:tcPr/>
          <w:p>
            <w:pPr>
              <w:pStyle w:val="Compact"/>
              <w:jc w:val="left"/>
            </w:pPr>
            <w:r>
              <w:t xml:space="preserve">3-jurisdiction counsel engagement — external estimate needed</w:t>
            </w:r>
          </w:p>
        </w:tc>
      </w:tr>
      <w:tr>
        <w:tc>
          <w:tcPr/>
          <w:p>
            <w:pPr>
              <w:pStyle w:val="Compact"/>
              <w:jc w:val="left"/>
            </w:pPr>
            <w:r>
              <w:rPr>
                <w:bCs/>
                <w:b/>
              </w:rPr>
              <w:t xml:space="preserve">Third-party appointments</w:t>
            </w:r>
          </w:p>
        </w:tc>
        <w:tc>
          <w:tcPr/>
          <w:p>
            <w:pPr>
              <w:pStyle w:val="Compact"/>
              <w:jc w:val="left"/>
            </w:pPr>
            <w:r>
              <w:t xml:space="preserve">Not applicable</w:t>
            </w:r>
          </w:p>
        </w:tc>
        <w:tc>
          <w:tcPr/>
          <w:p>
            <w:pPr>
              <w:pStyle w:val="Compact"/>
              <w:jc w:val="left"/>
            </w:pPr>
            <w:r>
              <w:t xml:space="preserve">Escrow agent, guarantee bank, trustee, paying agent — negotiate individually</w:t>
            </w:r>
          </w:p>
        </w:tc>
      </w:tr>
      <w:tr>
        <w:tc>
          <w:tcPr/>
          <w:p>
            <w:pPr>
              <w:pStyle w:val="Compact"/>
              <w:jc w:val="left"/>
            </w:pPr>
            <w:r>
              <w:rPr>
                <w:bCs/>
                <w:b/>
              </w:rPr>
              <w:t xml:space="preserve">Risk of write-off</w:t>
            </w:r>
          </w:p>
        </w:tc>
        <w:tc>
          <w:tcPr/>
          <w:p>
            <w:pPr>
              <w:pStyle w:val="Compact"/>
              <w:jc w:val="left"/>
            </w:pPr>
            <w:r>
              <w:t xml:space="preserve">Delivered, protected</w:t>
            </w:r>
          </w:p>
        </w:tc>
        <w:tc>
          <w:tcPr/>
          <w:p>
            <w:pPr>
              <w:pStyle w:val="Compact"/>
              <w:jc w:val="left"/>
            </w:pPr>
            <w:r>
              <w:t xml:space="preserve">HIGH if full-replatform is chosen without hybrid</w:t>
            </w:r>
          </w:p>
        </w:tc>
      </w:tr>
    </w:tbl>
    <w:p>
      <w:r>
        <w:pict>
          <v:rect style="width:0;height:1.5pt" o:hralign="center" o:hrstd="t" o:hr="t"/>
        </w:pict>
      </w:r>
    </w:p>
    <w:bookmarkEnd w:id="42"/>
    <w:bookmarkStart w:id="43" w:name="recommended-client-conversation-agenda"/>
    <w:p>
      <w:pPr>
        <w:pStyle w:val="Heading2"/>
      </w:pPr>
      <w:r>
        <w:t xml:space="preserve">9. Recommended Client Conversation Agenda</w:t>
      </w:r>
    </w:p>
    <w:p>
      <w:pPr>
        <w:pStyle w:val="FirstParagraph"/>
      </w:pPr>
      <w:r>
        <w:t xml:space="preserve">Use this in your meeting.</w:t>
      </w:r>
    </w:p>
    <w:p>
      <w:pPr>
        <w:pStyle w:val="BodyText"/>
      </w:pPr>
      <w:r>
        <w:rPr>
          <w:bCs/>
          <w:b/>
        </w:rPr>
        <w:t xml:space="preserve">Slide 1 — What we already built</w:t>
      </w:r>
      <w:r>
        <w:t xml:space="preserve"> </w:t>
      </w:r>
      <w:r>
        <w:t xml:space="preserve">(5 min) — Show v2.0 dashboard, tender lifecycle, KPI, audit trail. Establish the baseline.</w:t>
      </w:r>
    </w:p>
    <w:p>
      <w:pPr>
        <w:pStyle w:val="BodyText"/>
      </w:pPr>
      <w:r>
        <w:rPr>
          <w:bCs/>
          <w:b/>
        </w:rPr>
        <w:t xml:space="preserve">Slide 2 — The two new documents</w:t>
      </w:r>
      <w:r>
        <w:t xml:space="preserve"> </w:t>
      </w:r>
      <w:r>
        <w:t xml:space="preserve">(5 min) — One is legal-commercial, one is technical. They point in the same direction but sit at different layers.</w:t>
      </w:r>
    </w:p>
    <w:p>
      <w:pPr>
        <w:pStyle w:val="BodyText"/>
      </w:pPr>
      <w:r>
        <w:rPr>
          <w:bCs/>
          <w:b/>
        </w:rPr>
        <w:t xml:space="preserve">Slide 3 — The three shifts</w:t>
      </w:r>
      <w:r>
        <w:t xml:space="preserve"> </w:t>
      </w:r>
      <w:r>
        <w:t xml:space="preserve">(10 min) — Architecture · Scope · Commercial model. Confirm the client actually intends all three.</w:t>
      </w:r>
    </w:p>
    <w:p>
      <w:pPr>
        <w:pStyle w:val="BodyText"/>
      </w:pPr>
      <w:r>
        <w:rPr>
          <w:bCs/>
          <w:b/>
        </w:rPr>
        <w:t xml:space="preserve">Slide 4 — The five decisions we need from you</w:t>
      </w:r>
      <w:r>
        <w:t xml:space="preserve"> </w:t>
      </w:r>
      <w:r>
        <w:t xml:space="preserve">(15 min) — Walk through Section 5 of this doc. Get answers on the record.</w:t>
      </w:r>
    </w:p>
    <w:p>
      <w:pPr>
        <w:pStyle w:val="BodyText"/>
      </w:pPr>
      <w:r>
        <w:rPr>
          <w:bCs/>
          <w:b/>
        </w:rPr>
        <w:t xml:space="preserve">Slide 5 — The proposed hybrid roadmap</w:t>
      </w:r>
      <w:r>
        <w:t xml:space="preserve"> </w:t>
      </w:r>
      <w:r>
        <w:t xml:space="preserve">(10 min) — Section 6. Confirm phasing.</w:t>
      </w:r>
    </w:p>
    <w:p>
      <w:pPr>
        <w:pStyle w:val="BodyText"/>
      </w:pPr>
      <w:r>
        <w:rPr>
          <w:bCs/>
          <w:b/>
        </w:rPr>
        <w:t xml:space="preserve">Slide 6 — Risks &amp; irreversibility warnings</w:t>
      </w:r>
      <w:r>
        <w:t xml:space="preserve"> </w:t>
      </w:r>
      <w:r>
        <w:t xml:space="preserve">(5 min) — Section 7, especially Object Lock and the 6 legal questions.</w:t>
      </w:r>
    </w:p>
    <w:p>
      <w:pPr>
        <w:pStyle w:val="BodyText"/>
      </w:pPr>
      <w:r>
        <w:rPr>
          <w:bCs/>
          <w:b/>
        </w:rPr>
        <w:t xml:space="preserve">Slide 7 — Sign-off &amp; next steps</w:t>
      </w:r>
      <w:r>
        <w:t xml:space="preserve"> </w:t>
      </w:r>
      <w:r>
        <w:t xml:space="preserve">(10 min) — What we start next week; what the client must produce (AWS account, GitHub org, counsel engagement).</w:t>
      </w:r>
    </w:p>
    <w:p>
      <w:r>
        <w:pict>
          <v:rect style="width:0;height:1.5pt" o:hralign="center" o:hrstd="t" o:hr="t"/>
        </w:pict>
      </w:r>
    </w:p>
    <w:bookmarkEnd w:id="43"/>
    <w:bookmarkStart w:id="44" w:name="Xa42fde30d9dff3ac4265124a4a044542a97a8f6"/>
    <w:p>
      <w:pPr>
        <w:pStyle w:val="Heading2"/>
      </w:pPr>
      <w:r>
        <w:t xml:space="preserve">10. Appendix — Terminology Cheat Sheet for Non-Technical Stakeholders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Plain English</w:t>
            </w:r>
          </w:p>
        </w:tc>
      </w:tr>
      <w:tr>
        <w:tc>
          <w:tcPr/>
          <w:p>
            <w:pPr>
              <w:pStyle w:val="Compact"/>
              <w:jc w:val="left"/>
            </w:pPr>
            <w:r>
              <w:rPr>
                <w:bCs/>
                <w:b/>
              </w:rPr>
              <w:t xml:space="preserve">Category A / B money</w:t>
            </w:r>
          </w:p>
        </w:tc>
        <w:tc>
          <w:tcPr/>
          <w:p>
            <w:pPr>
              <w:pStyle w:val="Compact"/>
              <w:jc w:val="left"/>
            </w:pPr>
            <w:r>
              <w:t xml:space="preserve">Money PMC earns (keep it) vs money PMC just watches over (never hold it)</w:t>
            </w:r>
          </w:p>
        </w:tc>
      </w:tr>
      <w:tr>
        <w:tc>
          <w:tcPr/>
          <w:p>
            <w:pPr>
              <w:pStyle w:val="Compact"/>
              <w:jc w:val="left"/>
            </w:pPr>
            <w:r>
              <w:rPr>
                <w:bCs/>
                <w:b/>
              </w:rPr>
              <w:t xml:space="preserve">Escrow</w:t>
            </w:r>
          </w:p>
        </w:tc>
        <w:tc>
          <w:tcPr/>
          <w:p>
            <w:pPr>
              <w:pStyle w:val="Compact"/>
              <w:jc w:val="left"/>
            </w:pPr>
            <w:r>
              <w:t xml:space="preserve">A regulated bank account run by a neutral third party that holds funds until a defined event</w:t>
            </w:r>
          </w:p>
        </w:tc>
      </w:tr>
      <w:tr>
        <w:tc>
          <w:tcPr/>
          <w:p>
            <w:pPr>
              <w:pStyle w:val="Compact"/>
              <w:jc w:val="left"/>
            </w:pPr>
            <w:r>
              <w:rPr>
                <w:bCs/>
                <w:b/>
              </w:rPr>
              <w:t xml:space="preserve">EMD</w:t>
            </w:r>
          </w:p>
        </w:tc>
        <w:tc>
          <w:tcPr/>
          <w:p>
            <w:pPr>
              <w:pStyle w:val="Compact"/>
              <w:jc w:val="left"/>
            </w:pPr>
            <w:r>
              <w:t xml:space="preserve">Bid deposit — bidders lodge it to prove they are serious; refunded if they lose</w:t>
            </w:r>
          </w:p>
        </w:tc>
      </w:tr>
      <w:tr>
        <w:tc>
          <w:tcPr/>
          <w:p>
            <w:pPr>
              <w:pStyle w:val="Compact"/>
              <w:jc w:val="left"/>
            </w:pPr>
            <w:r>
              <w:rPr>
                <w:bCs/>
                <w:b/>
              </w:rPr>
              <w:t xml:space="preserve">Retention</w:t>
            </w:r>
          </w:p>
        </w:tc>
        <w:tc>
          <w:tcPr/>
          <w:p>
            <w:pPr>
              <w:pStyle w:val="Compact"/>
              <w:jc w:val="left"/>
            </w:pPr>
            <w:r>
              <w:t xml:space="preserve">Money held back from a contractor’s payment until they fix any defects after handover</w:t>
            </w:r>
          </w:p>
        </w:tc>
      </w:tr>
      <w:tr>
        <w:tc>
          <w:tcPr/>
          <w:p>
            <w:pPr>
              <w:pStyle w:val="Compact"/>
              <w:jc w:val="left"/>
            </w:pPr>
            <w:r>
              <w:rPr>
                <w:bCs/>
                <w:b/>
              </w:rPr>
              <w:t xml:space="preserve">Certified-instruction workflow</w:t>
            </w:r>
          </w:p>
        </w:tc>
        <w:tc>
          <w:tcPr/>
          <w:p>
            <w:pPr>
              <w:pStyle w:val="Compact"/>
              <w:jc w:val="left"/>
            </w:pPr>
            <w:r>
              <w:t xml:space="preserve">An audit-proof approval process —</w:t>
            </w:r>
            <w:r>
              <w:t xml:space="preserve"> </w:t>
            </w:r>
            <w:r>
              <w:t xml:space="preserve">“</w:t>
            </w:r>
            <w:r>
              <w:t xml:space="preserve">no money moves unless the system says so</w:t>
            </w:r>
            <w:r>
              <w:t xml:space="preserve">”</w:t>
            </w:r>
          </w:p>
        </w:tc>
      </w:tr>
      <w:tr>
        <w:tc>
          <w:tcPr/>
          <w:p>
            <w:pPr>
              <w:pStyle w:val="Compact"/>
              <w:jc w:val="left"/>
            </w:pPr>
            <w:r>
              <w:rPr>
                <w:bCs/>
                <w:b/>
              </w:rPr>
              <w:t xml:space="preserve">Object Lock (Compliance Mode)</w:t>
            </w:r>
          </w:p>
        </w:tc>
        <w:tc>
          <w:tcPr/>
          <w:p>
            <w:pPr>
              <w:pStyle w:val="Compact"/>
              <w:jc w:val="left"/>
            </w:pPr>
            <w:r>
              <w:t xml:space="preserve">AWS S3 feature — once a file is written, nobody can delete or change it (not admins, not the CEO) for the retention period. Regulator-grade evidence.</w:t>
            </w:r>
          </w:p>
        </w:tc>
      </w:tr>
      <w:tr>
        <w:tc>
          <w:tcPr/>
          <w:p>
            <w:pPr>
              <w:pStyle w:val="Compact"/>
              <w:jc w:val="left"/>
            </w:pPr>
            <w:r>
              <w:rPr>
                <w:bCs/>
                <w:b/>
              </w:rPr>
              <w:t xml:space="preserve">Row-Level Security (RLS)</w:t>
            </w:r>
          </w:p>
        </w:tc>
        <w:tc>
          <w:tcPr/>
          <w:p>
            <w:pPr>
              <w:pStyle w:val="Compact"/>
              <w:jc w:val="left"/>
            </w:pPr>
            <w:r>
              <w:t xml:space="preserve">Database-level rule that ensures user X can only see their own tenant’s rows — even if the app has a bug</w:t>
            </w:r>
          </w:p>
        </w:tc>
      </w:tr>
      <w:tr>
        <w:tc>
          <w:tcPr/>
          <w:p>
            <w:pPr>
              <w:pStyle w:val="Compact"/>
              <w:jc w:val="left"/>
            </w:pPr>
            <w:r>
              <w:rPr>
                <w:bCs/>
                <w:b/>
              </w:rPr>
              <w:t xml:space="preserve">RLS +</w:t>
            </w:r>
            <w:r>
              <w:rPr>
                <w:bCs/>
                <w:b/>
              </w:rPr>
              <w:t xml:space="preserve"> </w:t>
            </w:r>
            <w:r>
              <w:rPr>
                <w:rStyle w:val="VerbatimChar"/>
                <w:bCs/>
                <w:b/>
              </w:rPr>
              <w:t xml:space="preserve">force row level security</w:t>
            </w:r>
          </w:p>
        </w:tc>
        <w:tc>
          <w:tcPr/>
          <w:p>
            <w:pPr>
              <w:pStyle w:val="Compact"/>
              <w:jc w:val="left"/>
            </w:pPr>
            <w:r>
              <w:t xml:space="preserve">Even the table owner respects the rule. A safety net against admin mistakes.</w:t>
            </w:r>
          </w:p>
        </w:tc>
      </w:tr>
      <w:tr>
        <w:tc>
          <w:tcPr/>
          <w:p>
            <w:pPr>
              <w:pStyle w:val="Compact"/>
              <w:jc w:val="left"/>
            </w:pPr>
            <w:r>
              <w:rPr>
                <w:bCs/>
                <w:b/>
              </w:rPr>
              <w:t xml:space="preserve">Multi-tenant</w:t>
            </w:r>
          </w:p>
        </w:tc>
        <w:tc>
          <w:tcPr/>
          <w:p>
            <w:pPr>
              <w:pStyle w:val="Compact"/>
              <w:jc w:val="left"/>
            </w:pPr>
            <w:r>
              <w:t xml:space="preserve">One platform, many client organisations, strictly isolated from each other</w:t>
            </w:r>
          </w:p>
        </w:tc>
      </w:tr>
      <w:tr>
        <w:tc>
          <w:tcPr/>
          <w:p>
            <w:pPr>
              <w:pStyle w:val="Compact"/>
              <w:jc w:val="left"/>
            </w:pPr>
            <w:r>
              <w:rPr>
                <w:bCs/>
                <w:b/>
              </w:rPr>
              <w:t xml:space="preserve">WORM</w:t>
            </w:r>
          </w:p>
        </w:tc>
        <w:tc>
          <w:tcPr/>
          <w:p>
            <w:pPr>
              <w:pStyle w:val="Compact"/>
              <w:jc w:val="left"/>
            </w:pPr>
            <w:r>
              <w:t xml:space="preserve">Write-Once-Read-Many — evidence that cannot be tampered with after creation</w:t>
            </w:r>
          </w:p>
        </w:tc>
      </w:tr>
      <w:tr>
        <w:tc>
          <w:tcPr/>
          <w:p>
            <w:pPr>
              <w:pStyle w:val="Compact"/>
              <w:jc w:val="left"/>
            </w:pPr>
            <w:r>
              <w:rPr>
                <w:bCs/>
                <w:b/>
              </w:rPr>
              <w:t xml:space="preserve">Idempotent sync</w:t>
            </w:r>
          </w:p>
        </w:tc>
        <w:tc>
          <w:tcPr/>
          <w:p>
            <w:pPr>
              <w:pStyle w:val="Compact"/>
              <w:jc w:val="left"/>
            </w:pPr>
            <w:r>
              <w:t xml:space="preserve">Send the same batch 10 times, still creates one record. Safe for flaky mobile connections.</w:t>
            </w:r>
          </w:p>
        </w:tc>
      </w:tr>
      <w:tr>
        <w:tc>
          <w:tcPr/>
          <w:p>
            <w:pPr>
              <w:pStyle w:val="Compact"/>
              <w:jc w:val="left"/>
            </w:pPr>
            <w:r>
              <w:rPr>
                <w:bCs/>
                <w:b/>
              </w:rPr>
              <w:t xml:space="preserve">Presigned URL</w:t>
            </w:r>
          </w:p>
        </w:tc>
        <w:tc>
          <w:tcPr/>
          <w:p>
            <w:pPr>
              <w:pStyle w:val="Compact"/>
              <w:jc w:val="left"/>
            </w:pPr>
            <w:r>
              <w:t xml:space="preserve">A time-limited link that lets a mobile app upload directly to S3 without the server acting as a middleman</w:t>
            </w:r>
          </w:p>
        </w:tc>
      </w:tr>
      <w:tr>
        <w:tc>
          <w:tcPr/>
          <w:p>
            <w:pPr>
              <w:pStyle w:val="Compact"/>
              <w:jc w:val="left"/>
            </w:pPr>
            <w:r>
              <w:rPr>
                <w:bCs/>
                <w:b/>
              </w:rPr>
              <w:t xml:space="preserve">SSR (Server-Side Rendering)</w:t>
            </w:r>
          </w:p>
        </w:tc>
        <w:tc>
          <w:tcPr/>
          <w:p>
            <w:pPr>
              <w:pStyle w:val="Compact"/>
              <w:jc w:val="left"/>
            </w:pPr>
            <w:r>
              <w:t xml:space="preserve">Pages rendered on the server first, so Google can index them (matters for the public notice board)</w:t>
            </w:r>
          </w:p>
        </w:tc>
      </w:tr>
      <w:tr>
        <w:tc>
          <w:tcPr/>
          <w:p>
            <w:pPr>
              <w:pStyle w:val="Compact"/>
              <w:jc w:val="left"/>
            </w:pPr>
            <w:r>
              <w:rPr>
                <w:bCs/>
                <w:b/>
              </w:rPr>
              <w:t xml:space="preserve">Bond trustee / paying agent</w:t>
            </w:r>
          </w:p>
        </w:tc>
        <w:tc>
          <w:tcPr/>
          <w:p>
            <w:pPr>
              <w:pStyle w:val="Compact"/>
              <w:jc w:val="left"/>
            </w:pPr>
            <w:r>
              <w:t xml:space="preserve">The professionally-appointed institutions that hold and disburse the bond money (never PMC)</w:t>
            </w:r>
          </w:p>
        </w:tc>
      </w:tr>
      <w:tr>
        <w:tc>
          <w:tcPr/>
          <w:p>
            <w:pPr>
              <w:pStyle w:val="Compact"/>
              <w:jc w:val="left"/>
            </w:pPr>
            <w:r>
              <w:rPr>
                <w:bCs/>
                <w:b/>
              </w:rPr>
              <w:t xml:space="preserve">Independent Certifier</w:t>
            </w:r>
          </w:p>
        </w:tc>
        <w:tc>
          <w:tcPr/>
          <w:p>
            <w:pPr>
              <w:pStyle w:val="Compact"/>
              <w:jc w:val="left"/>
            </w:pPr>
            <w:r>
              <w:t xml:space="preserve">The party who signs off</w:t>
            </w:r>
            <w:r>
              <w:t xml:space="preserve"> </w:t>
            </w:r>
            <w:r>
              <w:t xml:space="preserve">“</w:t>
            </w:r>
            <w:r>
              <w:t xml:space="preserve">yes, this milestone is truly complete</w:t>
            </w:r>
            <w:r>
              <w:t xml:space="preserve">”</w:t>
            </w:r>
            <w:r>
              <w:t xml:space="preserve"> </w:t>
            </w:r>
            <w:r>
              <w:t xml:space="preserve">— the platform’s evidence engine positions PMC for this role</w:t>
            </w:r>
          </w:p>
        </w:tc>
      </w:tr>
      <w:tr>
        <w:tc>
          <w:tcPr/>
          <w:p>
            <w:pPr>
              <w:pStyle w:val="Compact"/>
              <w:jc w:val="left"/>
            </w:pPr>
            <w:r>
              <w:rPr>
                <w:bCs/>
                <w:b/>
              </w:rPr>
              <w:t xml:space="preserve">Related-party</w:t>
            </w:r>
          </w:p>
        </w:tc>
        <w:tc>
          <w:tcPr/>
          <w:p>
            <w:pPr>
              <w:pStyle w:val="Compact"/>
              <w:jc w:val="left"/>
            </w:pPr>
            <w:r>
              <w:t xml:space="preserve">A counterparty connected to the sponsor. Not forbidden, but must be arm’s-length and disclosed.</w:t>
            </w:r>
          </w:p>
        </w:tc>
      </w:tr>
    </w:tbl>
    <w:p>
      <w:r>
        <w:pict>
          <v:rect style="width:0;height:1.5pt" o:hralign="center" o:hrstd="t" o:hr="t"/>
        </w:pict>
      </w:r>
    </w:p>
    <w:p>
      <w:pPr>
        <w:pStyle w:val="FirstParagraph"/>
      </w:pPr>
      <w:r>
        <w:rPr>
          <w:iCs/>
          <w:i/>
        </w:rPr>
        <w:t xml:space="preserve">This document is a delivery-team analysis for client-facing discussion. It is not legal advice. All legal questions in Doc 1 Section 9 must be answered by qualified counsel before the corresponding money flows are enabled.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2026-08-01T01:21:33Z</dcterms:created>
  <dcterms:modified xsi:type="dcterms:W3CDTF">2026-08-01T01:21:33Z</dcterms:modified>
</cp:coreProperties>
</file>

<file path=docProps/custom.xml><?xml version="1.0" encoding="utf-8"?>
<Properties xmlns="http://schemas.openxmlformats.org/officeDocument/2006/custom-properties" xmlns:vt="http://schemas.openxmlformats.org/officeDocument/2006/docPropsVTypes"/>
</file>