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c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0B2E4F"/>
          <w:sz w:val="52"/>
        </w:rPr>
        <w:t>PMC Managers Portal</w:t>
      </w:r>
    </w:p>
    <w:p>
      <w:pPr>
        <w:jc w:val="center"/>
      </w:pPr>
      <w:r>
        <w:rPr>
          <w:b w:val="0"/>
          <w:i/>
          <w:color w:val="C89B3C"/>
          <w:sz w:val="28"/>
        </w:rPr>
        <w:t>Trainee Handbook — From Zero to Confident User</w:t>
      </w:r>
    </w:p>
    <w:p/>
    <w:p/>
    <w:p/>
    <w:p>
      <w:pPr>
        <w:jc w:val="center"/>
      </w:pPr>
      <w:r>
        <w:rPr>
          <w:b w:val="0"/>
          <w:i w:val="0"/>
          <w:sz w:val="24"/>
        </w:rPr>
        <w:t>A step-by-step, screen-by-screen walkthrough of the entire portal.</w:t>
      </w:r>
    </w:p>
    <w:p/>
    <w:p/>
    <w:p/>
    <w:p/>
    <w:p/>
    <w:p/>
    <w:p>
      <w:pPr>
        <w:jc w:val="center"/>
      </w:pPr>
      <w:r>
        <w:rPr>
          <w:b w:val="0"/>
          <w:i/>
          <w:color w:val="0B2E4F"/>
          <w:sz w:val="22"/>
        </w:rPr>
        <w:t>PMC Managers Limited  ·  August 2026</w:t>
      </w:r>
    </w:p>
    <w:p>
      <w:pPr>
        <w:jc w:val="center"/>
      </w:pPr>
      <w:r>
        <w:rPr>
          <w:b w:val="0"/>
          <w:i w:val="0"/>
          <w:sz w:val="22"/>
        </w:rPr>
        <w:t>www.pmcmanagers.com</w:t>
      </w:r>
    </w:p>
    <w:p>
      <w:r>
        <w:br w:type="page"/>
      </w:r>
    </w:p>
    <w:p>
      <w:r>
        <w:rPr>
          <w:b/>
          <w:color w:val="0B2E4F"/>
          <w:sz w:val="36"/>
        </w:rPr>
        <w:t>Welcome!</w:t>
      </w:r>
    </w:p>
    <w:p>
      <w:r>
        <w:rPr>
          <w:b w:val="0"/>
          <w:i w:val="0"/>
          <w:sz w:val="22"/>
        </w:rPr>
        <w:t>This handbook takes you through the PMC Managers portal exactly as you will see it. Read each chapter in order — by the end you will be able to log in, navigate every module, publish a tender, review a bid, and send an award for signature.</w:t>
      </w:r>
    </w:p>
    <w:p>
      <w:r>
        <w:rPr>
          <w:b w:val="0"/>
          <w:i/>
          <w:sz w:val="22"/>
        </w:rPr>
        <w:t>Estimated self-training time: 4–6 hours across 2 days.</w:t>
      </w:r>
    </w:p>
    <w:p>
      <w:r>
        <w:rPr>
          <w:b/>
          <w:color w:val="0B2E4F"/>
          <w:sz w:val="36"/>
        </w:rPr>
        <w:t>Chapter 1 — Before You Start</w:t>
      </w:r>
    </w:p>
    <w:p>
      <w:pPr>
        <w:pStyle w:val="ListBullet"/>
      </w:pPr>
      <w:r>
        <w:rPr>
          <w:sz w:val="22"/>
        </w:rPr>
        <w:t>A modern browser (Chrome, Edge, or Firefox — latest version).</w:t>
      </w:r>
    </w:p>
    <w:p>
      <w:pPr>
        <w:pStyle w:val="ListBullet"/>
      </w:pPr>
      <w:r>
        <w:rPr>
          <w:sz w:val="22"/>
        </w:rPr>
        <w:t>A stable internet connection.</w:t>
      </w:r>
    </w:p>
    <w:p>
      <w:pPr>
        <w:pStyle w:val="ListBullet"/>
      </w:pPr>
      <w:r>
        <w:rPr>
          <w:sz w:val="22"/>
        </w:rPr>
        <w:t>Your login credentials (provided by your admin).</w:t>
      </w:r>
    </w:p>
    <w:p>
      <w:pPr>
        <w:pStyle w:val="ListBullet"/>
      </w:pPr>
      <w:r>
        <w:rPr>
          <w:sz w:val="22"/>
        </w:rPr>
        <w:t>This handbook open on a second screen or printed alongside you.</w:t>
      </w:r>
    </w:p>
    <w:p>
      <w:r>
        <w:rPr>
          <w:b/>
          <w:i w:val="0"/>
          <w:sz w:val="22"/>
        </w:rPr>
        <w:t>Portal URL: https://www.pmcmanagers.com</w:t>
      </w:r>
    </w:p>
    <w:p>
      <w:r>
        <w:rPr>
          <w:b/>
          <w:color w:val="0B2E4F"/>
          <w:sz w:val="36"/>
        </w:rPr>
        <w:t>Chapter 2 — Logging In</w:t>
      </w:r>
    </w:p>
    <w:p>
      <w:r>
        <w:rPr>
          <w:b w:val="0"/>
          <w:i w:val="0"/>
          <w:sz w:val="22"/>
        </w:rPr>
        <w:t>Step-by-step:</w:t>
      </w:r>
    </w:p>
    <w:p>
      <w:pPr>
        <w:pStyle w:val="ListBullet"/>
      </w:pPr>
      <w:r>
        <w:rPr>
          <w:sz w:val="22"/>
        </w:rPr>
        <w:t>Open https://www.pmcmanagers.com in your browser.</w:t>
      </w:r>
    </w:p>
    <w:p>
      <w:pPr>
        <w:pStyle w:val="ListBullet"/>
      </w:pPr>
      <w:r>
        <w:rPr>
          <w:sz w:val="22"/>
        </w:rPr>
        <w:t>Click the “Login” button at the top-right of the landing page.</w:t>
      </w:r>
    </w:p>
    <w:p>
      <w:pPr>
        <w:pStyle w:val="ListBullet"/>
      </w:pPr>
      <w:r>
        <w:rPr>
          <w:sz w:val="22"/>
        </w:rPr>
        <w:t>You will land on the unified /login screen.</w:t>
      </w:r>
    </w:p>
    <w:p>
      <w:pPr>
        <w:pStyle w:val="ListBullet"/>
      </w:pPr>
      <w:r>
        <w:rPr>
          <w:sz w:val="22"/>
        </w:rPr>
        <w:t>Enter the email address given to you (all lowercase).</w:t>
      </w:r>
    </w:p>
    <w:p>
      <w:pPr>
        <w:pStyle w:val="ListBullet"/>
      </w:pPr>
      <w:r>
        <w:rPr>
          <w:sz w:val="22"/>
        </w:rPr>
        <w:t>Enter your temporary password.</w:t>
      </w:r>
    </w:p>
    <w:p>
      <w:pPr>
        <w:pStyle w:val="ListBullet"/>
      </w:pPr>
      <w:r>
        <w:rPr>
          <w:sz w:val="22"/>
        </w:rPr>
        <w:t>Click “Sign in”.</w:t>
      </w:r>
    </w:p>
    <w:p>
      <w:pPr>
        <w:pStyle w:val="ListBullet"/>
      </w:pPr>
      <w:r>
        <w:rPr>
          <w:sz w:val="22"/>
        </w:rPr>
        <w:t>On first login you will be prompted to change your password — use at least 12 characters, mix of upper, lower, numbers, symbols.</w:t>
      </w:r>
    </w:p>
    <w:p>
      <w:pPr>
        <w:pStyle w:val="ListBullet"/>
      </w:pPr>
      <w:r>
        <w:rPr>
          <w:sz w:val="22"/>
        </w:rPr>
        <w:t>After a successful login you land on the dashboard matching your role (Admin / Staff / Vendor).</w:t>
      </w:r>
    </w:p>
    <w:p>
      <w:r>
        <w:rPr>
          <w:b/>
          <w:i w:val="0"/>
          <w:sz w:val="22"/>
        </w:rPr>
        <w:t>Troubleshooting:</w:t>
      </w:r>
    </w:p>
    <w:p>
      <w:pPr>
        <w:pStyle w:val="ListBullet"/>
      </w:pPr>
      <w:r>
        <w:rPr>
          <w:sz w:val="22"/>
        </w:rPr>
        <w:t>Forgot password → click “Forgot password” on the login screen.</w:t>
      </w:r>
    </w:p>
    <w:p>
      <w:pPr>
        <w:pStyle w:val="ListBullet"/>
      </w:pPr>
      <w:r>
        <w:rPr>
          <w:sz w:val="22"/>
        </w:rPr>
        <w:t>Locked out after 5 failed attempts → wait 15 minutes or contact adminsupport@pmcmanagers.com.</w:t>
      </w:r>
    </w:p>
    <w:p>
      <w:pPr>
        <w:pStyle w:val="ListBullet"/>
      </w:pPr>
      <w:r>
        <w:rPr>
          <w:sz w:val="22"/>
        </w:rPr>
        <w:t>Blank screen → hard refresh (Ctrl + Shift + R).</w:t>
      </w:r>
    </w:p>
    <w:p>
      <w:r>
        <w:rPr>
          <w:b/>
          <w:color w:val="0B2E4F"/>
          <w:sz w:val="36"/>
        </w:rPr>
        <w:t>Chapter 3 — The Dashboard at a Glance</w:t>
      </w:r>
    </w:p>
    <w:p>
      <w:r>
        <w:rPr>
          <w:b w:val="0"/>
          <w:i w:val="0"/>
          <w:sz w:val="22"/>
        </w:rPr>
        <w:t>The dashboard is your control tower. Every trainee should be able to name each region before moving 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Region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What it shows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Top navigation bar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Logo, module tabs, notifications, profile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Left sidebar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Quick links to modules (collapses on mobile)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Main panel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The active module's content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KPI cards (top)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Live tenders, open bids, pending approvals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Activity feed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Recent actions across your organization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Profile menu (top-right)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Change password, log out, switch tenant</w:t>
            </w:r>
          </w:p>
        </w:tc>
      </w:tr>
    </w:tbl>
    <w:p/>
    <w:p>
      <w:r>
        <w:rPr>
          <w:b/>
          <w:color w:val="0B2E4F"/>
          <w:sz w:val="36"/>
        </w:rPr>
        <w:t>Chapter 4 — Notice Board</w:t>
      </w:r>
    </w:p>
    <w:p>
      <w:r>
        <w:rPr>
          <w:b w:val="0"/>
          <w:i w:val="0"/>
          <w:sz w:val="22"/>
        </w:rPr>
        <w:t>The Notice Board is the public face of every tender.</w:t>
      </w:r>
    </w:p>
    <w:p>
      <w:r>
        <w:rPr>
          <w:b/>
          <w:i w:val="0"/>
          <w:sz w:val="22"/>
        </w:rPr>
        <w:t>As a trainee, practise these tasks:</w:t>
      </w:r>
    </w:p>
    <w:p>
      <w:pPr>
        <w:pStyle w:val="ListBullet"/>
      </w:pPr>
      <w:r>
        <w:rPr>
          <w:sz w:val="22"/>
        </w:rPr>
        <w:t>Open the Notice Board tab.</w:t>
      </w:r>
    </w:p>
    <w:p>
      <w:pPr>
        <w:pStyle w:val="ListBullet"/>
      </w:pPr>
      <w:r>
        <w:rPr>
          <w:sz w:val="22"/>
        </w:rPr>
        <w:t>Filter tenders by status: Open, Closing Soon, Closed, Awarded.</w:t>
      </w:r>
    </w:p>
    <w:p>
      <w:pPr>
        <w:pStyle w:val="ListBullet"/>
      </w:pPr>
      <w:r>
        <w:rPr>
          <w:sz w:val="22"/>
        </w:rPr>
        <w:t>Click any tender card to see its full brief.</w:t>
      </w:r>
    </w:p>
    <w:p>
      <w:pPr>
        <w:pStyle w:val="ListBullet"/>
      </w:pPr>
      <w:r>
        <w:rPr>
          <w:sz w:val="22"/>
        </w:rPr>
        <w:t>Locate the “Download RFP” button.</w:t>
      </w:r>
    </w:p>
    <w:p>
      <w:pPr>
        <w:pStyle w:val="ListBullet"/>
      </w:pPr>
      <w:r>
        <w:rPr>
          <w:sz w:val="22"/>
        </w:rPr>
        <w:t>Note the closing date and EMD amount.</w:t>
      </w:r>
    </w:p>
    <w:p>
      <w:r>
        <w:rPr>
          <w:b/>
          <w:color w:val="0B2E4F"/>
          <w:sz w:val="36"/>
        </w:rPr>
        <w:t>Chapter 5 — Vendor Registration</w:t>
      </w:r>
    </w:p>
    <w:p>
      <w:r>
        <w:rPr>
          <w:b w:val="0"/>
          <w:i w:val="0"/>
          <w:sz w:val="22"/>
        </w:rPr>
        <w:t>This is how new suppliers onboard. Walk through each of the three sections so you can guide a vendor over the phone.</w:t>
      </w:r>
    </w:p>
    <w:p>
      <w:pPr>
        <w:pStyle w:val="ListBullet"/>
      </w:pPr>
      <w:r>
        <w:rPr>
          <w:sz w:val="22"/>
        </w:rPr>
        <w:t>Section A — Company details: legal name, tax ID, address.</w:t>
      </w:r>
    </w:p>
    <w:p>
      <w:pPr>
        <w:pStyle w:val="ListBullet"/>
      </w:pPr>
      <w:r>
        <w:rPr>
          <w:sz w:val="22"/>
        </w:rPr>
        <w:t>Section B — Documents: certificate of incorporation, tax cert, bank letter. Files must be PDF or JPG under 10 MB.</w:t>
      </w:r>
    </w:p>
    <w:p>
      <w:pPr>
        <w:pStyle w:val="ListBullet"/>
      </w:pPr>
      <w:r>
        <w:rPr>
          <w:sz w:val="22"/>
        </w:rPr>
        <w:t>Section C — Categories: pick UNSPSC codes for the goods/services the vendor supplies.</w:t>
      </w:r>
    </w:p>
    <w:p>
      <w:pPr>
        <w:pStyle w:val="ListBullet"/>
      </w:pPr>
      <w:r>
        <w:rPr>
          <w:sz w:val="22"/>
        </w:rPr>
        <w:t>Submit — the vendor moves into KYC review status.</w:t>
      </w:r>
    </w:p>
    <w:p>
      <w:r>
        <w:rPr>
          <w:b w:val="0"/>
          <w:i/>
          <w:sz w:val="22"/>
        </w:rPr>
        <w:t>Admin action: approve or return-for-correction from the Vendor Management panel.</w:t>
      </w:r>
    </w:p>
    <w:p>
      <w:r>
        <w:rPr>
          <w:b/>
          <w:color w:val="0B2E4F"/>
          <w:sz w:val="36"/>
        </w:rPr>
        <w:t>Chapter 6 — Package Tracker</w:t>
      </w:r>
    </w:p>
    <w:p>
      <w:r>
        <w:rPr>
          <w:b w:val="0"/>
          <w:i w:val="0"/>
          <w:sz w:val="22"/>
        </w:rPr>
        <w:t>Every tender is a “package”. The tracker shows exactly which stage each package is in.</w:t>
      </w:r>
    </w:p>
    <w:p>
      <w:pPr>
        <w:pStyle w:val="ListBullet"/>
      </w:pPr>
      <w:r>
        <w:rPr>
          <w:sz w:val="22"/>
        </w:rPr>
        <w:t>Open Package Tracker.</w:t>
      </w:r>
    </w:p>
    <w:p>
      <w:pPr>
        <w:pStyle w:val="ListBullet"/>
      </w:pPr>
      <w:r>
        <w:rPr>
          <w:sz w:val="22"/>
        </w:rPr>
        <w:t>Read the horizontal stepper: Draft → Published → Bidding → Evaluation → Award → Signed.</w:t>
      </w:r>
    </w:p>
    <w:p>
      <w:pPr>
        <w:pStyle w:val="ListBullet"/>
      </w:pPr>
      <w:r>
        <w:rPr>
          <w:sz w:val="22"/>
        </w:rPr>
        <w:t>Click a package to drill into its documents, bidders, and status history.</w:t>
      </w:r>
    </w:p>
    <w:p>
      <w:r>
        <w:rPr>
          <w:b/>
          <w:color w:val="0B2E4F"/>
          <w:sz w:val="36"/>
        </w:rPr>
        <w:t>Chapter 7 — Bidding Management</w:t>
      </w:r>
    </w:p>
    <w:p>
      <w:r>
        <w:rPr>
          <w:b w:val="0"/>
          <w:i w:val="0"/>
          <w:sz w:val="22"/>
        </w:rPr>
        <w:t>The heart of the platform. Trainees must master this.</w:t>
      </w:r>
    </w:p>
    <w:p>
      <w:r>
        <w:rPr>
          <w:b/>
          <w:i w:val="0"/>
          <w:sz w:val="22"/>
        </w:rPr>
        <w:t>Vendor flow:</w:t>
      </w:r>
    </w:p>
    <w:p>
      <w:pPr>
        <w:pStyle w:val="ListBullet"/>
      </w:pPr>
      <w:r>
        <w:rPr>
          <w:sz w:val="22"/>
        </w:rPr>
        <w:t>Open a tender from the Notice Board.</w:t>
      </w:r>
    </w:p>
    <w:p>
      <w:pPr>
        <w:pStyle w:val="ListBullet"/>
      </w:pPr>
      <w:r>
        <w:rPr>
          <w:sz w:val="22"/>
        </w:rPr>
        <w:t>Click “Submit Bid”.</w:t>
      </w:r>
    </w:p>
    <w:p>
      <w:pPr>
        <w:pStyle w:val="ListBullet"/>
      </w:pPr>
      <w:r>
        <w:rPr>
          <w:sz w:val="22"/>
        </w:rPr>
        <w:t>Pay EMD via Stripe (test card 4242 4242 4242 4242 in sandbox).</w:t>
      </w:r>
    </w:p>
    <w:p>
      <w:pPr>
        <w:pStyle w:val="ListBullet"/>
      </w:pPr>
      <w:r>
        <w:rPr>
          <w:sz w:val="22"/>
        </w:rPr>
        <w:t>Upload technical + commercial envelopes.</w:t>
      </w:r>
    </w:p>
    <w:p>
      <w:pPr>
        <w:pStyle w:val="ListBullet"/>
      </w:pPr>
      <w:r>
        <w:rPr>
          <w:sz w:val="22"/>
        </w:rPr>
        <w:t>Confirm submission — you receive a unique Bid ID.</w:t>
      </w:r>
    </w:p>
    <w:p>
      <w:r>
        <w:rPr>
          <w:b/>
          <w:i w:val="0"/>
          <w:sz w:val="22"/>
        </w:rPr>
        <w:t>Admin flow:</w:t>
      </w:r>
    </w:p>
    <w:p>
      <w:pPr>
        <w:pStyle w:val="ListBullet"/>
      </w:pPr>
      <w:r>
        <w:rPr>
          <w:sz w:val="22"/>
        </w:rPr>
        <w:t>Open Bidding Management → select the tender.</w:t>
      </w:r>
    </w:p>
    <w:p>
      <w:pPr>
        <w:pStyle w:val="ListBullet"/>
      </w:pPr>
      <w:r>
        <w:rPr>
          <w:sz w:val="22"/>
        </w:rPr>
        <w:t>Wait until the closing time, then click “Open Envelopes”.</w:t>
      </w:r>
    </w:p>
    <w:p>
      <w:pPr>
        <w:pStyle w:val="ListBullet"/>
      </w:pPr>
      <w:r>
        <w:rPr>
          <w:sz w:val="22"/>
        </w:rPr>
        <w:t>Review each bid; scores are entered in the Evaluation module.</w:t>
      </w:r>
    </w:p>
    <w:p>
      <w:r>
        <w:rPr>
          <w:b/>
          <w:color w:val="0B2E4F"/>
          <w:sz w:val="36"/>
        </w:rPr>
        <w:t>Chapter 8 — BOQ Builder</w:t>
      </w:r>
    </w:p>
    <w:p>
      <w:pPr>
        <w:pStyle w:val="ListBullet"/>
      </w:pPr>
      <w:r>
        <w:rPr>
          <w:sz w:val="22"/>
        </w:rPr>
        <w:t>Open BOQ Builder inside the tender you are drafting.</w:t>
      </w:r>
    </w:p>
    <w:p>
      <w:pPr>
        <w:pStyle w:val="ListBullet"/>
      </w:pPr>
      <w:r>
        <w:rPr>
          <w:sz w:val="22"/>
        </w:rPr>
        <w:t>Click “+ Add Line Item”.</w:t>
      </w:r>
    </w:p>
    <w:p>
      <w:pPr>
        <w:pStyle w:val="ListBullet"/>
      </w:pPr>
      <w:r>
        <w:rPr>
          <w:sz w:val="22"/>
        </w:rPr>
        <w:t>Enter description, unit, quantity, and rate.</w:t>
      </w:r>
    </w:p>
    <w:p>
      <w:pPr>
        <w:pStyle w:val="ListBullet"/>
      </w:pPr>
      <w:r>
        <w:rPr>
          <w:sz w:val="22"/>
        </w:rPr>
        <w:t>Attach the correct UNSPSC code from the picker.</w:t>
      </w:r>
    </w:p>
    <w:p>
      <w:pPr>
        <w:pStyle w:val="ListBullet"/>
      </w:pPr>
      <w:r>
        <w:rPr>
          <w:sz w:val="22"/>
        </w:rPr>
        <w:t>Save — totals auto-calculate.</w:t>
      </w:r>
    </w:p>
    <w:p>
      <w:pPr>
        <w:pStyle w:val="ListBullet"/>
      </w:pPr>
      <w:r>
        <w:rPr>
          <w:sz w:val="22"/>
        </w:rPr>
        <w:t>Export the BOQ as PDF or Excel using the top-right menu.</w:t>
      </w:r>
    </w:p>
    <w:p>
      <w:r>
        <w:rPr>
          <w:b/>
          <w:color w:val="0B2E4F"/>
          <w:sz w:val="36"/>
        </w:rPr>
        <w:t>Chapter 9 — Evaluation &amp; Contracts</w:t>
      </w:r>
    </w:p>
    <w:p>
      <w:pPr>
        <w:pStyle w:val="ListBullet"/>
      </w:pPr>
      <w:r>
        <w:rPr>
          <w:sz w:val="22"/>
        </w:rPr>
        <w:t>Open Evaluation → pick the tender.</w:t>
      </w:r>
    </w:p>
    <w:p>
      <w:pPr>
        <w:pStyle w:val="ListBullet"/>
      </w:pPr>
      <w:r>
        <w:rPr>
          <w:sz w:val="22"/>
        </w:rPr>
        <w:t>Enter technical scores for each bidder (0–100).</w:t>
      </w:r>
    </w:p>
    <w:p>
      <w:pPr>
        <w:pStyle w:val="ListBullet"/>
      </w:pPr>
      <w:r>
        <w:rPr>
          <w:sz w:val="22"/>
        </w:rPr>
        <w:t>Enter commercial scores — the system computes the weighted total.</w:t>
      </w:r>
    </w:p>
    <w:p>
      <w:pPr>
        <w:pStyle w:val="ListBullet"/>
      </w:pPr>
      <w:r>
        <w:rPr>
          <w:sz w:val="22"/>
        </w:rPr>
        <w:t>The top-ranked bidder is highlighted.</w:t>
      </w:r>
    </w:p>
    <w:p>
      <w:pPr>
        <w:pStyle w:val="ListBullet"/>
      </w:pPr>
      <w:r>
        <w:rPr>
          <w:sz w:val="22"/>
        </w:rPr>
        <w:t>Click “Award” — a draft Award Letter and PO are generated.</w:t>
      </w:r>
    </w:p>
    <w:p>
      <w:r>
        <w:rPr>
          <w:b/>
          <w:color w:val="0B2E4F"/>
          <w:sz w:val="36"/>
        </w:rPr>
        <w:t>Chapter 10 — Awards &amp; Digital Signature</w:t>
      </w:r>
    </w:p>
    <w:p>
      <w:r>
        <w:rPr>
          <w:b w:val="0"/>
          <w:i w:val="0"/>
          <w:sz w:val="22"/>
        </w:rPr>
        <w:t>This is where PMC differentiates itself — award documents can be sent for legally binding e-signature directly from the portal.</w:t>
      </w:r>
    </w:p>
    <w:p>
      <w:pPr>
        <w:pStyle w:val="ListBullet"/>
      </w:pPr>
      <w:r>
        <w:rPr>
          <w:sz w:val="22"/>
        </w:rPr>
        <w:t>Open Awards → pick the awarded tender.</w:t>
      </w:r>
    </w:p>
    <w:p>
      <w:pPr>
        <w:pStyle w:val="ListBullet"/>
      </w:pPr>
      <w:r>
        <w:rPr>
          <w:sz w:val="22"/>
        </w:rPr>
        <w:t>Preview the Award Letter and Purchase Order documents.</w:t>
      </w:r>
    </w:p>
    <w:p>
      <w:pPr>
        <w:pStyle w:val="ListBullet"/>
      </w:pPr>
      <w:r>
        <w:rPr>
          <w:sz w:val="22"/>
        </w:rPr>
        <w:t>Click “Send for Signature” on the document card.</w:t>
      </w:r>
    </w:p>
    <w:p>
      <w:pPr>
        <w:pStyle w:val="ListBullet"/>
      </w:pPr>
      <w:r>
        <w:rPr>
          <w:sz w:val="22"/>
        </w:rPr>
        <w:t>Choose delivery method: Embedded (in-browser) or Email.</w:t>
      </w:r>
    </w:p>
    <w:p>
      <w:pPr>
        <w:pStyle w:val="ListBullet"/>
      </w:pPr>
      <w:r>
        <w:rPr>
          <w:sz w:val="22"/>
        </w:rPr>
        <w:t>For the investor demo, always use Embedded — sandbox blocks external emails.</w:t>
      </w:r>
    </w:p>
    <w:p>
      <w:pPr>
        <w:pStyle w:val="ListBullet"/>
      </w:pPr>
      <w:r>
        <w:rPr>
          <w:sz w:val="22"/>
        </w:rPr>
        <w:t>The recipient signs; the status auto-updates via DocuSign webhook.</w:t>
      </w:r>
    </w:p>
    <w:p>
      <w:r>
        <w:rPr>
          <w:b/>
          <w:color w:val="0B2E4F"/>
          <w:sz w:val="36"/>
        </w:rPr>
        <w:t>Chapter 11 — AI Audit Copilot</w:t>
      </w:r>
    </w:p>
    <w:p>
      <w:pPr>
        <w:pStyle w:val="ListBullet"/>
      </w:pPr>
      <w:r>
        <w:rPr>
          <w:sz w:val="22"/>
        </w:rPr>
        <w:t>Open any tender document.</w:t>
      </w:r>
    </w:p>
    <w:p>
      <w:pPr>
        <w:pStyle w:val="ListBullet"/>
      </w:pPr>
      <w:r>
        <w:rPr>
          <w:sz w:val="22"/>
        </w:rPr>
        <w:t>Click the “AI Audit” button on the toolbar.</w:t>
      </w:r>
    </w:p>
    <w:p>
      <w:pPr>
        <w:pStyle w:val="ListBullet"/>
      </w:pPr>
      <w:r>
        <w:rPr>
          <w:sz w:val="22"/>
        </w:rPr>
        <w:t>The copilot summarises the document, flags risky clauses, and suggests improvements.</w:t>
      </w:r>
    </w:p>
    <w:p>
      <w:pPr>
        <w:pStyle w:val="ListBullet"/>
      </w:pPr>
      <w:r>
        <w:rPr>
          <w:sz w:val="22"/>
        </w:rPr>
        <w:t>Copy the suggestions into your evaluation notes.</w:t>
      </w:r>
    </w:p>
    <w:p>
      <w:r>
        <w:rPr>
          <w:b/>
          <w:color w:val="0B2E4F"/>
          <w:sz w:val="36"/>
        </w:rPr>
        <w:t>Chapter 12 — Vendor Intelligence</w:t>
      </w:r>
    </w:p>
    <w:p>
      <w:pPr>
        <w:pStyle w:val="ListBullet"/>
      </w:pPr>
      <w:r>
        <w:rPr>
          <w:sz w:val="22"/>
        </w:rPr>
        <w:t>Open Vendor Intelligence.</w:t>
      </w:r>
    </w:p>
    <w:p>
      <w:pPr>
        <w:pStyle w:val="ListBullet"/>
      </w:pPr>
      <w:r>
        <w:rPr>
          <w:sz w:val="22"/>
        </w:rPr>
        <w:t>Search a vendor by name or tax ID.</w:t>
      </w:r>
    </w:p>
    <w:p>
      <w:pPr>
        <w:pStyle w:val="ListBullet"/>
      </w:pPr>
      <w:r>
        <w:rPr>
          <w:sz w:val="22"/>
        </w:rPr>
        <w:t>Review their performance score, past awards, and risk flags.</w:t>
      </w:r>
    </w:p>
    <w:p>
      <w:pPr>
        <w:pStyle w:val="ListBullet"/>
      </w:pPr>
      <w:r>
        <w:rPr>
          <w:sz w:val="22"/>
        </w:rPr>
        <w:t>Use this before shortlisting on high-value tenders.</w:t>
      </w:r>
    </w:p>
    <w:p>
      <w:r>
        <w:rPr>
          <w:b/>
          <w:color w:val="0B2E4F"/>
          <w:sz w:val="36"/>
        </w:rPr>
        <w:t>Chapter 13 — Profile &amp; Security</w:t>
      </w:r>
    </w:p>
    <w:p>
      <w:pPr>
        <w:pStyle w:val="ListBullet"/>
      </w:pPr>
      <w:r>
        <w:rPr>
          <w:sz w:val="22"/>
        </w:rPr>
        <w:t>Click your avatar in the top-right corner.</w:t>
      </w:r>
    </w:p>
    <w:p>
      <w:pPr>
        <w:pStyle w:val="ListBullet"/>
      </w:pPr>
      <w:r>
        <w:rPr>
          <w:sz w:val="22"/>
        </w:rPr>
        <w:t>Choose “Change Password” — enter old + new password.</w:t>
      </w:r>
    </w:p>
    <w:p>
      <w:pPr>
        <w:pStyle w:val="ListBullet"/>
      </w:pPr>
      <w:r>
        <w:rPr>
          <w:sz w:val="22"/>
        </w:rPr>
        <w:t>Enable “Notification Preferences” to control email alerts.</w:t>
      </w:r>
    </w:p>
    <w:p>
      <w:pPr>
        <w:pStyle w:val="ListBullet"/>
      </w:pPr>
      <w:r>
        <w:rPr>
          <w:sz w:val="22"/>
        </w:rPr>
        <w:t>Always log out on shared computers.</w:t>
      </w:r>
    </w:p>
    <w:p>
      <w:r>
        <w:rPr>
          <w:b/>
          <w:color w:val="0B2E4F"/>
          <w:sz w:val="36"/>
        </w:rPr>
        <w:t>Chapter 14 — Trainee Daily Checklist</w:t>
      </w:r>
    </w:p>
    <w:p>
      <w:pPr>
        <w:pStyle w:val="ListBullet"/>
      </w:pPr>
      <w:r>
        <w:rPr>
          <w:sz w:val="22"/>
        </w:rPr>
        <w:t>Log in and skim the KPI cards.</w:t>
      </w:r>
    </w:p>
    <w:p>
      <w:pPr>
        <w:pStyle w:val="ListBullet"/>
      </w:pPr>
      <w:r>
        <w:rPr>
          <w:sz w:val="22"/>
        </w:rPr>
        <w:t>Check pending vendor approvals.</w:t>
      </w:r>
    </w:p>
    <w:p>
      <w:pPr>
        <w:pStyle w:val="ListBullet"/>
      </w:pPr>
      <w:r>
        <w:rPr>
          <w:sz w:val="22"/>
        </w:rPr>
        <w:t>Review tenders closing within 48 hours.</w:t>
      </w:r>
    </w:p>
    <w:p>
      <w:pPr>
        <w:pStyle w:val="ListBullet"/>
      </w:pPr>
      <w:r>
        <w:rPr>
          <w:sz w:val="22"/>
        </w:rPr>
        <w:t>Confirm no bids are stuck in “Awaiting Envelope Open”.</w:t>
      </w:r>
    </w:p>
    <w:p>
      <w:pPr>
        <w:pStyle w:val="ListBullet"/>
      </w:pPr>
      <w:r>
        <w:rPr>
          <w:sz w:val="22"/>
        </w:rPr>
        <w:t>Verify DocuSign envelopes have refreshed status.</w:t>
      </w:r>
    </w:p>
    <w:p>
      <w:pPr>
        <w:pStyle w:val="ListBullet"/>
      </w:pPr>
      <w:r>
        <w:rPr>
          <w:sz w:val="22"/>
        </w:rPr>
        <w:t>Log any anomaly in the internal ticket tool before leaving.</w:t>
      </w:r>
    </w:p>
    <w:p>
      <w:r>
        <w:rPr>
          <w:b/>
          <w:color w:val="0B2E4F"/>
          <w:sz w:val="36"/>
        </w:rPr>
        <w:t>Chapter 15 —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Term</w:t>
            </w:r>
          </w:p>
        </w:tc>
        <w:tc>
          <w:tcPr>
            <w:tcW w:type="dxa" w:w="4968"/>
            <w:shd w:fill="0B2E4F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Tender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 formal invitation to submit an offer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RFP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Request for Proposal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RFQ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Request for Quotation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EMD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Earnest Money Deposit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BOQ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Bill of Quantities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UNSPSC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United Nations Standard Products &amp; Services Code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KYC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Know Your Customer verification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Purchase Order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Envelope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Sealed set of bid documents (technical / commercial)</w:t>
            </w:r>
          </w:p>
        </w:tc>
      </w:tr>
    </w:tbl>
    <w:p/>
    <w:p>
      <w:r>
        <w:rPr>
          <w:b/>
          <w:color w:val="0B2E4F"/>
          <w:sz w:val="36"/>
        </w:rPr>
        <w:t>You Are Ready!</w:t>
      </w:r>
    </w:p>
    <w:p>
      <w:r>
        <w:rPr>
          <w:b w:val="0"/>
          <w:i/>
          <w:sz w:val="22"/>
        </w:rPr>
        <w:t>Complete Chapters 1–10 in your first sitting. Practise Chapters 11–14 in the sandbox environment before touching production data. When in doubt — ask, don't guess.</w:t>
      </w:r>
    </w:p>
    <w:p>
      <w:pPr>
        <w:jc w:val="center"/>
      </w:pPr>
      <w:r>
        <w:rPr>
          <w:b/>
          <w:i w:val="0"/>
          <w:color w:val="0B2E4F"/>
          <w:sz w:val="22"/>
        </w:rPr>
        <w:t>Welcome to the PMC Managers team.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