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2026-08-06T09:59:15.826732+00:00 · Stakeholder brief</w:t>
      </w:r>
    </w:p>
    <w:p>
      <w:pPr>
        <w:pStyle w:val="Heading1"/>
      </w:pPr>
      <w:r>
        <w:t>Executive summary</w:t>
      </w:r>
    </w:p>
    <w:p>
      <w:r>
        <w:t>Of 54 tracked scope items, 43 are DELIVERED, 1 are PARTIAL (blocked on external credentials or roadmap-tagged) and 10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</w:t>
            </w:r>
          </w:p>
        </w:tc>
        <w:tc>
          <w:tcPr>
            <w:tcW w:type="dxa" w:w="1728"/>
            <w:vAlign w:val="top"/>
          </w:tcPr>
          <w:p>
            <w:r>
              <w:t>Auction model + endpoints scaffolded (`auction_type = reverse|forward|live|sealed`); missing real-time WebSocket bidding UI, auto-bid engine, masked leaderboard, price-floor validator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Import UNSPSC v25 seed into `taxonomy_nodes`, add `unspsc_code` to products / BOQ items / registration scopes, expose a picker widget</w:t>
            </w:r>
          </w:p>
        </w:tc>
        <w:tc>
          <w:tcPr>
            <w:tcW w:type="dxa" w:w="1728"/>
            <w:vAlign w:val="top"/>
          </w:tcPr>
          <w:p>
            <w:r>
              <w:t>Roadmap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