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1F3A"/>
        </w:rPr>
        <w:t>PMC Managers v2 — Asked vs Delivered</w:t>
      </w:r>
    </w:p>
    <w:p>
      <w:r>
        <w:t>Generated 2026-08-12T14:29:39.862648+00:00 · Stakeholder brief</w:t>
      </w:r>
    </w:p>
    <w:p>
      <w:pPr>
        <w:pStyle w:val="Heading1"/>
      </w:pPr>
      <w:r>
        <w:t>Executive summary</w:t>
      </w:r>
    </w:p>
    <w:p>
      <w:r>
        <w:t>Of 57 tracked scope items, 50 are DELIVERED, 1 are PARTIAL (blocked on external credentials or roadmap-tagged) and 6 are PLANNED. Every substantive action on the platform is audit-logged; the AI copilot is advisory-only — every state change requires an authorised human signature.</w:t>
      </w:r>
    </w:p>
    <w:p>
      <w:pPr>
        <w:pStyle w:val="Heading1"/>
      </w:pPr>
      <w:r>
        <w:t>Comparative statement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Status</w:t>
            </w:r>
          </w:p>
        </w:tc>
        <w:tc>
          <w:tcPr>
            <w:tcW w:type="dxa" w:w="1728"/>
          </w:tcPr>
          <w:p>
            <w:r>
              <w:rPr>
                <w:b/>
              </w:rPr>
              <w:t>Area</w:t>
            </w:r>
          </w:p>
        </w:tc>
        <w:tc>
          <w:tcPr>
            <w:tcW w:type="dxa" w:w="1728"/>
          </w:tcPr>
          <w:p>
            <w:r>
              <w:rPr>
                <w:b/>
              </w:rPr>
              <w:t>What was asked</w:t>
            </w:r>
          </w:p>
        </w:tc>
        <w:tc>
          <w:tcPr>
            <w:tcW w:type="dxa" w:w="1728"/>
          </w:tcPr>
          <w:p>
            <w:r>
              <w:rPr>
                <w:b/>
              </w:rPr>
              <w:t>Delivered</w:t>
            </w:r>
          </w:p>
        </w:tc>
        <w:tc>
          <w:tcPr>
            <w:tcW w:type="dxa" w:w="1728"/>
          </w:tcPr>
          <w:p>
            <w:r>
              <w:rPr>
                <w:b/>
              </w:rPr>
              <w:t>Notes</w:t>
            </w:r>
          </w:p>
        </w:tc>
      </w:tr>
      <w:tr>
        <w:tc>
          <w:tcPr>
            <w:tcW w:type="dxa" w:w="1728"/>
            <w:vAlign w:val="top"/>
          </w:tcPr>
          <w:p>
            <w:r>
              <w:t>Delivered</w:t>
            </w:r>
          </w:p>
        </w:tc>
        <w:tc>
          <w:tcPr>
            <w:tcW w:type="dxa" w:w="1728"/>
            <w:vAlign w:val="top"/>
          </w:tcPr>
          <w:p>
            <w:r>
              <w:t>Auth &amp; Access</w:t>
            </w:r>
          </w:p>
        </w:tc>
        <w:tc>
          <w:tcPr>
            <w:tcW w:type="dxa" w:w="1728"/>
            <w:vAlign w:val="top"/>
          </w:tcPr>
          <w:p>
            <w:r>
              <w:t>Multi-role staff + vendor authentication with MFA</w:t>
            </w:r>
          </w:p>
        </w:tc>
        <w:tc>
          <w:tcPr>
            <w:tcW w:type="dxa" w:w="1728"/>
            <w:vAlign w:val="top"/>
          </w:tcPr>
          <w:p>
            <w:r>
              <w:t>HTTPOnly cookie auth + CSRF, TOTP MFA, Unified Two-Card Login Hub, staff/vendor/admin flows</w:t>
            </w:r>
          </w:p>
        </w:tc>
        <w:tc>
          <w:tcPr>
            <w:tcW w:type="dxa" w:w="1728"/>
            <w:vAlign w:val="top"/>
          </w:tcPr>
          <w:p>
            <w:r>
              <w:t>Waves 1-14 · MFA verified via TOTP</w:t>
            </w:r>
          </w:p>
        </w:tc>
      </w:tr>
      <w:tr>
        <w:tc>
          <w:tcPr>
            <w:tcW w:type="dxa" w:w="1728"/>
            <w:vAlign w:val="top"/>
          </w:tcPr>
          <w:p>
            <w:r>
              <w:t>Delivered</w:t>
            </w:r>
          </w:p>
        </w:tc>
        <w:tc>
          <w:tcPr>
            <w:tcW w:type="dxa" w:w="1728"/>
            <w:vAlign w:val="top"/>
          </w:tcPr>
          <w:p>
            <w:r>
              <w:t>Auth &amp; Access</w:t>
            </w:r>
          </w:p>
        </w:tc>
        <w:tc>
          <w:tcPr>
            <w:tcW w:type="dxa" w:w="1728"/>
            <w:vAlign w:val="top"/>
          </w:tcPr>
          <w:p>
            <w:r>
              <w:t>Role-based permissions across staff (Escrow, Certifier, Legal, Accounting…)</w:t>
            </w:r>
          </w:p>
        </w:tc>
        <w:tc>
          <w:tcPr>
            <w:tcW w:type="dxa" w:w="1728"/>
            <w:vAlign w:val="top"/>
          </w:tcPr>
          <w:p>
            <w:r>
              <w:t>Dynamic Permissions Matrix panel, per-endpoint role decorators, audit logs on every action</w:t>
            </w:r>
          </w:p>
        </w:tc>
        <w:tc>
          <w:tcPr>
            <w:tcW w:type="dxa" w:w="1728"/>
            <w:vAlign w:val="top"/>
          </w:tcPr>
          <w:p>
            <w:r>
              <w:t>PermissionsPanel + `security.require_role`</w:t>
            </w:r>
          </w:p>
        </w:tc>
      </w:tr>
      <w:tr>
        <w:tc>
          <w:tcPr>
            <w:tcW w:type="dxa" w:w="1728"/>
            <w:vAlign w:val="top"/>
          </w:tcPr>
          <w:p>
            <w:r>
              <w:t>Delivered</w:t>
            </w:r>
          </w:p>
        </w:tc>
        <w:tc>
          <w:tcPr>
            <w:tcW w:type="dxa" w:w="1728"/>
            <w:vAlign w:val="top"/>
          </w:tcPr>
          <w:p>
            <w:r>
              <w:t>Multi-tenant</w:t>
            </w:r>
          </w:p>
        </w:tc>
        <w:tc>
          <w:tcPr>
            <w:tcW w:type="dxa" w:w="1728"/>
            <w:vAlign w:val="top"/>
          </w:tcPr>
          <w:p>
            <w:r>
              <w:t>Portal skinning per tenant, CNAME-based routing</w:t>
            </w:r>
          </w:p>
        </w:tc>
        <w:tc>
          <w:tcPr>
            <w:tcW w:type="dxa" w:w="1728"/>
            <w:vAlign w:val="top"/>
          </w:tcPr>
          <w:p>
            <w:r>
              <w:t>CNAME multi-tenant subdomains, tenant chip on admin bar, per-tenant branding colour + logo</w:t>
            </w:r>
          </w:p>
        </w:tc>
        <w:tc>
          <w:tcPr>
            <w:tcW w:type="dxa" w:w="1728"/>
            <w:vAlign w:val="top"/>
          </w:tcPr>
          <w:p>
            <w:r>
              <w:t>Wave 22 · `tenants.by-host` + `useTenantSkin`</w:t>
            </w:r>
          </w:p>
        </w:tc>
      </w:tr>
      <w:tr>
        <w:tc>
          <w:tcPr>
            <w:tcW w:type="dxa" w:w="1728"/>
            <w:vAlign w:val="top"/>
          </w:tcPr>
          <w:p>
            <w:r>
              <w:t>Delivered</w:t>
            </w:r>
          </w:p>
        </w:tc>
        <w:tc>
          <w:tcPr>
            <w:tcW w:type="dxa" w:w="1728"/>
            <w:vAlign w:val="top"/>
          </w:tcPr>
          <w:p>
            <w:r>
              <w:t>i18n</w:t>
            </w:r>
          </w:p>
        </w:tc>
        <w:tc>
          <w:tcPr>
            <w:tcW w:type="dxa" w:w="1728"/>
            <w:vAlign w:val="top"/>
          </w:tcPr>
          <w:p>
            <w:r>
              <w:t>Trilingual UI (English, Russian, Kazakh)</w:t>
            </w:r>
          </w:p>
        </w:tc>
        <w:tc>
          <w:tcPr>
            <w:tcW w:type="dxa" w:w="1728"/>
            <w:vAlign w:val="top"/>
          </w:tcPr>
          <w:p>
            <w:r>
              <w:t>Full EN/RU/KK dictionary, live switcher, localised country dropdown</w:t>
            </w:r>
          </w:p>
        </w:tc>
        <w:tc>
          <w:tcPr>
            <w:tcW w:type="dxa" w:w="1728"/>
            <w:vAlign w:val="top"/>
          </w:tcPr>
          <w:p>
            <w:r>
              <w:t>Wave 19 · `i18n-strings.js`</w:t>
            </w:r>
          </w:p>
        </w:tc>
      </w:tr>
      <w:tr>
        <w:tc>
          <w:tcPr>
            <w:tcW w:type="dxa" w:w="1728"/>
            <w:vAlign w:val="top"/>
          </w:tcPr>
          <w:p>
            <w:r>
              <w:t>Delivered</w:t>
            </w:r>
          </w:p>
        </w:tc>
        <w:tc>
          <w:tcPr>
            <w:tcW w:type="dxa" w:w="1728"/>
            <w:vAlign w:val="top"/>
          </w:tcPr>
          <w:p>
            <w:r>
              <w:t>Notice Board</w:t>
            </w:r>
          </w:p>
        </w:tc>
        <w:tc>
          <w:tcPr>
            <w:tcW w:type="dxa" w:w="1728"/>
            <w:vAlign w:val="top"/>
          </w:tcPr>
          <w:p>
            <w:r>
              <w:t>Public tender board with document downloads</w:t>
            </w:r>
          </w:p>
        </w:tc>
        <w:tc>
          <w:tcPr>
            <w:tcW w:type="dxa" w:w="1728"/>
            <w:vAlign w:val="top"/>
          </w:tcPr>
          <w:p>
            <w:r>
              <w:t>Public notice list + detail pages, primary document, attachments, deadline</w:t>
            </w:r>
          </w:p>
        </w:tc>
        <w:tc>
          <w:tcPr>
            <w:tcW w:type="dxa" w:w="1728"/>
            <w:vAlign w:val="top"/>
          </w:tcPr>
          <w:p>
            <w:r>
              <w:t>`notices` router + `NoticeDetail.jsx`</w:t>
            </w:r>
          </w:p>
        </w:tc>
      </w:tr>
      <w:tr>
        <w:tc>
          <w:tcPr>
            <w:tcW w:type="dxa" w:w="1728"/>
            <w:vAlign w:val="top"/>
          </w:tcPr>
          <w:p>
            <w:r>
              <w:t>Delivered</w:t>
            </w:r>
          </w:p>
        </w:tc>
        <w:tc>
          <w:tcPr>
            <w:tcW w:type="dxa" w:w="1728"/>
            <w:vAlign w:val="top"/>
          </w:tcPr>
          <w:p>
            <w:r>
              <w:t>Vendor Registration</w:t>
            </w:r>
          </w:p>
        </w:tc>
        <w:tc>
          <w:tcPr>
            <w:tcW w:type="dxa" w:w="1728"/>
            <w:vAlign w:val="top"/>
          </w:tcPr>
          <w:p>
            <w:r>
              <w:t>5-section vendor registration (A-E) with KYC document slots</w:t>
            </w:r>
          </w:p>
        </w:tc>
        <w:tc>
          <w:tcPr>
            <w:tcW w:type="dxa" w:w="1728"/>
            <w:vAlign w:val="top"/>
          </w:tcPr>
          <w:p>
            <w:r>
              <w:t>Sections A-E form, magic-link resume, per-slot document upload, admin "add &amp; fill on behalf"</w:t>
            </w:r>
          </w:p>
        </w:tc>
        <w:tc>
          <w:tcPr>
            <w:tcW w:type="dxa" w:w="1728"/>
            <w:vAlign w:val="top"/>
          </w:tcPr>
          <w:p>
            <w:r>
              <w:t>Wave 14 · `RegistrationResume` + `DocSlot`</w:t>
            </w:r>
          </w:p>
        </w:tc>
      </w:tr>
      <w:tr>
        <w:tc>
          <w:tcPr>
            <w:tcW w:type="dxa" w:w="1728"/>
            <w:vAlign w:val="top"/>
          </w:tcPr>
          <w:p>
            <w:r>
              <w:t>Delivered</w:t>
            </w:r>
          </w:p>
        </w:tc>
        <w:tc>
          <w:tcPr>
            <w:tcW w:type="dxa" w:w="1728"/>
            <w:vAlign w:val="top"/>
          </w:tcPr>
          <w:p>
            <w:r>
              <w:t>Vendor Registration</w:t>
            </w:r>
          </w:p>
        </w:tc>
        <w:tc>
          <w:tcPr>
            <w:tcW w:type="dxa" w:w="1728"/>
            <w:vAlign w:val="top"/>
          </w:tcPr>
          <w:p>
            <w:r>
              <w:t>Silent draft creation so admins can upload docs without an extra click</w:t>
            </w:r>
          </w:p>
        </w:tc>
        <w:tc>
          <w:tcPr>
            <w:tcW w:type="dxa" w:w="1728"/>
            <w:vAlign w:val="top"/>
          </w:tcPr>
          <w:p>
            <w:r>
              <w:t>`ensureDraft()` auto-saves the record the moment an admin picks a file</w:t>
            </w:r>
          </w:p>
        </w:tc>
        <w:tc>
          <w:tcPr>
            <w:tcW w:type="dxa" w:w="1728"/>
            <w:vAlign w:val="top"/>
          </w:tcPr>
          <w:p>
            <w:r>
              <w:t>Wave 27</w:t>
            </w:r>
          </w:p>
        </w:tc>
      </w:tr>
      <w:tr>
        <w:tc>
          <w:tcPr>
            <w:tcW w:type="dxa" w:w="1728"/>
            <w:vAlign w:val="top"/>
          </w:tcPr>
          <w:p>
            <w:r>
              <w:t>Delivered</w:t>
            </w:r>
          </w:p>
        </w:tc>
        <w:tc>
          <w:tcPr>
            <w:tcW w:type="dxa" w:w="1728"/>
            <w:vAlign w:val="top"/>
          </w:tcPr>
          <w:p>
            <w:r>
              <w:t>Tender Builder</w:t>
            </w:r>
          </w:p>
        </w:tc>
        <w:tc>
          <w:tcPr>
            <w:tcW w:type="dxa" w:w="1728"/>
            <w:vAlign w:val="top"/>
          </w:tcPr>
          <w:p>
            <w:r>
              <w:t>Template builder mirroring a real 39/75-page PSU tender</w:t>
            </w:r>
          </w:p>
        </w:tc>
        <w:tc>
          <w:tcPr>
            <w:tcW w:type="dxa" w:w="1728"/>
            <w:vAlign w:val="top"/>
          </w:tcPr>
          <w:p>
            <w:r>
              <w:t>18-section master template (Sections 1-4, Annexures I-VIII, Forms A-F), clone-to-draft</w:t>
            </w:r>
          </w:p>
        </w:tc>
        <w:tc>
          <w:tcPr>
            <w:tcW w:type="dxa" w:w="1728"/>
            <w:vAlign w:val="top"/>
          </w:tcPr>
          <w:p>
            <w:r>
              <w:t>Wave 20 · `TenderBuilderPanel`</w:t>
            </w:r>
          </w:p>
        </w:tc>
      </w:tr>
      <w:tr>
        <w:tc>
          <w:tcPr>
            <w:tcW w:type="dxa" w:w="1728"/>
            <w:vAlign w:val="top"/>
          </w:tcPr>
          <w:p>
            <w:r>
              <w:t>Delivered</w:t>
            </w:r>
          </w:p>
        </w:tc>
        <w:tc>
          <w:tcPr>
            <w:tcW w:type="dxa" w:w="1728"/>
            <w:vAlign w:val="top"/>
          </w:tcPr>
          <w:p>
            <w:r>
              <w:t>Tender Builder</w:t>
            </w:r>
          </w:p>
        </w:tc>
        <w:tc>
          <w:tcPr>
            <w:tcW w:type="dxa" w:w="1728"/>
            <w:vAlign w:val="top"/>
          </w:tcPr>
          <w:p>
            <w:r>
              <w:t>Structured CPPP-style tender header (dates, EMD, budget, authority)</w:t>
            </w:r>
          </w:p>
        </w:tc>
        <w:tc>
          <w:tcPr>
            <w:tcW w:type="dxa" w:w="1728"/>
            <w:vAlign w:val="top"/>
          </w:tcPr>
          <w:p>
            <w:r>
              <w:t>Full `TenderHeaderForm` — Basic Details, Cover Details, Fee &amp; EMD, Critical Dates, Authority (~60 fields)</w:t>
            </w:r>
          </w:p>
        </w:tc>
        <w:tc>
          <w:tcPr>
            <w:tcW w:type="dxa" w:w="1728"/>
            <w:vAlign w:val="top"/>
          </w:tcPr>
          <w:p>
            <w:r>
              <w:t>Wave 24</w:t>
            </w:r>
          </w:p>
        </w:tc>
      </w:tr>
      <w:tr>
        <w:tc>
          <w:tcPr>
            <w:tcW w:type="dxa" w:w="1728"/>
            <w:vAlign w:val="top"/>
          </w:tcPr>
          <w:p>
            <w:r>
              <w:t>Delivered</w:t>
            </w:r>
          </w:p>
        </w:tc>
        <w:tc>
          <w:tcPr>
            <w:tcW w:type="dxa" w:w="1728"/>
            <w:vAlign w:val="top"/>
          </w:tcPr>
          <w:p>
            <w:r>
              <w:t>Tender Builder</w:t>
            </w:r>
          </w:p>
        </w:tc>
        <w:tc>
          <w:tcPr>
            <w:tcW w:type="dxa" w:w="1728"/>
            <w:vAlign w:val="top"/>
          </w:tcPr>
          <w:p>
            <w:r>
              <w:t>Rich formatting for section bodies</w:t>
            </w:r>
          </w:p>
        </w:tc>
        <w:tc>
          <w:tcPr>
            <w:tcW w:type="dxa" w:w="1728"/>
            <w:vAlign w:val="top"/>
          </w:tcPr>
          <w:p>
            <w:r>
              <w:t>Dependency-free RichEditor (Bold/Italic/H2/H3/lists/quote) with DOMPurify sanitisation on ingress + egress</w:t>
            </w:r>
          </w:p>
        </w:tc>
        <w:tc>
          <w:tcPr>
            <w:tcW w:type="dxa" w:w="1728"/>
            <w:vAlign w:val="top"/>
          </w:tcPr>
          <w:p>
            <w:r>
              <w:t>Wave 24 + 25 (XSS hardened)</w:t>
            </w:r>
          </w:p>
        </w:tc>
      </w:tr>
      <w:tr>
        <w:tc>
          <w:tcPr>
            <w:tcW w:type="dxa" w:w="1728"/>
            <w:vAlign w:val="top"/>
          </w:tcPr>
          <w:p>
            <w:r>
              <w:t>Delivered</w:t>
            </w:r>
          </w:p>
        </w:tc>
        <w:tc>
          <w:tcPr>
            <w:tcW w:type="dxa" w:w="1728"/>
            <w:vAlign w:val="top"/>
          </w:tcPr>
          <w:p>
            <w:r>
              <w:t>Tender Builder</w:t>
            </w:r>
          </w:p>
        </w:tc>
        <w:tc>
          <w:tcPr>
            <w:tcW w:type="dxa" w:w="1728"/>
            <w:vAlign w:val="top"/>
          </w:tcPr>
          <w:p>
            <w:r>
              <w:t>Per-section attachment upload (blank annexure forms)</w:t>
            </w:r>
          </w:p>
        </w:tc>
        <w:tc>
          <w:tcPr>
            <w:tcW w:type="dxa" w:w="1728"/>
            <w:vAlign w:val="top"/>
          </w:tcPr>
          <w:p>
            <w:r>
              <w:t>Upload/Replace/Remove per section, served through the uploads router with proper filenames</w:t>
            </w:r>
          </w:p>
        </w:tc>
        <w:tc>
          <w:tcPr>
            <w:tcW w:type="dxa" w:w="1728"/>
            <w:vAlign w:val="top"/>
          </w:tcPr>
          <w:p>
            <w:r>
              <w:t>Wave 24 + 26</w:t>
            </w:r>
          </w:p>
        </w:tc>
      </w:tr>
      <w:tr>
        <w:tc>
          <w:tcPr>
            <w:tcW w:type="dxa" w:w="1728"/>
            <w:vAlign w:val="top"/>
          </w:tcPr>
          <w:p>
            <w:r>
              <w:t>Delivered</w:t>
            </w:r>
          </w:p>
        </w:tc>
        <w:tc>
          <w:tcPr>
            <w:tcW w:type="dxa" w:w="1728"/>
            <w:vAlign w:val="top"/>
          </w:tcPr>
          <w:p>
            <w:r>
              <w:t>Tender Builder</w:t>
            </w:r>
          </w:p>
        </w:tc>
        <w:tc>
          <w:tcPr>
            <w:tcW w:type="dxa" w:w="1728"/>
            <w:vAlign w:val="top"/>
          </w:tcPr>
          <w:p>
            <w:r>
              <w:t>Bulk drop many blank forms and auto-match to sections</w:t>
            </w:r>
          </w:p>
        </w:tc>
        <w:tc>
          <w:tcPr>
            <w:tcW w:type="dxa" w:w="1728"/>
            <w:vAlign w:val="top"/>
          </w:tcPr>
          <w:p>
            <w:r>
              <w:t>Multipart endpoint + fuzzy matcher (annex-VIII_bank.pdf correctly matches annex-VIII, not annex-V)</w:t>
            </w:r>
          </w:p>
        </w:tc>
        <w:tc>
          <w:tcPr>
            <w:tcW w:type="dxa" w:w="1728"/>
            <w:vAlign w:val="top"/>
          </w:tcPr>
          <w:p>
            <w:r>
              <w:t>Wave 29</w:t>
            </w:r>
          </w:p>
        </w:tc>
      </w:tr>
      <w:tr>
        <w:tc>
          <w:tcPr>
            <w:tcW w:type="dxa" w:w="1728"/>
            <w:vAlign w:val="top"/>
          </w:tcPr>
          <w:p>
            <w:r>
              <w:t>Delivered</w:t>
            </w:r>
          </w:p>
        </w:tc>
        <w:tc>
          <w:tcPr>
            <w:tcW w:type="dxa" w:w="1728"/>
            <w:vAlign w:val="top"/>
          </w:tcPr>
          <w:p>
            <w:r>
              <w:t>Tender Builder</w:t>
            </w:r>
          </w:p>
        </w:tc>
        <w:tc>
          <w:tcPr>
            <w:tcW w:type="dxa" w:w="1728"/>
            <w:vAlign w:val="top"/>
          </w:tcPr>
          <w:p>
            <w:r>
              <w:t>Version history + one-click revert</w:t>
            </w:r>
          </w:p>
        </w:tc>
        <w:tc>
          <w:tcPr>
            <w:tcW w:type="dxa" w:w="1728"/>
            <w:vAlign w:val="top"/>
          </w:tcPr>
          <w:p>
            <w:r>
              <w:t>20-snapshot rolling versions, dedicated drawer UI, restore is itself auto-snapshotted (undoable)</w:t>
            </w:r>
          </w:p>
        </w:tc>
        <w:tc>
          <w:tcPr>
            <w:tcW w:type="dxa" w:w="1728"/>
            <w:vAlign w:val="top"/>
          </w:tcPr>
          <w:p>
            <w:r>
              <w:t>Wave 31</w:t>
            </w:r>
          </w:p>
        </w:tc>
      </w:tr>
      <w:tr>
        <w:tc>
          <w:tcPr>
            <w:tcW w:type="dxa" w:w="1728"/>
            <w:vAlign w:val="top"/>
          </w:tcPr>
          <w:p>
            <w:r>
              <w:t>Delivered</w:t>
            </w:r>
          </w:p>
        </w:tc>
        <w:tc>
          <w:tcPr>
            <w:tcW w:type="dxa" w:w="1728"/>
            <w:vAlign w:val="top"/>
          </w:tcPr>
          <w:p>
            <w:r>
              <w:t>AI Copilot (advisory)</w:t>
            </w:r>
          </w:p>
        </w:tc>
        <w:tc>
          <w:tcPr>
            <w:tcW w:type="dxa" w:w="1728"/>
            <w:vAlign w:val="top"/>
          </w:tcPr>
          <w:p>
            <w:r>
              <w:t>AI-assisted section drafting</w:t>
            </w:r>
          </w:p>
        </w:tc>
        <w:tc>
          <w:tcPr>
            <w:tcW w:type="dxa" w:w="1728"/>
            <w:vAlign w:val="top"/>
          </w:tcPr>
          <w:p>
            <w:r>
              <w:t>Per-section ✨ menu with tone (Formal/Plain/Strict) × length (Short/Medium/Long) knobs, HTML output, bleach-sanitised</w:t>
            </w:r>
          </w:p>
        </w:tc>
        <w:tc>
          <w:tcPr>
            <w:tcW w:type="dxa" w:w="1728"/>
            <w:vAlign w:val="top"/>
          </w:tcPr>
          <w:p>
            <w:r>
              <w:t>Waves 29-30 · LLM Key</w:t>
            </w:r>
          </w:p>
        </w:tc>
      </w:tr>
      <w:tr>
        <w:tc>
          <w:tcPr>
            <w:tcW w:type="dxa" w:w="1728"/>
            <w:vAlign w:val="top"/>
          </w:tcPr>
          <w:p>
            <w:r>
              <w:t>Delivered</w:t>
            </w:r>
          </w:p>
        </w:tc>
        <w:tc>
          <w:tcPr>
            <w:tcW w:type="dxa" w:w="1728"/>
            <w:vAlign w:val="top"/>
          </w:tcPr>
          <w:p>
            <w:r>
              <w:t>AI Copilot (advisory)</w:t>
            </w:r>
          </w:p>
        </w:tc>
        <w:tc>
          <w:tcPr>
            <w:tcW w:type="dxa" w:w="1728"/>
            <w:vAlign w:val="top"/>
          </w:tcPr>
          <w:p>
            <w:r>
              <w:t>Compare bids and surface clause-level differences</w:t>
            </w:r>
          </w:p>
        </w:tc>
        <w:tc>
          <w:tcPr>
            <w:tcW w:type="dxa" w:w="1728"/>
            <w:vAlign w:val="top"/>
          </w:tcPr>
          <w:p>
            <w:r>
              <w:t>`/api/v1/bids/compare-ai` returns `summary`, `clauses[]`, `recommended_questions[]`, `advisory_notice`; refuses to name a winner</w:t>
            </w:r>
          </w:p>
        </w:tc>
        <w:tc>
          <w:tcPr>
            <w:tcW w:type="dxa" w:w="1728"/>
            <w:vAlign w:val="top"/>
          </w:tcPr>
          <w:p>
            <w:r>
              <w:t>Wave 31 · human retains signature</w:t>
            </w:r>
          </w:p>
        </w:tc>
      </w:tr>
      <w:tr>
        <w:tc>
          <w:tcPr>
            <w:tcW w:type="dxa" w:w="1728"/>
            <w:vAlign w:val="top"/>
          </w:tcPr>
          <w:p>
            <w:r>
              <w:t>Delivered</w:t>
            </w:r>
          </w:p>
        </w:tc>
        <w:tc>
          <w:tcPr>
            <w:tcW w:type="dxa" w:w="1728"/>
            <w:vAlign w:val="top"/>
          </w:tcPr>
          <w:p>
            <w:r>
              <w:t>AI Copilot (advisory)</w:t>
            </w:r>
          </w:p>
        </w:tc>
        <w:tc>
          <w:tcPr>
            <w:tcW w:type="dxa" w:w="1728"/>
            <w:vAlign w:val="top"/>
          </w:tcPr>
          <w:p>
            <w:r>
              <w:t>Show a diff before overwriting a section that already has content</w:t>
            </w:r>
          </w:p>
        </w:tc>
        <w:tc>
          <w:tcPr>
            <w:tcW w:type="dxa" w:w="1728"/>
            <w:vAlign w:val="top"/>
          </w:tcPr>
          <w:p>
            <w:r>
              <w:t>`AiDiffModal` with word-level red/green diff and +N/−N stats</w:t>
            </w:r>
          </w:p>
        </w:tc>
        <w:tc>
          <w:tcPr>
            <w:tcW w:type="dxa" w:w="1728"/>
            <w:vAlign w:val="top"/>
          </w:tcPr>
          <w:p>
            <w:r>
              <w:t>Wave 30</w:t>
            </w:r>
          </w:p>
        </w:tc>
      </w:tr>
      <w:tr>
        <w:tc>
          <w:tcPr>
            <w:tcW w:type="dxa" w:w="1728"/>
            <w:vAlign w:val="top"/>
          </w:tcPr>
          <w:p>
            <w:r>
              <w:t>Delivered</w:t>
            </w:r>
          </w:p>
        </w:tc>
        <w:tc>
          <w:tcPr>
            <w:tcW w:type="dxa" w:w="1728"/>
            <w:vAlign w:val="top"/>
          </w:tcPr>
          <w:p>
            <w:r>
              <w:t>AI Governance</w:t>
            </w:r>
          </w:p>
        </w:tc>
        <w:tc>
          <w:tcPr>
            <w:tcW w:type="dxa" w:w="1728"/>
            <w:vAlign w:val="top"/>
          </w:tcPr>
          <w:p>
            <w:r>
              <w:t>AI stays advisory; humans keep signature</w:t>
            </w:r>
          </w:p>
        </w:tc>
        <w:tc>
          <w:tcPr>
            <w:tcW w:type="dxa" w:w="1728"/>
            <w:vAlign w:val="top"/>
          </w:tcPr>
          <w:p>
            <w:r>
              <w:t>Every AI endpoint carries an advisory notice, no automated state changes, full audit_log entries</w:t>
            </w:r>
          </w:p>
        </w:tc>
        <w:tc>
          <w:tcPr>
            <w:tcW w:type="dxa" w:w="1728"/>
            <w:vAlign w:val="top"/>
          </w:tcPr>
          <w:p>
            <w:r>
              <w:t>Architecture guardrail 2026-08-03</w:t>
            </w:r>
          </w:p>
        </w:tc>
      </w:tr>
      <w:tr>
        <w:tc>
          <w:tcPr>
            <w:tcW w:type="dxa" w:w="1728"/>
            <w:vAlign w:val="top"/>
          </w:tcPr>
          <w:p>
            <w:r>
              <w:t>Delivered</w:t>
            </w:r>
          </w:p>
        </w:tc>
        <w:tc>
          <w:tcPr>
            <w:tcW w:type="dxa" w:w="1728"/>
            <w:vAlign w:val="top"/>
          </w:tcPr>
          <w:p>
            <w:r>
              <w:t>PDF Export</w:t>
            </w:r>
          </w:p>
        </w:tc>
        <w:tc>
          <w:tcPr>
            <w:tcW w:type="dxa" w:w="1728"/>
            <w:vAlign w:val="top"/>
          </w:tcPr>
          <w:p>
            <w:r>
              <w:t>One-click composed tender PDF from Notice detail</w:t>
            </w:r>
          </w:p>
        </w:tc>
        <w:tc>
          <w:tcPr>
            <w:tcW w:type="dxa" w:w="1728"/>
            <w:vAlign w:val="top"/>
          </w:tcPr>
          <w:p>
            <w:r>
              <w:t>WeasyPrint server render, `Content-Disposition: attachment`, real %PDF-1.7</w:t>
            </w:r>
          </w:p>
        </w:tc>
        <w:tc>
          <w:tcPr>
            <w:tcW w:type="dxa" w:w="1728"/>
            <w:vAlign w:val="top"/>
          </w:tcPr>
          <w:p>
            <w:r>
              <w:t>Wave 28</w:t>
            </w:r>
          </w:p>
        </w:tc>
      </w:tr>
      <w:tr>
        <w:tc>
          <w:tcPr>
            <w:tcW w:type="dxa" w:w="1728"/>
            <w:vAlign w:val="top"/>
          </w:tcPr>
          <w:p>
            <w:r>
              <w:t>Delivered</w:t>
            </w:r>
          </w:p>
        </w:tc>
        <w:tc>
          <w:tcPr>
            <w:tcW w:type="dxa" w:w="1728"/>
            <w:vAlign w:val="top"/>
          </w:tcPr>
          <w:p>
            <w:r>
              <w:t>PDF Export</w:t>
            </w:r>
          </w:p>
        </w:tc>
        <w:tc>
          <w:tcPr>
            <w:tcW w:type="dxa" w:w="1728"/>
            <w:vAlign w:val="top"/>
          </w:tcPr>
          <w:p>
            <w:r>
              <w:t>Watermark + version stamp on every page</w:t>
            </w:r>
          </w:p>
        </w:tc>
        <w:tc>
          <w:tcPr>
            <w:tcW w:type="dxa" w:w="1728"/>
            <w:vAlign w:val="top"/>
          </w:tcPr>
          <w:p>
            <w:r>
              <w:t>Diagonal DRAFT watermark, top-right tender ref, bottom footer `status · v{n} · issued yyyy-mm-dd · Page x/y`</w:t>
            </w:r>
          </w:p>
        </w:tc>
        <w:tc>
          <w:tcPr>
            <w:tcW w:type="dxa" w:w="1728"/>
            <w:vAlign w:val="top"/>
          </w:tcPr>
          <w:p>
            <w:r>
              <w:t>Wave 29</w:t>
            </w:r>
          </w:p>
        </w:tc>
      </w:tr>
      <w:tr>
        <w:tc>
          <w:tcPr>
            <w:tcW w:type="dxa" w:w="1728"/>
            <w:vAlign w:val="top"/>
          </w:tcPr>
          <w:p>
            <w:r>
              <w:t>Delivered</w:t>
            </w:r>
          </w:p>
        </w:tc>
        <w:tc>
          <w:tcPr>
            <w:tcW w:type="dxa" w:w="1728"/>
            <w:vAlign w:val="top"/>
          </w:tcPr>
          <w:p>
            <w:r>
              <w:t>PDF Export</w:t>
            </w:r>
          </w:p>
        </w:tc>
        <w:tc>
          <w:tcPr>
            <w:tcW w:type="dxa" w:w="1728"/>
            <w:vAlign w:val="top"/>
          </w:tcPr>
          <w:p>
            <w:r>
              <w:t>Multi-language toggle (EN / RU / KK)</w:t>
            </w:r>
          </w:p>
        </w:tc>
        <w:tc>
          <w:tcPr>
            <w:tcW w:type="dxa" w:w="1728"/>
            <w:vAlign w:val="top"/>
          </w:tcPr>
          <w:p>
            <w:r>
              <w:t>`?lang=` param on `/export/pdf` and `/public/pdf`; static labels + watermark localised, bodies unchanged</w:t>
            </w:r>
          </w:p>
        </w:tc>
        <w:tc>
          <w:tcPr>
            <w:tcW w:type="dxa" w:w="1728"/>
            <w:vAlign w:val="top"/>
          </w:tcPr>
          <w:p>
            <w:r>
              <w:t>Wave 31 · pypdf-verified for RU</w:t>
            </w:r>
          </w:p>
        </w:tc>
      </w:tr>
      <w:tr>
        <w:tc>
          <w:tcPr>
            <w:tcW w:type="dxa" w:w="1728"/>
            <w:vAlign w:val="top"/>
          </w:tcPr>
          <w:p>
            <w:r>
              <w:t>Delivered</w:t>
            </w:r>
          </w:p>
        </w:tc>
        <w:tc>
          <w:tcPr>
            <w:tcW w:type="dxa" w:w="1728"/>
            <w:vAlign w:val="top"/>
          </w:tcPr>
          <w:p>
            <w:r>
              <w:t>PDF Export</w:t>
            </w:r>
          </w:p>
        </w:tc>
        <w:tc>
          <w:tcPr>
            <w:tcW w:type="dxa" w:w="1728"/>
            <w:vAlign w:val="top"/>
          </w:tcPr>
          <w:p>
            <w:r>
              <w:t>Bundle the PDF + every section attachment into a single .zip</w:t>
            </w:r>
          </w:p>
        </w:tc>
        <w:tc>
          <w:tcPr>
            <w:tcW w:type="dxa" w:w="1728"/>
            <w:vAlign w:val="top"/>
          </w:tcPr>
          <w:p>
            <w:r>
              <w:t>`/public/zip?notice_ref=…` uses `zipfile` stdlib, includes README.txt index</w:t>
            </w:r>
          </w:p>
        </w:tc>
        <w:tc>
          <w:tcPr>
            <w:tcW w:type="dxa" w:w="1728"/>
            <w:vAlign w:val="top"/>
          </w:tcPr>
          <w:p>
            <w:r>
              <w:t>Wave 30</w:t>
            </w:r>
          </w:p>
        </w:tc>
      </w:tr>
      <w:tr>
        <w:tc>
          <w:tcPr>
            <w:tcW w:type="dxa" w:w="1728"/>
            <w:vAlign w:val="top"/>
          </w:tcPr>
          <w:p>
            <w:r>
              <w:t>Delivered</w:t>
            </w:r>
          </w:p>
        </w:tc>
        <w:tc>
          <w:tcPr>
            <w:tcW w:type="dxa" w:w="1728"/>
            <w:vAlign w:val="top"/>
          </w:tcPr>
          <w:p>
            <w:r>
              <w:t>Bidding</w:t>
            </w:r>
          </w:p>
        </w:tc>
        <w:tc>
          <w:tcPr>
            <w:tcW w:type="dxa" w:w="1728"/>
            <w:vAlign w:val="top"/>
          </w:tcPr>
          <w:p>
            <w:r>
              <w:t>Multi-role approval pipeline (Escrow → Admin → Certifier → Legal → Accounting → Committee)</w:t>
            </w:r>
          </w:p>
        </w:tc>
        <w:tc>
          <w:tcPr>
            <w:tcW w:type="dxa" w:w="1728"/>
            <w:vAlign w:val="top"/>
          </w:tcPr>
          <w:p>
            <w:r>
              <w:t>Dynamic Approval Matrix per notice or falls back to default; committee panel + inspections + tasks</w:t>
            </w:r>
          </w:p>
        </w:tc>
        <w:tc>
          <w:tcPr>
            <w:tcW w:type="dxa" w:w="1728"/>
            <w:vAlign w:val="top"/>
          </w:tcPr>
          <w:p>
            <w:r>
              <w:t>Waves 1-2</w:t>
            </w:r>
          </w:p>
        </w:tc>
      </w:tr>
      <w:tr>
        <w:tc>
          <w:tcPr>
            <w:tcW w:type="dxa" w:w="1728"/>
            <w:vAlign w:val="top"/>
          </w:tcPr>
          <w:p>
            <w:r>
              <w:t>Delivered</w:t>
            </w:r>
          </w:p>
        </w:tc>
        <w:tc>
          <w:tcPr>
            <w:tcW w:type="dxa" w:w="1728"/>
            <w:vAlign w:val="top"/>
          </w:tcPr>
          <w:p>
            <w:r>
              <w:t>Bidding</w:t>
            </w:r>
          </w:p>
        </w:tc>
        <w:tc>
          <w:tcPr>
            <w:tcW w:type="dxa" w:w="1728"/>
            <w:vAlign w:val="top"/>
          </w:tcPr>
          <w:p>
            <w:r>
              <w:t>Public clarifications thread on the Notice page</w:t>
            </w:r>
          </w:p>
        </w:tc>
        <w:tc>
          <w:tcPr>
            <w:tcW w:type="dxa" w:w="1728"/>
            <w:vAlign w:val="top"/>
          </w:tcPr>
          <w:p>
            <w:r>
              <w:t>`notice_qa` router — bidders ask, admin replies, only answered pairs shown publicly with masked emails</w:t>
            </w:r>
          </w:p>
        </w:tc>
        <w:tc>
          <w:tcPr>
            <w:tcW w:type="dxa" w:w="1728"/>
            <w:vAlign w:val="top"/>
          </w:tcPr>
          <w:p>
            <w:r>
              <w:t>Wave 31</w:t>
            </w:r>
          </w:p>
        </w:tc>
      </w:tr>
      <w:tr>
        <w:tc>
          <w:tcPr>
            <w:tcW w:type="dxa" w:w="1728"/>
            <w:vAlign w:val="top"/>
          </w:tcPr>
          <w:p>
            <w:r>
              <w:t>Delivered</w:t>
            </w:r>
          </w:p>
        </w:tc>
        <w:tc>
          <w:tcPr>
            <w:tcW w:type="dxa" w:w="1728"/>
            <w:vAlign w:val="top"/>
          </w:tcPr>
          <w:p>
            <w:r>
              <w:t>Compliance</w:t>
            </w:r>
          </w:p>
        </w:tc>
        <w:tc>
          <w:tcPr>
            <w:tcW w:type="dxa" w:w="1728"/>
            <w:vAlign w:val="top"/>
          </w:tcPr>
          <w:p>
            <w:r>
              <w:t>KYC as a pre-bid gate — verify before allowing bid submission</w:t>
            </w:r>
          </w:p>
        </w:tc>
        <w:tc>
          <w:tcPr>
            <w:tcW w:type="dxa" w:w="1728"/>
            <w:vAlign w:val="top"/>
          </w:tcPr>
          <w:p>
            <w:r>
              <w:t>`bids.create_bid()` returns HTTP 412 unless vendor has a passing KYC decision; `kyc_bypass` override on notices</w:t>
            </w:r>
          </w:p>
        </w:tc>
        <w:tc>
          <w:tcPr>
            <w:tcW w:type="dxa" w:w="1728"/>
            <w:vAlign w:val="top"/>
          </w:tcPr>
          <w:p>
            <w:r>
              <w:t>Wave 35d</w:t>
            </w:r>
          </w:p>
        </w:tc>
      </w:tr>
      <w:tr>
        <w:tc>
          <w:tcPr>
            <w:tcW w:type="dxa" w:w="1728"/>
            <w:vAlign w:val="top"/>
          </w:tcPr>
          <w:p>
            <w:r>
              <w:t>Delivered</w:t>
            </w:r>
          </w:p>
        </w:tc>
        <w:tc>
          <w:tcPr>
            <w:tcW w:type="dxa" w:w="1728"/>
            <w:vAlign w:val="top"/>
          </w:tcPr>
          <w:p>
            <w:r>
              <w:t>Escrow (EMD)</w:t>
            </w:r>
          </w:p>
        </w:tc>
        <w:tc>
          <w:tcPr>
            <w:tcW w:type="dxa" w:w="1728"/>
            <w:vAlign w:val="top"/>
          </w:tcPr>
          <w:p>
            <w:r>
              <w:t>EMD held in an escrow-controlled account, not a PMC operational account</w:t>
            </w:r>
          </w:p>
        </w:tc>
        <w:tc>
          <w:tcPr>
            <w:tcW w:type="dxa" w:w="1728"/>
            <w:vAlign w:val="top"/>
          </w:tcPr>
          <w:p>
            <w:r>
              <w:t>Joint escrow accounts with TWO named officers (one PMC, one escrow institution) on file</w:t>
            </w:r>
          </w:p>
        </w:tc>
        <w:tc>
          <w:tcPr>
            <w:tcW w:type="dxa" w:w="1728"/>
            <w:vAlign w:val="top"/>
          </w:tcPr>
          <w:p>
            <w:r>
              <w:t>Wave 32</w:t>
            </w:r>
          </w:p>
        </w:tc>
      </w:tr>
      <w:tr>
        <w:tc>
          <w:tcPr>
            <w:tcW w:type="dxa" w:w="1728"/>
            <w:vAlign w:val="top"/>
          </w:tcPr>
          <w:p>
            <w:r>
              <w:t>Delivered</w:t>
            </w:r>
          </w:p>
        </w:tc>
        <w:tc>
          <w:tcPr>
            <w:tcW w:type="dxa" w:w="1728"/>
            <w:vAlign w:val="top"/>
          </w:tcPr>
          <w:p>
            <w:r>
              <w:t>Escrow (EMD)</w:t>
            </w:r>
          </w:p>
        </w:tc>
        <w:tc>
          <w:tcPr>
            <w:tcW w:type="dxa" w:w="1728"/>
            <w:vAlign w:val="top"/>
          </w:tcPr>
          <w:p>
            <w:r>
              <w:t>Release requires dual authorisation from both operating officers</w:t>
            </w:r>
          </w:p>
        </w:tc>
        <w:tc>
          <w:tcPr>
            <w:tcW w:type="dxa" w:w="1728"/>
            <w:vAlign w:val="top"/>
          </w:tcPr>
          <w:p>
            <w:r>
              <w:t>`/transactions/{id}/sign` per officer + `/release` gated by both signing the same action; 409 otherwise</w:t>
            </w:r>
          </w:p>
        </w:tc>
        <w:tc>
          <w:tcPr>
            <w:tcW w:type="dxa" w:w="1728"/>
            <w:vAlign w:val="top"/>
          </w:tcPr>
          <w:p>
            <w:r>
              <w:t>Wave 32 verified via curl</w:t>
            </w:r>
          </w:p>
        </w:tc>
      </w:tr>
      <w:tr>
        <w:tc>
          <w:tcPr>
            <w:tcW w:type="dxa" w:w="1728"/>
            <w:vAlign w:val="top"/>
          </w:tcPr>
          <w:p>
            <w:r>
              <w:t>Delivered</w:t>
            </w:r>
          </w:p>
        </w:tc>
        <w:tc>
          <w:tcPr>
            <w:tcW w:type="dxa" w:w="1728"/>
            <w:vAlign w:val="top"/>
          </w:tcPr>
          <w:p>
            <w:r>
              <w:t>Escrow (EMD)</w:t>
            </w:r>
          </w:p>
        </w:tc>
        <w:tc>
          <w:tcPr>
            <w:tcW w:type="dxa" w:w="1728"/>
            <w:vAlign w:val="top"/>
          </w:tcPr>
          <w:p>
            <w:r>
              <w:t>Three outcomes: to contractor (via PMC), refund to vendor, forfeit</w:t>
            </w:r>
          </w:p>
        </w:tc>
        <w:tc>
          <w:tcPr>
            <w:tcW w:type="dxa" w:w="1728"/>
            <w:vAlign w:val="top"/>
          </w:tcPr>
          <w:p>
            <w:r>
              <w:t>`release_to_contractor` / `release_to_vendor` / `forfeit` — all audit-logged and immutable on tx</w:t>
            </w:r>
          </w:p>
        </w:tc>
        <w:tc>
          <w:tcPr>
            <w:tcW w:type="dxa" w:w="1728"/>
            <w:vAlign w:val="top"/>
          </w:tcPr>
          <w:p>
            <w:r>
              <w:t>Wave 32</w:t>
            </w:r>
          </w:p>
        </w:tc>
      </w:tr>
      <w:tr>
        <w:tc>
          <w:tcPr>
            <w:tcW w:type="dxa" w:w="1728"/>
            <w:vAlign w:val="top"/>
          </w:tcPr>
          <w:p>
            <w:r>
              <w:t>Delivered</w:t>
            </w:r>
          </w:p>
        </w:tc>
        <w:tc>
          <w:tcPr>
            <w:tcW w:type="dxa" w:w="1728"/>
            <w:vAlign w:val="top"/>
          </w:tcPr>
          <w:p>
            <w:r>
              <w:t>Escrow (EMD)</w:t>
            </w:r>
          </w:p>
        </w:tc>
        <w:tc>
          <w:tcPr>
            <w:tcW w:type="dxa" w:w="1728"/>
            <w:vAlign w:val="top"/>
          </w:tcPr>
          <w:p>
            <w:r>
              <w:t>Non-PMC escrow officer signs without a full staff account</w:t>
            </w:r>
          </w:p>
        </w:tc>
        <w:tc>
          <w:tcPr>
            <w:tcW w:type="dxa" w:w="1728"/>
            <w:vAlign w:val="top"/>
          </w:tcPr>
          <w:p>
            <w:r>
              <w:t>`POST /escrow/magic-tokens` admin-issued token → `/escrow/officer/:token` public portal signs the same transactions</w:t>
            </w:r>
          </w:p>
        </w:tc>
        <w:tc>
          <w:tcPr>
            <w:tcW w:type="dxa" w:w="1728"/>
            <w:vAlign w:val="top"/>
          </w:tcPr>
          <w:p>
            <w:r>
              <w:t>Wave 35b</w:t>
            </w:r>
          </w:p>
        </w:tc>
      </w:tr>
      <w:tr>
        <w:tc>
          <w:tcPr>
            <w:tcW w:type="dxa" w:w="1728"/>
            <w:vAlign w:val="top"/>
          </w:tcPr>
          <w:p>
            <w:r>
              <w:t>Delivered</w:t>
            </w:r>
          </w:p>
        </w:tc>
        <w:tc>
          <w:tcPr>
            <w:tcW w:type="dxa" w:w="1728"/>
            <w:vAlign w:val="top"/>
          </w:tcPr>
          <w:p>
            <w:r>
              <w:t>Revenue Catalog</w:t>
            </w:r>
          </w:p>
        </w:tc>
        <w:tc>
          <w:tcPr>
            <w:tcW w:type="dxa" w:w="1728"/>
            <w:vAlign w:val="top"/>
          </w:tcPr>
          <w:p>
            <w:r>
              <w:t>Admin-editable master of every revenue line (client + supplier)</w:t>
            </w:r>
          </w:p>
        </w:tc>
        <w:tc>
          <w:tcPr>
            <w:tcW w:type="dxa" w:w="1728"/>
            <w:vAlign w:val="top"/>
          </w:tcPr>
          <w:p>
            <w:r>
              <w:t>55 products seeded from CA-02/CA-03; 9 pricing models; multi-currency; live CRUD via Admin → Product Catalog</w:t>
            </w:r>
          </w:p>
        </w:tc>
        <w:tc>
          <w:tcPr>
            <w:tcW w:type="dxa" w:w="1728"/>
            <w:vAlign w:val="top"/>
          </w:tcPr>
          <w:p>
            <w:r>
              <w:t>Wave 35 · `products.py`</w:t>
            </w:r>
          </w:p>
        </w:tc>
      </w:tr>
      <w:tr>
        <w:tc>
          <w:tcPr>
            <w:tcW w:type="dxa" w:w="1728"/>
            <w:vAlign w:val="top"/>
          </w:tcPr>
          <w:p>
            <w:r>
              <w:t>Delivered</w:t>
            </w:r>
          </w:p>
        </w:tc>
        <w:tc>
          <w:tcPr>
            <w:tcW w:type="dxa" w:w="1728"/>
            <w:vAlign w:val="top"/>
          </w:tcPr>
          <w:p>
            <w:r>
              <w:t>Revenue Catalog</w:t>
            </w:r>
          </w:p>
        </w:tc>
        <w:tc>
          <w:tcPr>
            <w:tcW w:type="dxa" w:w="1728"/>
            <w:vAlign w:val="top"/>
          </w:tcPr>
          <w:p>
            <w:r>
              <w:t>Client purchase surface — packages + services</w:t>
            </w:r>
          </w:p>
        </w:tc>
        <w:tc>
          <w:tcPr>
            <w:tcW w:type="dxa" w:w="1728"/>
            <w:vAlign w:val="top"/>
          </w:tcPr>
          <w:p>
            <w:r>
              <w:t>Public `/services` with 34 products, 5 category filters, quote-vs-subscribe CTAs driven by pricing_model</w:t>
            </w:r>
          </w:p>
        </w:tc>
        <w:tc>
          <w:tcPr>
            <w:tcW w:type="dxa" w:w="1728"/>
            <w:vAlign w:val="top"/>
          </w:tcPr>
          <w:p>
            <w:r>
              <w:t>Wave 36 · `ClientPurchase`</w:t>
            </w:r>
          </w:p>
        </w:tc>
      </w:tr>
      <w:tr>
        <w:tc>
          <w:tcPr>
            <w:tcW w:type="dxa" w:w="1728"/>
            <w:vAlign w:val="top"/>
          </w:tcPr>
          <w:p>
            <w:r>
              <w:t>Delivered</w:t>
            </w:r>
          </w:p>
        </w:tc>
        <w:tc>
          <w:tcPr>
            <w:tcW w:type="dxa" w:w="1728"/>
            <w:vAlign w:val="top"/>
          </w:tcPr>
          <w:p>
            <w:r>
              <w:t>Revenue Catalog</w:t>
            </w:r>
          </w:p>
        </w:tc>
        <w:tc>
          <w:tcPr>
            <w:tcW w:type="dxa" w:w="1728"/>
            <w:vAlign w:val="top"/>
          </w:tcPr>
          <w:p>
            <w:r>
              <w:t>Quote pipeline — Request quote → engagement → admin quote → invoice → paid</w:t>
            </w:r>
          </w:p>
        </w:tc>
        <w:tc>
          <w:tcPr>
            <w:tcW w:type="dxa" w:w="1728"/>
            <w:vAlign w:val="top"/>
          </w:tcPr>
          <w:p>
            <w:r>
              <w:t>New `engagements.py` router + `EngagementsPanel.jsx` admin UI. Quote requests from purchase pages land in a persistent pipeline; admin sets amount, generates Stripe pay-link in one click; end-to-end tested $40k USD.</w:t>
            </w:r>
          </w:p>
        </w:tc>
        <w:tc>
          <w:tcPr>
            <w:tcW w:type="dxa" w:w="1728"/>
            <w:vAlign w:val="top"/>
          </w:tcPr>
          <w:p>
            <w:r>
              <w:t>Wave 38</w:t>
            </w:r>
          </w:p>
        </w:tc>
      </w:tr>
      <w:tr>
        <w:tc>
          <w:tcPr>
            <w:tcW w:type="dxa" w:w="1728"/>
            <w:vAlign w:val="top"/>
          </w:tcPr>
          <w:p>
            <w:r>
              <w:t>Delivered</w:t>
            </w:r>
          </w:p>
        </w:tc>
        <w:tc>
          <w:tcPr>
            <w:tcW w:type="dxa" w:w="1728"/>
            <w:vAlign w:val="top"/>
          </w:tcPr>
          <w:p>
            <w:r>
              <w:t>Revenue Catalog</w:t>
            </w:r>
          </w:p>
        </w:tc>
        <w:tc>
          <w:tcPr>
            <w:tcW w:type="dxa" w:w="1728"/>
            <w:vAlign w:val="top"/>
          </w:tcPr>
          <w:p>
            <w:r>
              <w:t>Supplier purchase surface — Supplier Success + tender-stage + add-ons</w:t>
            </w:r>
          </w:p>
        </w:tc>
        <w:tc>
          <w:tcPr>
            <w:tcW w:type="dxa" w:w="1728"/>
            <w:vAlign w:val="top"/>
          </w:tcPr>
          <w:p>
            <w:r>
              <w:t>Public `/vendor/services` with 21 products, GBP pricing, SME/Mid/Tier-1 subscription tiers</w:t>
            </w:r>
          </w:p>
        </w:tc>
        <w:tc>
          <w:tcPr>
            <w:tcW w:type="dxa" w:w="1728"/>
            <w:vAlign w:val="top"/>
          </w:tcPr>
          <w:p>
            <w:r>
              <w:t>Wave 37 · `VendorPurchase`</w:t>
            </w:r>
          </w:p>
        </w:tc>
      </w:tr>
      <w:tr>
        <w:tc>
          <w:tcPr>
            <w:tcW w:type="dxa" w:w="1728"/>
            <w:vAlign w:val="top"/>
          </w:tcPr>
          <w:p>
            <w:r>
              <w:t>Delivered</w:t>
            </w:r>
          </w:p>
        </w:tc>
        <w:tc>
          <w:tcPr>
            <w:tcW w:type="dxa" w:w="1728"/>
            <w:vAlign w:val="top"/>
          </w:tcPr>
          <w:p>
            <w:r>
              <w:t>Payments</w:t>
            </w:r>
          </w:p>
        </w:tc>
        <w:tc>
          <w:tcPr>
            <w:tcW w:type="dxa" w:w="1728"/>
            <w:vAlign w:val="top"/>
          </w:tcPr>
          <w:p>
            <w:r>
              <w:t>Stripe Checkout for one-off + subscription products from the catalog</w:t>
            </w:r>
          </w:p>
        </w:tc>
        <w:tc>
          <w:tcPr>
            <w:tcW w:type="dxa" w:w="1728"/>
            <w:vAlign w:val="top"/>
          </w:tcPr>
          <w:p>
            <w:r>
              <w:t>`POST /api/v1/billing/checkout` (admin, vendor OR anon) creates `cs_test_...` session with server-authoritative amount; `/api/webhook/stripe` idempotent</w:t>
            </w:r>
          </w:p>
        </w:tc>
        <w:tc>
          <w:tcPr>
            <w:tcW w:type="dxa" w:w="1728"/>
            <w:vAlign w:val="top"/>
          </w:tcPr>
          <w:p>
            <w:r>
              <w:t>Wave 35 · `pmc_lib`</w:t>
            </w:r>
          </w:p>
        </w:tc>
      </w:tr>
      <w:tr>
        <w:tc>
          <w:tcPr>
            <w:tcW w:type="dxa" w:w="1728"/>
            <w:vAlign w:val="top"/>
          </w:tcPr>
          <w:p>
            <w:r>
              <w:t>Partial</w:t>
            </w:r>
          </w:p>
        </w:tc>
        <w:tc>
          <w:tcPr>
            <w:tcW w:type="dxa" w:w="1728"/>
            <w:vAlign w:val="top"/>
          </w:tcPr>
          <w:p>
            <w:r>
              <w:t>Payments</w:t>
            </w:r>
          </w:p>
        </w:tc>
        <w:tc>
          <w:tcPr>
            <w:tcW w:type="dxa" w:w="1728"/>
            <w:vAlign w:val="top"/>
          </w:tcPr>
          <w:p>
            <w:r>
              <w:t>PayPal, Kaspi Pay</w:t>
            </w:r>
          </w:p>
        </w:tc>
        <w:tc>
          <w:tcPr>
            <w:tcW w:type="dxa" w:w="1728"/>
            <w:vAlign w:val="top"/>
          </w:tcPr>
          <w:p>
            <w:r>
              <w:t>In sandbox mock — waiting for merchant credentials</w:t>
            </w:r>
          </w:p>
        </w:tc>
        <w:tc>
          <w:tcPr>
            <w:tcW w:type="dxa" w:w="1728"/>
            <w:vAlign w:val="top"/>
          </w:tcPr>
          <w:p>
            <w:r>
              <w:t>P2 · blocked</w:t>
            </w:r>
          </w:p>
        </w:tc>
      </w:tr>
      <w:tr>
        <w:tc>
          <w:tcPr>
            <w:tcW w:type="dxa" w:w="1728"/>
            <w:vAlign w:val="top"/>
          </w:tcPr>
          <w:p>
            <w:r>
              <w:t>Delivered</w:t>
            </w:r>
          </w:p>
        </w:tc>
        <w:tc>
          <w:tcPr>
            <w:tcW w:type="dxa" w:w="1728"/>
            <w:vAlign w:val="top"/>
          </w:tcPr>
          <w:p>
            <w:r>
              <w:t>Evaluation</w:t>
            </w:r>
          </w:p>
        </w:tc>
        <w:tc>
          <w:tcPr>
            <w:tcW w:type="dxa" w:w="1728"/>
            <w:vAlign w:val="top"/>
          </w:tcPr>
          <w:p>
            <w:r>
              <w:t>Committee scoring with per-criterion weights</w:t>
            </w:r>
          </w:p>
        </w:tc>
        <w:tc>
          <w:tcPr>
            <w:tcW w:type="dxa" w:w="1728"/>
            <w:vAlign w:val="top"/>
          </w:tcPr>
          <w:p>
            <w:r>
              <w:t>Evaluation panel with rubric management, external committee invite by email, accept-flow</w:t>
            </w:r>
          </w:p>
        </w:tc>
        <w:tc>
          <w:tcPr>
            <w:tcW w:type="dxa" w:w="1728"/>
            <w:vAlign w:val="top"/>
          </w:tcPr>
          <w:p>
            <w:r>
              <w:t>Waves 2-5</w:t>
            </w:r>
          </w:p>
        </w:tc>
      </w:tr>
      <w:tr>
        <w:tc>
          <w:tcPr>
            <w:tcW w:type="dxa" w:w="1728"/>
            <w:vAlign w:val="top"/>
          </w:tcPr>
          <w:p>
            <w:r>
              <w:t>Delivered</w:t>
            </w:r>
          </w:p>
        </w:tc>
        <w:tc>
          <w:tcPr>
            <w:tcW w:type="dxa" w:w="1728"/>
            <w:vAlign w:val="top"/>
          </w:tcPr>
          <w:p>
            <w:r>
              <w:t>Contracts / BOQ</w:t>
            </w:r>
          </w:p>
        </w:tc>
        <w:tc>
          <w:tcPr>
            <w:tcW w:type="dxa" w:w="1728"/>
            <w:vAlign w:val="top"/>
          </w:tcPr>
          <w:p>
            <w:r>
              <w:t>BOQ Builder + Contract Award workflow</w:t>
            </w:r>
          </w:p>
        </w:tc>
        <w:tc>
          <w:tcPr>
            <w:tcW w:type="dxa" w:w="1728"/>
            <w:vAlign w:val="top"/>
          </w:tcPr>
          <w:p>
            <w:r>
              <w:t>BOQ/Contracts panel, BOQ templates, contract award pipeline</w:t>
            </w:r>
          </w:p>
        </w:tc>
        <w:tc>
          <w:tcPr>
            <w:tcW w:type="dxa" w:w="1728"/>
            <w:vAlign w:val="top"/>
          </w:tcPr>
          <w:p>
            <w:r>
              <w:t>Waves 3-4</w:t>
            </w:r>
          </w:p>
        </w:tc>
      </w:tr>
      <w:tr>
        <w:tc>
          <w:tcPr>
            <w:tcW w:type="dxa" w:w="1728"/>
            <w:vAlign w:val="top"/>
          </w:tcPr>
          <w:p>
            <w:r>
              <w:t>Delivered</w:t>
            </w:r>
          </w:p>
        </w:tc>
        <w:tc>
          <w:tcPr>
            <w:tcW w:type="dxa" w:w="1728"/>
            <w:vAlign w:val="top"/>
          </w:tcPr>
          <w:p>
            <w:r>
              <w:t>Audit</w:t>
            </w:r>
          </w:p>
        </w:tc>
        <w:tc>
          <w:tcPr>
            <w:tcW w:type="dxa" w:w="1728"/>
            <w:vAlign w:val="top"/>
          </w:tcPr>
          <w:p>
            <w:r>
              <w:t>Every substantive action is logged and attributable</w:t>
            </w:r>
          </w:p>
        </w:tc>
        <w:tc>
          <w:tcPr>
            <w:tcW w:type="dxa" w:w="1728"/>
            <w:vAlign w:val="top"/>
          </w:tcPr>
          <w:p>
            <w:r>
              <w:t>Global `audit_log` collection + per-transaction immutable `audit_trail[]` on escrow records</w:t>
            </w:r>
          </w:p>
        </w:tc>
        <w:tc>
          <w:tcPr>
            <w:tcW w:type="dxa" w:w="1728"/>
            <w:vAlign w:val="top"/>
          </w:tcPr>
          <w:p>
            <w:r>
              <w:t>Throughout</w:t>
            </w:r>
          </w:p>
        </w:tc>
      </w:tr>
      <w:tr>
        <w:tc>
          <w:tcPr>
            <w:tcW w:type="dxa" w:w="1728"/>
            <w:vAlign w:val="top"/>
          </w:tcPr>
          <w:p>
            <w:r>
              <w:t>Delivered</w:t>
            </w:r>
          </w:p>
        </w:tc>
        <w:tc>
          <w:tcPr>
            <w:tcW w:type="dxa" w:w="1728"/>
            <w:vAlign w:val="top"/>
          </w:tcPr>
          <w:p>
            <w:r>
              <w:t>Governance</w:t>
            </w:r>
          </w:p>
        </w:tc>
        <w:tc>
          <w:tcPr>
            <w:tcW w:type="dxa" w:w="1728"/>
            <w:vAlign w:val="top"/>
          </w:tcPr>
          <w:p>
            <w:r>
              <w:t>Live public roadmap page so vendors can see what's built vs coming</w:t>
            </w:r>
          </w:p>
        </w:tc>
        <w:tc>
          <w:tcPr>
            <w:tcW w:type="dxa" w:w="1728"/>
            <w:vAlign w:val="top"/>
          </w:tcPr>
          <w:p>
            <w:r>
              <w:t>Public `/roadmap` reads `/api/v1/reports/public/roadmap` — 20 areas, status pills, stat-card filters</w:t>
            </w:r>
          </w:p>
        </w:tc>
        <w:tc>
          <w:tcPr>
            <w:tcW w:type="dxa" w:w="1728"/>
            <w:vAlign w:val="top"/>
          </w:tcPr>
          <w:p>
            <w:r>
              <w:t>Wave 35c</w:t>
            </w:r>
          </w:p>
        </w:tc>
      </w:tr>
      <w:tr>
        <w:tc>
          <w:tcPr>
            <w:tcW w:type="dxa" w:w="1728"/>
            <w:vAlign w:val="top"/>
          </w:tcPr>
          <w:p>
            <w:r>
              <w:t>Delivered</w:t>
            </w:r>
          </w:p>
        </w:tc>
        <w:tc>
          <w:tcPr>
            <w:tcW w:type="dxa" w:w="1728"/>
            <w:vAlign w:val="top"/>
          </w:tcPr>
          <w:p>
            <w:r>
              <w:t>Governance</w:t>
            </w:r>
          </w:p>
        </w:tc>
        <w:tc>
          <w:tcPr>
            <w:tcW w:type="dxa" w:w="1728"/>
            <w:vAlign w:val="top"/>
          </w:tcPr>
          <w:p>
            <w:r>
              <w:t>Stakeholder reports auto-regenerate on every deploy</w:t>
            </w:r>
          </w:p>
        </w:tc>
        <w:tc>
          <w:tcPr>
            <w:tcW w:type="dxa" w:w="1728"/>
            <w:vAlign w:val="top"/>
          </w:tcPr>
          <w:p>
            <w:r>
              <w:t>`_refresh_reports_snapshot()` runs at startup — `/app/docs/reports/*.{xlsx,docx,pdf,svg}` never drifts</w:t>
            </w:r>
          </w:p>
        </w:tc>
        <w:tc>
          <w:tcPr>
            <w:tcW w:type="dxa" w:w="1728"/>
            <w:vAlign w:val="top"/>
          </w:tcPr>
          <w:p>
            <w:r>
              <w:t>Wave 35e</w:t>
            </w:r>
          </w:p>
        </w:tc>
      </w:tr>
      <w:tr>
        <w:tc>
          <w:tcPr>
            <w:tcW w:type="dxa" w:w="1728"/>
            <w:vAlign w:val="top"/>
          </w:tcPr>
          <w:p>
            <w:r>
              <w:t>Delivered</w:t>
            </w:r>
          </w:p>
        </w:tc>
        <w:tc>
          <w:tcPr>
            <w:tcW w:type="dxa" w:w="1728"/>
            <w:vAlign w:val="top"/>
          </w:tcPr>
          <w:p>
            <w:r>
              <w:t>Mobile</w:t>
            </w:r>
          </w:p>
        </w:tc>
        <w:tc>
          <w:tcPr>
            <w:tcW w:type="dxa" w:w="1728"/>
            <w:vAlign w:val="top"/>
          </w:tcPr>
          <w:p>
            <w:r>
              <w:t>Mobile-friendly app for staff and vendors</w:t>
            </w:r>
          </w:p>
        </w:tc>
        <w:tc>
          <w:tcPr>
            <w:tcW w:type="dxa" w:w="1728"/>
            <w:vAlign w:val="top"/>
          </w:tcPr>
          <w:p>
            <w:r>
              <w:t>PWA + Capacitor mobile wrapper, unified `/m` login, mobile hamburger menu</w:t>
            </w:r>
          </w:p>
        </w:tc>
        <w:tc>
          <w:tcPr>
            <w:tcW w:type="dxa" w:w="1728"/>
            <w:vAlign w:val="top"/>
          </w:tcPr>
          <w:p>
            <w:r>
              <w:t>Waves 13, 22</w:t>
            </w:r>
          </w:p>
        </w:tc>
      </w:tr>
      <w:tr>
        <w:tc>
          <w:tcPr>
            <w:tcW w:type="dxa" w:w="1728"/>
            <w:vAlign w:val="top"/>
          </w:tcPr>
          <w:p>
            <w:r>
              <w:t>Delivered</w:t>
            </w:r>
          </w:p>
        </w:tc>
        <w:tc>
          <w:tcPr>
            <w:tcW w:type="dxa" w:w="1728"/>
            <w:vAlign w:val="top"/>
          </w:tcPr>
          <w:p>
            <w:r>
              <w:t>Legal</w:t>
            </w:r>
          </w:p>
        </w:tc>
        <w:tc>
          <w:tcPr>
            <w:tcW w:type="dxa" w:w="1728"/>
            <w:vAlign w:val="top"/>
          </w:tcPr>
          <w:p>
            <w:r>
              <w:t>PKI / DSC (Digital Signature Certificate) integration for bid + contract signing</w:t>
            </w:r>
          </w:p>
        </w:tc>
        <w:tc>
          <w:tcPr>
            <w:tcW w:type="dxa" w:w="1728"/>
            <w:vAlign w:val="top"/>
          </w:tcPr>
          <w:p>
            <w:r>
              <w:t>DocuSign eSignature via JWT Grant (sandbox). New `/api/v1/docusign/*` router — envelope creation from Award PDFs (PO/SLA/Contract) + Bid acknowledgements, embedded signing view, Connect webhook for status. Admin DocuSignPanel with consent flow + envelope log. Trilingual (EN/RU/KK)</w:t>
            </w:r>
          </w:p>
        </w:tc>
        <w:tc>
          <w:tcPr>
            <w:tcW w:type="dxa" w:w="1728"/>
            <w:vAlign w:val="top"/>
          </w:tcPr>
          <w:p>
            <w:r>
              <w:t>Wave 43 · consent granted, sandbox live</w:t>
            </w:r>
          </w:p>
        </w:tc>
      </w:tr>
      <w:tr>
        <w:tc>
          <w:tcPr>
            <w:tcW w:type="dxa" w:w="1728"/>
            <w:vAlign w:val="top"/>
          </w:tcPr>
          <w:p>
            <w:r>
              <w:t>Delivered</w:t>
            </w:r>
          </w:p>
        </w:tc>
        <w:tc>
          <w:tcPr>
            <w:tcW w:type="dxa" w:w="1728"/>
            <w:vAlign w:val="top"/>
          </w:tcPr>
          <w:p>
            <w:r>
              <w:t>i18n</w:t>
            </w:r>
          </w:p>
        </w:tc>
        <w:tc>
          <w:tcPr>
            <w:tcW w:type="dxa" w:w="1728"/>
            <w:vAlign w:val="top"/>
          </w:tcPr>
          <w:p>
            <w:r>
              <w:t>Trilingual coverage across every admin panel (not just public + login)</w:t>
            </w:r>
          </w:p>
        </w:tc>
        <w:tc>
          <w:tcPr>
            <w:tcW w:type="dxa" w:w="1728"/>
            <w:vAlign w:val="top"/>
          </w:tcPr>
          <w:p>
            <w:r>
              <w:t>Added `panels` namespace to `i18n-strings.js` — ~450 EN/RU/KK strings covering headings, buttons, filter chips, table headers, empty states and toasts for 15 admin panels (Analytics, Audit, Awards, BOQ, Bidding, Corrigenda, Engagements, Evaluation, LiveAuctions, MFA, Masters, Permissions, Reports, TenderBuilder, VendorIntel). 21 of 22 admin panels now use `useI18n`</w:t>
            </w:r>
          </w:p>
        </w:tc>
        <w:tc>
          <w:tcPr>
            <w:tcW w:type="dxa" w:w="1728"/>
            <w:vAlign w:val="top"/>
          </w:tcPr>
          <w:p>
            <w:r>
              <w:t>Wave 42a</w:t>
            </w:r>
          </w:p>
        </w:tc>
      </w:tr>
      <w:tr>
        <w:tc>
          <w:tcPr>
            <w:tcW w:type="dxa" w:w="1728"/>
            <w:vAlign w:val="top"/>
          </w:tcPr>
          <w:p>
            <w:r>
              <w:t>Delivered</w:t>
            </w:r>
          </w:p>
        </w:tc>
        <w:tc>
          <w:tcPr>
            <w:tcW w:type="dxa" w:w="1728"/>
            <w:vAlign w:val="top"/>
          </w:tcPr>
          <w:p>
            <w:r>
              <w:t>UX / Mobile</w:t>
            </w:r>
          </w:p>
        </w:tc>
        <w:tc>
          <w:tcPr>
            <w:tcW w:type="dxa" w:w="1728"/>
            <w:vAlign w:val="top"/>
          </w:tcPr>
          <w:p>
            <w:r>
              <w:t>Mobile-first responsive layout across top pages</w:t>
            </w:r>
          </w:p>
        </w:tc>
        <w:tc>
          <w:tcPr>
            <w:tcW w:type="dxa" w:w="1728"/>
            <w:vAlign w:val="top"/>
          </w:tcPr>
          <w:p>
            <w:r>
              <w:t>Home@375px now renders at exact viewport (was 421 overflow) via responsive stat cards + `overflow-x-hidden`. AdminDashboard's 22-tab bar collapses into a mobile `&lt;select&gt;` on md-, header buttons stack + adaptive text sizes. Every admin function reachable at 375/768 viewport with zero horizontal scroll</w:t>
            </w:r>
          </w:p>
        </w:tc>
        <w:tc>
          <w:tcPr>
            <w:tcW w:type="dxa" w:w="1728"/>
            <w:vAlign w:val="top"/>
          </w:tcPr>
          <w:p>
            <w:r>
              <w:t>Wave 42b</w:t>
            </w:r>
          </w:p>
        </w:tc>
      </w:tr>
      <w:tr>
        <w:tc>
          <w:tcPr>
            <w:tcW w:type="dxa" w:w="1728"/>
            <w:vAlign w:val="top"/>
          </w:tcPr>
          <w:p>
            <w:r>
              <w:t>Delivered</w:t>
            </w:r>
          </w:p>
        </w:tc>
        <w:tc>
          <w:tcPr>
            <w:tcW w:type="dxa" w:w="1728"/>
            <w:vAlign w:val="top"/>
          </w:tcPr>
          <w:p>
            <w:r>
              <w:t>Procurement</w:t>
            </w:r>
          </w:p>
        </w:tc>
        <w:tc>
          <w:tcPr>
            <w:tcW w:type="dxa" w:w="1728"/>
            <w:vAlign w:val="top"/>
          </w:tcPr>
          <w:p>
            <w:r>
              <w:t>Scheduled Pre-Bid Meeting rooms (video + invitees + minutes)</w:t>
            </w:r>
          </w:p>
        </w:tc>
        <w:tc>
          <w:tcPr>
            <w:tcW w:type="dxa" w:w="1728"/>
            <w:vAlign w:val="top"/>
          </w:tcPr>
          <w:p>
            <w:r>
              <w:t>New `/api/v1/meetings` router with dual provider (Jitsi iframe by default, Zoom via S2S OAuth for enterprise). Admin MeetingsPanel + shared MeetingRoom.jsx. RSVP-style invitee list, minutes upload, cancel flow</w:t>
            </w:r>
          </w:p>
        </w:tc>
        <w:tc>
          <w:tcPr>
            <w:tcW w:type="dxa" w:w="1728"/>
            <w:vAlign w:val="top"/>
          </w:tcPr>
          <w:p>
            <w:r>
              <w:t>Wave 41a + 41b</w:t>
            </w:r>
          </w:p>
        </w:tc>
      </w:tr>
      <w:tr>
        <w:tc>
          <w:tcPr>
            <w:tcW w:type="dxa" w:w="1728"/>
            <w:vAlign w:val="top"/>
          </w:tcPr>
          <w:p>
            <w:r>
              <w:t>Delivered</w:t>
            </w:r>
          </w:p>
        </w:tc>
        <w:tc>
          <w:tcPr>
            <w:tcW w:type="dxa" w:w="1728"/>
            <w:vAlign w:val="top"/>
          </w:tcPr>
          <w:p>
            <w:r>
              <w:t>Bidding</w:t>
            </w:r>
          </w:p>
        </w:tc>
        <w:tc>
          <w:tcPr>
            <w:tcW w:type="dxa" w:w="1728"/>
            <w:vAlign w:val="top"/>
          </w:tcPr>
          <w:p>
            <w:r>
              <w:t>L1 (lowest-price) auto-comparison for mid-value tenders</w:t>
            </w:r>
          </w:p>
        </w:tc>
        <w:tc>
          <w:tcPr>
            <w:tcW w:type="dxa" w:w="1728"/>
            <w:vAlign w:val="top"/>
          </w:tcPr>
          <w:p>
            <w:r>
              <w:t>New `/api/v1/comparison/l1/{notice_ref}` — automatic ranking of commercial bids per notice with tie-break rules, exposed on admin L1ComparisonPanel</w:t>
            </w:r>
          </w:p>
        </w:tc>
        <w:tc>
          <w:tcPr>
            <w:tcW w:type="dxa" w:w="1728"/>
            <w:vAlign w:val="top"/>
          </w:tcPr>
          <w:p>
            <w:r>
              <w:t>Wave 41a</w:t>
            </w:r>
          </w:p>
        </w:tc>
      </w:tr>
      <w:tr>
        <w:tc>
          <w:tcPr>
            <w:tcW w:type="dxa" w:w="1728"/>
            <w:vAlign w:val="top"/>
          </w:tcPr>
          <w:p>
            <w:r>
              <w:t>Delivered</w:t>
            </w:r>
          </w:p>
        </w:tc>
        <w:tc>
          <w:tcPr>
            <w:tcW w:type="dxa" w:w="1728"/>
            <w:vAlign w:val="top"/>
          </w:tcPr>
          <w:p>
            <w:r>
              <w:t>Bidding</w:t>
            </w:r>
          </w:p>
        </w:tc>
        <w:tc>
          <w:tcPr>
            <w:tcW w:type="dxa" w:w="1728"/>
            <w:vAlign w:val="top"/>
          </w:tcPr>
          <w:p>
            <w:r>
              <w:t>Live Reverse Auction room with masked identities, auto-bid, price floor, anti-snipe</w:t>
            </w:r>
          </w:p>
        </w:tc>
        <w:tc>
          <w:tcPr>
            <w:tcW w:type="dxa" w:w="1728"/>
            <w:vAlign w:val="top"/>
          </w:tcPr>
          <w:p>
            <w:r>
              <w:t>New `/api/v1/reverse-auctions/*` router · masked `Bidder A/B/C…` aliases · min-decrement + hard floor enforced · anti-snipe extends close time on last-second bids · auto-bid cascade lets pre-armed bidders undercut competitors automatically. Admin LiveAuctionsPanel + public `/vendor/auction/:aid` room with 2s polling</w:t>
            </w:r>
          </w:p>
        </w:tc>
        <w:tc>
          <w:tcPr>
            <w:tcW w:type="dxa" w:w="1728"/>
            <w:vAlign w:val="top"/>
          </w:tcPr>
          <w:p>
            <w:r>
              <w:t>Wave 40</w:t>
            </w:r>
          </w:p>
        </w:tc>
      </w:tr>
      <w:tr>
        <w:tc>
          <w:tcPr>
            <w:tcW w:type="dxa" w:w="1728"/>
            <w:vAlign w:val="top"/>
          </w:tcPr>
          <w:p>
            <w:r>
              <w:t>Delivered</w:t>
            </w:r>
          </w:p>
        </w:tc>
        <w:tc>
          <w:tcPr>
            <w:tcW w:type="dxa" w:w="1728"/>
            <w:vAlign w:val="top"/>
          </w:tcPr>
          <w:p>
            <w:r>
              <w:t>Taxonomy</w:t>
            </w:r>
          </w:p>
        </w:tc>
        <w:tc>
          <w:tcPr>
            <w:tcW w:type="dxa" w:w="1728"/>
            <w:vAlign w:val="top"/>
          </w:tcPr>
          <w:p>
            <w:r>
              <w:t>UNSPSC / standardised product &amp; service classification</w:t>
            </w:r>
          </w:p>
        </w:tc>
        <w:tc>
          <w:tcPr>
            <w:tcW w:type="dxa" w:w="1728"/>
            <w:vAlign w:val="top"/>
          </w:tcPr>
          <w:p>
            <w:r>
              <w:t>New `/api/v1/taxonomy/*` router + curated UNSPSC-lite seed (87 nodes across 23 segments: Construction, Medical, IT/Telecom, Professional Services, Utilities, Facilities, Education). Search + tree + lookup-chain endpoints. Idempotent startup seed</w:t>
            </w:r>
          </w:p>
        </w:tc>
        <w:tc>
          <w:tcPr>
            <w:tcW w:type="dxa" w:w="1728"/>
            <w:vAlign w:val="top"/>
          </w:tcPr>
          <w:p>
            <w:r>
              <w:t>Wave 40 · products/BOQ can now be tagged</w:t>
            </w:r>
          </w:p>
        </w:tc>
      </w:tr>
      <w:tr>
        <w:tc>
          <w:tcPr>
            <w:tcW w:type="dxa" w:w="1728"/>
            <w:vAlign w:val="top"/>
          </w:tcPr>
          <w:p>
            <w:r>
              <w:t>Delivered</w:t>
            </w:r>
          </w:p>
        </w:tc>
        <w:tc>
          <w:tcPr>
            <w:tcW w:type="dxa" w:w="1728"/>
            <w:vAlign w:val="top"/>
          </w:tcPr>
          <w:p>
            <w:r>
              <w:t>Procurement</w:t>
            </w:r>
          </w:p>
        </w:tc>
        <w:tc>
          <w:tcPr>
            <w:tcW w:type="dxa" w:w="1728"/>
            <w:vAlign w:val="top"/>
          </w:tcPr>
          <w:p>
            <w:r>
              <w:t>Formal corrigendum / amendment publisher for published notices</w:t>
            </w:r>
          </w:p>
        </w:tc>
        <w:tc>
          <w:tcPr>
            <w:tcW w:type="dxa" w:w="1728"/>
            <w:vAlign w:val="top"/>
          </w:tcPr>
          <w:p>
            <w:r>
              <w:t>New `/api/v1/notices/{ref}/corrigenda` router — auto-numbered, deadline auto-update on parent notice, public banner on Notice Detail, admin CorrigendaPanel with withdraw</w:t>
            </w:r>
          </w:p>
        </w:tc>
        <w:tc>
          <w:tcPr>
            <w:tcW w:type="dxa" w:w="1728"/>
            <w:vAlign w:val="top"/>
          </w:tcPr>
          <w:p>
            <w:r>
              <w:t>Wave 39</w:t>
            </w:r>
          </w:p>
        </w:tc>
      </w:tr>
      <w:tr>
        <w:tc>
          <w:tcPr>
            <w:tcW w:type="dxa" w:w="1728"/>
            <w:vAlign w:val="top"/>
          </w:tcPr>
          <w:p>
            <w:r>
              <w:t>Delivered</w:t>
            </w:r>
          </w:p>
        </w:tc>
        <w:tc>
          <w:tcPr>
            <w:tcW w:type="dxa" w:w="1728"/>
            <w:vAlign w:val="top"/>
          </w:tcPr>
          <w:p>
            <w:r>
              <w:t>Bidding</w:t>
            </w:r>
          </w:p>
        </w:tc>
        <w:tc>
          <w:tcPr>
            <w:tcW w:type="dxa" w:w="1728"/>
            <w:vAlign w:val="top"/>
          </w:tcPr>
          <w:p>
            <w:r>
              <w:t>Two-cover / split-envelope submission — technical clearance before commercial visibility</w:t>
            </w:r>
          </w:p>
        </w:tc>
        <w:tc>
          <w:tcPr>
            <w:tcW w:type="dxa" w:w="1728"/>
            <w:vAlign w:val="top"/>
          </w:tcPr>
          <w:p>
            <w:r>
              <w:t>New `/bids/{id}/technical-clear` + `/financial-open`; `_redact_commercial()` strips price and commercial docs for tech-only viewers or before financial open</w:t>
            </w:r>
          </w:p>
        </w:tc>
        <w:tc>
          <w:tcPr>
            <w:tcW w:type="dxa" w:w="1728"/>
            <w:vAlign w:val="top"/>
          </w:tcPr>
          <w:p>
            <w:r>
              <w:t>Wave 39</w:t>
            </w:r>
          </w:p>
        </w:tc>
      </w:tr>
      <w:tr>
        <w:tc>
          <w:tcPr>
            <w:tcW w:type="dxa" w:w="1728"/>
            <w:vAlign w:val="top"/>
          </w:tcPr>
          <w:p>
            <w:r>
              <w:t>Delivered</w:t>
            </w:r>
          </w:p>
        </w:tc>
        <w:tc>
          <w:tcPr>
            <w:tcW w:type="dxa" w:w="1728"/>
            <w:vAlign w:val="top"/>
          </w:tcPr>
          <w:p>
            <w:r>
              <w:t>Post-Award</w:t>
            </w:r>
          </w:p>
        </w:tc>
        <w:tc>
          <w:tcPr>
            <w:tcW w:type="dxa" w:w="1728"/>
            <w:vAlign w:val="top"/>
          </w:tcPr>
          <w:p>
            <w:r>
              <w:t>Auto-generated Purchase Order, SLA, and Contract on bid award</w:t>
            </w:r>
          </w:p>
        </w:tc>
        <w:tc>
          <w:tcPr>
            <w:tcW w:type="dxa" w:w="1728"/>
            <w:vAlign w:val="top"/>
          </w:tcPr>
          <w:p>
            <w:r>
              <w:t>New `/api/v1/awards/*` router — 3 WeasyPrint PDFs (PO/SLA/Contract) drafted on award, stored in `award_documents`, downloadable by admin + awarded vendor, admin AwardsPanel with regenerate</w:t>
            </w:r>
          </w:p>
        </w:tc>
        <w:tc>
          <w:tcPr>
            <w:tcW w:type="dxa" w:w="1728"/>
            <w:vAlign w:val="top"/>
          </w:tcPr>
          <w:p>
            <w:r>
              <w:t>Wave 39 · PMC-PO-YYYY-##### numbering</w:t>
            </w:r>
          </w:p>
        </w:tc>
      </w:tr>
      <w:tr>
        <w:tc>
          <w:tcPr>
            <w:tcW w:type="dxa" w:w="1728"/>
            <w:vAlign w:val="top"/>
          </w:tcPr>
          <w:p>
            <w:r>
              <w:t>Delivered</w:t>
            </w:r>
          </w:p>
        </w:tc>
        <w:tc>
          <w:tcPr>
            <w:tcW w:type="dxa" w:w="1728"/>
            <w:vAlign w:val="top"/>
          </w:tcPr>
          <w:p>
            <w:r>
              <w:t>Evaluation</w:t>
            </w:r>
          </w:p>
        </w:tc>
        <w:tc>
          <w:tcPr>
            <w:tcW w:type="dxa" w:w="1728"/>
            <w:vAlign w:val="top"/>
          </w:tcPr>
          <w:p>
            <w:r>
              <w:t>Technical vs commercial evaluators segregated (role firewall)</w:t>
            </w:r>
          </w:p>
        </w:tc>
        <w:tc>
          <w:tcPr>
            <w:tcW w:type="dxa" w:w="1728"/>
            <w:vAlign w:val="top"/>
          </w:tcPr>
          <w:p>
            <w:r>
              <w:t>`tech_evaluator` role sees redacted bids (price + commercial notes + commercial documents stripped); commercial envelope gated by explicit `financial-open` after `technical-clear`</w:t>
            </w:r>
          </w:p>
        </w:tc>
        <w:tc>
          <w:tcPr>
            <w:tcW w:type="dxa" w:w="1728"/>
            <w:vAlign w:val="top"/>
          </w:tcPr>
          <w:p>
            <w:r>
              <w:t>Wave 39 · supersedes earlier planned row</w:t>
            </w:r>
          </w:p>
        </w:tc>
      </w:tr>
      <w:tr>
        <w:tc>
          <w:tcPr>
            <w:tcW w:type="dxa" w:w="1728"/>
            <w:vAlign w:val="top"/>
          </w:tcPr>
          <w:p>
            <w:r>
              <w:t>Planned</w:t>
            </w:r>
          </w:p>
        </w:tc>
        <w:tc>
          <w:tcPr>
            <w:tcW w:type="dxa" w:w="1728"/>
            <w:vAlign w:val="top"/>
          </w:tcPr>
          <w:p>
            <w:r>
              <w:t>Procurement</w:t>
            </w:r>
          </w:p>
        </w:tc>
        <w:tc>
          <w:tcPr>
            <w:tcW w:type="dxa" w:w="1728"/>
            <w:vAlign w:val="top"/>
          </w:tcPr>
          <w:p>
            <w:r>
              <w:t>Direct-Purchase value-threshold gate</w:t>
            </w:r>
          </w:p>
        </w:tc>
        <w:tc>
          <w:tcPr>
            <w:tcW w:type="dxa" w:w="1728"/>
            <w:vAlign w:val="top"/>
          </w:tcPr>
          <w:p>
            <w:r>
              <w:t>Config flag on notice/product so low-value catalog items skip full tender workflow and issue a direct PO</w:t>
            </w:r>
          </w:p>
        </w:tc>
        <w:tc>
          <w:tcPr>
            <w:tcW w:type="dxa" w:w="1728"/>
            <w:vAlign w:val="top"/>
          </w:tcPr>
          <w:p>
            <w:r>
              <w:t>Roadmap · P2</w:t>
            </w:r>
          </w:p>
        </w:tc>
      </w:tr>
      <w:tr>
        <w:tc>
          <w:tcPr>
            <w:tcW w:type="dxa" w:w="1728"/>
            <w:vAlign w:val="top"/>
          </w:tcPr>
          <w:p>
            <w:r>
              <w:t>Planned</w:t>
            </w:r>
          </w:p>
        </w:tc>
        <w:tc>
          <w:tcPr>
            <w:tcW w:type="dxa" w:w="1728"/>
            <w:vAlign w:val="top"/>
          </w:tcPr>
          <w:p>
            <w:r>
              <w:t>Taxonomy</w:t>
            </w:r>
          </w:p>
        </w:tc>
        <w:tc>
          <w:tcPr>
            <w:tcW w:type="dxa" w:w="1728"/>
            <w:vAlign w:val="top"/>
          </w:tcPr>
          <w:p>
            <w:r>
              <w:t>UNSPSC picker widget in Product Catalog + BOQ Builder + registration scopes</w:t>
            </w:r>
          </w:p>
        </w:tc>
        <w:tc>
          <w:tcPr>
            <w:tcW w:type="dxa" w:w="1728"/>
            <w:vAlign w:val="top"/>
          </w:tcPr>
          <w:p>
            <w:r>
              <w:t>Backend + seed shipped in Wave 40; frontend picker widgets still to be attached to product/BOQ/registration edit forms</w:t>
            </w:r>
          </w:p>
        </w:tc>
        <w:tc>
          <w:tcPr>
            <w:tcW w:type="dxa" w:w="1728"/>
            <w:vAlign w:val="top"/>
          </w:tcPr>
          <w:p>
            <w:r>
              <w:t>Roadmap · P2</w:t>
            </w:r>
          </w:p>
        </w:tc>
      </w:tr>
      <w:tr>
        <w:tc>
          <w:tcPr>
            <w:tcW w:type="dxa" w:w="1728"/>
            <w:vAlign w:val="top"/>
          </w:tcPr>
          <w:p>
            <w:r>
              <w:t>Planned</w:t>
            </w:r>
          </w:p>
        </w:tc>
        <w:tc>
          <w:tcPr>
            <w:tcW w:type="dxa" w:w="1728"/>
            <w:vAlign w:val="top"/>
          </w:tcPr>
          <w:p>
            <w:r>
              <w:t>Notifications</w:t>
            </w:r>
          </w:p>
        </w:tc>
        <w:tc>
          <w:tcPr>
            <w:tcW w:type="dxa" w:w="1728"/>
            <w:vAlign w:val="top"/>
          </w:tcPr>
          <w:p>
            <w:r>
              <w:t>Live push notifications on mobile</w:t>
            </w:r>
          </w:p>
        </w:tc>
        <w:tc>
          <w:tcPr>
            <w:tcW w:type="dxa" w:w="1728"/>
            <w:vAlign w:val="top"/>
          </w:tcPr>
          <w:p>
            <w:r>
              <w:t>Firebase/APNs plumbing scaffolded; waiting for `google-services.json` + APNs auth key</w:t>
            </w:r>
          </w:p>
        </w:tc>
        <w:tc>
          <w:tcPr>
            <w:tcW w:type="dxa" w:w="1728"/>
            <w:vAlign w:val="top"/>
          </w:tcPr>
          <w:p>
            <w:r>
              <w:t>Blocked · P1</w:t>
            </w:r>
          </w:p>
        </w:tc>
      </w:tr>
      <w:tr>
        <w:tc>
          <w:tcPr>
            <w:tcW w:type="dxa" w:w="1728"/>
            <w:vAlign w:val="top"/>
          </w:tcPr>
          <w:p>
            <w:r>
              <w:t>Planned</w:t>
            </w:r>
          </w:p>
        </w:tc>
        <w:tc>
          <w:tcPr>
            <w:tcW w:type="dxa" w:w="1728"/>
            <w:vAlign w:val="top"/>
          </w:tcPr>
          <w:p>
            <w:r>
              <w:t>Emails</w:t>
            </w:r>
          </w:p>
        </w:tc>
        <w:tc>
          <w:tcPr>
            <w:tcW w:type="dxa" w:w="1728"/>
            <w:vAlign w:val="top"/>
          </w:tcPr>
          <w:p>
            <w:r>
              <w:t>Real transactional email dispatch</w:t>
            </w:r>
          </w:p>
        </w:tc>
        <w:tc>
          <w:tcPr>
            <w:tcW w:type="dxa" w:w="1728"/>
            <w:vAlign w:val="top"/>
          </w:tcPr>
          <w:p>
            <w:r>
              <w:t>Currently console-logged; needs PMC-managed Resend key</w:t>
            </w:r>
          </w:p>
        </w:tc>
        <w:tc>
          <w:tcPr>
            <w:tcW w:type="dxa" w:w="1728"/>
            <w:vAlign w:val="top"/>
          </w:tcPr>
          <w:p>
            <w:r>
              <w:t>Blocked · P2</w:t>
            </w:r>
          </w:p>
        </w:tc>
      </w:tr>
      <w:tr>
        <w:tc>
          <w:tcPr>
            <w:tcW w:type="dxa" w:w="1728"/>
            <w:vAlign w:val="top"/>
          </w:tcPr>
          <w:p>
            <w:r>
              <w:t>Planned</w:t>
            </w:r>
          </w:p>
        </w:tc>
        <w:tc>
          <w:tcPr>
            <w:tcW w:type="dxa" w:w="1728"/>
            <w:vAlign w:val="top"/>
          </w:tcPr>
          <w:p>
            <w:r>
              <w:t>Compliance</w:t>
            </w:r>
          </w:p>
        </w:tc>
        <w:tc>
          <w:tcPr>
            <w:tcW w:type="dxa" w:w="1728"/>
            <w:vAlign w:val="top"/>
          </w:tcPr>
          <w:p>
            <w:r>
              <w:t>Live KYC provider integration</w:t>
            </w:r>
          </w:p>
        </w:tc>
        <w:tc>
          <w:tcPr>
            <w:tcW w:type="dxa" w:w="1728"/>
            <w:vAlign w:val="top"/>
          </w:tcPr>
          <w:p>
            <w:r>
              <w:t>Stubbed logic in place + pre-bid gate wired; awaiting `KYC_BASE_URL` and `KYC_API_KEY`</w:t>
            </w:r>
          </w:p>
        </w:tc>
        <w:tc>
          <w:tcPr>
            <w:tcW w:type="dxa" w:w="1728"/>
            <w:vAlign w:val="top"/>
          </w:tcPr>
          <w:p>
            <w:r>
              <w:t>Blocked · P1</w:t>
            </w:r>
          </w:p>
        </w:tc>
      </w:tr>
      <w:tr>
        <w:tc>
          <w:tcPr>
            <w:tcW w:type="dxa" w:w="1728"/>
            <w:vAlign w:val="top"/>
          </w:tcPr>
          <w:p>
            <w:r>
              <w:t>Planned</w:t>
            </w:r>
          </w:p>
        </w:tc>
        <w:tc>
          <w:tcPr>
            <w:tcW w:type="dxa" w:w="1728"/>
            <w:vAlign w:val="top"/>
          </w:tcPr>
          <w:p>
            <w:r>
              <w:t>Deployment</w:t>
            </w:r>
          </w:p>
        </w:tc>
        <w:tc>
          <w:tcPr>
            <w:tcW w:type="dxa" w:w="1728"/>
            <w:vAlign w:val="top"/>
          </w:tcPr>
          <w:p>
            <w:r>
              <w:t>Native AWS Phase 2 migration (Postgres RLS, S3, Cognito, Fargate)</w:t>
            </w:r>
          </w:p>
        </w:tc>
        <w:tc>
          <w:tcPr>
            <w:tcW w:type="dxa" w:w="1728"/>
            <w:vAlign w:val="top"/>
          </w:tcPr>
          <w:p>
            <w:r>
              <w:t>MongoDB + FastAPI on Managed for MVP; portability was a design constraint</w:t>
            </w:r>
          </w:p>
        </w:tc>
        <w:tc>
          <w:tcPr>
            <w:tcW w:type="dxa" w:w="1728"/>
            <w:vAlign w:val="top"/>
          </w:tcPr>
          <w:p>
            <w:r>
              <w:t>Roadmap · P2</w:t>
            </w:r>
          </w:p>
        </w:tc>
      </w:tr>
    </w:tbl>
    <w:p>
      <w:r>
        <w:br w:type="page"/>
      </w:r>
    </w:p>
    <w:p>
      <w:pPr>
        <w:pStyle w:val="Heading1"/>
      </w:pPr>
      <w:r>
        <w:t>Architecture guardrails accepted</w:t>
      </w:r>
    </w:p>
    <w:p>
      <w:pPr>
        <w:pStyle w:val="ListBullet"/>
      </w:pPr>
      <w:r>
        <w:t>EMD flows directly to an escrow-controlled account jointly operated by one PMC officer and one escrow-institution officer. PMC only initiates and reconciles.</w:t>
      </w:r>
    </w:p>
    <w:p>
      <w:pPr>
        <w:pStyle w:val="ListBullet"/>
      </w:pPr>
      <w:r>
        <w:t>Release from escrow requires dual authorisation from both operating officers; the ledger auto-refuses (HTTP 409) any release attempted before both signatures.</w:t>
      </w:r>
    </w:p>
    <w:p>
      <w:pPr>
        <w:pStyle w:val="ListBullet"/>
      </w:pPr>
      <w:r>
        <w:t>KYC is being moved forward in the workflow so vendors are substantially validated before entering the bidding process (planned).</w:t>
      </w:r>
    </w:p>
    <w:p>
      <w:pPr>
        <w:pStyle w:val="ListBullet"/>
      </w:pPr>
      <w:r>
        <w:t>Technical and commercial evaluations are kept segregated; a role-firewall audit is planned to ensure no single reviewer sees both scores before the joint award meeting.</w:t>
      </w:r>
    </w:p>
    <w:p>
      <w:pPr>
        <w:pStyle w:val="ListBullet"/>
      </w:pPr>
      <w:r>
        <w:t>AI capabilities are advisory. All substantive decisions remain attributable to authorised individuals and are fully auditable.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