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2355B"/>
          <w:sz w:val="56"/>
          <w:szCs w:val="56"/>
        </w:rPr>
        <w:t xml:space="preserve">JEFFY COMMERCE (PTY) LTD</w:t>
      </w:r>
    </w:p>
    <w:p>
      <w:pPr>
        <w:spacing w:after="40"/>
        <w:jc w:val="center"/>
      </w:pPr>
      <w:r>
        <w:rPr>
          <w:i/>
          <w:iCs/>
          <w:color w:val="1F6FB2"/>
          <w:sz w:val="28"/>
          <w:szCs w:val="28"/>
        </w:rPr>
        <w:t xml:space="preserve">Commerce that builds schools</w:t>
      </w:r>
    </w:p>
    <w:p>
      <w:pPr>
        <w:spacing w:after="0" w:before="200"/>
        <w:jc w:val="center"/>
      </w:pPr>
      <w:r>
        <w:rPr>
          <w:b/>
          <w:bCs/>
          <w:color w:val="595959"/>
          <w:sz w:val="32"/>
          <w:szCs w:val="32"/>
        </w:rPr>
        <w:t xml:space="preserve">BUSINESS PLAN</w:t>
      </w:r>
    </w:p>
    <w:p>
      <w:pPr>
        <w:spacing w:before="60"/>
        <w:jc w:val="center"/>
      </w:pPr>
      <w:r>
        <w:rPr>
          <w:color w:val="595959"/>
          <w:sz w:val="20"/>
          <w:szCs w:val="20"/>
        </w:rPr>
        <w:t xml:space="preserve">Confidential — prepared 2 June 2026</w:t>
      </w:r>
    </w:p>
    <w:p>
      <w:pPr>
        <w:spacing w:before="1600"/>
        <w:jc w:val="center"/>
      </w:pPr>
      <w:r>
        <w:rPr>
          <w:color w:val="12355B"/>
          <w:sz w:val="20"/>
          <w:szCs w:val="20"/>
        </w:rPr>
        <w:t xml:space="preserve">Reg 2025/950712/07  ·  SARS Customs Code CU25827795</w:t>
      </w:r>
    </w:p>
    <w:p>
      <w:pPr>
        <w:jc w:val="center"/>
      </w:pPr>
      <w:r>
        <w:rPr>
          <w:color w:val="595959"/>
          <w:sz w:val="18"/>
          <w:szCs w:val="18"/>
        </w:rPr>
        <w:t xml:space="preserve">39 Panorama Drive, The Links, Somerset West, 7130  ·  jeffy.co.za</w:t>
      </w:r>
    </w:p>
    <w:p>
      <w:r>
        <w:br w:type="page"/>
      </w:r>
    </w:p>
    <w:p>
      <w:pPr>
        <w:sectPr>
          <w:pgSz w:w="11906" w:h="16838" w:orient="portrait"/>
          <w:pgMar w:top="1300" w:right="1440" w:bottom="1300" w:left="1440" w:header="708" w:footer="708" w:gutter="0"/>
          <w:pgNumType/>
          <w:docGrid w:linePitch="360"/>
        </w:sectPr>
      </w:pPr>
    </w:p>
    <w:p>
      <w:pPr>
        <w:pStyle w:val="Heading1"/>
      </w:pPr>
      <w:r>
        <w:t xml:space="preserve">1.  Executive Summary</w:t>
      </w:r>
    </w:p>
    <w:p>
      <w:pPr>
        <w:spacing w:after="120" w:line="276"/>
      </w:pPr>
      <w:r>
        <w:t xml:space="preserve">Jeffy Commerce (Pty) Ltd is a South African registered importer building a demand-led commerce network: it imports consumer goods directly from China under its own SARS Customs Code, wholesales them to a national network of independent local resellers, and channels its net profit into free, merit-based schools. The promise to the customer is simple — “Takealot, but your neighbour delivers it” — cutting the layers between the factory and the front door so South Africans pay less, while local people build real businesses.</w:t>
      </w:r>
    </w:p>
    <w:p>
      <w:pPr>
        <w:spacing w:after="120" w:line="276"/>
      </w:pPr>
      <w:r>
        <w:t xml:space="preserve">Three features make the model durable. First, resellers are genuine independent businesses (they buy and own their stock), which keeps the structure scalable and clean of employment and franchise liabilities. Second, the “Jeffy Wish List” captures verified demand before any stock is bought, so capital is aimed by data, not guesswork. Third, every product is priced on true landed cost, and capital is staged — proven on small batches before scaling by the container.</w:t>
      </w:r>
    </w:p>
    <w:p>
      <w:pPr>
        <w:spacing w:after="120" w:line="276"/>
      </w:pPr>
      <w:r>
        <w:t xml:space="preserve">The company is incorporated, the trading platform is live, the importer’s code is approved, and the reseller and Wish List systems are built. The business now seeks staged growth capital to fund inventory and the first reseller cohorts, converting proven demand into a national network whose surplus builds schools.</w:t>
      </w:r>
    </w:p>
    <w:p>
      <w:pPr>
        <w:pStyle w:val="Heading1"/>
      </w:pPr>
      <w:r>
        <w:t xml:space="preserve">2.  Company Information</w:t>
      </w:r>
    </w:p>
    <w:p>
      <w:pPr>
        <w:spacing w:after="120" w:line="276"/>
      </w:pPr>
      <w:r>
        <w:t xml:space="preserve">All identifiers below are verifiable with the Companies and Intellectual Property Commission (CIPC) and the South African Revenue Service (SARS).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c>
          <w:tcPr>
            <w:tcW w:type="dxa" w:w="3100"/>
            <w:tcBorders>
              <w:top w:val="single" w:color="C9D6E5" w:sz="1"/>
              <w:left w:val="single" w:color="C9D6E5" w:sz="1"/>
              <w:bottom w:val="single" w:color="C9D6E5" w:sz="1"/>
              <w:right w:val="single" w:color="C9D6E5" w:sz="1"/>
            </w:tcBorders>
            <w:shd w:fill="EAF1F8" w:val="clear"/>
            <w:tcMar>
              <w:top w:type="dxa" w:w="60"/>
              <w:left w:type="dxa" w:w="120"/>
              <w:bottom w:type="dxa" w:w="60"/>
              <w:right w:type="dxa" w:w="120"/>
            </w:tcMar>
          </w:tcPr>
          <w:p>
            <w:pPr>
              <w:spacing w:after="0" w:line="252"/>
            </w:pPr>
            <w:r>
              <w:rPr>
                <w:b/>
                <w:bCs/>
                <w:sz w:val="20"/>
                <w:szCs w:val="20"/>
              </w:rPr>
              <w:t xml:space="preserve">Registered name</w:t>
            </w:r>
          </w:p>
        </w:tc>
        <w:tc>
          <w:tcPr>
            <w:tcW w:type="dxa" w:w="59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Jeffy Commerce (Pty) Ltd</w:t>
            </w:r>
          </w:p>
        </w:tc>
      </w:tr>
      <w:tr>
        <w:tc>
          <w:tcPr>
            <w:tcW w:type="dxa" w:w="3100"/>
            <w:tcBorders>
              <w:top w:val="single" w:color="C9D6E5" w:sz="1"/>
              <w:left w:val="single" w:color="C9D6E5" w:sz="1"/>
              <w:bottom w:val="single" w:color="C9D6E5" w:sz="1"/>
              <w:right w:val="single" w:color="C9D6E5" w:sz="1"/>
            </w:tcBorders>
            <w:shd w:fill="EAF1F8" w:val="clear"/>
            <w:tcMar>
              <w:top w:type="dxa" w:w="60"/>
              <w:left w:type="dxa" w:w="120"/>
              <w:bottom w:type="dxa" w:w="60"/>
              <w:right w:type="dxa" w:w="120"/>
            </w:tcMar>
          </w:tcPr>
          <w:p>
            <w:pPr>
              <w:spacing w:after="0" w:line="252"/>
            </w:pPr>
            <w:r>
              <w:rPr>
                <w:b/>
                <w:bCs/>
                <w:sz w:val="20"/>
                <w:szCs w:val="20"/>
              </w:rPr>
              <w:t xml:space="preserve">Registration number</w:t>
            </w:r>
          </w:p>
        </w:tc>
        <w:tc>
          <w:tcPr>
            <w:tcW w:type="dxa" w:w="59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2025/950712/07</w:t>
            </w:r>
          </w:p>
        </w:tc>
      </w:tr>
      <w:tr>
        <w:tc>
          <w:tcPr>
            <w:tcW w:type="dxa" w:w="3100"/>
            <w:tcBorders>
              <w:top w:val="single" w:color="C9D6E5" w:sz="1"/>
              <w:left w:val="single" w:color="C9D6E5" w:sz="1"/>
              <w:bottom w:val="single" w:color="C9D6E5" w:sz="1"/>
              <w:right w:val="single" w:color="C9D6E5" w:sz="1"/>
            </w:tcBorders>
            <w:shd w:fill="EAF1F8" w:val="clear"/>
            <w:tcMar>
              <w:top w:type="dxa" w:w="60"/>
              <w:left w:type="dxa" w:w="120"/>
              <w:bottom w:type="dxa" w:w="60"/>
              <w:right w:type="dxa" w:w="120"/>
            </w:tcMar>
          </w:tcPr>
          <w:p>
            <w:pPr>
              <w:spacing w:after="0" w:line="252"/>
            </w:pPr>
            <w:r>
              <w:rPr>
                <w:b/>
                <w:bCs/>
                <w:sz w:val="20"/>
                <w:szCs w:val="20"/>
              </w:rPr>
              <w:t xml:space="preserve">Entity type</w:t>
            </w:r>
          </w:p>
        </w:tc>
        <w:tc>
          <w:tcPr>
            <w:tcW w:type="dxa" w:w="59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Private Company (Pty) Ltd</w:t>
            </w:r>
          </w:p>
        </w:tc>
      </w:tr>
      <w:tr>
        <w:tc>
          <w:tcPr>
            <w:tcW w:type="dxa" w:w="3100"/>
            <w:tcBorders>
              <w:top w:val="single" w:color="C9D6E5" w:sz="1"/>
              <w:left w:val="single" w:color="C9D6E5" w:sz="1"/>
              <w:bottom w:val="single" w:color="C9D6E5" w:sz="1"/>
              <w:right w:val="single" w:color="C9D6E5" w:sz="1"/>
            </w:tcBorders>
            <w:shd w:fill="EAF1F8" w:val="clear"/>
            <w:tcMar>
              <w:top w:type="dxa" w:w="60"/>
              <w:left w:type="dxa" w:w="120"/>
              <w:bottom w:type="dxa" w:w="60"/>
              <w:right w:type="dxa" w:w="120"/>
            </w:tcMar>
          </w:tcPr>
          <w:p>
            <w:pPr>
              <w:spacing w:after="0" w:line="252"/>
            </w:pPr>
            <w:r>
              <w:rPr>
                <w:b/>
                <w:bCs/>
                <w:sz w:val="20"/>
                <w:szCs w:val="20"/>
              </w:rPr>
              <w:t xml:space="preserve">Date incorporated</w:t>
            </w:r>
          </w:p>
        </w:tc>
        <w:tc>
          <w:tcPr>
            <w:tcW w:type="dxa" w:w="59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10 December 2025</w:t>
            </w:r>
          </w:p>
        </w:tc>
      </w:tr>
      <w:tr>
        <w:tc>
          <w:tcPr>
            <w:tcW w:type="dxa" w:w="3100"/>
            <w:tcBorders>
              <w:top w:val="single" w:color="C9D6E5" w:sz="1"/>
              <w:left w:val="single" w:color="C9D6E5" w:sz="1"/>
              <w:bottom w:val="single" w:color="C9D6E5" w:sz="1"/>
              <w:right w:val="single" w:color="C9D6E5" w:sz="1"/>
            </w:tcBorders>
            <w:shd w:fill="EAF1F8" w:val="clear"/>
            <w:tcMar>
              <w:top w:type="dxa" w:w="60"/>
              <w:left w:type="dxa" w:w="120"/>
              <w:bottom w:type="dxa" w:w="60"/>
              <w:right w:type="dxa" w:w="120"/>
            </w:tcMar>
          </w:tcPr>
          <w:p>
            <w:pPr>
              <w:spacing w:after="0" w:line="252"/>
            </w:pPr>
            <w:r>
              <w:rPr>
                <w:b/>
                <w:bCs/>
                <w:sz w:val="20"/>
                <w:szCs w:val="20"/>
              </w:rPr>
              <w:t xml:space="preserve">Status / FY end</w:t>
            </w:r>
          </w:p>
        </w:tc>
        <w:tc>
          <w:tcPr>
            <w:tcW w:type="dxa" w:w="59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In Business  ·  February</w:t>
            </w:r>
          </w:p>
        </w:tc>
      </w:tr>
      <w:tr>
        <w:tc>
          <w:tcPr>
            <w:tcW w:type="dxa" w:w="3100"/>
            <w:tcBorders>
              <w:top w:val="single" w:color="C9D6E5" w:sz="1"/>
              <w:left w:val="single" w:color="C9D6E5" w:sz="1"/>
              <w:bottom w:val="single" w:color="C9D6E5" w:sz="1"/>
              <w:right w:val="single" w:color="C9D6E5" w:sz="1"/>
            </w:tcBorders>
            <w:shd w:fill="EAF1F8" w:val="clear"/>
            <w:tcMar>
              <w:top w:type="dxa" w:w="60"/>
              <w:left w:type="dxa" w:w="120"/>
              <w:bottom w:type="dxa" w:w="60"/>
              <w:right w:type="dxa" w:w="120"/>
            </w:tcMar>
          </w:tcPr>
          <w:p>
            <w:pPr>
              <w:spacing w:after="0" w:line="252"/>
            </w:pPr>
            <w:r>
              <w:rPr>
                <w:b/>
                <w:bCs/>
                <w:sz w:val="20"/>
                <w:szCs w:val="20"/>
              </w:rPr>
              <w:t xml:space="preserve">Income Tax number</w:t>
            </w:r>
          </w:p>
        </w:tc>
        <w:tc>
          <w:tcPr>
            <w:tcW w:type="dxa" w:w="59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9168272293</w:t>
            </w:r>
          </w:p>
        </w:tc>
      </w:tr>
      <w:tr>
        <w:tc>
          <w:tcPr>
            <w:tcW w:type="dxa" w:w="3100"/>
            <w:tcBorders>
              <w:top w:val="single" w:color="C9D6E5" w:sz="1"/>
              <w:left w:val="single" w:color="C9D6E5" w:sz="1"/>
              <w:bottom w:val="single" w:color="C9D6E5" w:sz="1"/>
              <w:right w:val="single" w:color="C9D6E5" w:sz="1"/>
            </w:tcBorders>
            <w:shd w:fill="EAF1F8" w:val="clear"/>
            <w:tcMar>
              <w:top w:type="dxa" w:w="60"/>
              <w:left w:type="dxa" w:w="120"/>
              <w:bottom w:type="dxa" w:w="60"/>
              <w:right w:type="dxa" w:w="120"/>
            </w:tcMar>
          </w:tcPr>
          <w:p>
            <w:pPr>
              <w:spacing w:after="0" w:line="252"/>
            </w:pPr>
            <w:r>
              <w:rPr>
                <w:b/>
                <w:bCs/>
                <w:sz w:val="20"/>
                <w:szCs w:val="20"/>
              </w:rPr>
              <w:t xml:space="preserve">SARS Customs Code</w:t>
            </w:r>
          </w:p>
        </w:tc>
        <w:tc>
          <w:tcPr>
            <w:tcW w:type="dxa" w:w="59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CU25827795 (Registered Importer, approved 18 May 2026)</w:t>
            </w:r>
          </w:p>
        </w:tc>
      </w:tr>
      <w:tr>
        <w:tc>
          <w:tcPr>
            <w:tcW w:type="dxa" w:w="3100"/>
            <w:tcBorders>
              <w:top w:val="single" w:color="C9D6E5" w:sz="1"/>
              <w:left w:val="single" w:color="C9D6E5" w:sz="1"/>
              <w:bottom w:val="single" w:color="C9D6E5" w:sz="1"/>
              <w:right w:val="single" w:color="C9D6E5" w:sz="1"/>
            </w:tcBorders>
            <w:shd w:fill="EAF1F8" w:val="clear"/>
            <w:tcMar>
              <w:top w:type="dxa" w:w="60"/>
              <w:left w:type="dxa" w:w="120"/>
              <w:bottom w:type="dxa" w:w="60"/>
              <w:right w:type="dxa" w:w="120"/>
            </w:tcMar>
          </w:tcPr>
          <w:p>
            <w:pPr>
              <w:spacing w:after="0" w:line="252"/>
            </w:pPr>
            <w:r>
              <w:rPr>
                <w:b/>
                <w:bCs/>
                <w:sz w:val="20"/>
                <w:szCs w:val="20"/>
              </w:rPr>
              <w:t xml:space="preserve">SARS customs cash account</w:t>
            </w:r>
          </w:p>
        </w:tc>
        <w:tc>
          <w:tcPr>
            <w:tcW w:type="dxa" w:w="59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8125959786  (ref BRLA-20260518-0190-00-01; case 1000406607)</w:t>
            </w:r>
          </w:p>
        </w:tc>
      </w:tr>
      <w:tr>
        <w:tc>
          <w:tcPr>
            <w:tcW w:type="dxa" w:w="3100"/>
            <w:tcBorders>
              <w:top w:val="single" w:color="C9D6E5" w:sz="1"/>
              <w:left w:val="single" w:color="C9D6E5" w:sz="1"/>
              <w:bottom w:val="single" w:color="C9D6E5" w:sz="1"/>
              <w:right w:val="single" w:color="C9D6E5" w:sz="1"/>
            </w:tcBorders>
            <w:shd w:fill="EAF1F8" w:val="clear"/>
            <w:tcMar>
              <w:top w:type="dxa" w:w="60"/>
              <w:left w:type="dxa" w:w="120"/>
              <w:bottom w:type="dxa" w:w="60"/>
              <w:right w:type="dxa" w:w="120"/>
            </w:tcMar>
          </w:tcPr>
          <w:p>
            <w:pPr>
              <w:spacing w:after="0" w:line="252"/>
            </w:pPr>
            <w:r>
              <w:rPr>
                <w:b/>
                <w:bCs/>
                <w:sz w:val="20"/>
                <w:szCs w:val="20"/>
              </w:rPr>
              <w:t xml:space="preserve">Director / Public Officer</w:t>
            </w:r>
          </w:p>
        </w:tc>
        <w:tc>
          <w:tcPr>
            <w:tcW w:type="dxa" w:w="59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Tredoux Willemse (ID 8706025176086; appointed 10 December 2025)</w:t>
            </w:r>
          </w:p>
        </w:tc>
      </w:tr>
      <w:tr>
        <w:tc>
          <w:tcPr>
            <w:tcW w:type="dxa" w:w="3100"/>
            <w:tcBorders>
              <w:top w:val="single" w:color="C9D6E5" w:sz="1"/>
              <w:left w:val="single" w:color="C9D6E5" w:sz="1"/>
              <w:bottom w:val="single" w:color="C9D6E5" w:sz="1"/>
              <w:right w:val="single" w:color="C9D6E5" w:sz="1"/>
            </w:tcBorders>
            <w:shd w:fill="EAF1F8" w:val="clear"/>
            <w:tcMar>
              <w:top w:type="dxa" w:w="60"/>
              <w:left w:type="dxa" w:w="120"/>
              <w:bottom w:type="dxa" w:w="60"/>
              <w:right w:type="dxa" w:w="120"/>
            </w:tcMar>
          </w:tcPr>
          <w:p>
            <w:pPr>
              <w:spacing w:after="0" w:line="252"/>
            </w:pPr>
            <w:r>
              <w:rPr>
                <w:b/>
                <w:bCs/>
                <w:sz w:val="20"/>
                <w:szCs w:val="20"/>
              </w:rPr>
              <w:t xml:space="preserve">Trading address</w:t>
            </w:r>
          </w:p>
        </w:tc>
        <w:tc>
          <w:tcPr>
            <w:tcW w:type="dxa" w:w="59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39 Panorama Drive, The Links, Somerset West, 7130</w:t>
            </w:r>
          </w:p>
        </w:tc>
      </w:tr>
      <w:tr>
        <w:tc>
          <w:tcPr>
            <w:tcW w:type="dxa" w:w="3100"/>
            <w:tcBorders>
              <w:top w:val="single" w:color="C9D6E5" w:sz="1"/>
              <w:left w:val="single" w:color="C9D6E5" w:sz="1"/>
              <w:bottom w:val="single" w:color="C9D6E5" w:sz="1"/>
              <w:right w:val="single" w:color="C9D6E5" w:sz="1"/>
            </w:tcBorders>
            <w:shd w:fill="EAF1F8" w:val="clear"/>
            <w:tcMar>
              <w:top w:type="dxa" w:w="60"/>
              <w:left w:type="dxa" w:w="120"/>
              <w:bottom w:type="dxa" w:w="60"/>
              <w:right w:type="dxa" w:w="120"/>
            </w:tcMar>
          </w:tcPr>
          <w:p>
            <w:pPr>
              <w:spacing w:after="0" w:line="252"/>
            </w:pPr>
            <w:r>
              <w:rPr>
                <w:b/>
                <w:bCs/>
                <w:sz w:val="20"/>
                <w:szCs w:val="20"/>
              </w:rPr>
              <w:t xml:space="preserve">Registered office (CIPC)</w:t>
            </w:r>
          </w:p>
        </w:tc>
        <w:tc>
          <w:tcPr>
            <w:tcW w:type="dxa" w:w="59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Kendy Farm, Mullers Pass, Newcastle, KwaZulu-Natal, 2940</w:t>
            </w:r>
          </w:p>
        </w:tc>
      </w:tr>
      <w:tr>
        <w:tc>
          <w:tcPr>
            <w:tcW w:type="dxa" w:w="3100"/>
            <w:tcBorders>
              <w:top w:val="single" w:color="C9D6E5" w:sz="1"/>
              <w:left w:val="single" w:color="C9D6E5" w:sz="1"/>
              <w:bottom w:val="single" w:color="C9D6E5" w:sz="1"/>
              <w:right w:val="single" w:color="C9D6E5" w:sz="1"/>
            </w:tcBorders>
            <w:shd w:fill="EAF1F8" w:val="clear"/>
            <w:tcMar>
              <w:top w:type="dxa" w:w="60"/>
              <w:left w:type="dxa" w:w="120"/>
              <w:bottom w:type="dxa" w:w="60"/>
              <w:right w:type="dxa" w:w="120"/>
            </w:tcMar>
          </w:tcPr>
          <w:p>
            <w:pPr>
              <w:spacing w:after="0" w:line="252"/>
            </w:pPr>
            <w:r>
              <w:rPr>
                <w:b/>
                <w:bCs/>
                <w:sz w:val="20"/>
                <w:szCs w:val="20"/>
              </w:rPr>
              <w:t xml:space="preserve">Banker</w:t>
            </w:r>
          </w:p>
        </w:tc>
        <w:tc>
          <w:tcPr>
            <w:tcW w:type="dxa" w:w="59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Nedbank · Acct 1307614477 · Branch 198765</w:t>
            </w:r>
          </w:p>
        </w:tc>
      </w:tr>
      <w:tr>
        <w:tc>
          <w:tcPr>
            <w:tcW w:type="dxa" w:w="3100"/>
            <w:tcBorders>
              <w:top w:val="single" w:color="C9D6E5" w:sz="1"/>
              <w:left w:val="single" w:color="C9D6E5" w:sz="1"/>
              <w:bottom w:val="single" w:color="C9D6E5" w:sz="1"/>
              <w:right w:val="single" w:color="C9D6E5" w:sz="1"/>
            </w:tcBorders>
            <w:shd w:fill="EAF1F8" w:val="clear"/>
            <w:tcMar>
              <w:top w:type="dxa" w:w="60"/>
              <w:left w:type="dxa" w:w="120"/>
              <w:bottom w:type="dxa" w:w="60"/>
              <w:right w:type="dxa" w:w="120"/>
            </w:tcMar>
          </w:tcPr>
          <w:p>
            <w:pPr>
              <w:spacing w:after="0" w:line="252"/>
            </w:pPr>
            <w:r>
              <w:rPr>
                <w:b/>
                <w:bCs/>
                <w:sz w:val="20"/>
                <w:szCs w:val="20"/>
              </w:rPr>
              <w:t xml:space="preserve">VAT</w:t>
            </w:r>
          </w:p>
        </w:tc>
        <w:tc>
          <w:tcPr>
            <w:tcW w:type="dxa" w:w="59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Not yet registered (voluntary threshold R120,000; compulsory R2.3m per 12 months)</w:t>
            </w:r>
          </w:p>
        </w:tc>
      </w:tr>
      <w:tr>
        <w:tc>
          <w:tcPr>
            <w:tcW w:type="dxa" w:w="3100"/>
            <w:tcBorders>
              <w:top w:val="single" w:color="C9D6E5" w:sz="1"/>
              <w:left w:val="single" w:color="C9D6E5" w:sz="1"/>
              <w:bottom w:val="single" w:color="C9D6E5" w:sz="1"/>
              <w:right w:val="single" w:color="C9D6E5" w:sz="1"/>
            </w:tcBorders>
            <w:shd w:fill="EAF1F8" w:val="clear"/>
            <w:tcMar>
              <w:top w:type="dxa" w:w="60"/>
              <w:left w:type="dxa" w:w="120"/>
              <w:bottom w:type="dxa" w:w="60"/>
              <w:right w:type="dxa" w:w="120"/>
            </w:tcMar>
          </w:tcPr>
          <w:p>
            <w:pPr>
              <w:spacing w:after="0" w:line="252"/>
            </w:pPr>
            <w:r>
              <w:rPr>
                <w:b/>
                <w:bCs/>
                <w:sz w:val="20"/>
                <w:szCs w:val="20"/>
              </w:rPr>
              <w:t xml:space="preserve">Web / email / phone</w:t>
            </w:r>
          </w:p>
        </w:tc>
        <w:tc>
          <w:tcPr>
            <w:tcW w:type="dxa" w:w="59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jeffy.co.za · hello@jeffy.co.za · 076 506 4386</w:t>
            </w:r>
          </w:p>
        </w:tc>
      </w:tr>
    </w:tbl>
    <w:p>
      <w:pPr>
        <w:spacing w:after="120" w:line="276"/>
      </w:pPr>
      <w:r>
        <w:rPr>
          <w:i/>
          <w:iCs/>
          <w:color w:val="595959"/>
          <w:sz w:val="18"/>
          <w:szCs w:val="18"/>
        </w:rPr>
        <w:t xml:space="preserve">A separate dormant entity, K2025624712 (Pty) Ltd (2025/624712/07), exists but is not the operating business; Jeffy Commerce (Pty) Ltd is the live trading entity.</w:t>
      </w:r>
    </w:p>
    <w:p>
      <w:pPr>
        <w:pStyle w:val="Heading1"/>
      </w:pPr>
      <w:r>
        <w:t xml:space="preserve">3.  Mission &amp; Vision</w:t>
      </w:r>
    </w:p>
    <w:p>
      <w:pPr>
        <w:spacing w:after="120" w:line="276"/>
      </w:pPr>
      <w:r>
        <w:t xml:space="preserve">Jeffy exists so that commerce can build education. The trading business is the engine; free, merit-based schooling is the destination. Schools funded by the company select children on potential and character rather than fees or connections, with the aim of producing self-reliant, capable graduates. The first school site is the founder’s family farm.</w:t>
      </w:r>
    </w:p>
    <w:p>
      <w:pPr>
        <w:spacing w:after="120" w:line="276"/>
      </w:pPr>
      <w:r>
        <w:t xml:space="preserve">Vision: a profitable, self-funding commerce network across South Africa whose surplus steadily expands a network of free schools — a model that pays its own way rather than depending on perpetual donation.</w:t>
      </w:r>
    </w:p>
    <w:p>
      <w:pPr>
        <w:pStyle w:val="Heading1"/>
      </w:pPr>
      <w:r>
        <w:t xml:space="preserve">4.  The Opportunity</w:t>
      </w:r>
    </w:p>
    <w:p>
      <w:pPr>
        <w:spacing w:after="120" w:line="276"/>
      </w:pPr>
      <w:r>
        <w:t xml:space="preserve">South African consumers pay inflated prices for imported goods because of the many intermediaries between the factory and the buyer. At the same time, unemployment is high and millions of people have the time, local knowledge and trust networks to sell and deliver in their own neighbourhoods. Jeffy connects these two facts: direct importing removes cost layers, and a distributed reseller network turns last-mile delivery into local micro-enterprise.</w:t>
      </w:r>
    </w:p>
    <w:p>
      <w:pPr>
        <w:pStyle w:val="ListParagraph"/>
        <w:numPr>
          <w:ilvl w:val="0"/>
          <w:numId w:val="2"/>
        </w:numPr>
        <w:spacing w:after="60" w:line="268"/>
      </w:pPr>
      <w:r>
        <w:t xml:space="preserve">Direct-from-factory pricing undercuts multi-layer local retail.</w:t>
      </w:r>
    </w:p>
    <w:p>
      <w:pPr>
        <w:pStyle w:val="ListParagraph"/>
        <w:numPr>
          <w:ilvl w:val="0"/>
          <w:numId w:val="2"/>
        </w:numPr>
        <w:spacing w:after="60" w:line="268"/>
      </w:pPr>
      <w:r>
        <w:t xml:space="preserve">Last-mile delivery — the most expensive part of e-commerce — is performed by local people who already know the area.</w:t>
      </w:r>
    </w:p>
    <w:p>
      <w:pPr>
        <w:pStyle w:val="ListParagraph"/>
        <w:numPr>
          <w:ilvl w:val="0"/>
          <w:numId w:val="2"/>
        </w:numPr>
        <w:spacing w:after="60" w:line="268"/>
      </w:pPr>
      <w:r>
        <w:t xml:space="preserve">Demand is captured before capital is committed, so the catalogue reflects what people actually want to buy.</w:t>
      </w:r>
    </w:p>
    <w:p>
      <w:pPr>
        <w:pStyle w:val="Heading1"/>
      </w:pPr>
      <w:r>
        <w:t xml:space="preserve">5.  Business Model</w:t>
      </w:r>
    </w:p>
    <w:p>
      <w:pPr>
        <w:spacing w:after="120" w:line="276"/>
      </w:pPr>
      <w:r>
        <w:t xml:space="preserve">The value chain is: Chinese factories → Jeffy (imports and owns landed stock) → independent local resellers (buy wholesale, resell at retail) → customers (order on jeffy.co.za). The company collects payment centrally and PayFast Split Payments divides each sale in real time between the company’s wholesale portion and the reseller’s margin.</w:t>
      </w:r>
    </w:p>
    <w:p>
      <w:pPr>
        <w:pStyle w:val="Heading2"/>
      </w:pPr>
      <w:r>
        <w:t xml:space="preserve">5.1  The reseller graduation path</w:t>
      </w:r>
    </w:p>
    <w:p>
      <w:pPr>
        <w:pStyle w:val="ListParagraph"/>
        <w:numPr>
          <w:ilvl w:val="0"/>
          <w:numId w:val="2"/>
        </w:numPr>
        <w:spacing w:after="60" w:line="268"/>
      </w:pPr>
      <w:r>
        <w:rPr>
          <w:b/>
          <w:bCs/>
        </w:rPr>
        <w:t xml:space="preserve">Start on credit. </w:t>
      </w:r>
      <w:r>
        <w:t xml:space="preserve">New resellers receive a starter stock allocation on credit (company-owned until paid, under retention of title), against a set credit limit.</w:t>
      </w:r>
    </w:p>
    <w:p>
      <w:pPr>
        <w:pStyle w:val="ListParagraph"/>
        <w:numPr>
          <w:ilvl w:val="0"/>
          <w:numId w:val="2"/>
        </w:numPr>
        <w:spacing w:after="60" w:line="268"/>
      </w:pPr>
      <w:r>
        <w:rPr>
          <w:b/>
          <w:bCs/>
        </w:rPr>
        <w:t xml:space="preserve">Graduate to ownership. </w:t>
      </w:r>
      <w:r>
        <w:t xml:space="preserve">As they build a cash cushion they buy stock upfront and earn a larger margin — rewarding reliability and reducing the company’s credit exposure.</w:t>
      </w:r>
    </w:p>
    <w:p>
      <w:pPr>
        <w:pStyle w:val="Heading2"/>
      </w:pPr>
      <w:r>
        <w:t xml:space="preserve">5.2  Two-tier margin</w:t>
      </w:r>
    </w:p>
    <w:p>
      <w:pPr>
        <w:spacing w:after="120" w:line="276"/>
      </w:pPr>
      <w:r>
        <w:t xml:space="preserve">Each sale carries two healthy margins: the company’s wholesale mark-up over landed cost, and the reseller’s retail mark-up over wholesale. Both are set off the true landed-cost model so neither tier is run at a loss.</w:t>
      </w:r>
    </w:p>
    <w:p>
      <w:pPr>
        <w:pStyle w:val="Heading1"/>
      </w:pPr>
      <w:r>
        <w:t xml:space="preserve">6.  Legal &amp; Tax Structure</w:t>
      </w:r>
    </w:p>
    <w:p>
      <w:pPr>
        <w:spacing w:after="120" w:line="276"/>
      </w:pPr>
      <w:r>
        <w:t xml:space="preserve">The structure is designed so resellers are unambiguously independent and the company’s tax treatment is clean. The following points are to be confirmed and documented by the company’s attorney and chartered accountant before resellers are signed.</w:t>
      </w:r>
    </w:p>
    <w:p>
      <w:pPr>
        <w:pStyle w:val="ListParagraph"/>
        <w:numPr>
          <w:ilvl w:val="0"/>
          <w:numId w:val="3"/>
        </w:numPr>
        <w:spacing w:after="60" w:line="268"/>
      </w:pPr>
      <w:r>
        <w:rPr>
          <w:b/>
          <w:bCs/>
        </w:rPr>
        <w:t xml:space="preserve">Independent resellers (buy-sell). </w:t>
      </w:r>
      <w:r>
        <w:t xml:space="preserve">Resellers purchase stock and resell at a margin; they are not employees and not commission agents. This avoids PAYE, minimum-wage, leave and similar employment obligations.</w:t>
      </w:r>
    </w:p>
    <w:p>
      <w:pPr>
        <w:pStyle w:val="ListParagraph"/>
        <w:numPr>
          <w:ilvl w:val="0"/>
          <w:numId w:val="3"/>
        </w:numPr>
        <w:spacing w:after="60" w:line="268"/>
      </w:pPr>
      <w:r>
        <w:rPr>
          <w:b/>
          <w:bCs/>
        </w:rPr>
        <w:t xml:space="preserve">Disclosed payment agent. </w:t>
      </w:r>
      <w:r>
        <w:t xml:space="preserve">The company collects centrally as the reseller’s disclosed agent via PayFast Split Payments, so it never holds money belonging to a reseller.</w:t>
      </w:r>
    </w:p>
    <w:p>
      <w:pPr>
        <w:pStyle w:val="ListParagraph"/>
        <w:numPr>
          <w:ilvl w:val="0"/>
          <w:numId w:val="3"/>
        </w:numPr>
        <w:spacing w:after="60" w:line="268"/>
      </w:pPr>
      <w:r>
        <w:rPr>
          <w:b/>
          <w:bCs/>
        </w:rPr>
        <w:t xml:space="preserve">VAT on the wholesale leg. </w:t>
      </w:r>
      <w:r>
        <w:t xml:space="preserve">On registration, the company recovers the 15% import VAT (presently a sunk cost) and accounts for VAT at the wholesale leg; resellers are too small to register.</w:t>
      </w:r>
    </w:p>
    <w:p>
      <w:pPr>
        <w:pStyle w:val="ListParagraph"/>
        <w:numPr>
          <w:ilvl w:val="0"/>
          <w:numId w:val="3"/>
        </w:numPr>
        <w:spacing w:after="60" w:line="268"/>
      </w:pPr>
      <w:r>
        <w:rPr>
          <w:b/>
          <w:bCs/>
        </w:rPr>
        <w:t xml:space="preserve">No joining fee (franchise law). </w:t>
      </w:r>
      <w:r>
        <w:t xml:space="preserve">Charging no joining fee keeps the branded network outside franchise classification under the Consumer Protection Act (CPA).</w:t>
      </w:r>
    </w:p>
    <w:p>
      <w:pPr>
        <w:pStyle w:val="ListParagraph"/>
        <w:numPr>
          <w:ilvl w:val="0"/>
          <w:numId w:val="3"/>
        </w:numPr>
        <w:spacing w:after="60" w:line="268"/>
      </w:pPr>
      <w:r>
        <w:rPr>
          <w:b/>
          <w:bCs/>
        </w:rPr>
        <w:t xml:space="preserve">Promotional-competition compliance. </w:t>
      </w:r>
      <w:r>
        <w:t xml:space="preserve">The Wish List giveaway runs under CPA promotional-competition terms.</w:t>
      </w:r>
    </w:p>
    <w:p>
      <w:pPr>
        <w:pStyle w:val="Heading1"/>
      </w:pPr>
      <w:r>
        <w:t xml:space="preserve">7.  The Jeffy Wish List (Demand Engine)</w:t>
      </w:r>
    </w:p>
    <w:p>
      <w:pPr>
        <w:spacing w:after="120" w:line="276"/>
      </w:pPr>
      <w:r>
        <w:t xml:space="preserve">Before any product is imported, customers tell Jeffy what they want. The Wish List captures each request with structured data — product, category, the price the customer would pay, how often they would buy, and their suburb. Others vote, and when a product reaches real, repeat demand it enters the sourcing pipeline. The first person who wished for a granted product receives theirs free; the moment is filmed and shared, generating authentic content and word-of-mouth.</w:t>
      </w:r>
    </w:p>
    <w:p>
      <w:pPr>
        <w:pStyle w:val="ListParagraph"/>
        <w:numPr>
          <w:ilvl w:val="0"/>
          <w:numId w:val="2"/>
        </w:numPr>
        <w:spacing w:after="60" w:line="268"/>
      </w:pPr>
      <w:r>
        <w:t xml:space="preserve">Minimises dead stock — the company only buys what has been asked for.</w:t>
      </w:r>
    </w:p>
    <w:p>
      <w:pPr>
        <w:pStyle w:val="ListParagraph"/>
        <w:numPr>
          <w:ilvl w:val="0"/>
          <w:numId w:val="2"/>
        </w:numPr>
        <w:spacing w:after="60" w:line="268"/>
      </w:pPr>
      <w:r>
        <w:t xml:space="preserve">Generates low-cost, viral marketing through “wish granted” content and referral sharing.</w:t>
      </w:r>
    </w:p>
    <w:p>
      <w:pPr>
        <w:pStyle w:val="ListParagraph"/>
        <w:numPr>
          <w:ilvl w:val="0"/>
          <w:numId w:val="2"/>
        </w:numPr>
        <w:spacing w:after="60" w:line="268"/>
      </w:pPr>
      <w:r>
        <w:t xml:space="preserve">Produces a continuously updated, ranked shortlist (the “top ~100”) that aims sourcing and capital.</w:t>
      </w:r>
    </w:p>
    <w:p>
      <w:pPr>
        <w:spacing w:after="120" w:line="276"/>
      </w:pPr>
      <w:r>
        <w:rPr>
          <w:i/>
          <w:iCs/>
          <w:color w:val="595959"/>
          <w:sz w:val="18"/>
          <w:szCs w:val="18"/>
        </w:rPr>
        <w:t xml:space="preserve">Naming note: the program is branded the “Jeffy Wish List”. The literal phrase “Make-A-Wish” is avoided in public materials as it is a registered trademark of an unrelated children’s charity.</w:t>
      </w:r>
    </w:p>
    <w:p>
      <w:pPr>
        <w:pStyle w:val="Heading1"/>
      </w:pPr>
      <w:r>
        <w:t xml:space="preserve">8.  The Jeffy Foundation (Schools)</w:t>
      </w:r>
    </w:p>
    <w:p>
      <w:pPr>
        <w:spacing w:after="120" w:line="276"/>
      </w:pPr>
      <w:r>
        <w:t xml:space="preserve">The company’s net profit funds free, merit-based schools. Selection is on potential and character — no fees, no connections. The educational model emphasises practical self-reliance (food production, technology and manufacturing, basic healthcare, and clothing/textiles), so graduates can sustain and improve their own communities. The first school is planned for the founder’s family farm, with development beginning once the commerce business reaches sustained profitability. The charitable and trading activities are kept structurally distinct and properly documented.</w:t>
      </w:r>
    </w:p>
    <w:p>
      <w:pPr>
        <w:pStyle w:val="Heading1"/>
      </w:pPr>
      <w:r>
        <w:t xml:space="preserve">9.  Operations</w:t>
      </w:r>
    </w:p>
    <w:p>
      <w:pPr>
        <w:pStyle w:val="Heading2"/>
      </w:pPr>
      <w:r>
        <w:t xml:space="preserve">9.1  Sourcing &amp; landed cost</w:t>
      </w:r>
    </w:p>
    <w:p>
      <w:pPr>
        <w:spacing w:after="120" w:line="276"/>
      </w:pPr>
      <w:r>
        <w:t xml:space="preserve">Candidate products from the Wish List are run through the company’s 1688 sourcing process to obtain a true landed cost per unit, then filtered to those that are both sourceable and profitable at the customer’s target price. The landed-cost calculation is: supplier cost (CNY × the FX rate actually paid) + international freight + marine insurance = CIF; + a 10% uplift (China is outside SACU); + customs duty (by HS code); + 15% import VAT; + clearing and inland transport; divided by units.</w:t>
      </w:r>
    </w:p>
    <w:p>
      <w:pPr>
        <w:pStyle w:val="Heading2"/>
      </w:pPr>
      <w:r>
        <w:t xml:space="preserve">9.2  Distribution &amp; the daily loop</w:t>
      </w:r>
    </w:p>
    <w:p>
      <w:pPr>
        <w:spacing w:after="120" w:line="276"/>
      </w:pPr>
      <w:r>
        <w:t xml:space="preserve">Orders placed on jeffy.co.za are geo-routed to the nearest reseller holding the relevant stock. Resellers store stock locally and run one delivery loop per day within their area. A per-reseller ledger tracks stock out, sold, owed, paid and credit limit — because the company’s working capital sits, in part, in resellers’ garages, this ledger is the operational heart of the system.</w:t>
      </w:r>
    </w:p>
    <w:p>
      <w:pPr>
        <w:pStyle w:val="Heading1"/>
      </w:pPr>
      <w:r>
        <w:t xml:space="preserve">10.  Unit Economics &amp; Financials</w:t>
      </w:r>
    </w:p>
    <w:p>
      <w:pPr>
        <w:spacing w:after="120" w:line="276"/>
      </w:pPr>
      <w:r>
        <w:t xml:space="preserve">The figures below are illustrative planning numbers from the company’s landed-cost and unit-economics model. They are deliberately conservative and pre-optimisation; they exist to be improved before capital is scaled. (Source: Jeffy Financial Model.)</w:t>
      </w:r>
    </w:p>
    <w:p>
      <w:pPr>
        <w:pStyle w:val="Heading2"/>
      </w:pPr>
      <w:r>
        <w:t xml:space="preserve">10.1  Worked landed cost (illustrative)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626"/>
        <w:gridCol w:w="2000"/>
      </w:tblGrid>
      <w:tr>
        <w:trPr>
          <w:tblHeader/>
        </w:trPr>
        <w:tc>
          <w:tcPr>
            <w:tcW w:type="dxa" w:w="3400"/>
            <w:tcBorders>
              <w:top w:val="single" w:color="C9D6E5" w:sz="1"/>
              <w:left w:val="single" w:color="C9D6E5" w:sz="1"/>
              <w:bottom w:val="single" w:color="C9D6E5" w:sz="1"/>
              <w:right w:val="single" w:color="C9D6E5" w:sz="1"/>
            </w:tcBorders>
            <w:shd w:fill="12355B" w:val="clear"/>
            <w:tcMar>
              <w:top w:type="dxa" w:w="60"/>
              <w:left w:type="dxa" w:w="120"/>
              <w:bottom w:type="dxa" w:w="60"/>
              <w:right w:type="dxa" w:w="120"/>
            </w:tcMar>
          </w:tcPr>
          <w:p>
            <w:pPr>
              <w:spacing w:after="0" w:line="252"/>
            </w:pPr>
            <w:r>
              <w:rPr>
                <w:b/>
                <w:bCs/>
                <w:color w:val="FFFFFF"/>
                <w:sz w:val="20"/>
                <w:szCs w:val="20"/>
              </w:rPr>
              <w:t xml:space="preserve">Line</w:t>
            </w:r>
          </w:p>
        </w:tc>
        <w:tc>
          <w:tcPr>
            <w:tcW w:type="dxa" w:w="3626"/>
            <w:tcBorders>
              <w:top w:val="single" w:color="C9D6E5" w:sz="1"/>
              <w:left w:val="single" w:color="C9D6E5" w:sz="1"/>
              <w:bottom w:val="single" w:color="C9D6E5" w:sz="1"/>
              <w:right w:val="single" w:color="C9D6E5" w:sz="1"/>
            </w:tcBorders>
            <w:shd w:fill="12355B" w:val="clear"/>
            <w:tcMar>
              <w:top w:type="dxa" w:w="60"/>
              <w:left w:type="dxa" w:w="120"/>
              <w:bottom w:type="dxa" w:w="60"/>
              <w:right w:type="dxa" w:w="120"/>
            </w:tcMar>
          </w:tcPr>
          <w:p>
            <w:pPr>
              <w:spacing w:after="0" w:line="252"/>
            </w:pPr>
            <w:r>
              <w:rPr>
                <w:b/>
                <w:bCs/>
                <w:color w:val="FFFFFF"/>
                <w:sz w:val="20"/>
                <w:szCs w:val="20"/>
              </w:rPr>
              <w:t xml:space="preserve">Basis</w:t>
            </w:r>
          </w:p>
        </w:tc>
        <w:tc>
          <w:tcPr>
            <w:tcW w:type="dxa" w:w="2000"/>
            <w:tcBorders>
              <w:top w:val="single" w:color="C9D6E5" w:sz="1"/>
              <w:left w:val="single" w:color="C9D6E5" w:sz="1"/>
              <w:bottom w:val="single" w:color="C9D6E5" w:sz="1"/>
              <w:right w:val="single" w:color="C9D6E5" w:sz="1"/>
            </w:tcBorders>
            <w:shd w:fill="12355B" w:val="clear"/>
            <w:tcMar>
              <w:top w:type="dxa" w:w="60"/>
              <w:left w:type="dxa" w:w="120"/>
              <w:bottom w:type="dxa" w:w="60"/>
              <w:right w:type="dxa" w:w="120"/>
            </w:tcMar>
          </w:tcPr>
          <w:p>
            <w:pPr>
              <w:spacing w:after="0" w:line="252"/>
            </w:pPr>
            <w:r>
              <w:rPr>
                <w:b/>
                <w:bCs/>
                <w:color w:val="FFFFFF"/>
                <w:sz w:val="20"/>
                <w:szCs w:val="20"/>
              </w:rPr>
              <w:t xml:space="preserve">Value (ZAR)</w:t>
            </w:r>
          </w:p>
        </w:tc>
      </w:tr>
      <w:tr>
        <w:tc>
          <w:tcPr>
            <w:tcW w:type="dxa" w:w="34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Supplier cost</w:t>
            </w:r>
          </w:p>
        </w:tc>
        <w:tc>
          <w:tcPr>
            <w:tcW w:type="dxa" w:w="36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1,000 units × CNY20 × 2.55 FX</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51,000</w:t>
            </w:r>
          </w:p>
        </w:tc>
      </w:tr>
      <w:tr>
        <w:tc>
          <w:tcPr>
            <w:tcW w:type="dxa" w:w="34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International freight + insurance</w:t>
            </w:r>
          </w:p>
        </w:tc>
        <w:tc>
          <w:tcPr>
            <w:tcW w:type="dxa" w:w="36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sea freight + ~0.5% CIF</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12,315</w:t>
            </w:r>
          </w:p>
        </w:tc>
      </w:tr>
      <w:tr>
        <w:tc>
          <w:tcPr>
            <w:tcW w:type="dxa" w:w="34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CIF / customs value</w:t>
            </w:r>
          </w:p>
        </w:tc>
        <w:tc>
          <w:tcPr>
            <w:tcW w:type="dxa" w:w="36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cost + insurance + freight</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63,315</w:t>
            </w:r>
          </w:p>
        </w:tc>
      </w:tr>
      <w:tr>
        <w:tc>
          <w:tcPr>
            <w:tcW w:type="dxa" w:w="34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Customs duty</w:t>
            </w:r>
          </w:p>
        </w:tc>
        <w:tc>
          <w:tcPr>
            <w:tcW w:type="dxa" w:w="36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20% of value (HS-code dependent)</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12,663</w:t>
            </w:r>
          </w:p>
        </w:tc>
      </w:tr>
      <w:tr>
        <w:tc>
          <w:tcPr>
            <w:tcW w:type="dxa" w:w="34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Import VAT (15%)</w:t>
            </w:r>
          </w:p>
        </w:tc>
        <w:tc>
          <w:tcPr>
            <w:tcW w:type="dxa" w:w="36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(customs value +10% + duty) × 15%</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12,346</w:t>
            </w:r>
          </w:p>
        </w:tc>
      </w:tr>
      <w:tr>
        <w:tc>
          <w:tcPr>
            <w:tcW w:type="dxa" w:w="34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Clearing + inland transport</w:t>
            </w:r>
          </w:p>
        </w:tc>
        <w:tc>
          <w:tcPr>
            <w:tcW w:type="dxa" w:w="36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agent, SAD500, port, delivery</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4,000</w:t>
            </w:r>
          </w:p>
        </w:tc>
      </w:tr>
      <w:tr>
        <w:tc>
          <w:tcPr>
            <w:tcW w:type="dxa" w:w="34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Total landed cost</w:t>
            </w:r>
          </w:p>
        </w:tc>
        <w:tc>
          <w:tcPr>
            <w:tcW w:type="dxa" w:w="36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per 1,000-unit shipment</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92,324</w:t>
            </w:r>
          </w:p>
        </w:tc>
      </w:tr>
      <w:tr>
        <w:tc>
          <w:tcPr>
            <w:tcW w:type="dxa" w:w="34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Landed cost per unit</w:t>
            </w:r>
          </w:p>
        </w:tc>
        <w:tc>
          <w:tcPr>
            <w:tcW w:type="dxa" w:w="36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 used as true COGS</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~92.32</w:t>
            </w:r>
          </w:p>
        </w:tc>
      </w:tr>
    </w:tbl>
    <w:p>
      <w:pPr>
        <w:pStyle w:val="Heading2"/>
      </w:pPr>
      <w:r>
        <w:t xml:space="preserve">10.2  Per-order contribution (illustrative, pre-optimisation)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tcBorders>
              <w:top w:val="single" w:color="C9D6E5" w:sz="1"/>
              <w:left w:val="single" w:color="C9D6E5" w:sz="1"/>
              <w:bottom w:val="single" w:color="C9D6E5" w:sz="1"/>
              <w:right w:val="single" w:color="C9D6E5" w:sz="1"/>
            </w:tcBorders>
            <w:shd w:fill="12355B" w:val="clear"/>
            <w:tcMar>
              <w:top w:type="dxa" w:w="60"/>
              <w:left w:type="dxa" w:w="120"/>
              <w:bottom w:type="dxa" w:w="60"/>
              <w:right w:type="dxa" w:w="120"/>
            </w:tcMar>
          </w:tcPr>
          <w:p>
            <w:pPr>
              <w:spacing w:after="0" w:line="252"/>
            </w:pPr>
            <w:r>
              <w:rPr>
                <w:b/>
                <w:bCs/>
                <w:color w:val="FFFFFF"/>
                <w:sz w:val="20"/>
                <w:szCs w:val="20"/>
              </w:rPr>
              <w:t xml:space="preserve">Metric</w:t>
            </w:r>
          </w:p>
        </w:tc>
        <w:tc>
          <w:tcPr>
            <w:tcW w:type="dxa" w:w="2000"/>
            <w:tcBorders>
              <w:top w:val="single" w:color="C9D6E5" w:sz="1"/>
              <w:left w:val="single" w:color="C9D6E5" w:sz="1"/>
              <w:bottom w:val="single" w:color="C9D6E5" w:sz="1"/>
              <w:right w:val="single" w:color="C9D6E5" w:sz="1"/>
            </w:tcBorders>
            <w:shd w:fill="12355B" w:val="clear"/>
            <w:tcMar>
              <w:top w:type="dxa" w:w="60"/>
              <w:left w:type="dxa" w:w="120"/>
              <w:bottom w:type="dxa" w:w="60"/>
              <w:right w:type="dxa" w:w="120"/>
            </w:tcMar>
          </w:tcPr>
          <w:p>
            <w:pPr>
              <w:spacing w:after="0" w:line="252"/>
            </w:pPr>
            <w:r>
              <w:rPr>
                <w:b/>
                <w:bCs/>
                <w:color w:val="FFFFFF"/>
                <w:sz w:val="20"/>
                <w:szCs w:val="20"/>
              </w:rPr>
              <w:t xml:space="preserve">Value</w:t>
            </w:r>
          </w:p>
        </w:tc>
        <w:tc>
          <w:tcPr>
            <w:tcW w:type="dxa" w:w="2000"/>
            <w:tcBorders>
              <w:top w:val="single" w:color="C9D6E5" w:sz="1"/>
              <w:left w:val="single" w:color="C9D6E5" w:sz="1"/>
              <w:bottom w:val="single" w:color="C9D6E5" w:sz="1"/>
              <w:right w:val="single" w:color="C9D6E5" w:sz="1"/>
            </w:tcBorders>
            <w:shd w:fill="12355B" w:val="clear"/>
            <w:tcMar>
              <w:top w:type="dxa" w:w="60"/>
              <w:left w:type="dxa" w:w="120"/>
              <w:bottom w:type="dxa" w:w="60"/>
              <w:right w:type="dxa" w:w="120"/>
            </w:tcMar>
          </w:tcPr>
          <w:p>
            <w:pPr>
              <w:spacing w:after="0" w:line="252"/>
            </w:pPr>
            <w:r>
              <w:rPr>
                <w:b/>
                <w:bCs/>
                <w:color w:val="FFFFFF"/>
                <w:sz w:val="20"/>
                <w:szCs w:val="20"/>
              </w:rPr>
              <w:t xml:space="preserve">Target</w:t>
            </w:r>
          </w:p>
        </w:tc>
      </w:tr>
      <w:tr>
        <w:tc>
          <w:tcPr>
            <w:tcW w:type="dxa" w:w="50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Selling price (incl.)</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R249</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w:t>
            </w:r>
          </w:p>
        </w:tc>
      </w:tr>
      <w:tr>
        <w:tc>
          <w:tcPr>
            <w:tcW w:type="dxa" w:w="50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Landed cost / unit</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R92.32</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w:t>
            </w:r>
          </w:p>
        </w:tc>
      </w:tr>
      <w:tr>
        <w:tc>
          <w:tcPr>
            <w:tcW w:type="dxa" w:w="50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Variable cost / order (delivery, fees, packaging, returns)</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R177.76</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w:t>
            </w:r>
          </w:p>
        </w:tc>
      </w:tr>
      <w:tr>
        <w:tc>
          <w:tcPr>
            <w:tcW w:type="dxa" w:w="50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Contribution margin / order</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R71.24</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w:t>
            </w:r>
          </w:p>
        </w:tc>
      </w:tr>
      <w:tr>
        <w:tc>
          <w:tcPr>
            <w:tcW w:type="dxa" w:w="50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Contribution margin %</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28.6%</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&gt;35%</w:t>
            </w:r>
          </w:p>
        </w:tc>
      </w:tr>
      <w:tr>
        <w:tc>
          <w:tcPr>
            <w:tcW w:type="dxa" w:w="50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Break-even ROAS</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3.5×</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&lt;2.5×</w:t>
            </w:r>
          </w:p>
        </w:tc>
      </w:tr>
      <w:tr>
        <w:tc>
          <w:tcPr>
            <w:tcW w:type="dxa" w:w="50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Profit / order after CAC (R90)</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−R18.76</w:t>
            </w:r>
          </w:p>
        </w:tc>
        <w:tc>
          <w:tcPr>
            <w:tcW w:type="dxa" w:w="2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&gt;R0</w:t>
            </w:r>
          </w:p>
        </w:tc>
      </w:tr>
    </w:tbl>
    <w:p>
      <w:pPr>
        <w:spacing w:after="120" w:line="276"/>
      </w:pPr>
      <w:r>
        <w:t xml:space="preserve">The path to positive economics is explicit: lift contribution margin above 35% through (a) demand-led, single-hero focus that concentrates volume and freight efficiency; (b) two-tier pricing set off true landed cost; (c) import-VAT recovery via VAT registration; and (d) lower customer-acquisition cost from Wish List virality and reseller-led local marketing. Capital is not scaled until these numbers are proven positive in one or two live areas.</w:t>
      </w:r>
    </w:p>
    <w:p>
      <w:pPr>
        <w:pStyle w:val="Heading2"/>
      </w:pPr>
      <w:r>
        <w:t xml:space="preserve">10.3  Financial discipline</w:t>
      </w:r>
    </w:p>
    <w:p>
      <w:pPr>
        <w:pStyle w:val="ListParagraph"/>
        <w:numPr>
          <w:ilvl w:val="0"/>
          <w:numId w:val="2"/>
        </w:numPr>
        <w:spacing w:after="60" w:line="268"/>
      </w:pPr>
      <w:r>
        <w:t xml:space="preserve">Every product priced off true landed cost — never gut feel.</w:t>
      </w:r>
    </w:p>
    <w:p>
      <w:pPr>
        <w:pStyle w:val="ListParagraph"/>
        <w:numPr>
          <w:ilvl w:val="0"/>
          <w:numId w:val="2"/>
        </w:numPr>
        <w:spacing w:after="60" w:line="268"/>
      </w:pPr>
      <w:r>
        <w:t xml:space="preserve">Prove unit economics on a small test batch before committing container-scale capital.</w:t>
      </w:r>
    </w:p>
    <w:p>
      <w:pPr>
        <w:pStyle w:val="ListParagraph"/>
        <w:numPr>
          <w:ilvl w:val="0"/>
          <w:numId w:val="2"/>
        </w:numPr>
        <w:spacing w:after="60" w:line="268"/>
      </w:pPr>
      <w:r>
        <w:t xml:space="preserve">Per-reseller ledger reconciled continuously; monthly close on Xero with a Nedbank bank feed.</w:t>
      </w:r>
    </w:p>
    <w:p>
      <w:pPr>
        <w:pStyle w:val="Heading1"/>
      </w:pPr>
      <w:r>
        <w:t xml:space="preserve">11.  Go-to-Market &amp; Promotion Strategy</w:t>
      </w:r>
    </w:p>
    <w:p>
      <w:pPr>
        <w:pStyle w:val="Heading2"/>
      </w:pPr>
      <w:r>
        <w:t xml:space="preserve">11.1  Organic &amp; community (primary)</w:t>
      </w:r>
    </w:p>
    <w:p>
      <w:pPr>
        <w:pStyle w:val="ListParagraph"/>
        <w:numPr>
          <w:ilvl w:val="0"/>
          <w:numId w:val="2"/>
        </w:numPr>
        <w:spacing w:after="60" w:line="268"/>
      </w:pPr>
      <w:r>
        <w:t xml:space="preserve">Wish List viral loop: requests, votes, and “wish granted” giveaways filmed as shareable content.</w:t>
      </w:r>
    </w:p>
    <w:p>
      <w:pPr>
        <w:pStyle w:val="ListParagraph"/>
        <w:numPr>
          <w:ilvl w:val="0"/>
          <w:numId w:val="2"/>
        </w:numPr>
        <w:spacing w:after="60" w:line="268"/>
      </w:pPr>
      <w:r>
        <w:t xml:space="preserve">WhatsApp-first sharing and referral codes — the dominant channel in the South African market.</w:t>
      </w:r>
    </w:p>
    <w:p>
      <w:pPr>
        <w:pStyle w:val="ListParagraph"/>
        <w:numPr>
          <w:ilvl w:val="0"/>
          <w:numId w:val="2"/>
        </w:numPr>
        <w:spacing w:after="60" w:line="268"/>
      </w:pPr>
      <w:r>
        <w:t xml:space="preserve">Reseller-led local marketing: each reseller is a trusted face promoting within their own suburb or town.</w:t>
      </w:r>
    </w:p>
    <w:p>
      <w:pPr>
        <w:pStyle w:val="ListParagraph"/>
        <w:numPr>
          <w:ilvl w:val="0"/>
          <w:numId w:val="2"/>
        </w:numPr>
        <w:spacing w:after="60" w:line="268"/>
      </w:pPr>
      <w:r>
        <w:t xml:space="preserve">Micro-influencer seeding using the prepared outreach list; winners produce their own unboxing content.</w:t>
      </w:r>
    </w:p>
    <w:p>
      <w:pPr>
        <w:pStyle w:val="Heading2"/>
      </w:pPr>
      <w:r>
        <w:t xml:space="preserve">11.2  Paid (disciplined, staged)</w:t>
      </w:r>
    </w:p>
    <w:p>
      <w:pPr>
        <w:spacing w:after="120" w:line="276"/>
      </w:pPr>
      <w:r>
        <w:t xml:space="preserve">Paid acquisition is switched on only once contribution margin clears the &gt;35% target, so that spend is profitable. Campaigns are governed by a break-even ROAS rule (1 ÷ contribution margin %), with budget concentrated behind proven hero products and the hottest demand regions.</w:t>
      </w:r>
    </w:p>
    <w:p>
      <w:pPr>
        <w:pStyle w:val="Heading2"/>
      </w:pPr>
      <w:r>
        <w:t xml:space="preserve">11.3  Launch sequence</w:t>
      </w:r>
    </w:p>
    <w:p>
      <w:pPr>
        <w:spacing w:after="120" w:line="276"/>
      </w:pPr>
      <w:r>
        <w:t xml:space="preserve">Soft-launch the Wish List campaign to build demand data and an audience; recruit the first reseller cohort in the two regions with the strongest demand; then expand suburb-by-suburb as unit economics hold.</w:t>
      </w:r>
    </w:p>
    <w:p>
      <w:pPr>
        <w:pStyle w:val="Heading1"/>
      </w:pPr>
      <w:r>
        <w:t xml:space="preserve">12.  Roadmap &amp; Timeline</w:t>
      </w:r>
    </w:p>
    <w:p>
      <w:pPr>
        <w:spacing w:after="120" w:line="276"/>
      </w:pPr>
      <w:r>
        <w:t xml:space="preserve">Timeline anchored to mid-2026. Phase durations are realistic and overlap where sensible.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C9D6E5" w:sz="1"/>
              <w:left w:val="single" w:color="C9D6E5" w:sz="1"/>
              <w:bottom w:val="single" w:color="C9D6E5" w:sz="1"/>
              <w:right w:val="single" w:color="C9D6E5" w:sz="1"/>
            </w:tcBorders>
            <w:shd w:fill="12355B" w:val="clear"/>
            <w:tcMar>
              <w:top w:type="dxa" w:w="60"/>
              <w:left w:type="dxa" w:w="120"/>
              <w:bottom w:type="dxa" w:w="60"/>
              <w:right w:type="dxa" w:w="120"/>
            </w:tcMar>
          </w:tcPr>
          <w:p>
            <w:pPr>
              <w:spacing w:after="0" w:line="252"/>
            </w:pPr>
            <w:r>
              <w:rPr>
                <w:b/>
                <w:bCs/>
                <w:color w:val="FFFFFF"/>
                <w:sz w:val="20"/>
                <w:szCs w:val="20"/>
              </w:rPr>
              <w:t xml:space="preserve">Phase</w:t>
            </w:r>
          </w:p>
        </w:tc>
        <w:tc>
          <w:tcPr>
            <w:tcW w:type="dxa" w:w="1800"/>
            <w:tcBorders>
              <w:top w:val="single" w:color="C9D6E5" w:sz="1"/>
              <w:left w:val="single" w:color="C9D6E5" w:sz="1"/>
              <w:bottom w:val="single" w:color="C9D6E5" w:sz="1"/>
              <w:right w:val="single" w:color="C9D6E5" w:sz="1"/>
            </w:tcBorders>
            <w:shd w:fill="12355B" w:val="clear"/>
            <w:tcMar>
              <w:top w:type="dxa" w:w="60"/>
              <w:left w:type="dxa" w:w="120"/>
              <w:bottom w:type="dxa" w:w="60"/>
              <w:right w:type="dxa" w:w="120"/>
            </w:tcMar>
          </w:tcPr>
          <w:p>
            <w:pPr>
              <w:spacing w:after="0" w:line="252"/>
            </w:pPr>
            <w:r>
              <w:rPr>
                <w:b/>
                <w:bCs/>
                <w:color w:val="FFFFFF"/>
                <w:sz w:val="20"/>
                <w:szCs w:val="20"/>
              </w:rPr>
              <w:t xml:space="preserve">Window</w:t>
            </w:r>
          </w:p>
        </w:tc>
        <w:tc>
          <w:tcPr>
            <w:tcW w:type="dxa" w:w="5026"/>
            <w:tcBorders>
              <w:top w:val="single" w:color="C9D6E5" w:sz="1"/>
              <w:left w:val="single" w:color="C9D6E5" w:sz="1"/>
              <w:bottom w:val="single" w:color="C9D6E5" w:sz="1"/>
              <w:right w:val="single" w:color="C9D6E5" w:sz="1"/>
            </w:tcBorders>
            <w:shd w:fill="12355B" w:val="clear"/>
            <w:tcMar>
              <w:top w:type="dxa" w:w="60"/>
              <w:left w:type="dxa" w:w="120"/>
              <w:bottom w:type="dxa" w:w="60"/>
              <w:right w:type="dxa" w:w="120"/>
            </w:tcMar>
          </w:tcPr>
          <w:p>
            <w:pPr>
              <w:spacing w:after="0" w:line="252"/>
            </w:pPr>
            <w:r>
              <w:rPr>
                <w:b/>
                <w:bCs/>
                <w:color w:val="FFFFFF"/>
                <w:sz w:val="20"/>
                <w:szCs w:val="20"/>
              </w:rPr>
              <w:t xml:space="preserve">Milestones</w:t>
            </w:r>
          </w:p>
        </w:tc>
      </w:tr>
      <w:tr>
        <w:tc>
          <w:tcPr>
            <w:tcW w:type="dxa" w:w="22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0 — Foundations</w:t>
            </w:r>
          </w:p>
        </w:tc>
        <w:tc>
          <w:tcPr>
            <w:tcW w:type="dxa" w:w="18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Jun 2026</w:t>
            </w:r>
          </w:p>
        </w:tc>
        <w:tc>
          <w:tcPr>
            <w:tcW w:type="dxa" w:w="50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Secure platform; attorney pack (reseller agreement + Wish List T&amp;Cs); decide VAT registration; Xero + Nedbank feed live; lock landed-cost model.</w:t>
            </w:r>
          </w:p>
        </w:tc>
      </w:tr>
      <w:tr>
        <w:tc>
          <w:tcPr>
            <w:tcW w:type="dxa" w:w="22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1 — Demand discovery</w:t>
            </w:r>
          </w:p>
        </w:tc>
        <w:tc>
          <w:tcPr>
            <w:tcW w:type="dxa" w:w="18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Jun–Jul 2026</w:t>
            </w:r>
          </w:p>
        </w:tc>
        <w:tc>
          <w:tcPr>
            <w:tcW w:type="dxa" w:w="50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Launch Jeffy Wish List campaign; weekly “wish granted” giveaways; rank demand → top ~100 shortlist.</w:t>
            </w:r>
          </w:p>
        </w:tc>
      </w:tr>
      <w:tr>
        <w:tc>
          <w:tcPr>
            <w:tcW w:type="dxa" w:w="22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2 — Source &amp; prove</w:t>
            </w:r>
          </w:p>
        </w:tc>
        <w:tc>
          <w:tcPr>
            <w:tcW w:type="dxa" w:w="18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Jul–Aug 2026</w:t>
            </w:r>
          </w:p>
        </w:tc>
        <w:tc>
          <w:tcPr>
            <w:tcW w:type="dxa" w:w="50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Run winners through sourcing; order small test batches; confirm true landed cost and sell-through.</w:t>
            </w:r>
          </w:p>
        </w:tc>
      </w:tr>
      <w:tr>
        <w:tc>
          <w:tcPr>
            <w:tcW w:type="dxa" w:w="22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3 — Network launch</w:t>
            </w:r>
          </w:p>
        </w:tc>
        <w:tc>
          <w:tcPr>
            <w:tcW w:type="dxa" w:w="18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Aug–Oct 2026</w:t>
            </w:r>
          </w:p>
        </w:tc>
        <w:tc>
          <w:tcPr>
            <w:tcW w:type="dxa" w:w="50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First reseller cohort in 1–2 hottest areas; geo-routing + split payments live; prove daily loop and unit economics.</w:t>
            </w:r>
          </w:p>
        </w:tc>
      </w:tr>
      <w:tr>
        <w:tc>
          <w:tcPr>
            <w:tcW w:type="dxa" w:w="22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4 — Scale</w:t>
            </w:r>
          </w:p>
        </w:tc>
        <w:tc>
          <w:tcPr>
            <w:tcW w:type="dxa" w:w="18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Nov 2026 +</w:t>
            </w:r>
          </w:p>
        </w:tc>
        <w:tc>
          <w:tcPr>
            <w:tcW w:type="dxa" w:w="50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Deploy staged growth capital into proven winners by the container; roll out town-by-town; Wish List runs permanently as demand radar.</w:t>
            </w:r>
          </w:p>
        </w:tc>
      </w:tr>
    </w:tbl>
    <w:p>
      <w:pPr>
        <w:pStyle w:val="Heading1"/>
      </w:pPr>
      <w:r>
        <w:t xml:space="preserve">13.  Team</w:t>
      </w:r>
    </w:p>
    <w:p>
      <w:pPr>
        <w:spacing w:after="120" w:line="276"/>
      </w:pPr>
      <w:r>
        <w:t xml:space="preserve">Tredoux Willemse — Founder, Director and Public Officer. South African; has worked across multiple continents and currently runs a Montessori kindergarten in Beijing. Drives strategy, sourcing relationships and the schools mission. The build is delivered lean and technology-assisted.</w:t>
      </w:r>
    </w:p>
    <w:p>
      <w:pPr>
        <w:spacing w:after="120" w:line="276"/>
      </w:pPr>
      <w:r>
        <w:t xml:space="preserve">To be formally engaged: a South African attorney (reseller and competition documentation) and a chartered accountant (VAT, tax and investment structuring). Resellers form the distributed operating workforce as independent businesses.</w:t>
      </w:r>
    </w:p>
    <w:p>
      <w:pPr>
        <w:pStyle w:val="Heading1"/>
      </w:pPr>
      <w:r>
        <w:t xml:space="preserve">14.  Funding Ask &amp; Use of Funds</w:t>
      </w:r>
    </w:p>
    <w:p>
      <w:pPr>
        <w:spacing w:after="120" w:line="276"/>
      </w:pPr>
      <w:r>
        <w:t xml:space="preserve">The company seeks staged growth capital (illustratively in the region of R5–6 million, deployed in tranches against proven milestones). Investment is structured as equity in Jeffy Commerce (Pty) Ltd under a shareholders’ agreement, with the investor registered as a shareholder at CIPC; foreign capital is brought in through the bank with proper exchange-control (SARB) recording. Final structuring is subject to the company’s chartered accountant and an immigration attorney where a visa is in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6E5" w:sz="1"/>
              <w:left w:val="single" w:color="C9D6E5" w:sz="1"/>
              <w:bottom w:val="single" w:color="C9D6E5" w:sz="1"/>
              <w:right w:val="single" w:color="C9D6E5" w:sz="1"/>
            </w:tcBorders>
            <w:shd w:fill="12355B" w:val="clear"/>
            <w:tcMar>
              <w:top w:type="dxa" w:w="60"/>
              <w:left w:type="dxa" w:w="120"/>
              <w:bottom w:type="dxa" w:w="60"/>
              <w:right w:type="dxa" w:w="120"/>
            </w:tcMar>
          </w:tcPr>
          <w:p>
            <w:pPr>
              <w:spacing w:after="0" w:line="252"/>
            </w:pPr>
            <w:r>
              <w:rPr>
                <w:b/>
                <w:bCs/>
                <w:color w:val="FFFFFF"/>
                <w:sz w:val="20"/>
                <w:szCs w:val="20"/>
              </w:rPr>
              <w:t xml:space="preserve">Use of funds</w:t>
            </w:r>
          </w:p>
        </w:tc>
        <w:tc>
          <w:tcPr>
            <w:tcW w:type="dxa" w:w="6026"/>
            <w:tcBorders>
              <w:top w:val="single" w:color="C9D6E5" w:sz="1"/>
              <w:left w:val="single" w:color="C9D6E5" w:sz="1"/>
              <w:bottom w:val="single" w:color="C9D6E5" w:sz="1"/>
              <w:right w:val="single" w:color="C9D6E5" w:sz="1"/>
            </w:tcBorders>
            <w:shd w:fill="12355B" w:val="clear"/>
            <w:tcMar>
              <w:top w:type="dxa" w:w="60"/>
              <w:left w:type="dxa" w:w="120"/>
              <w:bottom w:type="dxa" w:w="60"/>
              <w:right w:type="dxa" w:w="120"/>
            </w:tcMar>
          </w:tcPr>
          <w:p>
            <w:pPr>
              <w:spacing w:after="0" w:line="252"/>
            </w:pPr>
            <w:r>
              <w:rPr>
                <w:b/>
                <w:bCs/>
                <w:color w:val="FFFFFF"/>
                <w:sz w:val="20"/>
                <w:szCs w:val="20"/>
              </w:rPr>
              <w:t xml:space="preserve">Purpose</w:t>
            </w:r>
          </w:p>
        </w:tc>
      </w:tr>
      <w:tr>
        <w:tc>
          <w:tcPr>
            <w:tcW w:type="dxa" w:w="3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Inventory (largest)</w:t>
            </w:r>
          </w:p>
        </w:tc>
        <w:tc>
          <w:tcPr>
            <w:tcW w:type="dxa" w:w="60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Container-scale orders of Wish-List-proven hero products on true landed cost.</w:t>
            </w:r>
          </w:p>
        </w:tc>
      </w:tr>
      <w:tr>
        <w:tc>
          <w:tcPr>
            <w:tcW w:type="dxa" w:w="3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Reseller onboarding &amp; credit float</w:t>
            </w:r>
          </w:p>
        </w:tc>
        <w:tc>
          <w:tcPr>
            <w:tcW w:type="dxa" w:w="60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Starter stock on credit for new resellers; onboarding and training.</w:t>
            </w:r>
          </w:p>
        </w:tc>
      </w:tr>
      <w:tr>
        <w:tc>
          <w:tcPr>
            <w:tcW w:type="dxa" w:w="3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Wish List giveaway budget</w:t>
            </w:r>
          </w:p>
        </w:tc>
        <w:tc>
          <w:tcPr>
            <w:tcW w:type="dxa" w:w="60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Weekly “wish granted” prizes that drive demand data and content.</w:t>
            </w:r>
          </w:p>
        </w:tc>
      </w:tr>
      <w:tr>
        <w:tc>
          <w:tcPr>
            <w:tcW w:type="dxa" w:w="3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Marketing</w:t>
            </w:r>
          </w:p>
        </w:tc>
        <w:tc>
          <w:tcPr>
            <w:tcW w:type="dxa" w:w="60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Disciplined paid acquisition once contribution margin clears target.</w:t>
            </w:r>
          </w:p>
        </w:tc>
      </w:tr>
      <w:tr>
        <w:tc>
          <w:tcPr>
            <w:tcW w:type="dxa" w:w="30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Working capital &amp; compliance</w:t>
            </w:r>
          </w:p>
        </w:tc>
        <w:tc>
          <w:tcPr>
            <w:tcW w:type="dxa" w:w="60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FX, freight, clearing, software, and professional (legal/accounting) fees.</w:t>
            </w:r>
          </w:p>
        </w:tc>
      </w:tr>
    </w:tbl>
    <w:p>
      <w:pPr>
        <w:spacing w:after="120" w:line="276"/>
      </w:pPr>
      <w:r>
        <w:rPr>
          <w:i/>
          <w:iCs/>
        </w:rPr>
        <w:t xml:space="preserve">Capital discipline is explicit: the larger tranches are released only after unit economics are proven positive in live areas — the data aims the cannon.</w:t>
      </w:r>
    </w:p>
    <w:p>
      <w:pPr>
        <w:pStyle w:val="Heading1"/>
      </w:pPr>
      <w:r>
        <w:t xml:space="preserve">15.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9D6E5" w:sz="1"/>
              <w:left w:val="single" w:color="C9D6E5" w:sz="1"/>
              <w:bottom w:val="single" w:color="C9D6E5" w:sz="1"/>
              <w:right w:val="single" w:color="C9D6E5" w:sz="1"/>
            </w:tcBorders>
            <w:shd w:fill="12355B" w:val="clear"/>
            <w:tcMar>
              <w:top w:type="dxa" w:w="60"/>
              <w:left w:type="dxa" w:w="120"/>
              <w:bottom w:type="dxa" w:w="60"/>
              <w:right w:type="dxa" w:w="120"/>
            </w:tcMar>
          </w:tcPr>
          <w:p>
            <w:pPr>
              <w:spacing w:after="0" w:line="252"/>
            </w:pPr>
            <w:r>
              <w:rPr>
                <w:b/>
                <w:bCs/>
                <w:color w:val="FFFFFF"/>
                <w:sz w:val="20"/>
                <w:szCs w:val="20"/>
              </w:rPr>
              <w:t xml:space="preserve">Risk</w:t>
            </w:r>
          </w:p>
        </w:tc>
        <w:tc>
          <w:tcPr>
            <w:tcW w:type="dxa" w:w="5626"/>
            <w:tcBorders>
              <w:top w:val="single" w:color="C9D6E5" w:sz="1"/>
              <w:left w:val="single" w:color="C9D6E5" w:sz="1"/>
              <w:bottom w:val="single" w:color="C9D6E5" w:sz="1"/>
              <w:right w:val="single" w:color="C9D6E5" w:sz="1"/>
            </w:tcBorders>
            <w:shd w:fill="12355B" w:val="clear"/>
            <w:tcMar>
              <w:top w:type="dxa" w:w="60"/>
              <w:left w:type="dxa" w:w="120"/>
              <w:bottom w:type="dxa" w:w="60"/>
              <w:right w:type="dxa" w:w="120"/>
            </w:tcMar>
          </w:tcPr>
          <w:p>
            <w:pPr>
              <w:spacing w:after="0" w:line="252"/>
            </w:pPr>
            <w:r>
              <w:rPr>
                <w:b/>
                <w:bCs/>
                <w:color w:val="FFFFFF"/>
                <w:sz w:val="20"/>
                <w:szCs w:val="20"/>
              </w:rPr>
              <w:t xml:space="preserve">Mitigation</w:t>
            </w:r>
          </w:p>
        </w:tc>
      </w:tr>
      <w:tr>
        <w:tc>
          <w:tcPr>
            <w:tcW w:type="dxa" w:w="34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Thin unit economics on low-ticket goods</w:t>
            </w:r>
          </w:p>
        </w:tc>
        <w:tc>
          <w:tcPr>
            <w:tcW w:type="dxa" w:w="56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Demand-led, single-hero focus on items that carry freight and duty; price off true landed cost; &gt;35% CM gate before scaling.</w:t>
            </w:r>
          </w:p>
        </w:tc>
      </w:tr>
      <w:tr>
        <w:tc>
          <w:tcPr>
            <w:tcW w:type="dxa" w:w="34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Import VAT as a sunk cost</w:t>
            </w:r>
          </w:p>
        </w:tc>
        <w:tc>
          <w:tcPr>
            <w:tcW w:type="dxa" w:w="56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Register for VAT to recover import VAT; model the price/margin trade-off with the accountant first.</w:t>
            </w:r>
          </w:p>
        </w:tc>
      </w:tr>
      <w:tr>
        <w:tc>
          <w:tcPr>
            <w:tcW w:type="dxa" w:w="34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Reseller mis-classification (employment/franchise)</w:t>
            </w:r>
          </w:p>
        </w:tc>
        <w:tc>
          <w:tcPr>
            <w:tcW w:type="dxa" w:w="56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Attorney-drafted buy-sell agreement, retention of title, no joining fee, disclosed-agent collection.</w:t>
            </w:r>
          </w:p>
        </w:tc>
      </w:tr>
      <w:tr>
        <w:tc>
          <w:tcPr>
            <w:tcW w:type="dxa" w:w="34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Cash locked in transit &amp; inventory</w:t>
            </w:r>
          </w:p>
        </w:tc>
        <w:tc>
          <w:tcPr>
            <w:tcW w:type="dxa" w:w="56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Small proving batches; staged capital; tight per-reseller ledger and monthly close.</w:t>
            </w:r>
          </w:p>
        </w:tc>
      </w:tr>
      <w:tr>
        <w:tc>
          <w:tcPr>
            <w:tcW w:type="dxa" w:w="34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FX and freight volatility</w:t>
            </w:r>
          </w:p>
        </w:tc>
        <w:tc>
          <w:tcPr>
            <w:tcW w:type="dxa" w:w="56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Cost at the FX rate actually paid; hold an allowance in pricing; reconcile monthly.</w:t>
            </w:r>
          </w:p>
        </w:tc>
      </w:tr>
      <w:tr>
        <w:tc>
          <w:tcPr>
            <w:tcW w:type="dxa" w:w="3400"/>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Dead stock</w:t>
            </w:r>
          </w:p>
        </w:tc>
        <w:tc>
          <w:tcPr>
            <w:tcW w:type="dxa" w:w="5626"/>
            <w:tcBorders>
              <w:top w:val="single" w:color="C9D6E5" w:sz="1"/>
              <w:left w:val="single" w:color="C9D6E5" w:sz="1"/>
              <w:bottom w:val="single" w:color="C9D6E5" w:sz="1"/>
              <w:right w:val="single" w:color="C9D6E5" w:sz="1"/>
            </w:tcBorders>
            <w:tcMar>
              <w:top w:type="dxa" w:w="60"/>
              <w:left w:type="dxa" w:w="120"/>
              <w:bottom w:type="dxa" w:w="60"/>
              <w:right w:type="dxa" w:w="120"/>
            </w:tcMar>
          </w:tcPr>
          <w:p>
            <w:pPr>
              <w:spacing w:after="0" w:line="252"/>
            </w:pPr>
            <w:r>
              <w:rPr>
                <w:sz w:val="20"/>
                <w:szCs w:val="20"/>
              </w:rPr>
              <w:t xml:space="preserve">Source only Wish-List-validated demand; test before container scale.</w:t>
            </w:r>
          </w:p>
        </w:tc>
      </w:tr>
    </w:tbl>
    <w:p>
      <w:pPr>
        <w:pStyle w:val="Heading1"/>
      </w:pPr>
      <w:r>
        <w:t xml:space="preserve">16.  Compliance &amp; Governance</w:t>
      </w:r>
    </w:p>
    <w:p>
      <w:pPr>
        <w:pStyle w:val="ListParagraph"/>
        <w:numPr>
          <w:ilvl w:val="0"/>
          <w:numId w:val="2"/>
        </w:numPr>
        <w:spacing w:after="60" w:line="268"/>
      </w:pPr>
      <w:r>
        <w:t xml:space="preserve">Provisional tax (IRP6) twice yearly plus annual ITR14; CIPC annual return including the Beneficial Ownership declaration.</w:t>
      </w:r>
    </w:p>
    <w:p>
      <w:pPr>
        <w:pStyle w:val="ListParagraph"/>
        <w:numPr>
          <w:ilvl w:val="0"/>
          <w:numId w:val="2"/>
        </w:numPr>
        <w:spacing w:after="60" w:line="268"/>
      </w:pPr>
      <w:r>
        <w:t xml:space="preserve">Import records (SAD500 bills of entry, commercial invoices, bills of lading, HS-code proof, FX advices) retained five years.</w:t>
      </w:r>
    </w:p>
    <w:p>
      <w:pPr>
        <w:pStyle w:val="ListParagraph"/>
        <w:numPr>
          <w:ilvl w:val="0"/>
          <w:numId w:val="2"/>
        </w:numPr>
        <w:spacing w:after="60" w:line="268"/>
      </w:pPr>
      <w:r>
        <w:t xml:space="preserve">Monthly close: Nedbank feed reconciled; PayFast settlements reconciled (gross sales vs payout = fees); inventory/COGS at landed cost; FX booked; management P&amp;L by ~day 5–7.</w:t>
      </w:r>
    </w:p>
    <w:p>
      <w:pPr>
        <w:spacing w:after="120" w:line="276"/>
      </w:pPr>
      <w:r>
        <w:rPr>
          <w:i/>
          <w:iCs/>
          <w:color w:val="595959"/>
          <w:sz w:val="18"/>
          <w:szCs w:val="18"/>
        </w:rPr>
        <w:t xml:space="preserve">Disclaimer: this plan is for information and discussion. Registration, tax and customs identifiers are verifiable with CIPC and SARS. Financial figures are illustrative planning estimates, not audited results or forecasts of return. Tax, VAT, legal-structure and investment/visa positions require confirmation by the company’s chartered accountant and attorney.</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5" w:sz="4" w:space="6"/>
      </w:pBdr>
      <w:spacing w:before="60"/>
      <w:jc w:val="center"/>
    </w:pPr>
    <w:r>
      <w:rPr>
        <w:color w:val="595959"/>
        <w:sz w:val="16"/>
        <w:szCs w:val="16"/>
      </w:rPr>
      <w:t xml:space="preserve">Jeffy Commerce (Pty) Ltd  ·  Reg 2025/950712/07  ·  Confidential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B2" w:sz="8" w:space="4"/>
      </w:pBdr>
      <w:spacing w:after="120" w:before="280"/>
      <w:outlineLvl w:val="0"/>
    </w:pPr>
    <w:rPr>
      <w:rFonts w:ascii="Calibri" w:cs="Calibri" w:eastAsia="Calibri" w:hAnsi="Calibri"/>
      <w:b/>
      <w:bCs/>
      <w:color w:val="12355B"/>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1F6F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2026-06-01T22:26:18.573Z</dcterms:created>
  <dcterms:modified xsi:type="dcterms:W3CDTF">2026-06-01T22:26:18.573Z</dcterms:modified>
</cp:coreProperties>
</file>

<file path=docProps/custom.xml><?xml version="1.0" encoding="utf-8"?>
<Properties xmlns="http://schemas.openxmlformats.org/officeDocument/2006/custom-properties" xmlns:vt="http://schemas.openxmlformats.org/officeDocument/2006/docPropsVTypes"/>
</file>