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b/>
          <w:bCs/>
          <w:color w:val="12355B"/>
          <w:sz w:val="34"/>
          <w:szCs w:val="34"/>
        </w:rPr>
        <w:t xml:space="preserve">JEFFY COMMERCE (PTY) LTD</w:t>
      </w:r>
    </w:p>
    <w:p>
      <w:pPr>
        <w:pBdr>
          <w:bottom w:val="single" w:color="1F6FB2" w:sz="12" w:space="3"/>
        </w:pBdr>
        <w:tabs>
          <w:tab w:val="right" w:pos="9026"/>
        </w:tabs>
        <w:spacing w:after="60"/>
      </w:pPr>
      <w:r>
        <w:rPr>
          <w:i/>
          <w:iCs/>
          <w:color w:val="1F6FB2"/>
          <w:sz w:val="19"/>
          <w:szCs w:val="19"/>
        </w:rPr>
        <w:t xml:space="preserve">Commerce that builds schools</w:t>
      </w:r>
      <w:r>
        <w:rPr>
          <w:color w:val="595959"/>
          <w:sz w:val="15"/>
          <w:szCs w:val="15"/>
        </w:rPr>
        <w:t xml:space="preserve">	Business Summary — 2 June 2026</w:t>
      </w:r>
    </w:p>
    <w:p>
      <w:pPr>
        <w:spacing w:after="80" w:line="240"/>
      </w:pPr>
      <w:r>
        <w:rPr>
          <w:b/>
          <w:bCs/>
        </w:rPr>
        <w:t xml:space="preserve">Nature of business.  </w:t>
      </w:r>
      <w:r>
        <w:rPr>
          <w:sz w:val="19"/>
          <w:szCs w:val="19"/>
        </w:rPr>
        <w:t xml:space="preserve">Jeffy Commerce (Pty) Ltd is a South African registered importer and e-commerce operator. It imports consumer goods directly from China under its own SARS Customs Code and supplies them to a national network of independent local resellers who hold stock and deliver within their communities. Customers order centrally at jeffy.co.za; payment is split automatically between the company (wholesale) and the reseller (retail margin). Net company profit funds free, merit-based schooling.</w:t>
      </w:r>
    </w:p>
    <w:p>
      <w:pPr>
        <w:spacing w:after="40" w:before="120"/>
      </w:pPr>
      <w:r>
        <w:rPr>
          <w:b/>
          <w:bCs/>
          <w:color w:val="1F6FB2"/>
          <w:sz w:val="21"/>
          <w:szCs w:val="21"/>
        </w:rPr>
        <w:t xml:space="preserve">Registered particulars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7096"/>
      </w:tblGrid>
      <w:tr>
        <w:tc>
          <w:tcPr>
            <w:tcW w:type="dxa" w:w="265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Registered name</w:t>
            </w:r>
          </w:p>
        </w:tc>
        <w:tc>
          <w:tcPr>
            <w:tcW w:type="dxa" w:w="7096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Jeffy Commerce (Pty) Ltd</w:t>
            </w:r>
          </w:p>
        </w:tc>
      </w:tr>
      <w:tr>
        <w:tc>
          <w:tcPr>
            <w:tcW w:type="dxa" w:w="265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Registration no.</w:t>
            </w:r>
          </w:p>
        </w:tc>
        <w:tc>
          <w:tcPr>
            <w:tcW w:type="dxa" w:w="7096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2025/950712/07 — Private Company, incorporated 10 December 2025 (In Business; FY end February)</w:t>
            </w:r>
          </w:p>
        </w:tc>
      </w:tr>
      <w:tr>
        <w:tc>
          <w:tcPr>
            <w:tcW w:type="dxa" w:w="265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Income Tax no.</w:t>
            </w:r>
          </w:p>
        </w:tc>
        <w:tc>
          <w:tcPr>
            <w:tcW w:type="dxa" w:w="7096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9168272293</w:t>
            </w:r>
          </w:p>
        </w:tc>
      </w:tr>
      <w:tr>
        <w:tc>
          <w:tcPr>
            <w:tcW w:type="dxa" w:w="265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SARS Customs Code</w:t>
            </w:r>
          </w:p>
        </w:tc>
        <w:tc>
          <w:tcPr>
            <w:tcW w:type="dxa" w:w="7096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CU25827795 — Registered Importer approved 18 May 2026 (customs cash account 8125959786)</w:t>
            </w:r>
          </w:p>
        </w:tc>
      </w:tr>
      <w:tr>
        <w:tc>
          <w:tcPr>
            <w:tcW w:type="dxa" w:w="265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Director / Public Officer</w:t>
            </w:r>
          </w:p>
        </w:tc>
        <w:tc>
          <w:tcPr>
            <w:tcW w:type="dxa" w:w="7096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Tredoux Willemse — ID 8706025176086; appointed 10 December 2025</w:t>
            </w:r>
          </w:p>
        </w:tc>
      </w:tr>
      <w:tr>
        <w:tc>
          <w:tcPr>
            <w:tcW w:type="dxa" w:w="265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Trading address</w:t>
            </w:r>
          </w:p>
        </w:tc>
        <w:tc>
          <w:tcPr>
            <w:tcW w:type="dxa" w:w="7096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39 Panorama Drive, The Links, Somerset West, 7130</w:t>
            </w:r>
          </w:p>
        </w:tc>
      </w:tr>
      <w:tr>
        <w:tc>
          <w:tcPr>
            <w:tcW w:type="dxa" w:w="265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Registered office</w:t>
            </w:r>
          </w:p>
        </w:tc>
        <w:tc>
          <w:tcPr>
            <w:tcW w:type="dxa" w:w="7096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Kendy Farm, Mullers Pass, Newcastle, KwaZulu-Natal, 2940</w:t>
            </w:r>
          </w:p>
        </w:tc>
      </w:tr>
      <w:tr>
        <w:tc>
          <w:tcPr>
            <w:tcW w:type="dxa" w:w="265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Banker</w:t>
            </w:r>
          </w:p>
        </w:tc>
        <w:tc>
          <w:tcPr>
            <w:tcW w:type="dxa" w:w="7096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Nedbank — Acct 1307614477 — Branch 198765 — “Jeffy Commerce (Pty) Ltd”</w:t>
            </w:r>
          </w:p>
        </w:tc>
      </w:tr>
      <w:tr>
        <w:tc>
          <w:tcPr>
            <w:tcW w:type="dxa" w:w="265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VAT status</w:t>
            </w:r>
          </w:p>
        </w:tc>
        <w:tc>
          <w:tcPr>
            <w:tcW w:type="dxa" w:w="7096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Not yet registered (voluntary R120k / compulsory R2.3m per 12 months)</w:t>
            </w:r>
          </w:p>
        </w:tc>
      </w:tr>
      <w:tr>
        <w:tc>
          <w:tcPr>
            <w:tcW w:type="dxa" w:w="2650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Web / contact</w:t>
            </w:r>
          </w:p>
        </w:tc>
        <w:tc>
          <w:tcPr>
            <w:tcW w:type="dxa" w:w="7096"/>
            <w:tcBorders>
              <w:top w:val="single" w:color="C9D6E5" w:sz="1"/>
              <w:left w:val="single" w:color="C9D6E5" w:sz="1"/>
              <w:bottom w:val="single" w:color="C9D6E5" w:sz="1"/>
              <w:right w:val="single" w:color="C9D6E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jeffy.co.za · hello@jeffy.co.za · 076 506 4386</w:t>
            </w:r>
          </w:p>
        </w:tc>
      </w:tr>
    </w:tbl>
    <w:p>
      <w:pPr>
        <w:spacing w:after="40" w:before="120"/>
      </w:pPr>
      <w:r>
        <w:rPr>
          <w:b/>
          <w:bCs/>
          <w:color w:val="1F6FB2"/>
          <w:sz w:val="21"/>
          <w:szCs w:val="21"/>
        </w:rPr>
        <w:t xml:space="preserve">Operating &amp; legal model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b/>
          <w:bCs/>
          <w:sz w:val="19"/>
          <w:szCs w:val="19"/>
        </w:rPr>
        <w:t xml:space="preserve">Independent resellers, not employees. </w:t>
      </w:r>
      <w:r>
        <w:rPr>
          <w:sz w:val="19"/>
          <w:szCs w:val="19"/>
        </w:rPr>
        <w:t xml:space="preserve">Resellers buy at wholesale and resell at retail (the Avon/Tupperware buy-sell model). No PAYE, minimum-wage or leave liability; retention of title until stock is paid.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b/>
          <w:bCs/>
          <w:sz w:val="19"/>
          <w:szCs w:val="19"/>
        </w:rPr>
        <w:t xml:space="preserve">Disclosed-agent collection. </w:t>
      </w:r>
      <w:r>
        <w:rPr>
          <w:sz w:val="19"/>
          <w:szCs w:val="19"/>
        </w:rPr>
        <w:t xml:space="preserve">PayFast Split Payments divides each sale in real time, so the company never holds a reseller’s funds. VAT, once registered, sits cleanly on the wholesale leg.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b/>
          <w:bCs/>
          <w:sz w:val="19"/>
          <w:szCs w:val="19"/>
        </w:rPr>
        <w:t xml:space="preserve">Demand-led sourcing. </w:t>
      </w:r>
      <w:r>
        <w:rPr>
          <w:sz w:val="19"/>
          <w:szCs w:val="19"/>
        </w:rPr>
        <w:t xml:space="preserve">The “Jeffy Wish List” captures verified customer demand before any capital is committed, minimising dead-stock risk.</w:t>
      </w:r>
    </w:p>
    <w:p>
      <w:pPr>
        <w:spacing w:after="40" w:before="120"/>
      </w:pPr>
      <w:r>
        <w:rPr>
          <w:b/>
          <w:bCs/>
          <w:color w:val="1F6FB2"/>
          <w:sz w:val="21"/>
          <w:szCs w:val="21"/>
        </w:rPr>
        <w:t xml:space="preserve">Financial position &amp; controls</w:t>
      </w:r>
    </w:p>
    <w:p>
      <w:pPr>
        <w:spacing w:after="60" w:line="240"/>
      </w:pPr>
      <w:r>
        <w:rPr>
          <w:sz w:val="19"/>
          <w:szCs w:val="19"/>
        </w:rPr>
        <w:t xml:space="preserve">Every product is costed on a true landed-cost basis (supplier price × FX + freight + insurance + duty + import VAT + clearing). A documented landed-cost and unit-economics model governs pricing; capital is staged — unit economics proven on small batches before container-scale orders. Books run on Xero with a direct Nedbank feed and a disciplined monthly close (bank, PayFast settlement, inventory/COGS).</w:t>
      </w:r>
    </w:p>
    <w:p>
      <w:pPr>
        <w:spacing w:after="80" w:line="240"/>
      </w:pPr>
      <w:r>
        <w:rPr>
          <w:b/>
          <w:bCs/>
          <w:color w:val="12355B"/>
          <w:sz w:val="19"/>
          <w:szCs w:val="19"/>
        </w:rPr>
        <w:t xml:space="preserve">Note for review: </w:t>
      </w:r>
      <w:r>
        <w:rPr>
          <w:sz w:val="19"/>
          <w:szCs w:val="19"/>
        </w:rPr>
        <w:t xml:space="preserve">current modelled unit economics are illustrative and pre-optimisation (contribution margin ~28.6% vs a &gt;35% target). Reaching target margin via demand-led sourcing, single-hero focus, two-tier pricing and import-VAT recovery is the central pre-scale milestone.</w:t>
      </w:r>
    </w:p>
    <w:p>
      <w:pPr>
        <w:spacing w:after="40" w:before="120"/>
      </w:pPr>
      <w:r>
        <w:rPr>
          <w:b/>
          <w:bCs/>
          <w:color w:val="1F6FB2"/>
          <w:sz w:val="21"/>
          <w:szCs w:val="21"/>
        </w:rPr>
        <w:t xml:space="preserve">Compliance posture</w:t>
      </w:r>
    </w:p>
    <w:p>
      <w:pPr>
        <w:spacing w:after="60" w:line="240"/>
      </w:pPr>
      <w:r>
        <w:rPr>
          <w:sz w:val="19"/>
          <w:szCs w:val="19"/>
        </w:rPr>
        <w:t xml:space="preserve">Provisional tax (IRP6) twice yearly plus annual ITR14; CIPC annual return with Beneficial Ownership declaration; import records (SAD500, invoices, bills of lading, HS-code proof, FX advices) retained five years. Reseller agreements, agent-collection documentation and Wish List competition terms are finalised under attorney review before resellers are signed.</w:t>
      </w:r>
    </w:p>
    <w:p>
      <w:pPr>
        <w:pBdr>
          <w:top w:val="single" w:color="C9D6E5" w:sz="4" w:space="5"/>
        </w:pBdr>
        <w:spacing w:before="60"/>
      </w:pPr>
      <w:r>
        <w:rPr>
          <w:i/>
          <w:iCs/>
          <w:color w:val="595959"/>
          <w:sz w:val="15"/>
          <w:szCs w:val="15"/>
        </w:rPr>
        <w:t xml:space="preserve">Prepared for review. Registration, tax and customs identifiers are verifiable with CIPC and SARS. Tax, VAT and investment-structuring positions are subject to confirmation by the company’s chartered accountant and attorney.</w:t>
      </w:r>
    </w:p>
    <w:sectPr>
      <w:pgSz w:w="11906" w:h="16838" w:orient="portrait"/>
      <w:pgMar w:top="720" w:right="1080" w:bottom="5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B2" w:sz="8" w:space="4"/>
      </w:pBdr>
      <w:spacing w:after="120" w:before="280"/>
      <w:outlineLvl w:val="0"/>
    </w:pPr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1F6FB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2026-06-01T22:26:18.521Z</dcterms:created>
  <dcterms:modified xsi:type="dcterms:W3CDTF">2026-06-01T22:26:18.521Z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