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Georgia" w:cs="Georgia" w:eastAsia="Georgia" w:hAnsi="Georgia"/>
          <w:b/>
          <w:bCs/>
          <w:color w:val="1A1A2E"/>
          <w:sz w:val="56"/>
          <w:szCs w:val="56"/>
        </w:rPr>
        <w:t xml:space="preserve">THE INK MASTER</w:t>
      </w:r>
    </w:p>
    <w:p>
      <w:pPr>
        <w:pBdr>
          <w:bottom w:val="single" w:color="C0392B" w:sz="6" w:space="12"/>
        </w:pBdr>
        <w:spacing w:after="80"/>
        <w:jc w:val="center"/>
      </w:pPr>
      <w:r>
        <w:rPr>
          <w:rFonts w:ascii="Georgia" w:cs="Georgia" w:eastAsia="Georgia" w:hAnsi="Georgia"/>
          <w:color w:val="C0392B"/>
          <w:sz w:val="32"/>
          <w:szCs w:val="32"/>
        </w:rPr>
        <w:t xml:space="preserve">Cold Outreach Letter Rewrite</w:t>
      </w:r>
    </w:p>
    <w:p>
      <w:pPr>
        <w:spacing w:after="400"/>
      </w:pPr>
    </w:p>
    <w:p>
      <w:pPr>
        <w:spacing w:after="160"/>
        <w:jc w:val="center"/>
      </w:pPr>
      <w:r>
        <w:rPr>
          <w:rFonts w:ascii="Arial" w:cs="Arial" w:eastAsia="Arial" w:hAnsi="Arial"/>
          <w:b w:val="false"/>
          <w:bCs w:val="false"/>
          <w:i w:val="false"/>
          <w:iCs w:val="false"/>
          <w:color w:val="555555"/>
          <w:sz w:val="24"/>
          <w:szCs w:val="24"/>
        </w:rPr>
        <w:t xml:space="preserve">Client: Montree (montree.xyz)</w:t>
      </w:r>
    </w:p>
    <w:p>
      <w:pPr>
        <w:spacing w:after="160"/>
        <w:jc w:val="center"/>
      </w:pPr>
      <w:r>
        <w:rPr>
          <w:rFonts w:ascii="Arial" w:cs="Arial" w:eastAsia="Arial" w:hAnsi="Arial"/>
          <w:b w:val="false"/>
          <w:bCs w:val="false"/>
          <w:i w:val="false"/>
          <w:iCs w:val="false"/>
          <w:color w:val="555555"/>
          <w:sz w:val="24"/>
          <w:szCs w:val="24"/>
        </w:rPr>
        <w:t xml:space="preserve">Target: Montessori School Principals</w:t>
      </w:r>
    </w:p>
    <w:p>
      <w:pPr>
        <w:spacing w:after="160"/>
        <w:jc w:val="center"/>
      </w:pPr>
      <w:r>
        <w:rPr>
          <w:rFonts w:ascii="Arial" w:cs="Arial" w:eastAsia="Arial" w:hAnsi="Arial"/>
          <w:b w:val="false"/>
          <w:bCs w:val="false"/>
          <w:i w:val="false"/>
          <w:iCs w:val="false"/>
          <w:color w:val="555555"/>
          <w:sz w:val="24"/>
          <w:szCs w:val="24"/>
        </w:rPr>
        <w:t xml:space="preserve">March 1, 2026</w:t>
      </w:r>
    </w:p>
    <w:p>
      <w:pPr>
        <w:spacing w:after="1200"/>
      </w:pPr>
    </w:p>
    <w:p>
      <w:pPr>
        <w:jc w:val="center"/>
      </w:pPr>
      <w:r>
        <w:rPr>
          <w:rFonts w:ascii="Georgia" w:cs="Georgia" w:eastAsia="Georgia" w:hAnsi="Georgia"/>
          <w:i/>
          <w:iCs/>
          <w:color w:val="C0392B"/>
          <w:sz w:val="20"/>
          <w:szCs w:val="20"/>
        </w:rPr>
        <w:t xml:space="preserve">Copywriting Brain v2.0</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A1A2E"/>
          <w:sz w:val="36"/>
          <w:szCs w:val="36"/>
        </w:rPr>
        <w:t xml:space="preserve">STRATEGIC ANALYSIS</w:t>
      </w:r>
    </w:p>
    <w:p>
      <w:pPr>
        <w:pBdr>
          <w:bottom w:val="single" w:color="C0392B" w:sz="4" w:space="8"/>
        </w:pBdr>
        <w:spacing w:before="200" w:after="200"/>
      </w:pPr>
    </w:p>
    <w:p>
      <w:pPr>
        <w:pStyle w:val="Heading2"/>
        <w:spacing w:before="280" w:after="160"/>
      </w:pPr>
      <w:r>
        <w:rPr>
          <w:rFonts w:ascii="Georgia" w:cs="Georgia" w:eastAsia="Georgia" w:hAnsi="Georgia"/>
          <w:b/>
          <w:bCs/>
          <w:color w:val="C0392B"/>
          <w:sz w:val="28"/>
          <w:szCs w:val="28"/>
        </w:rPr>
        <w:t xml:space="preserve">Audience</w:t>
      </w:r>
    </w:p>
    <w:p>
      <w:pPr>
        <w:spacing w:after="160"/>
        <w:jc w:val="left"/>
      </w:pPr>
      <w:r>
        <w:rPr>
          <w:rFonts w:ascii="Arial" w:cs="Arial" w:eastAsia="Arial" w:hAnsi="Arial"/>
          <w:b/>
          <w:bCs/>
          <w:i w:val="false"/>
          <w:iCs w:val="false"/>
          <w:color w:val="1A1A2E"/>
          <w:sz w:val="22"/>
          <w:szCs w:val="22"/>
        </w:rPr>
        <w:t xml:space="preserve">Montessori school principals and directors</w:t>
      </w:r>
      <w:r>
        <w:rPr>
          <w:rFonts w:ascii="Arial" w:cs="Arial" w:eastAsia="Arial" w:hAnsi="Arial"/>
          <w:b w:val="false"/>
          <w:bCs w:val="false"/>
          <w:i w:val="false"/>
          <w:iCs w:val="false"/>
          <w:color w:val="555555"/>
          <w:sz w:val="22"/>
          <w:szCs w:val="22"/>
        </w:rPr>
        <w:t xml:space="preserve"> — passionate educators who chose Montessori deliberately. They juggle curriculum oversight, parent communication, teacher retention, and administrative burden. Most are time-poor. Many feel the tension between maintaining authentic Montessori practice and the operational reality of running a school.</w:t>
      </w:r>
    </w:p>
    <w:p>
      <w:pPr>
        <w:pStyle w:val="Heading2"/>
        <w:spacing w:before="280" w:after="160"/>
      </w:pPr>
      <w:r>
        <w:rPr>
          <w:rFonts w:ascii="Georgia" w:cs="Georgia" w:eastAsia="Georgia" w:hAnsi="Georgia"/>
          <w:b/>
          <w:bCs/>
          <w:color w:val="C0392B"/>
          <w:sz w:val="28"/>
          <w:szCs w:val="28"/>
        </w:rPr>
        <w:t xml:space="preserve">Awareness Level (Schwartz)</w:t>
      </w:r>
    </w:p>
    <w:p>
      <w:pPr>
        <w:spacing w:after="160"/>
        <w:jc w:val="left"/>
      </w:pPr>
      <w:r>
        <w:rPr>
          <w:rFonts w:ascii="Arial" w:cs="Arial" w:eastAsia="Arial" w:hAnsi="Arial"/>
          <w:b/>
          <w:bCs/>
          <w:i w:val="false"/>
          <w:iCs w:val="false"/>
          <w:color w:val="C0392B"/>
          <w:sz w:val="22"/>
          <w:szCs w:val="22"/>
        </w:rPr>
        <w:t xml:space="preserve">LEVEL 5 — COMPLETELY UNAWARE. </w:t>
      </w:r>
      <w:r>
        <w:rPr>
          <w:rFonts w:ascii="Arial" w:cs="Arial" w:eastAsia="Arial" w:hAnsi="Arial"/>
          <w:b w:val="false"/>
          <w:bCs w:val="false"/>
          <w:i w:val="false"/>
          <w:iCs w:val="false"/>
          <w:color w:val="555555"/>
          <w:sz w:val="22"/>
          <w:szCs w:val="22"/>
        </w:rPr>
        <w:t xml:space="preserve">These principals don’t know Montree exists. Most don’t even know AI-powered Montessori tools are a category. They’re not searching for a solution because they don’t know solutions exist.</w:t>
      </w:r>
    </w:p>
    <w:p>
      <w:pPr>
        <w:spacing w:after="160"/>
        <w:jc w:val="left"/>
      </w:pPr>
      <w:r>
        <w:rPr>
          <w:rFonts w:ascii="Arial" w:cs="Arial" w:eastAsia="Arial" w:hAnsi="Arial"/>
          <w:b/>
          <w:bCs/>
          <w:i w:val="false"/>
          <w:iCs w:val="false"/>
          <w:color w:val="1A1A2E"/>
          <w:sz w:val="22"/>
          <w:szCs w:val="22"/>
        </w:rPr>
        <w:t xml:space="preserve">Implication: </w:t>
      </w:r>
      <w:r>
        <w:rPr>
          <w:rFonts w:ascii="Arial" w:cs="Arial" w:eastAsia="Arial" w:hAnsi="Arial"/>
          <w:b w:val="false"/>
          <w:bCs w:val="false"/>
          <w:i w:val="false"/>
          <w:iCs w:val="false"/>
          <w:color w:val="555555"/>
          <w:sz w:val="22"/>
          <w:szCs w:val="22"/>
        </w:rPr>
        <w:t xml:space="preserve">We CANNOT lead with the product. We must lead with the conversation already in their head — their daily pain, their teachers, their parents.</w:t>
      </w:r>
    </w:p>
    <w:p>
      <w:pPr>
        <w:pStyle w:val="Heading2"/>
        <w:spacing w:before="280" w:after="160"/>
      </w:pPr>
      <w:r>
        <w:rPr>
          <w:rFonts w:ascii="Georgia" w:cs="Georgia" w:eastAsia="Georgia" w:hAnsi="Georgia"/>
          <w:b/>
          <w:bCs/>
          <w:color w:val="C0392B"/>
          <w:sz w:val="28"/>
          <w:szCs w:val="28"/>
        </w:rPr>
        <w:t xml:space="preserve">Market Sophistication (Schwartz)</w:t>
      </w:r>
    </w:p>
    <w:p>
      <w:pPr>
        <w:spacing w:after="160"/>
        <w:jc w:val="left"/>
      </w:pPr>
      <w:r>
        <w:rPr>
          <w:rFonts w:ascii="Arial" w:cs="Arial" w:eastAsia="Arial" w:hAnsi="Arial"/>
          <w:b/>
          <w:bCs/>
          <w:i w:val="false"/>
          <w:iCs w:val="false"/>
          <w:color w:val="C0392B"/>
          <w:sz w:val="22"/>
          <w:szCs w:val="22"/>
        </w:rPr>
        <w:t xml:space="preserve">STAGE 1 — VIRGIN MARKET. </w:t>
      </w:r>
      <w:r>
        <w:rPr>
          <w:rFonts w:ascii="Arial" w:cs="Arial" w:eastAsia="Arial" w:hAnsi="Arial"/>
          <w:b w:val="false"/>
          <w:bCs w:val="false"/>
          <w:i w:val="false"/>
          <w:iCs w:val="false"/>
          <w:color w:val="555555"/>
          <w:sz w:val="22"/>
          <w:szCs w:val="22"/>
        </w:rPr>
        <w:t xml:space="preserve">No established competitor in “AI-powered Montessori school management.” First-mover position. Simple, direct claims work. The novelty IS the product category.</w:t>
      </w:r>
    </w:p>
    <w:p>
      <w:pPr>
        <w:pStyle w:val="Heading2"/>
        <w:spacing w:before="280" w:after="160"/>
      </w:pPr>
      <w:r>
        <w:rPr>
          <w:rFonts w:ascii="Georgia" w:cs="Georgia" w:eastAsia="Georgia" w:hAnsi="Georgia"/>
          <w:b/>
          <w:bCs/>
          <w:color w:val="C0392B"/>
          <w:sz w:val="28"/>
          <w:szCs w:val="28"/>
        </w:rPr>
        <w:t xml:space="preserve">Emotional Drivers (Life Force 8)</w:t>
      </w:r>
    </w:p>
    <w:p>
      <w:pPr>
        <w:pStyle w:val="ListParagraph"/>
        <w:numPr>
          <w:ilvl w:val="0"/>
          <w:numId w:val="2"/>
        </w:numPr>
        <w:spacing w:after="100"/>
      </w:pPr>
      <w:r>
        <w:rPr>
          <w:rFonts w:ascii="Arial" w:cs="Arial" w:eastAsia="Arial" w:hAnsi="Arial"/>
          <w:b/>
          <w:bCs/>
          <w:i w:val="false"/>
          <w:iCs w:val="false"/>
          <w:color w:val="1A1A2E"/>
          <w:sz w:val="22"/>
          <w:szCs w:val="22"/>
        </w:rPr>
        <w:t xml:space="preserve">Care and protection of loved ones</w:t>
      </w:r>
      <w:r>
        <w:rPr>
          <w:rFonts w:ascii="Arial" w:cs="Arial" w:eastAsia="Arial" w:hAnsi="Arial"/>
          <w:b w:val="false"/>
          <w:bCs w:val="false"/>
          <w:i w:val="false"/>
          <w:iCs w:val="false"/>
          <w:color w:val="555555"/>
          <w:sz w:val="22"/>
          <w:szCs w:val="22"/>
        </w:rPr>
        <w:t xml:space="preserve"> — Educators whose mission is children’s development.</w:t>
      </w:r>
    </w:p>
    <w:p>
      <w:pPr>
        <w:pStyle w:val="ListParagraph"/>
        <w:numPr>
          <w:ilvl w:val="0"/>
          <w:numId w:val="2"/>
        </w:numPr>
        <w:spacing w:after="100"/>
      </w:pPr>
      <w:r>
        <w:rPr>
          <w:rFonts w:ascii="Arial" w:cs="Arial" w:eastAsia="Arial" w:hAnsi="Arial"/>
          <w:b/>
          <w:bCs/>
          <w:i w:val="false"/>
          <w:iCs w:val="false"/>
          <w:color w:val="1A1A2E"/>
          <w:sz w:val="22"/>
          <w:szCs w:val="22"/>
        </w:rPr>
        <w:t xml:space="preserve">Social approval</w:t>
      </w:r>
      <w:r>
        <w:rPr>
          <w:rFonts w:ascii="Arial" w:cs="Arial" w:eastAsia="Arial" w:hAnsi="Arial"/>
          <w:b w:val="false"/>
          <w:bCs w:val="false"/>
          <w:i w:val="false"/>
          <w:iCs w:val="false"/>
          <w:color w:val="555555"/>
          <w:sz w:val="22"/>
          <w:szCs w:val="22"/>
        </w:rPr>
        <w:t xml:space="preserve"> — Principals want their school seen as progressive, high-quality.</w:t>
      </w:r>
    </w:p>
    <w:p>
      <w:pPr>
        <w:pStyle w:val="ListParagraph"/>
        <w:numPr>
          <w:ilvl w:val="0"/>
          <w:numId w:val="2"/>
        </w:numPr>
        <w:spacing w:after="100"/>
      </w:pPr>
      <w:r>
        <w:rPr>
          <w:rFonts w:ascii="Arial" w:cs="Arial" w:eastAsia="Arial" w:hAnsi="Arial"/>
          <w:b/>
          <w:bCs/>
          <w:i w:val="false"/>
          <w:iCs w:val="false"/>
          <w:color w:val="1A1A2E"/>
          <w:sz w:val="22"/>
          <w:szCs w:val="22"/>
        </w:rPr>
        <w:t xml:space="preserve">Comfortable living conditions</w:t>
      </w:r>
      <w:r>
        <w:rPr>
          <w:rFonts w:ascii="Arial" w:cs="Arial" w:eastAsia="Arial" w:hAnsi="Arial"/>
          <w:b w:val="false"/>
          <w:bCs w:val="false"/>
          <w:i w:val="false"/>
          <w:iCs w:val="false"/>
          <w:color w:val="555555"/>
          <w:sz w:val="22"/>
          <w:szCs w:val="22"/>
        </w:rPr>
        <w:t xml:space="preserve"> — Teacher burnout is their #1 operational threat.</w:t>
      </w:r>
    </w:p>
    <w:p>
      <w:pPr>
        <w:pStyle w:val="ListParagraph"/>
        <w:numPr>
          <w:ilvl w:val="0"/>
          <w:numId w:val="2"/>
        </w:numPr>
        <w:spacing w:after="100"/>
      </w:pPr>
      <w:r>
        <w:rPr>
          <w:rFonts w:ascii="Arial" w:cs="Arial" w:eastAsia="Arial" w:hAnsi="Arial"/>
          <w:b/>
          <w:bCs/>
          <w:i w:val="false"/>
          <w:iCs w:val="false"/>
          <w:color w:val="1A1A2E"/>
          <w:sz w:val="22"/>
          <w:szCs w:val="22"/>
        </w:rPr>
        <w:t xml:space="preserve">Freedom from fear</w:t>
      </w:r>
      <w:r>
        <w:rPr>
          <w:rFonts w:ascii="Arial" w:cs="Arial" w:eastAsia="Arial" w:hAnsi="Arial"/>
          <w:b w:val="false"/>
          <w:bCs w:val="false"/>
          <w:i w:val="false"/>
          <w:iCs w:val="false"/>
          <w:color w:val="555555"/>
          <w:sz w:val="22"/>
          <w:szCs w:val="22"/>
        </w:rPr>
        <w:t xml:space="preserve"> — Falling behind, losing teachers, parent complaints.</w:t>
      </w:r>
    </w:p>
    <w:p>
      <w:pPr>
        <w:pStyle w:val="Heading2"/>
        <w:spacing w:before="280" w:after="160"/>
      </w:pPr>
      <w:r>
        <w:rPr>
          <w:rFonts w:ascii="Georgia" w:cs="Georgia" w:eastAsia="Georgia" w:hAnsi="Georgia"/>
          <w:b/>
          <w:bCs/>
          <w:color w:val="C0392B"/>
          <w:sz w:val="28"/>
          <w:szCs w:val="28"/>
        </w:rPr>
        <w:t xml:space="preserve">Channel &amp; Objective</w:t>
      </w:r>
    </w:p>
    <w:p>
      <w:pPr>
        <w:spacing w:after="160"/>
        <w:jc w:val="left"/>
      </w:pPr>
      <w:r>
        <w:rPr>
          <w:rFonts w:ascii="Arial" w:cs="Arial" w:eastAsia="Arial" w:hAnsi="Arial"/>
          <w:b w:val="false"/>
          <w:bCs w:val="false"/>
          <w:i w:val="false"/>
          <w:iCs w:val="false"/>
          <w:color w:val="555555"/>
          <w:sz w:val="22"/>
          <w:szCs w:val="22"/>
        </w:rPr>
        <w:t xml:space="preserve">Cold email or physical letter. First touch with a stranger. Must feel personal, not promotional (Halbert’s A-pile test).</w:t>
      </w:r>
    </w:p>
    <w:p>
      <w:pPr>
        <w:spacing w:after="160"/>
        <w:jc w:val="left"/>
      </w:pPr>
      <w:r>
        <w:rPr>
          <w:rFonts w:ascii="Arial" w:cs="Arial" w:eastAsia="Arial" w:hAnsi="Arial"/>
          <w:b/>
          <w:bCs/>
          <w:i w:val="false"/>
          <w:iCs w:val="false"/>
          <w:color w:val="1A1A2E"/>
          <w:sz w:val="22"/>
          <w:szCs w:val="22"/>
        </w:rPr>
        <w:t xml:space="preserve">Objective: </w:t>
      </w:r>
      <w:r>
        <w:rPr>
          <w:rFonts w:ascii="Arial" w:cs="Arial" w:eastAsia="Arial" w:hAnsi="Arial"/>
          <w:b w:val="false"/>
          <w:bCs w:val="false"/>
          <w:i w:val="false"/>
          <w:iCs w:val="false"/>
          <w:color w:val="555555"/>
          <w:sz w:val="22"/>
          <w:szCs w:val="22"/>
        </w:rPr>
        <w:t xml:space="preserve">Get a reply. Not a sale. Just a conversation started.</w:t>
      </w:r>
    </w:p>
    <w:p>
      <w:r>
        <w:br w:type="page"/>
      </w:r>
    </w:p>
    <w:p>
      <w:pPr>
        <w:pStyle w:val="Heading1"/>
        <w:spacing w:before="360" w:after="200"/>
      </w:pPr>
      <w:r>
        <w:rPr>
          <w:rFonts w:ascii="Georgia" w:cs="Georgia" w:eastAsia="Georgia" w:hAnsi="Georgia"/>
          <w:b/>
          <w:bCs/>
          <w:color w:val="1A1A2E"/>
          <w:sz w:val="36"/>
          <w:szCs w:val="36"/>
        </w:rPr>
        <w:t xml:space="preserve">CRITIQUE OF THE ORIGINAL</w:t>
      </w:r>
    </w:p>
    <w:p>
      <w:pPr>
        <w:pBdr>
          <w:bottom w:val="single" w:color="C0392B" w:sz="4" w:space="8"/>
        </w:pBdr>
        <w:spacing w:before="200" w:after="200"/>
      </w:pPr>
    </w:p>
    <w:p>
      <w:pPr>
        <w:spacing w:after="160"/>
        <w:jc w:val="left"/>
      </w:pPr>
      <w:r>
        <w:rPr>
          <w:rFonts w:ascii="Arial" w:cs="Arial" w:eastAsia="Arial" w:hAnsi="Arial"/>
          <w:b w:val="false"/>
          <w:bCs w:val="false"/>
          <w:i w:val="false"/>
          <w:iCs w:val="false"/>
          <w:color w:val="555555"/>
          <w:sz w:val="22"/>
          <w:szCs w:val="22"/>
        </w:rPr>
        <w:t xml:space="preserve">Running the original through the Ink Master’s Editing Protocol:</w:t>
      </w:r>
    </w:p>
    <w:p>
      <w:pPr>
        <w:pStyle w:val="ListParagraph"/>
        <w:numPr>
          <w:ilvl w:val="0"/>
          <w:numId w:val="3"/>
        </w:numPr>
        <w:spacing w:after="100"/>
      </w:pPr>
      <w:r>
        <w:rPr>
          <w:rFonts w:ascii="Arial" w:cs="Arial" w:eastAsia="Arial" w:hAnsi="Arial"/>
          <w:b/>
          <w:bCs/>
          <w:i w:val="false"/>
          <w:iCs w:val="false"/>
          <w:color w:val="C0392B"/>
          <w:sz w:val="22"/>
          <w:szCs w:val="22"/>
        </w:rPr>
        <w:t xml:space="preserve">Awareness Level Mismatch (CRITICAL)</w:t>
      </w:r>
      <w:r>
        <w:rPr>
          <w:rFonts w:ascii="Arial" w:cs="Arial" w:eastAsia="Arial" w:hAnsi="Arial"/>
          <w:b w:val="false"/>
          <w:bCs w:val="false"/>
          <w:i w:val="false"/>
          <w:iCs w:val="false"/>
          <w:color w:val="555555"/>
          <w:sz w:val="22"/>
          <w:szCs w:val="22"/>
        </w:rPr>
        <w:t xml:space="preserve"> — Leads with the product for a Level 5 Unaware audience. You cannot pitch a product to someone who doesn’t know the category exists.</w:t>
      </w:r>
    </w:p>
    <w:p>
      <w:pPr>
        <w:pStyle w:val="ListParagraph"/>
        <w:numPr>
          <w:ilvl w:val="0"/>
          <w:numId w:val="3"/>
        </w:numPr>
        <w:spacing w:after="100"/>
      </w:pPr>
      <w:r>
        <w:rPr>
          <w:rFonts w:ascii="Arial" w:cs="Arial" w:eastAsia="Arial" w:hAnsi="Arial"/>
          <w:b/>
          <w:bCs/>
          <w:i w:val="false"/>
          <w:iCs w:val="false"/>
          <w:color w:val="C0392B"/>
          <w:sz w:val="22"/>
          <w:szCs w:val="22"/>
        </w:rPr>
        <w:t xml:space="preserve">“I” Disease</w:t>
      </w:r>
      <w:r>
        <w:rPr>
          <w:rFonts w:ascii="Arial" w:cs="Arial" w:eastAsia="Arial" w:hAnsi="Arial"/>
          <w:b w:val="false"/>
          <w:bCs w:val="false"/>
          <w:i w:val="false"/>
          <w:iCs w:val="false"/>
          <w:color w:val="555555"/>
          <w:sz w:val="22"/>
          <w:szCs w:val="22"/>
        </w:rPr>
        <w:t xml:space="preserve"> — Opens with “I” and stays there. Violates Hopkins, Zinsser, and Bly. The principal doesn’t care about you yet.</w:t>
      </w:r>
    </w:p>
    <w:p>
      <w:pPr>
        <w:pStyle w:val="ListParagraph"/>
        <w:numPr>
          <w:ilvl w:val="0"/>
          <w:numId w:val="3"/>
        </w:numPr>
        <w:spacing w:after="100"/>
      </w:pPr>
      <w:r>
        <w:rPr>
          <w:rFonts w:ascii="Arial" w:cs="Arial" w:eastAsia="Arial" w:hAnsi="Arial"/>
          <w:b/>
          <w:bCs/>
          <w:i w:val="false"/>
          <w:iCs w:val="false"/>
          <w:color w:val="C0392B"/>
          <w:sz w:val="22"/>
          <w:szCs w:val="22"/>
        </w:rPr>
        <w:t xml:space="preserve">Feature-Heavy, Benefit-Absent</w:t>
      </w:r>
      <w:r>
        <w:rPr>
          <w:rFonts w:ascii="Arial" w:cs="Arial" w:eastAsia="Arial" w:hAnsi="Arial"/>
          <w:b w:val="false"/>
          <w:bCs w:val="false"/>
          <w:i w:val="false"/>
          <w:iCs w:val="false"/>
          <w:color w:val="555555"/>
          <w:sz w:val="22"/>
          <w:szCs w:val="22"/>
        </w:rPr>
        <w:t xml:space="preserve"> — “AI Guru,” “multilingual reports” are features. Missing the “which means that…” bridge.</w:t>
      </w:r>
    </w:p>
    <w:p>
      <w:pPr>
        <w:pStyle w:val="ListParagraph"/>
        <w:numPr>
          <w:ilvl w:val="0"/>
          <w:numId w:val="3"/>
        </w:numPr>
        <w:spacing w:after="100"/>
      </w:pPr>
      <w:r>
        <w:rPr>
          <w:rFonts w:ascii="Arial" w:cs="Arial" w:eastAsia="Arial" w:hAnsi="Arial"/>
          <w:b/>
          <w:bCs/>
          <w:i w:val="false"/>
          <w:iCs w:val="false"/>
          <w:color w:val="C0392B"/>
          <w:sz w:val="22"/>
          <w:szCs w:val="22"/>
        </w:rPr>
        <w:t xml:space="preserve">No Specific Proof</w:t>
      </w:r>
      <w:r>
        <w:rPr>
          <w:rFonts w:ascii="Arial" w:cs="Arial" w:eastAsia="Arial" w:hAnsi="Arial"/>
          <w:b w:val="false"/>
          <w:bCs w:val="false"/>
          <w:i w:val="false"/>
          <w:iCs w:val="false"/>
          <w:color w:val="555555"/>
          <w:sz w:val="22"/>
          <w:szCs w:val="22"/>
        </w:rPr>
        <w:t xml:space="preserve"> — “First of its kind” is empty. No numbers, no testimonials, no case study.</w:t>
      </w:r>
    </w:p>
    <w:p>
      <w:pPr>
        <w:pStyle w:val="ListParagraph"/>
        <w:numPr>
          <w:ilvl w:val="0"/>
          <w:numId w:val="3"/>
        </w:numPr>
        <w:spacing w:after="100"/>
      </w:pPr>
      <w:r>
        <w:rPr>
          <w:rFonts w:ascii="Arial" w:cs="Arial" w:eastAsia="Arial" w:hAnsi="Arial"/>
          <w:b/>
          <w:bCs/>
          <w:i w:val="false"/>
          <w:iCs w:val="false"/>
          <w:color w:val="C0392B"/>
          <w:sz w:val="22"/>
          <w:szCs w:val="22"/>
        </w:rPr>
        <w:t xml:space="preserve">Weak Opening</w:t>
      </w:r>
      <w:r>
        <w:rPr>
          <w:rFonts w:ascii="Arial" w:cs="Arial" w:eastAsia="Arial" w:hAnsi="Arial"/>
          <w:b w:val="false"/>
          <w:bCs w:val="false"/>
          <w:i w:val="false"/>
          <w:iCs w:val="false"/>
          <w:color w:val="555555"/>
          <w:sz w:val="22"/>
          <w:szCs w:val="22"/>
        </w:rPr>
        <w:t xml:space="preserve"> — Self-introduction instead of entering their conversation. Reads like mass mailing.</w:t>
      </w:r>
    </w:p>
    <w:p>
      <w:pPr>
        <w:pStyle w:val="ListParagraph"/>
        <w:numPr>
          <w:ilvl w:val="0"/>
          <w:numId w:val="3"/>
        </w:numPr>
        <w:spacing w:after="100"/>
      </w:pPr>
      <w:r>
        <w:rPr>
          <w:rFonts w:ascii="Arial" w:cs="Arial" w:eastAsia="Arial" w:hAnsi="Arial"/>
          <w:b/>
          <w:bCs/>
          <w:i w:val="false"/>
          <w:iCs w:val="false"/>
          <w:color w:val="C0392B"/>
          <w:sz w:val="22"/>
          <w:szCs w:val="22"/>
        </w:rPr>
        <w:t xml:space="preserve">Frame Control Failure</w:t>
      </w:r>
      <w:r>
        <w:rPr>
          <w:rFonts w:ascii="Arial" w:cs="Arial" w:eastAsia="Arial" w:hAnsi="Arial"/>
          <w:b w:val="false"/>
          <w:bCs w:val="false"/>
          <w:i w:val="false"/>
          <w:iCs w:val="false"/>
          <w:color w:val="555555"/>
          <w:sz w:val="22"/>
          <w:szCs w:val="22"/>
        </w:rPr>
        <w:t xml:space="preserve"> — Supplicant frame (low status). Should use the Prize frame: school feels selected, not sold to.</w:t>
      </w:r>
    </w:p>
    <w:p>
      <w:pPr>
        <w:pStyle w:val="ListParagraph"/>
        <w:numPr>
          <w:ilvl w:val="0"/>
          <w:numId w:val="3"/>
        </w:numPr>
        <w:spacing w:after="100"/>
      </w:pPr>
      <w:r>
        <w:rPr>
          <w:rFonts w:ascii="Arial" w:cs="Arial" w:eastAsia="Arial" w:hAnsi="Arial"/>
          <w:b/>
          <w:bCs/>
          <w:i w:val="false"/>
          <w:iCs w:val="false"/>
          <w:color w:val="C0392B"/>
          <w:sz w:val="22"/>
          <w:szCs w:val="22"/>
        </w:rPr>
        <w:t xml:space="preserve">Vague CTA</w:t>
      </w:r>
      <w:r>
        <w:rPr>
          <w:rFonts w:ascii="Arial" w:cs="Arial" w:eastAsia="Arial" w:hAnsi="Arial"/>
          <w:b w:val="false"/>
          <w:bCs w:val="false"/>
          <w:i w:val="false"/>
          <w:iCs w:val="false"/>
          <w:color w:val="555555"/>
          <w:sz w:val="22"/>
          <w:szCs w:val="22"/>
        </w:rPr>
        <w:t xml:space="preserve"> — “Reach out to hello@montree.xyz” is passive. Kennedy demands specific, clear, urgent action.</w:t>
      </w:r>
    </w:p>
    <w:p>
      <w:pPr>
        <w:pStyle w:val="ListParagraph"/>
        <w:numPr>
          <w:ilvl w:val="0"/>
          <w:numId w:val="3"/>
        </w:numPr>
        <w:spacing w:after="100"/>
      </w:pPr>
      <w:r>
        <w:rPr>
          <w:rFonts w:ascii="Arial" w:cs="Arial" w:eastAsia="Arial" w:hAnsi="Arial"/>
          <w:b/>
          <w:bCs/>
          <w:i w:val="false"/>
          <w:iCs w:val="false"/>
          <w:color w:val="C0392B"/>
          <w:sz w:val="22"/>
          <w:szCs w:val="22"/>
        </w:rPr>
        <w:t xml:space="preserve">No Urgency or Scarcity</w:t>
      </w:r>
      <w:r>
        <w:rPr>
          <w:rFonts w:ascii="Arial" w:cs="Arial" w:eastAsia="Arial" w:hAnsi="Arial"/>
          <w:b w:val="false"/>
          <w:bCs w:val="false"/>
          <w:i w:val="false"/>
          <w:iCs w:val="false"/>
          <w:color w:val="555555"/>
          <w:sz w:val="22"/>
          <w:szCs w:val="22"/>
        </w:rPr>
        <w:t xml:space="preserve"> — No deadline, no limited spots. Interested principals think “I’ll look later” and never do.</w:t>
      </w:r>
    </w:p>
    <w:p>
      <w:pPr>
        <w:pStyle w:val="ListParagraph"/>
        <w:numPr>
          <w:ilvl w:val="0"/>
          <w:numId w:val="3"/>
        </w:numPr>
        <w:spacing w:after="100"/>
      </w:pPr>
      <w:r>
        <w:rPr>
          <w:rFonts w:ascii="Arial" w:cs="Arial" w:eastAsia="Arial" w:hAnsi="Arial"/>
          <w:b/>
          <w:bCs/>
          <w:i w:val="false"/>
          <w:iCs w:val="false"/>
          <w:color w:val="C0392B"/>
          <w:sz w:val="22"/>
          <w:szCs w:val="22"/>
        </w:rPr>
        <w:t xml:space="preserve">The “Trial” Frame Weakens Value</w:t>
      </w:r>
      <w:r>
        <w:rPr>
          <w:rFonts w:ascii="Arial" w:cs="Arial" w:eastAsia="Arial" w:hAnsi="Arial"/>
          <w:b w:val="false"/>
          <w:bCs w:val="false"/>
          <w:i w:val="false"/>
          <w:iCs w:val="false"/>
          <w:color w:val="555555"/>
          <w:sz w:val="22"/>
          <w:szCs w:val="22"/>
        </w:rPr>
        <w:t xml:space="preserve"> — Signals uncertainty. Reframe: “founding partner schools” (prize + scarcity + status).</w:t>
      </w:r>
    </w:p>
    <w:p>
      <w:pPr>
        <w:pStyle w:val="ListParagraph"/>
        <w:numPr>
          <w:ilvl w:val="0"/>
          <w:numId w:val="3"/>
        </w:numPr>
        <w:spacing w:after="100"/>
      </w:pPr>
      <w:r>
        <w:rPr>
          <w:rFonts w:ascii="Arial" w:cs="Arial" w:eastAsia="Arial" w:hAnsi="Arial"/>
          <w:b/>
          <w:bCs/>
          <w:i w:val="false"/>
          <w:iCs w:val="false"/>
          <w:color w:val="C0392B"/>
          <w:sz w:val="22"/>
          <w:szCs w:val="22"/>
        </w:rPr>
        <w:t xml:space="preserve">Craft Issues</w:t>
      </w:r>
      <w:r>
        <w:rPr>
          <w:rFonts w:ascii="Arial" w:cs="Arial" w:eastAsia="Arial" w:hAnsi="Arial"/>
          <w:b w:val="false"/>
          <w:bCs w:val="false"/>
          <w:i w:val="false"/>
          <w:iCs w:val="false"/>
          <w:color w:val="555555"/>
          <w:sz w:val="22"/>
          <w:szCs w:val="22"/>
        </w:rPr>
        <w:t xml:space="preserve"> — Passive constructions, no rhythm variation, no P.S. (second-most-read part of any letter).</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A1A2E"/>
          <w:sz w:val="36"/>
          <w:szCs w:val="36"/>
        </w:rPr>
        <w:t xml:space="preserve">VERSION A — The Direct Letter</w:t>
      </w:r>
    </w:p>
    <w:p>
      <w:pPr>
        <w:spacing w:after="200"/>
      </w:pPr>
      <w:r>
        <w:rPr>
          <w:rFonts w:ascii="Georgia" w:cs="Georgia" w:eastAsia="Georgia" w:hAnsi="Georgia"/>
          <w:i/>
          <w:iCs/>
          <w:color w:val="C0392B"/>
          <w:sz w:val="20"/>
          <w:szCs w:val="20"/>
        </w:rPr>
        <w:t xml:space="preserve">Kennedy’s Sales Letter + Collier’s “Enter the Conversation” + Klaff’s Prize Frame + Voss’s Accusation Audit</w:t>
      </w:r>
    </w:p>
    <w:p>
      <w:pPr>
        <w:pBdr>
          <w:bottom w:val="single" w:color="C0392B" w:sz="4" w:space="8"/>
        </w:pBdr>
        <w:spacing w:before="200" w:after="200"/>
      </w:pPr>
    </w:p>
    <w:p>
      <w:pPr>
        <w:spacing w:after="280"/>
        <w:jc w:val="left"/>
      </w:pPr>
      <w:r>
        <w:rPr>
          <w:rFonts w:ascii="Arial" w:cs="Arial" w:eastAsia="Arial" w:hAnsi="Arial"/>
          <w:b/>
          <w:bCs/>
          <w:i w:val="false"/>
          <w:iCs w:val="false"/>
          <w:color w:val="1A1A2E"/>
          <w:sz w:val="22"/>
          <w:szCs w:val="22"/>
        </w:rPr>
        <w:t xml:space="preserve">Subject line (if email): </w:t>
      </w:r>
      <w:r>
        <w:rPr>
          <w:rFonts w:ascii="Arial" w:cs="Arial" w:eastAsia="Arial" w:hAnsi="Arial"/>
          <w:b w:val="false"/>
          <w:bCs w:val="false"/>
          <w:i/>
          <w:iCs/>
          <w:color w:val="555555"/>
          <w:sz w:val="22"/>
          <w:szCs w:val="22"/>
        </w:rPr>
        <w:t xml:space="preserve">Quick question about your teachers’ evenings</w:t>
      </w:r>
    </w:p>
    <w:p>
      <w:pPr>
        <w:spacing w:after="160"/>
        <w:jc w:val="left"/>
      </w:pPr>
      <w:r>
        <w:rPr>
          <w:rFonts w:ascii="Arial" w:cs="Arial" w:eastAsia="Arial" w:hAnsi="Arial"/>
          <w:b w:val="false"/>
          <w:bCs w:val="false"/>
          <w:i w:val="false"/>
          <w:iCs w:val="false"/>
          <w:color w:val="1A1A2E"/>
          <w:sz w:val="23"/>
          <w:szCs w:val="23"/>
        </w:rPr>
        <w:t xml:space="preserve">Dear [Principal’s Name],</w:t>
      </w:r>
    </w:p>
    <w:p>
      <w:pPr>
        <w:spacing w:after="80"/>
      </w:pPr>
    </w:p>
    <w:p>
      <w:pPr>
        <w:spacing w:after="160"/>
        <w:jc w:val="left"/>
      </w:pPr>
      <w:r>
        <w:rPr>
          <w:rFonts w:ascii="Arial" w:cs="Arial" w:eastAsia="Arial" w:hAnsi="Arial"/>
          <w:b/>
          <w:bCs/>
          <w:i w:val="false"/>
          <w:iCs w:val="false"/>
          <w:color w:val="1A1A2E"/>
          <w:sz w:val="23"/>
          <w:szCs w:val="23"/>
        </w:rPr>
        <w:t xml:space="preserve">Your teachers are spending their evenings writing reports instead of preparing lessons.</w:t>
      </w:r>
    </w:p>
    <w:p>
      <w:pPr>
        <w:spacing w:after="40"/>
      </w:pPr>
    </w:p>
    <w:p>
      <w:pPr>
        <w:spacing w:after="160"/>
        <w:jc w:val="left"/>
      </w:pPr>
      <w:r>
        <w:rPr>
          <w:rFonts w:ascii="Arial" w:cs="Arial" w:eastAsia="Arial" w:hAnsi="Arial"/>
          <w:b w:val="false"/>
          <w:bCs w:val="false"/>
          <w:i w:val="false"/>
          <w:iCs w:val="false"/>
          <w:color w:val="1A1A2E"/>
          <w:sz w:val="23"/>
          <w:szCs w:val="23"/>
        </w:rPr>
        <w:t xml:space="preserve">I know that because every Montessori principal I’ve spoken to says the same thing. The progress tracking. The parent updates. The curriculum documentation. It piles up until your best teachers start wondering if they signed up to be educators or administrators.</w:t>
      </w:r>
    </w:p>
    <w:p>
      <w:pPr>
        <w:spacing w:after="160"/>
        <w:jc w:val="left"/>
      </w:pPr>
      <w:r>
        <w:rPr>
          <w:rFonts w:ascii="Arial" w:cs="Arial" w:eastAsia="Arial" w:hAnsi="Arial"/>
          <w:b w:val="false"/>
          <w:bCs w:val="false"/>
          <w:i w:val="false"/>
          <w:iCs w:val="false"/>
          <w:color w:val="1A1A2E"/>
          <w:sz w:val="23"/>
          <w:szCs w:val="23"/>
        </w:rPr>
        <w:t xml:space="preserve">Here’s what most people don’t realize: that paperwork problem isn’t just annoying — it’s the #1 reason Montessori teachers burn out and leave. And replacing a trained Montessori guide costs you 6–12 months of recruitment, training, and disruption.</w:t>
      </w:r>
    </w:p>
    <w:p>
      <w:pPr>
        <w:spacing w:after="160"/>
        <w:jc w:val="left"/>
      </w:pPr>
      <w:r>
        <w:rPr>
          <w:rFonts w:ascii="Arial" w:cs="Arial" w:eastAsia="Arial" w:hAnsi="Arial"/>
          <w:b w:val="false"/>
          <w:bCs w:val="false"/>
          <w:i w:val="false"/>
          <w:iCs w:val="false"/>
          <w:color w:val="1A1A2E"/>
          <w:sz w:val="23"/>
          <w:szCs w:val="23"/>
        </w:rPr>
        <w:t xml:space="preserve">My name is Tredoux. I’m a Montessori educator based in Qingdao, and over the past year I’ve built something that solves this problem completely.</w:t>
      </w:r>
    </w:p>
    <w:p>
      <w:pPr>
        <w:spacing w:after="160"/>
        <w:jc w:val="left"/>
      </w:pPr>
      <w:r>
        <w:rPr>
          <w:rFonts w:ascii="Arial" w:cs="Arial" w:eastAsia="Arial" w:hAnsi="Arial"/>
          <w:b/>
          <w:bCs/>
          <w:i w:val="false"/>
          <w:iCs w:val="false"/>
          <w:color w:val="1A1A2E"/>
          <w:sz w:val="23"/>
          <w:szCs w:val="23"/>
        </w:rPr>
        <w:t xml:space="preserve">It’s called Montree.</w:t>
      </w:r>
      <w:r>
        <w:rPr>
          <w:rFonts w:ascii="Arial" w:cs="Arial" w:eastAsia="Arial" w:hAnsi="Arial"/>
          <w:b w:val="false"/>
          <w:bCs w:val="false"/>
          <w:i w:val="false"/>
          <w:iCs w:val="false"/>
          <w:color w:val="1A1A2E"/>
          <w:sz w:val="23"/>
          <w:szCs w:val="23"/>
        </w:rPr>
        <w:t xml:space="preserve"> In 30 seconds, here’s what it does:</w:t>
      </w:r>
    </w:p>
    <w:p>
      <w:pPr>
        <w:spacing w:after="160"/>
        <w:jc w:val="left"/>
      </w:pPr>
      <w:r>
        <w:rPr>
          <w:rFonts w:ascii="Arial" w:cs="Arial" w:eastAsia="Arial" w:hAnsi="Arial"/>
          <w:b w:val="false"/>
          <w:bCs w:val="false"/>
          <w:i w:val="false"/>
          <w:iCs w:val="false"/>
          <w:color w:val="1A1A2E"/>
          <w:sz w:val="23"/>
          <w:szCs w:val="23"/>
        </w:rPr>
        <w:t xml:space="preserve">Your teachers open the app. They tap the works a child practiced that day. They snap a photo. Done. That’s their entire documentation workflow — about 2 minutes per child, per week.</w:t>
      </w:r>
    </w:p>
    <w:p>
      <w:pPr>
        <w:spacing w:after="160"/>
        <w:jc w:val="left"/>
      </w:pPr>
      <w:r>
        <w:rPr>
          <w:rFonts w:ascii="Arial" w:cs="Arial" w:eastAsia="Arial" w:hAnsi="Arial"/>
          <w:b w:val="false"/>
          <w:bCs w:val="false"/>
          <w:i w:val="false"/>
          <w:iCs w:val="false"/>
          <w:color w:val="1A1A2E"/>
          <w:sz w:val="23"/>
          <w:szCs w:val="23"/>
        </w:rPr>
        <w:t xml:space="preserve">From those simple inputs, Montree handles everything else:</w:t>
      </w:r>
    </w:p>
    <w:p>
      <w:pPr>
        <w:pStyle w:val="ListParagraph"/>
        <w:numPr>
          <w:ilvl w:val="0"/>
          <w:numId w:val="4"/>
        </w:numPr>
        <w:spacing w:after="100"/>
      </w:pPr>
      <w:r>
        <w:rPr>
          <w:rFonts w:ascii="Arial" w:cs="Arial" w:eastAsia="Arial" w:hAnsi="Arial"/>
          <w:b/>
          <w:bCs/>
          <w:i w:val="false"/>
          <w:iCs w:val="false"/>
          <w:color w:val="1A1A2E"/>
          <w:sz w:val="23"/>
          <w:szCs w:val="23"/>
        </w:rPr>
        <w:t xml:space="preserve">Progress reports in the parent’s language</w:t>
      </w:r>
      <w:r>
        <w:rPr>
          <w:rFonts w:ascii="Arial" w:cs="Arial" w:eastAsia="Arial" w:hAnsi="Arial"/>
          <w:b w:val="false"/>
          <w:bCs w:val="false"/>
          <w:i w:val="false"/>
          <w:iCs w:val="false"/>
          <w:color w:val="1A1A2E"/>
          <w:sz w:val="23"/>
          <w:szCs w:val="23"/>
        </w:rPr>
        <w:t xml:space="preserve"> — English, Chinese, or both. Generated automatically. Professional. Ready to send with one tap.</w:t>
      </w:r>
    </w:p>
    <w:p>
      <w:pPr>
        <w:pStyle w:val="ListParagraph"/>
        <w:numPr>
          <w:ilvl w:val="0"/>
          <w:numId w:val="4"/>
        </w:numPr>
        <w:spacing w:after="100"/>
      </w:pPr>
      <w:r>
        <w:rPr>
          <w:rFonts w:ascii="Arial" w:cs="Arial" w:eastAsia="Arial" w:hAnsi="Arial"/>
          <w:b/>
          <w:bCs/>
          <w:i w:val="false"/>
          <w:iCs w:val="false"/>
          <w:color w:val="1A1A2E"/>
          <w:sz w:val="23"/>
          <w:szCs w:val="23"/>
        </w:rPr>
        <w:t xml:space="preserve">A curriculum map showing every child’s journey</w:t>
      </w:r>
      <w:r>
        <w:rPr>
          <w:rFonts w:ascii="Arial" w:cs="Arial" w:eastAsia="Arial" w:hAnsi="Arial"/>
          <w:b w:val="false"/>
          <w:bCs w:val="false"/>
          <w:i w:val="false"/>
          <w:iCs w:val="false"/>
          <w:color w:val="1A1A2E"/>
          <w:sz w:val="23"/>
          <w:szCs w:val="23"/>
        </w:rPr>
        <w:t xml:space="preserve"> across all 5 Montessori areas — Practical Life through Cultural — updated in real time.</w:t>
      </w:r>
    </w:p>
    <w:p>
      <w:pPr>
        <w:pStyle w:val="ListParagraph"/>
        <w:numPr>
          <w:ilvl w:val="0"/>
          <w:numId w:val="4"/>
        </w:numPr>
        <w:spacing w:after="100"/>
      </w:pPr>
      <w:r>
        <w:rPr>
          <w:rFonts w:ascii="Arial" w:cs="Arial" w:eastAsia="Arial" w:hAnsi="Arial"/>
          <w:b/>
          <w:bCs/>
          <w:i w:val="false"/>
          <w:iCs w:val="false"/>
          <w:color w:val="1A1A2E"/>
          <w:sz w:val="23"/>
          <w:szCs w:val="23"/>
        </w:rPr>
        <w:t xml:space="preserve">An AI Montessori advisor</w:t>
      </w:r>
      <w:r>
        <w:rPr>
          <w:rFonts w:ascii="Arial" w:cs="Arial" w:eastAsia="Arial" w:hAnsi="Arial"/>
          <w:b w:val="false"/>
          <w:bCs w:val="false"/>
          <w:i w:val="false"/>
          <w:iCs w:val="false"/>
          <w:color w:val="1A1A2E"/>
          <w:sz w:val="23"/>
          <w:szCs w:val="23"/>
        </w:rPr>
        <w:t xml:space="preserve"> (we call it the Guru) trained on AMI methodology, developmental psychology, and your school’s actual student data. Teachers ask it anything — “Marina hasn’t shown interest in math materials for three weeks, what should I try?” — and get specific, actionable guidance.</w:t>
      </w:r>
    </w:p>
    <w:p>
      <w:pPr>
        <w:spacing w:after="160"/>
        <w:jc w:val="left"/>
      </w:pPr>
      <w:r>
        <w:rPr>
          <w:rFonts w:ascii="Arial" w:cs="Arial" w:eastAsia="Arial" w:hAnsi="Arial"/>
          <w:b w:val="false"/>
          <w:bCs w:val="false"/>
          <w:i w:val="false"/>
          <w:iCs w:val="false"/>
          <w:color w:val="1A1A2E"/>
          <w:sz w:val="23"/>
          <w:szCs w:val="23"/>
        </w:rPr>
        <w:t xml:space="preserve">No training manuals. No onboarding workshops. Teachers figure it out in minutes because the interface was designed by a teacher, for teachers.</w:t>
      </w:r>
    </w:p>
    <w:p>
      <w:pPr>
        <w:spacing w:after="80"/>
      </w:pPr>
    </w:p>
    <w:p>
      <w:pPr>
        <w:spacing w:after="160"/>
        <w:jc w:val="left"/>
      </w:pPr>
      <w:r>
        <w:rPr>
          <w:rFonts w:ascii="Arial" w:cs="Arial" w:eastAsia="Arial" w:hAnsi="Arial"/>
          <w:b/>
          <w:bCs/>
          <w:i w:val="false"/>
          <w:iCs w:val="false"/>
          <w:color w:val="1A1A2E"/>
          <w:sz w:val="23"/>
          <w:szCs w:val="23"/>
        </w:rPr>
        <w:t xml:space="preserve">Now — you’re probably thinking a few things:</w:t>
      </w:r>
    </w:p>
    <w:p>
      <w:pPr>
        <w:spacing w:after="160"/>
        <w:jc w:val="left"/>
      </w:pPr>
      <w:r>
        <w:rPr>
          <w:rFonts w:ascii="Arial" w:cs="Arial" w:eastAsia="Arial" w:hAnsi="Arial"/>
          <w:b w:val="false"/>
          <w:bCs w:val="false"/>
          <w:i/>
          <w:iCs/>
          <w:color w:val="1A1A2E"/>
          <w:sz w:val="23"/>
          <w:szCs w:val="23"/>
        </w:rPr>
        <w:t xml:space="preserve">“This sounds too good to be free.” </w:t>
      </w:r>
      <w:r>
        <w:rPr>
          <w:rFonts w:ascii="Arial" w:cs="Arial" w:eastAsia="Arial" w:hAnsi="Arial"/>
          <w:b w:val="false"/>
          <w:bCs w:val="false"/>
          <w:i w:val="false"/>
          <w:iCs w:val="false"/>
          <w:color w:val="1A1A2E"/>
          <w:sz w:val="23"/>
          <w:szCs w:val="23"/>
        </w:rPr>
        <w:t xml:space="preserve">It’s not free forever. But right now, I’m selecting </w:t>
      </w:r>
      <w:r>
        <w:rPr>
          <w:rFonts w:ascii="Arial" w:cs="Arial" w:eastAsia="Arial" w:hAnsi="Arial"/>
          <w:b/>
          <w:bCs/>
          <w:i w:val="false"/>
          <w:iCs w:val="false"/>
          <w:color w:val="1A1A2E"/>
          <w:sz w:val="23"/>
          <w:szCs w:val="23"/>
        </w:rPr>
        <w:t xml:space="preserve">5 founding partner schools</w:t>
      </w:r>
      <w:r>
        <w:rPr>
          <w:rFonts w:ascii="Arial" w:cs="Arial" w:eastAsia="Arial" w:hAnsi="Arial"/>
          <w:b w:val="false"/>
          <w:bCs w:val="false"/>
          <w:i w:val="false"/>
          <w:iCs w:val="false"/>
          <w:color w:val="1A1A2E"/>
          <w:sz w:val="23"/>
          <w:szCs w:val="23"/>
        </w:rPr>
        <w:t xml:space="preserve"> to use Montree at zero cost through the end of this academic year. In exchange, I ask for one thing: honest feedback from your teachers.</w:t>
      </w:r>
    </w:p>
    <w:p>
      <w:pPr>
        <w:spacing w:after="160"/>
        <w:jc w:val="left"/>
      </w:pPr>
      <w:r>
        <w:rPr>
          <w:rFonts w:ascii="Arial" w:cs="Arial" w:eastAsia="Arial" w:hAnsi="Arial"/>
          <w:b w:val="false"/>
          <w:bCs w:val="false"/>
          <w:i/>
          <w:iCs/>
          <w:color w:val="1A1A2E"/>
          <w:sz w:val="23"/>
          <w:szCs w:val="23"/>
        </w:rPr>
        <w:t xml:space="preserve">“AI and Montessori don’t mix.” </w:t>
      </w:r>
      <w:r>
        <w:rPr>
          <w:rFonts w:ascii="Arial" w:cs="Arial" w:eastAsia="Arial" w:hAnsi="Arial"/>
          <w:b w:val="false"/>
          <w:bCs w:val="false"/>
          <w:i w:val="false"/>
          <w:iCs w:val="false"/>
          <w:color w:val="1A1A2E"/>
          <w:sz w:val="23"/>
          <w:szCs w:val="23"/>
        </w:rPr>
        <w:t xml:space="preserve">I thought that too. Then I watched a teacher ask the Guru how to re-engage a 4-year-old who’d lost interest in Practical Life, and the response cited Grace and Courtesy exercises cross-referenced with the child’s actual progress data. It wasn’t generic. It was what an experienced AMI guide would say — except available at 11pm on a Sunday.</w:t>
      </w:r>
    </w:p>
    <w:p>
      <w:pPr>
        <w:spacing w:after="160"/>
        <w:jc w:val="left"/>
      </w:pPr>
      <w:r>
        <w:rPr>
          <w:rFonts w:ascii="Arial" w:cs="Arial" w:eastAsia="Arial" w:hAnsi="Arial"/>
          <w:b w:val="false"/>
          <w:bCs w:val="false"/>
          <w:i/>
          <w:iCs/>
          <w:color w:val="1A1A2E"/>
          <w:sz w:val="23"/>
          <w:szCs w:val="23"/>
        </w:rPr>
        <w:t xml:space="preserve">“We’ve tried EdTech before and it gathered dust.” </w:t>
      </w:r>
      <w:r>
        <w:rPr>
          <w:rFonts w:ascii="Arial" w:cs="Arial" w:eastAsia="Arial" w:hAnsi="Arial"/>
          <w:b w:val="false"/>
          <w:bCs w:val="false"/>
          <w:i w:val="false"/>
          <w:iCs w:val="false"/>
          <w:color w:val="1A1A2E"/>
          <w:sz w:val="23"/>
          <w:szCs w:val="23"/>
        </w:rPr>
        <w:t xml:space="preserve">Fair. Most EdTech is built by engineers who’ve never set foot in a classroom. Montree was built inside a Montessori classroom, by someone who runs one. Every feature exists because a real teacher needed it.</w:t>
      </w:r>
    </w:p>
    <w:p>
      <w:pPr>
        <w:spacing w:after="80"/>
      </w:pPr>
    </w:p>
    <w:p>
      <w:pPr>
        <w:spacing w:after="160"/>
        <w:jc w:val="left"/>
      </w:pPr>
      <w:r>
        <w:rPr>
          <w:rFonts w:ascii="Arial" w:cs="Arial" w:eastAsia="Arial" w:hAnsi="Arial"/>
          <w:b/>
          <w:bCs/>
          <w:i w:val="false"/>
          <w:iCs w:val="false"/>
          <w:color w:val="1A1A2E"/>
          <w:sz w:val="23"/>
          <w:szCs w:val="23"/>
        </w:rPr>
        <w:t xml:space="preserve">Here’s what I’m asking:</w:t>
      </w:r>
    </w:p>
    <w:p>
      <w:pPr>
        <w:spacing w:after="160"/>
        <w:jc w:val="left"/>
      </w:pPr>
      <w:r>
        <w:rPr>
          <w:rFonts w:ascii="Arial" w:cs="Arial" w:eastAsia="Arial" w:hAnsi="Arial"/>
          <w:b w:val="false"/>
          <w:bCs w:val="false"/>
          <w:i w:val="false"/>
          <w:iCs w:val="false"/>
          <w:color w:val="1A1A2E"/>
          <w:sz w:val="23"/>
          <w:szCs w:val="23"/>
        </w:rPr>
        <w:t xml:space="preserve">If this sounds like it could help your school, reply to this email with the word “interested” — just that one word is enough. I’ll send you a 3-minute video walkthrough and a private access code for your team to try it this week.</w:t>
      </w:r>
    </w:p>
    <w:p>
      <w:pPr>
        <w:spacing w:after="160"/>
        <w:jc w:val="left"/>
      </w:pPr>
      <w:r>
        <w:rPr>
          <w:rFonts w:ascii="Arial" w:cs="Arial" w:eastAsia="Arial" w:hAnsi="Arial"/>
          <w:b w:val="false"/>
          <w:bCs w:val="false"/>
          <w:i w:val="false"/>
          <w:iCs w:val="false"/>
          <w:color w:val="1A1A2E"/>
          <w:sz w:val="23"/>
          <w:szCs w:val="23"/>
        </w:rPr>
        <w:t xml:space="preserve">No contracts. No credit card. No follow-up calls unless you want them.</w:t>
      </w:r>
    </w:p>
    <w:p>
      <w:pPr>
        <w:spacing w:after="160"/>
        <w:jc w:val="left"/>
      </w:pPr>
      <w:r>
        <w:rPr>
          <w:rFonts w:ascii="Arial" w:cs="Arial" w:eastAsia="Arial" w:hAnsi="Arial"/>
          <w:b/>
          <w:bCs/>
          <w:i w:val="false"/>
          <w:iCs w:val="false"/>
          <w:color w:val="1A1A2E"/>
          <w:sz w:val="23"/>
          <w:szCs w:val="23"/>
        </w:rPr>
        <w:t xml:space="preserve">Five spots. First come, first served.</w:t>
      </w:r>
    </w:p>
    <w:p>
      <w:pPr>
        <w:spacing w:after="160"/>
      </w:pPr>
    </w:p>
    <w:p>
      <w:pPr>
        <w:spacing w:after="160"/>
        <w:jc w:val="left"/>
      </w:pPr>
      <w:r>
        <w:rPr>
          <w:rFonts w:ascii="Arial" w:cs="Arial" w:eastAsia="Arial" w:hAnsi="Arial"/>
          <w:b w:val="false"/>
          <w:bCs w:val="false"/>
          <w:i w:val="false"/>
          <w:iCs w:val="false"/>
          <w:color w:val="1A1A2E"/>
          <w:sz w:val="23"/>
          <w:szCs w:val="23"/>
        </w:rPr>
        <w:t xml:space="preserve">Warm regards,</w:t>
      </w:r>
    </w:p>
    <w:p>
      <w:pPr>
        <w:spacing w:after="160"/>
        <w:jc w:val="left"/>
      </w:pPr>
      <w:r>
        <w:rPr>
          <w:rFonts w:ascii="Arial" w:cs="Arial" w:eastAsia="Arial" w:hAnsi="Arial"/>
          <w:b/>
          <w:bCs/>
          <w:i w:val="false"/>
          <w:iCs w:val="false"/>
          <w:color w:val="1A1A2E"/>
          <w:sz w:val="23"/>
          <w:szCs w:val="23"/>
        </w:rPr>
        <w:t xml:space="preserve">Tredoux</w:t>
      </w:r>
    </w:p>
    <w:p>
      <w:pPr>
        <w:spacing w:after="160"/>
        <w:jc w:val="left"/>
      </w:pPr>
      <w:r>
        <w:rPr>
          <w:rFonts w:ascii="Arial" w:cs="Arial" w:eastAsia="Arial" w:hAnsi="Arial"/>
          <w:b w:val="false"/>
          <w:bCs w:val="false"/>
          <w:i w:val="false"/>
          <w:iCs w:val="false"/>
          <w:color w:val="555555"/>
          <w:sz w:val="21"/>
          <w:szCs w:val="21"/>
        </w:rPr>
        <w:t xml:space="preserve">Creator of Montree | montree.xyz</w:t>
      </w:r>
    </w:p>
    <w:p>
      <w:pPr>
        <w:spacing w:after="160"/>
        <w:jc w:val="left"/>
      </w:pPr>
      <w:r>
        <w:rPr>
          <w:rFonts w:ascii="Arial" w:cs="Arial" w:eastAsia="Arial" w:hAnsi="Arial"/>
          <w:b w:val="false"/>
          <w:bCs w:val="false"/>
          <w:i w:val="false"/>
          <w:iCs w:val="false"/>
          <w:color w:val="555555"/>
          <w:sz w:val="21"/>
          <w:szCs w:val="21"/>
        </w:rPr>
        <w:t xml:space="preserve">hello@montree.xyz</w:t>
      </w:r>
    </w:p>
    <w:p>
      <w:pPr>
        <w:spacing w:after="160"/>
      </w:pPr>
    </w:p>
    <w:p>
      <w:pPr>
        <w:spacing w:after="160"/>
        <w:jc w:val="left"/>
      </w:pPr>
      <w:r>
        <w:rPr>
          <w:rFonts w:ascii="Arial" w:cs="Arial" w:eastAsia="Arial" w:hAnsi="Arial"/>
          <w:b/>
          <w:bCs/>
          <w:i w:val="false"/>
          <w:iCs w:val="false"/>
          <w:color w:val="1A1A2E"/>
          <w:sz w:val="23"/>
          <w:szCs w:val="23"/>
        </w:rPr>
        <w:t xml:space="preserve">P.S.</w:t>
      </w:r>
      <w:r>
        <w:rPr>
          <w:rFonts w:ascii="Arial" w:cs="Arial" w:eastAsia="Arial" w:hAnsi="Arial"/>
          <w:b w:val="false"/>
          <w:bCs w:val="false"/>
          <w:i w:val="false"/>
          <w:iCs w:val="false"/>
          <w:color w:val="1A1A2E"/>
          <w:sz w:val="23"/>
          <w:szCs w:val="23"/>
        </w:rPr>
        <w:t xml:space="preserve"> — One principal told me the multilingual reports alone saved her two parent meetings per month. If your school serves families who speak different languages at home, that feature might be worth a look by itself.</w:t>
      </w:r>
    </w:p>
    <w:p>
      <w:r>
        <w:br w:type="page"/>
      </w:r>
    </w:p>
    <w:p>
      <w:pPr>
        <w:pStyle w:val="Heading1"/>
        <w:spacing w:before="360" w:after="200"/>
      </w:pPr>
      <w:r>
        <w:rPr>
          <w:rFonts w:ascii="Georgia" w:cs="Georgia" w:eastAsia="Georgia" w:hAnsi="Georgia"/>
          <w:b/>
          <w:bCs/>
          <w:color w:val="1A1A2E"/>
          <w:sz w:val="36"/>
          <w:szCs w:val="36"/>
        </w:rPr>
        <w:t xml:space="preserve">RATIONALE</w:t>
      </w:r>
    </w:p>
    <w:p>
      <w:pPr>
        <w:spacing w:after="160"/>
        <w:jc w:val="left"/>
      </w:pPr>
      <w:r>
        <w:rPr>
          <w:rFonts w:ascii="Arial" w:cs="Arial" w:eastAsia="Arial" w:hAnsi="Arial"/>
          <w:b w:val="false"/>
          <w:bCs w:val="false"/>
          <w:i/>
          <w:iCs/>
          <w:color w:val="555555"/>
          <w:sz w:val="22"/>
          <w:szCs w:val="22"/>
        </w:rPr>
        <w:t xml:space="preserve">Why this letter works — principle by principle:</w:t>
      </w:r>
    </w:p>
    <w:p>
      <w:pPr>
        <w:pBdr>
          <w:bottom w:val="single" w:color="C0392B" w:sz="4" w:space="8"/>
        </w:pBdr>
        <w:spacing w:before="200" w:after="200"/>
      </w:pPr>
    </w:p>
    <w:p>
      <w:pPr>
        <w:pStyle w:val="ListParagraph"/>
        <w:numPr>
          <w:ilvl w:val="0"/>
          <w:numId w:val="5"/>
        </w:numPr>
        <w:spacing w:after="100"/>
      </w:pPr>
      <w:r>
        <w:rPr>
          <w:rFonts w:ascii="Arial" w:cs="Arial" w:eastAsia="Arial" w:hAnsi="Arial"/>
          <w:b/>
          <w:bCs/>
          <w:i w:val="false"/>
          <w:iCs w:val="false"/>
          <w:color w:val="1A1A2E"/>
          <w:sz w:val="22"/>
          <w:szCs w:val="22"/>
        </w:rPr>
        <w:t xml:space="preserve">Collier’s “Enter the Conversation”</w:t>
      </w:r>
      <w:r>
        <w:rPr>
          <w:rFonts w:ascii="Arial" w:cs="Arial" w:eastAsia="Arial" w:hAnsi="Arial"/>
          <w:b w:val="false"/>
          <w:bCs w:val="false"/>
          <w:i w:val="false"/>
          <w:iCs w:val="false"/>
          <w:color w:val="555555"/>
          <w:sz w:val="22"/>
          <w:szCs w:val="22"/>
        </w:rPr>
        <w:t xml:space="preserve"> — Opens with teachers working evenings. The reader’s own frustration, reflected back.</w:t>
      </w:r>
    </w:p>
    <w:p>
      <w:pPr>
        <w:pStyle w:val="ListParagraph"/>
        <w:numPr>
          <w:ilvl w:val="0"/>
          <w:numId w:val="5"/>
        </w:numPr>
        <w:spacing w:after="100"/>
      </w:pPr>
      <w:r>
        <w:rPr>
          <w:rFonts w:ascii="Arial" w:cs="Arial" w:eastAsia="Arial" w:hAnsi="Arial"/>
          <w:b/>
          <w:bCs/>
          <w:i w:val="false"/>
          <w:iCs w:val="false"/>
          <w:color w:val="1A1A2E"/>
          <w:sz w:val="22"/>
          <w:szCs w:val="22"/>
        </w:rPr>
        <w:t xml:space="preserve">Schwartz Level 5 → Level 3 Bridge</w:t>
      </w:r>
      <w:r>
        <w:rPr>
          <w:rFonts w:ascii="Arial" w:cs="Arial" w:eastAsia="Arial" w:hAnsi="Arial"/>
          <w:b w:val="false"/>
          <w:bCs w:val="false"/>
          <w:i w:val="false"/>
          <w:iCs w:val="false"/>
          <w:color w:val="555555"/>
          <w:sz w:val="22"/>
          <w:szCs w:val="22"/>
        </w:rPr>
        <w:t xml:space="preserve"> — First three paragraphs move Unaware → Problem-Aware → Solution-Aware. Product appears in paragraph 4.</w:t>
      </w:r>
    </w:p>
    <w:p>
      <w:pPr>
        <w:pStyle w:val="ListParagraph"/>
        <w:numPr>
          <w:ilvl w:val="0"/>
          <w:numId w:val="5"/>
        </w:numPr>
        <w:spacing w:after="100"/>
      </w:pPr>
      <w:r>
        <w:rPr>
          <w:rFonts w:ascii="Arial" w:cs="Arial" w:eastAsia="Arial" w:hAnsi="Arial"/>
          <w:b/>
          <w:bCs/>
          <w:i w:val="false"/>
          <w:iCs w:val="false"/>
          <w:color w:val="1A1A2E"/>
          <w:sz w:val="22"/>
          <w:szCs w:val="22"/>
        </w:rPr>
        <w:t xml:space="preserve">Voss’s Accusation Audit</w:t>
      </w:r>
      <w:r>
        <w:rPr>
          <w:rFonts w:ascii="Arial" w:cs="Arial" w:eastAsia="Arial" w:hAnsi="Arial"/>
          <w:b w:val="false"/>
          <w:bCs w:val="false"/>
          <w:i w:val="false"/>
          <w:iCs w:val="false"/>
          <w:color w:val="555555"/>
          <w:sz w:val="22"/>
          <w:szCs w:val="22"/>
        </w:rPr>
        <w:t xml:space="preserve"> — “You’re probably thinking…” handles objections before the reader voices them.</w:t>
      </w:r>
    </w:p>
    <w:p>
      <w:pPr>
        <w:pStyle w:val="ListParagraph"/>
        <w:numPr>
          <w:ilvl w:val="0"/>
          <w:numId w:val="5"/>
        </w:numPr>
        <w:spacing w:after="100"/>
      </w:pPr>
      <w:r>
        <w:rPr>
          <w:rFonts w:ascii="Arial" w:cs="Arial" w:eastAsia="Arial" w:hAnsi="Arial"/>
          <w:b/>
          <w:bCs/>
          <w:i w:val="false"/>
          <w:iCs w:val="false"/>
          <w:color w:val="1A1A2E"/>
          <w:sz w:val="22"/>
          <w:szCs w:val="22"/>
        </w:rPr>
        <w:t xml:space="preserve">Klaff’s Prize Frame</w:t>
      </w:r>
      <w:r>
        <w:rPr>
          <w:rFonts w:ascii="Arial" w:cs="Arial" w:eastAsia="Arial" w:hAnsi="Arial"/>
          <w:b w:val="false"/>
          <w:bCs w:val="false"/>
          <w:i w:val="false"/>
          <w:iCs w:val="false"/>
          <w:color w:val="555555"/>
          <w:sz w:val="22"/>
          <w:szCs w:val="22"/>
        </w:rPr>
        <w:t xml:space="preserve"> — “Selecting 5 founding partner schools” reverses the power dynamic.</w:t>
      </w:r>
    </w:p>
    <w:p>
      <w:pPr>
        <w:pStyle w:val="ListParagraph"/>
        <w:numPr>
          <w:ilvl w:val="0"/>
          <w:numId w:val="5"/>
        </w:numPr>
        <w:spacing w:after="100"/>
      </w:pPr>
      <w:r>
        <w:rPr>
          <w:rFonts w:ascii="Arial" w:cs="Arial" w:eastAsia="Arial" w:hAnsi="Arial"/>
          <w:b/>
          <w:bCs/>
          <w:i w:val="false"/>
          <w:iCs w:val="false"/>
          <w:color w:val="1A1A2E"/>
          <w:sz w:val="22"/>
          <w:szCs w:val="22"/>
        </w:rPr>
        <w:t xml:space="preserve">Cialdini’s Scarcity + Reciprocity</w:t>
      </w:r>
      <w:r>
        <w:rPr>
          <w:rFonts w:ascii="Arial" w:cs="Arial" w:eastAsia="Arial" w:hAnsi="Arial"/>
          <w:b w:val="false"/>
          <w:bCs w:val="false"/>
          <w:i w:val="false"/>
          <w:iCs w:val="false"/>
          <w:color w:val="555555"/>
          <w:sz w:val="22"/>
          <w:szCs w:val="22"/>
        </w:rPr>
        <w:t xml:space="preserve"> — Five spots (real). Free access (genuine). Urgency without desperation.</w:t>
      </w:r>
    </w:p>
    <w:p>
      <w:pPr>
        <w:pStyle w:val="ListParagraph"/>
        <w:numPr>
          <w:ilvl w:val="0"/>
          <w:numId w:val="5"/>
        </w:numPr>
        <w:spacing w:after="100"/>
      </w:pPr>
      <w:r>
        <w:rPr>
          <w:rFonts w:ascii="Arial" w:cs="Arial" w:eastAsia="Arial" w:hAnsi="Arial"/>
          <w:b/>
          <w:bCs/>
          <w:i w:val="false"/>
          <w:iCs w:val="false"/>
          <w:color w:val="1A1A2E"/>
          <w:sz w:val="22"/>
          <w:szCs w:val="22"/>
        </w:rPr>
        <w:t xml:space="preserve">Kennedy’s Specific CTA</w:t>
      </w:r>
      <w:r>
        <w:rPr>
          <w:rFonts w:ascii="Arial" w:cs="Arial" w:eastAsia="Arial" w:hAnsi="Arial"/>
          <w:b w:val="false"/>
          <w:bCs w:val="false"/>
          <w:i w:val="false"/>
          <w:iCs w:val="false"/>
          <w:color w:val="555555"/>
          <w:sz w:val="22"/>
          <w:szCs w:val="22"/>
        </w:rPr>
        <w:t xml:space="preserve"> — Reply “interested.” One word. Lowest friction. Levesque’s micro-commitment.</w:t>
      </w:r>
    </w:p>
    <w:p>
      <w:pPr>
        <w:pStyle w:val="ListParagraph"/>
        <w:numPr>
          <w:ilvl w:val="0"/>
          <w:numId w:val="5"/>
        </w:numPr>
        <w:spacing w:after="100"/>
      </w:pPr>
      <w:r>
        <w:rPr>
          <w:rFonts w:ascii="Arial" w:cs="Arial" w:eastAsia="Arial" w:hAnsi="Arial"/>
          <w:b/>
          <w:bCs/>
          <w:i w:val="false"/>
          <w:iCs w:val="false"/>
          <w:color w:val="1A1A2E"/>
          <w:sz w:val="22"/>
          <w:szCs w:val="22"/>
        </w:rPr>
        <w:t xml:space="preserve">Sugarman’s Slippery Slide</w:t>
      </w:r>
      <w:r>
        <w:rPr>
          <w:rFonts w:ascii="Arial" w:cs="Arial" w:eastAsia="Arial" w:hAnsi="Arial"/>
          <w:b w:val="false"/>
          <w:bCs w:val="false"/>
          <w:i w:val="false"/>
          <w:iCs w:val="false"/>
          <w:color w:val="555555"/>
          <w:sz w:val="22"/>
          <w:szCs w:val="22"/>
        </w:rPr>
        <w:t xml:space="preserve"> — Short opener, building tension, bullets for scanners, objection-handling, simple CTA. No comfortable stop.</w:t>
      </w:r>
    </w:p>
    <w:p>
      <w:pPr>
        <w:pStyle w:val="ListParagraph"/>
        <w:numPr>
          <w:ilvl w:val="0"/>
          <w:numId w:val="5"/>
        </w:numPr>
        <w:spacing w:after="100"/>
      </w:pPr>
      <w:r>
        <w:rPr>
          <w:rFonts w:ascii="Arial" w:cs="Arial" w:eastAsia="Arial" w:hAnsi="Arial"/>
          <w:b/>
          <w:bCs/>
          <w:i w:val="false"/>
          <w:iCs w:val="false"/>
          <w:color w:val="1A1A2E"/>
          <w:sz w:val="22"/>
          <w:szCs w:val="22"/>
        </w:rPr>
        <w:t xml:space="preserve">Halbert’s P.S.</w:t>
      </w:r>
      <w:r>
        <w:rPr>
          <w:rFonts w:ascii="Arial" w:cs="Arial" w:eastAsia="Arial" w:hAnsi="Arial"/>
          <w:b w:val="false"/>
          <w:bCs w:val="false"/>
          <w:i w:val="false"/>
          <w:iCs w:val="false"/>
          <w:color w:val="555555"/>
          <w:sz w:val="22"/>
          <w:szCs w:val="22"/>
        </w:rPr>
        <w:t xml:space="preserve"> — Specific benefit (two fewer parent meetings/month) in the second-most-read section.</w:t>
      </w:r>
    </w:p>
    <w:p>
      <w:pPr>
        <w:pStyle w:val="ListParagraph"/>
        <w:numPr>
          <w:ilvl w:val="0"/>
          <w:numId w:val="5"/>
        </w:numPr>
        <w:spacing w:after="100"/>
      </w:pPr>
      <w:r>
        <w:rPr>
          <w:rFonts w:ascii="Arial" w:cs="Arial" w:eastAsia="Arial" w:hAnsi="Arial"/>
          <w:b/>
          <w:bCs/>
          <w:i w:val="false"/>
          <w:iCs w:val="false"/>
          <w:color w:val="1A1A2E"/>
          <w:sz w:val="22"/>
          <w:szCs w:val="22"/>
        </w:rPr>
        <w:t xml:space="preserve">Hopkins’ Specificity</w:t>
      </w:r>
      <w:r>
        <w:rPr>
          <w:rFonts w:ascii="Arial" w:cs="Arial" w:eastAsia="Arial" w:hAnsi="Arial"/>
          <w:b w:val="false"/>
          <w:bCs w:val="false"/>
          <w:i w:val="false"/>
          <w:iCs w:val="false"/>
          <w:color w:val="555555"/>
          <w:sz w:val="22"/>
          <w:szCs w:val="22"/>
        </w:rPr>
        <w:t xml:space="preserve"> — “2 minutes per child.” “5 schools.” “3-minute video.” Numbers feel true.</w:t>
      </w:r>
    </w:p>
    <w:p>
      <w:pPr>
        <w:pStyle w:val="ListParagraph"/>
        <w:numPr>
          <w:ilvl w:val="0"/>
          <w:numId w:val="5"/>
        </w:numPr>
        <w:spacing w:after="100"/>
      </w:pPr>
      <w:r>
        <w:rPr>
          <w:rFonts w:ascii="Arial" w:cs="Arial" w:eastAsia="Arial" w:hAnsi="Arial"/>
          <w:b/>
          <w:bCs/>
          <w:i w:val="false"/>
          <w:iCs w:val="false"/>
          <w:color w:val="1A1A2E"/>
          <w:sz w:val="22"/>
          <w:szCs w:val="22"/>
        </w:rPr>
        <w:t xml:space="preserve">Bly’s Feature-to-Benefit Bridge</w:t>
      </w:r>
      <w:r>
        <w:rPr>
          <w:rFonts w:ascii="Arial" w:cs="Arial" w:eastAsia="Arial" w:hAnsi="Arial"/>
          <w:b w:val="false"/>
          <w:bCs w:val="false"/>
          <w:i w:val="false"/>
          <w:iCs w:val="false"/>
          <w:color w:val="555555"/>
          <w:sz w:val="22"/>
          <w:szCs w:val="22"/>
        </w:rPr>
        <w:t xml:space="preserve"> — Every feature paired with its benefit. Not “multilingual reports” — “reports in the parent’s language.”</w:t>
      </w:r>
    </w:p>
    <w:p>
      <w:r>
        <w:br w:type="page"/>
      </w:r>
    </w:p>
    <w:p>
      <w:pPr>
        <w:pStyle w:val="Heading1"/>
        <w:spacing w:before="360" w:after="200"/>
      </w:pPr>
      <w:r>
        <w:rPr>
          <w:rFonts w:ascii="Georgia" w:cs="Georgia" w:eastAsia="Georgia" w:hAnsi="Georgia"/>
          <w:b/>
          <w:bCs/>
          <w:color w:val="1A1A2E"/>
          <w:sz w:val="36"/>
          <w:szCs w:val="36"/>
        </w:rPr>
        <w:t xml:space="preserve">VERSION B — The Stadium Pitch</w:t>
      </w:r>
    </w:p>
    <w:p>
      <w:pPr>
        <w:spacing w:after="200"/>
      </w:pPr>
      <w:r>
        <w:rPr>
          <w:rFonts w:ascii="Georgia" w:cs="Georgia" w:eastAsia="Georgia" w:hAnsi="Georgia"/>
          <w:i/>
          <w:iCs/>
          <w:color w:val="C0392B"/>
          <w:sz w:val="20"/>
          <w:szCs w:val="20"/>
        </w:rPr>
        <w:t xml:space="preserve">Holmes’ education-first approach. Better for nurture sequences.</w:t>
      </w:r>
    </w:p>
    <w:p>
      <w:pPr>
        <w:pBdr>
          <w:bottom w:val="single" w:color="C0392B" w:sz="4" w:space="8"/>
        </w:pBdr>
        <w:spacing w:before="200" w:after="200"/>
      </w:pPr>
    </w:p>
    <w:p>
      <w:pPr>
        <w:spacing w:after="160"/>
        <w:jc w:val="left"/>
      </w:pPr>
      <w:r>
        <w:rPr>
          <w:rFonts w:ascii="Arial" w:cs="Arial" w:eastAsia="Arial" w:hAnsi="Arial"/>
          <w:b/>
          <w:bCs/>
          <w:i w:val="false"/>
          <w:iCs w:val="false"/>
          <w:color w:val="1A1A2E"/>
          <w:sz w:val="22"/>
          <w:szCs w:val="22"/>
        </w:rPr>
        <w:t xml:space="preserve">Subject: </w:t>
      </w:r>
      <w:r>
        <w:rPr>
          <w:rFonts w:ascii="Arial" w:cs="Arial" w:eastAsia="Arial" w:hAnsi="Arial"/>
          <w:b w:val="false"/>
          <w:bCs w:val="false"/>
          <w:i/>
          <w:iCs/>
          <w:color w:val="555555"/>
          <w:sz w:val="22"/>
          <w:szCs w:val="22"/>
        </w:rPr>
        <w:t xml:space="preserve">The hidden cost of Montessori teacher turnover (and what 3 schools are doing about it)</w:t>
      </w:r>
    </w:p>
    <w:p>
      <w:pPr>
        <w:spacing w:after="160"/>
        <w:jc w:val="left"/>
      </w:pPr>
      <w:r>
        <w:rPr>
          <w:rFonts w:ascii="Arial" w:cs="Arial" w:eastAsia="Arial" w:hAnsi="Arial"/>
          <w:b w:val="false"/>
          <w:bCs w:val="false"/>
          <w:i w:val="false"/>
          <w:iCs w:val="false"/>
          <w:color w:val="555555"/>
          <w:sz w:val="22"/>
          <w:szCs w:val="22"/>
        </w:rPr>
        <w:t xml:space="preserve">A short, genuinely useful piece about teacher burnout backed by real data. Montree mentioned once in the final paragraph as “a tool we’ve been developing.”</w:t>
      </w:r>
    </w:p>
    <w:p>
      <w:pPr>
        <w:spacing w:after="160"/>
        <w:jc w:val="left"/>
      </w:pPr>
      <w:r>
        <w:rPr>
          <w:rFonts w:ascii="Arial" w:cs="Arial" w:eastAsia="Arial" w:hAnsi="Arial"/>
          <w:b/>
          <w:bCs/>
          <w:i w:val="false"/>
          <w:iCs w:val="false"/>
          <w:color w:val="1A1A2E"/>
          <w:sz w:val="22"/>
          <w:szCs w:val="22"/>
        </w:rPr>
        <w:t xml:space="preserve">CTA: </w:t>
      </w:r>
      <w:r>
        <w:rPr>
          <w:rFonts w:ascii="Arial" w:cs="Arial" w:eastAsia="Arial" w:hAnsi="Arial"/>
          <w:b w:val="false"/>
          <w:bCs w:val="false"/>
          <w:i/>
          <w:iCs/>
          <w:color w:val="555555"/>
          <w:sz w:val="22"/>
          <w:szCs w:val="22"/>
        </w:rPr>
        <w:t xml:space="preserve">“I wrote a short guide on reducing teacher documentation time by 80% — want me to send it over?”</w:t>
      </w:r>
    </w:p>
    <w:p>
      <w:pPr>
        <w:spacing w:before="200" w:after="100"/>
      </w:pPr>
      <w:r>
        <w:rPr>
          <w:rFonts w:ascii="Arial" w:cs="Arial" w:eastAsia="Arial" w:hAnsi="Arial"/>
          <w:b/>
          <w:bCs/>
          <w:color w:val="1A1A2E"/>
          <w:sz w:val="24"/>
          <w:szCs w:val="24"/>
        </w:rPr>
        <w:t xml:space="preserve">Why this works</w:t>
      </w:r>
    </w:p>
    <w:p>
      <w:pPr>
        <w:spacing w:after="160"/>
        <w:jc w:val="left"/>
      </w:pPr>
      <w:r>
        <w:rPr>
          <w:rFonts w:ascii="Arial" w:cs="Arial" w:eastAsia="Arial" w:hAnsi="Arial"/>
          <w:b w:val="false"/>
          <w:bCs w:val="false"/>
          <w:i w:val="false"/>
          <w:iCs w:val="false"/>
          <w:color w:val="555555"/>
          <w:sz w:val="22"/>
          <w:szCs w:val="22"/>
        </w:rPr>
        <w:t xml:space="preserve">Positions you as a thought leader, not a vendor. Gives value first (Cialdini’s reciprocity). The principal shares it with their team. The follow-up email gets opened.</w:t>
      </w:r>
    </w:p>
    <w:p>
      <w:pPr>
        <w:spacing w:before="200" w:after="100"/>
      </w:pPr>
      <w:r>
        <w:rPr>
          <w:rFonts w:ascii="Arial" w:cs="Arial" w:eastAsia="Arial" w:hAnsi="Arial"/>
          <w:b/>
          <w:bCs/>
          <w:color w:val="1A1A2E"/>
          <w:sz w:val="24"/>
          <w:szCs w:val="24"/>
        </w:rPr>
        <w:t xml:space="preserve">When to use Version A instead</w:t>
      </w:r>
    </w:p>
    <w:p>
      <w:pPr>
        <w:spacing w:after="160"/>
        <w:jc w:val="left"/>
      </w:pPr>
      <w:r>
        <w:rPr>
          <w:rFonts w:ascii="Arial" w:cs="Arial" w:eastAsia="Arial" w:hAnsi="Arial"/>
          <w:b w:val="false"/>
          <w:bCs w:val="false"/>
          <w:i w:val="false"/>
          <w:iCs w:val="false"/>
          <w:color w:val="555555"/>
          <w:sz w:val="22"/>
          <w:szCs w:val="22"/>
        </w:rPr>
        <w:t xml:space="preserve">The Stadium Pitch needs a nurture sequence (3–5 touches). For a single cold email needing a reply, Kennedy’s direct approach gets faster results.</w:t>
      </w:r>
    </w:p>
    <w:p>
      <w:pPr>
        <w:spacing w:after="200"/>
      </w:pPr>
    </w:p>
    <w:p>
      <w:pPr>
        <w:pStyle w:val="Heading1"/>
        <w:spacing w:before="360" w:after="200"/>
      </w:pPr>
      <w:r>
        <w:rPr>
          <w:rFonts w:ascii="Georgia" w:cs="Georgia" w:eastAsia="Georgia" w:hAnsi="Georgia"/>
          <w:b/>
          <w:bCs/>
          <w:color w:val="1A1A2E"/>
          <w:sz w:val="36"/>
          <w:szCs w:val="36"/>
        </w:rPr>
        <w:t xml:space="preserve">VERSION C — Ultra-Short / Mobile</w:t>
      </w:r>
    </w:p>
    <w:p>
      <w:pPr>
        <w:spacing w:after="200"/>
      </w:pPr>
      <w:r>
        <w:rPr>
          <w:rFonts w:ascii="Georgia" w:cs="Georgia" w:eastAsia="Georgia" w:hAnsi="Georgia"/>
          <w:i/>
          <w:iCs/>
          <w:color w:val="C0392B"/>
          <w:sz w:val="20"/>
          <w:szCs w:val="20"/>
        </w:rPr>
        <w:t xml:space="preserve">Under 100 words. For principals who read email on their phone.</w:t>
      </w:r>
    </w:p>
    <w:p>
      <w:pPr>
        <w:pBdr>
          <w:bottom w:val="single" w:color="C0392B" w:sz="4" w:space="8"/>
        </w:pBdr>
        <w:spacing w:before="200" w:after="200"/>
      </w:pPr>
    </w:p>
    <w:p>
      <w:pPr>
        <w:spacing w:after="160"/>
        <w:jc w:val="left"/>
      </w:pPr>
      <w:r>
        <w:rPr>
          <w:rFonts w:ascii="Arial" w:cs="Arial" w:eastAsia="Arial" w:hAnsi="Arial"/>
          <w:b/>
          <w:bCs/>
          <w:i w:val="false"/>
          <w:iCs w:val="false"/>
          <w:color w:val="1A1A2E"/>
          <w:sz w:val="22"/>
          <w:szCs w:val="22"/>
        </w:rPr>
        <w:t xml:space="preserve">Subject: </w:t>
      </w:r>
      <w:r>
        <w:rPr>
          <w:rFonts w:ascii="Arial" w:cs="Arial" w:eastAsia="Arial" w:hAnsi="Arial"/>
          <w:b w:val="false"/>
          <w:bCs w:val="false"/>
          <w:i/>
          <w:iCs/>
          <w:color w:val="555555"/>
          <w:sz w:val="22"/>
          <w:szCs w:val="22"/>
        </w:rPr>
        <w:t xml:space="preserve">5 Montessori schools — free pilot, honest question</w:t>
      </w:r>
    </w:p>
    <w:p>
      <w:pPr>
        <w:spacing w:after="80"/>
      </w:pPr>
    </w:p>
    <w:p>
      <w:pPr>
        <w:spacing w:after="160"/>
        <w:jc w:val="left"/>
      </w:pPr>
      <w:r>
        <w:rPr>
          <w:rFonts w:ascii="Arial" w:cs="Arial" w:eastAsia="Arial" w:hAnsi="Arial"/>
          <w:b w:val="false"/>
          <w:bCs w:val="false"/>
          <w:i w:val="false"/>
          <w:iCs w:val="false"/>
          <w:color w:val="1A1A2E"/>
          <w:sz w:val="23"/>
          <w:szCs w:val="23"/>
        </w:rPr>
        <w:t xml:space="preserve">[Principal’s Name] —</w:t>
      </w:r>
    </w:p>
    <w:p>
      <w:pPr>
        <w:spacing w:after="40"/>
      </w:pPr>
    </w:p>
    <w:p>
      <w:pPr>
        <w:spacing w:after="160"/>
        <w:jc w:val="left"/>
      </w:pPr>
      <w:r>
        <w:rPr>
          <w:rFonts w:ascii="Arial" w:cs="Arial" w:eastAsia="Arial" w:hAnsi="Arial"/>
          <w:b w:val="false"/>
          <w:bCs w:val="false"/>
          <w:i w:val="false"/>
          <w:iCs w:val="false"/>
          <w:color w:val="1A1A2E"/>
          <w:sz w:val="23"/>
          <w:szCs w:val="23"/>
        </w:rPr>
        <w:t xml:space="preserve">Quick question: how many hours per week do your teachers spend on progress reports and parent updates?</w:t>
      </w:r>
    </w:p>
    <w:p>
      <w:pPr>
        <w:spacing w:after="160"/>
        <w:jc w:val="left"/>
      </w:pPr>
      <w:r>
        <w:rPr>
          <w:rFonts w:ascii="Arial" w:cs="Arial" w:eastAsia="Arial" w:hAnsi="Arial"/>
          <w:b w:val="false"/>
          <w:bCs w:val="false"/>
          <w:i w:val="false"/>
          <w:iCs w:val="false"/>
          <w:color w:val="1A1A2E"/>
          <w:sz w:val="23"/>
          <w:szCs w:val="23"/>
        </w:rPr>
        <w:t xml:space="preserve">I built a tool that cuts that to about 2 minutes per child. It generates bilingual reports automatically, tracks curriculum progress across all 5 areas, and gives teachers an AI advisor trained on AMI methodology.</w:t>
      </w:r>
    </w:p>
    <w:p>
      <w:pPr>
        <w:spacing w:after="160"/>
        <w:jc w:val="left"/>
      </w:pPr>
      <w:r>
        <w:rPr>
          <w:rFonts w:ascii="Arial" w:cs="Arial" w:eastAsia="Arial" w:hAnsi="Arial"/>
          <w:b w:val="false"/>
          <w:bCs w:val="false"/>
          <w:i w:val="false"/>
          <w:iCs w:val="false"/>
          <w:color w:val="1A1A2E"/>
          <w:sz w:val="23"/>
          <w:szCs w:val="23"/>
        </w:rPr>
        <w:t xml:space="preserve">I’m giving 5 schools free access through the end of this year in exchange for feedback.</w:t>
      </w:r>
    </w:p>
    <w:p>
      <w:pPr>
        <w:spacing w:after="160"/>
        <w:jc w:val="left"/>
      </w:pPr>
      <w:r>
        <w:rPr>
          <w:rFonts w:ascii="Arial" w:cs="Arial" w:eastAsia="Arial" w:hAnsi="Arial"/>
          <w:b w:val="false"/>
          <w:bCs w:val="false"/>
          <w:i w:val="false"/>
          <w:iCs w:val="false"/>
          <w:color w:val="1A1A2E"/>
          <w:sz w:val="23"/>
          <w:szCs w:val="23"/>
        </w:rPr>
        <w:t xml:space="preserve">Worth a 3-minute video walkthrough?</w:t>
      </w:r>
    </w:p>
    <w:p>
      <w:pPr>
        <w:spacing w:after="160"/>
        <w:jc w:val="left"/>
      </w:pPr>
      <w:r>
        <w:rPr>
          <w:rFonts w:ascii="Arial" w:cs="Arial" w:eastAsia="Arial" w:hAnsi="Arial"/>
          <w:b/>
          <w:bCs/>
          <w:i w:val="false"/>
          <w:iCs w:val="false"/>
          <w:color w:val="1A1A2E"/>
          <w:sz w:val="23"/>
          <w:szCs w:val="23"/>
        </w:rPr>
        <w:t xml:space="preserve">Reply “yes” and I’ll send it over.</w:t>
      </w:r>
    </w:p>
    <w:p>
      <w:pPr>
        <w:spacing w:after="80"/>
      </w:pPr>
    </w:p>
    <w:p>
      <w:pPr>
        <w:spacing w:after="160"/>
        <w:jc w:val="left"/>
      </w:pPr>
      <w:r>
        <w:rPr>
          <w:rFonts w:ascii="Arial" w:cs="Arial" w:eastAsia="Arial" w:hAnsi="Arial"/>
          <w:b w:val="false"/>
          <w:bCs w:val="false"/>
          <w:i w:val="false"/>
          <w:iCs w:val="false"/>
          <w:color w:val="1A1A2E"/>
          <w:sz w:val="23"/>
          <w:szCs w:val="23"/>
        </w:rPr>
        <w:t xml:space="preserve">— Tredoux</w:t>
      </w:r>
    </w:p>
    <w:p>
      <w:pPr>
        <w:spacing w:after="160"/>
        <w:jc w:val="left"/>
      </w:pPr>
      <w:r>
        <w:rPr>
          <w:rFonts w:ascii="Arial" w:cs="Arial" w:eastAsia="Arial" w:hAnsi="Arial"/>
          <w:b w:val="false"/>
          <w:bCs w:val="false"/>
          <w:i w:val="false"/>
          <w:iCs w:val="false"/>
          <w:color w:val="555555"/>
          <w:sz w:val="21"/>
          <w:szCs w:val="21"/>
        </w:rPr>
        <w:t xml:space="preserve">montree.xyz</w:t>
      </w:r>
    </w:p>
    <w:p>
      <w:pPr>
        <w:spacing w:after="200"/>
      </w:pPr>
    </w:p>
    <w:p>
      <w:pPr>
        <w:spacing w:before="200" w:after="100"/>
      </w:pPr>
      <w:r>
        <w:rPr>
          <w:rFonts w:ascii="Arial" w:cs="Arial" w:eastAsia="Arial" w:hAnsi="Arial"/>
          <w:b/>
          <w:bCs/>
          <w:color w:val="1A1A2E"/>
          <w:sz w:val="24"/>
          <w:szCs w:val="24"/>
        </w:rPr>
        <w:t xml:space="preserve">Why this works</w:t>
      </w:r>
    </w:p>
    <w:p>
      <w:pPr>
        <w:spacing w:after="160"/>
        <w:jc w:val="left"/>
      </w:pPr>
      <w:r>
        <w:rPr>
          <w:rFonts w:ascii="Arial" w:cs="Arial" w:eastAsia="Arial" w:hAnsi="Arial"/>
          <w:b w:val="false"/>
          <w:bCs w:val="false"/>
          <w:i w:val="false"/>
          <w:iCs w:val="false"/>
          <w:color w:val="555555"/>
          <w:sz w:val="22"/>
          <w:szCs w:val="22"/>
        </w:rPr>
        <w:t xml:space="preserve">Respects their time. Ziglar’s question technique engages immediately. Prize frame maintained. CTA is one word.</w:t>
      </w:r>
    </w:p>
    <w:p>
      <w:pPr>
        <w:spacing w:after="400"/>
      </w:pPr>
    </w:p>
    <w:p>
      <w:pPr>
        <w:pBdr>
          <w:bottom w:val="single" w:color="C0392B" w:sz="4" w:space="8"/>
        </w:pBdr>
        <w:spacing w:before="200" w:after="200"/>
      </w:pPr>
    </w:p>
    <w:p>
      <w:pPr>
        <w:spacing w:after="40"/>
        <w:jc w:val="center"/>
      </w:pPr>
      <w:r>
        <w:rPr>
          <w:rFonts w:ascii="Georgia" w:cs="Georgia" w:eastAsia="Georgia" w:hAnsi="Georgia"/>
          <w:i/>
          <w:iCs/>
          <w:color w:val="999999"/>
          <w:sz w:val="18"/>
          <w:szCs w:val="18"/>
        </w:rPr>
        <w:t xml:space="preserve">Generated by The Ink Master — Copywriting Brain v2.0</w:t>
      </w:r>
    </w:p>
    <w:p>
      <w:pPr>
        <w:jc w:val="center"/>
      </w:pPr>
      <w:r>
        <w:rPr>
          <w:rFonts w:ascii="Arial" w:cs="Arial" w:eastAsia="Arial" w:hAnsi="Arial"/>
          <w:color w:val="BBBBBB"/>
          <w:sz w:val="16"/>
          <w:szCs w:val="16"/>
        </w:rPr>
        <w:t xml:space="preserve">Schwartz • Kennedy • Collier • Voss • Klaff • Halbert • Sugarman • Hopkins • Bly • Cialdini • Holmes • Ziglar</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THE INK MASTER — Cold Outreach Rewrite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THE INK MASTER — Cold Outreach Rewrite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2026-03-01T13:53:17.327Z</dcterms:created>
  <dcterms:modified xsi:type="dcterms:W3CDTF">2026-03-01T13:53:17.331Z</dcterms:modified>
</cp:coreProperties>
</file>

<file path=docProps/custom.xml><?xml version="1.0" encoding="utf-8"?>
<Properties xmlns="http://schemas.openxmlformats.org/officeDocument/2006/custom-properties" xmlns:vt="http://schemas.openxmlformats.org/officeDocument/2006/docPropsVTypes"/>
</file>