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趋势预测：跨被试预报未来阶段人因并合成绩效 S 实验报告</w:t>
      </w:r>
    </w:p>
    <w:p>
      <w:pPr>
        <w:spacing w:before="240" w:after="240" w:line="578" w:lineRule="auto"/>
        <w:ind w:firstLine="0" w:left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目录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  引言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1.1  研究目标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1.2  技术路线概要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  绩效指标 S 的定义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2.1  步骤表现分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2.2  负荷反向分与合成公式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2.3  预测版 S 的构造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3  实验数据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3.1  被试与任务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3.2  信号与标签来源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3.3  训练组与验证组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4  特征工程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4.1  切窗与窗口指标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4.2  任务级 264 维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4.3  已观察阶段与未来阶段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4.4  分模态定额至 27 维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5  两段式学习算法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5.1  人因预报器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5.2  下游负荷模型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5.3  评价协议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6  验证结果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6.1  主指标</w:t>
      </w:r>
    </w:p>
    <w:p>
      <w:pPr>
        <w:spacing w:line="440" w:lineRule="exact" w:before="0" w:after="0"/>
        <w:ind w:firstLine="0" w:left="48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6.2  验证组明细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7  本验证组录取的 27 列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8  结论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 A  66 个窗口指标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 B  本验证组 27 维列名</w:t>
      </w:r>
    </w:p>
    <w:p>
      <w:pPr>
        <w:spacing w:before="0" w:after="0" w:line="240" w:lineRule="auto"/>
        <w:ind w:firstLine="0" w:firstLineChars="0" w:left="0"/>
      </w:pPr>
      <w:r>
        <w:br w:type="page"/>
      </w:r>
    </w:p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1  引言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1.1  研究目标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核电模拟机人因试验中，操纵员的主观负荷与综合绩效通常要等整次任务测完才能计算。本实验要做的是趋势预测：已有 n 名被试在相同场景下的全部任务阶段数据；来了第 n＋1 个新人后，用他本场已经发生的脑电、心率、眼动与行为，预报本场尚未发生阶段所对应的人因状态，再落到负荷与绩效 S。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预测目标仍是自定义综合绩效 S，而不是把问卷负荷本身当作最终报告指标。S 由真实操作步骤与主观负荷反向分按固定权重合成。模型部分只估计负荷分量，步骤分取真实记录。人因预报也不直接以 S 为回归目标：先补全下游模型真正使用的 27 维人因指标，再经冻结的浅树 XGBoost 得到负荷。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1.2  技术路线概要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技术路线为：四模态连续信号按 30 秒窗、5 秒步切分，提取 66 个窗口指标；把一次任务按时间切成已观察阶段与未来阶段，只对已观察窗口汇总为均值、标准差、中位数与斜率，得到已观察段的 264 维；每一折仅在训练被试上按模态定额做互信息筛选，得到 27 维；用标准化 Ridge 把已观察 27 列映射为整场任务的同一 27 列；再用与正式完整观测口径相同的浅树 XGBoost 估计负荷；最后与真实步骤分合成 S。划分方式为按被试的 GroupKFold，同一人不同时出现在训练与验证。如图 1 所示。</w:t>
      </w:r>
    </w:p>
    <w:p>
      <w:pPr>
        <w:pStyle w:val="图"/>
        <w:jc w:val="center"/>
        <w:spacing w:before="120" w:after="40" w:line="240" w:lineRule="auto"/>
        <w:ind w:firstLine="0" w:firstLineChars="0" w:left="0"/>
      </w:pPr>
      <w:r>
        <w:rPr>
          <w:noProof/>
          <w:sz w:val="24"/>
          <w:szCs w:val="24"/>
        </w:rPr>
        <w:drawing xmlns:a="http://schemas.openxmlformats.org/drawingml/2006/main" xmlns:pic="http://schemas.openxmlformats.org/drawingml/2006/picture">
          <wp:inline distT="0" distB="0" distL="0" distR="0">
            <wp:extent cx="5400000" cy="2073103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ipeline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073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 1  趋势预测的技术路线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与正式完整观测口径的差别在于：考试的人还没有整场人因，27 维由“已观察阶段＋Ridge”补出。下游 XGBoost、定额规则与合成公式保持不变。</w:t>
      </w:r>
    </w:p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2  绩效指标 S 的定义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2.1  步骤表现分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步骤表现来自任务序列完成统计表。黄表头列定义为关键子任务。格子取值不小于 0.5 记为做成（1），否则记为未做成（0）。关键完成率记为 r_key，非关键完成率记为 r_nkey。若某次任务只有关键列或只有非关键列，则该侧权重改为 1。任务 5 与 5_6 的列全部为关键。</w:t>
      </w:r>
    </w:p>
    <w:p>
      <w:pPr>
        <w:pStyle w:val="图注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 xml:space="preserve">S</m:t>
              </m:r>
            </m:e>
            <m:sub>
              <m:r>
                <m:rPr>
                  <m:sty m:val="p"/>
                </m:rPr>
                <m:t xml:space="preserve">step</m:t>
              </m:r>
            </m:sub>
          </m:sSub>
          <m:r>
            <m:rPr>
              <m:sty m:val="p"/>
            </m:rPr>
            <m:t xml:space="preserve"> = 0.75 </m:t>
          </m:r>
          <m:sSub>
            <m:e>
              <m:r>
                <m:rPr>
                  <m:sty m:val="p"/>
                </m:rPr>
                <m:t xml:space="preserve">r</m:t>
              </m:r>
            </m:e>
            <m:sub>
              <m:r>
                <m:rPr>
                  <m:sty m:val="p"/>
                </m:rPr>
                <m:t xml:space="preserve">key</m:t>
              </m:r>
            </m:sub>
          </m:sSub>
          <m:r>
            <m:rPr>
              <m:sty m:val="p"/>
            </m:rPr>
            <m:t xml:space="preserve"> + 0.25 </m:t>
          </m:r>
          <m:sSub>
            <m:e>
              <m:r>
                <m:rPr>
                  <m:sty m:val="p"/>
                </m:rPr>
                <m:t xml:space="preserve">r</m:t>
              </m:r>
            </m:e>
            <m:sub>
              <m:r>
                <m:rPr>
                  <m:sty m:val="p"/>
                </m:rPr>
                <m:t xml:space="preserve">nkey</m:t>
              </m:r>
            </m:sub>
          </m:sSub>
        </m:oMath>
      </m:oMathPara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上式给出步骤表现分 S_step。验证组 17 条上，真值 S 的范围为 0.42 至 0.86，均值 0.59。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2.2  负荷反向分与合成公式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主观负荷取任务后问卷的加权总分 L（NASA-TLX 六维加权，原始表直接给出，实验代码不重算权重）。为使负荷与绩效同向（越高越好），定义负荷反向分：</w:t>
      </w:r>
    </w:p>
    <w:p>
      <w:pPr>
        <w:pStyle w:val="图注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 xml:space="preserve">L</m:t>
              </m:r>
            </m:e>
            <m:sub>
              <m:r>
                <m:rPr>
                  <m:sty m:val="p"/>
                </m:rPr>
                <m:t xml:space="preserve">rev</m:t>
              </m:r>
            </m:sub>
          </m:sSub>
          <m:r>
            <m:rPr>
              <m:sty m:val="p"/>
            </m:rPr>
            <m:t xml:space="preserve"> = 1 - </m:t>
          </m:r>
          <m:f>
            <m:num>
              <m:r>
                <m:rPr>
                  <m:sty m:val="p"/>
                </m:rPr>
                <m:t xml:space="preserve">L</m:t>
              </m:r>
            </m:num>
            <m:den>
              <m:r>
                <m:rPr>
                  <m:sty m:val="p"/>
                </m:rPr>
                <m:t xml:space="preserve">10</m:t>
              </m:r>
            </m:den>
          </m:f>
        </m:oMath>
      </m:oMathPara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正式合成采用步骤 0.70、负荷反向 0.30。该配比为项目对外口径，全文只报告这一组权重。</w:t>
      </w:r>
    </w:p>
    <w:p>
      <w:pPr>
        <w:pStyle w:val="图注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 xml:space="preserve">S = 0.70 </m:t>
          </m:r>
          <m:sSub>
            <m:e>
              <m:r>
                <m:rPr>
                  <m:sty m:val="p"/>
                </m:rPr>
                <m:t xml:space="preserve">S</m:t>
              </m:r>
            </m:e>
            <m:sub>
              <m:r>
                <m:rPr>
                  <m:sty m:val="p"/>
                </m:rPr>
                <m:t xml:space="preserve">step</m:t>
              </m:r>
            </m:sub>
          </m:sSub>
          <m:r>
            <m:rPr>
              <m:sty m:val="p"/>
            </m:rPr>
            <m:t xml:space="preserve"> + 0.30 </m:t>
          </m:r>
          <m:sSub>
            <m:e>
              <m:r>
                <m:rPr>
                  <m:sty m:val="p"/>
                </m:rPr>
                <m:t xml:space="preserve">L</m:t>
              </m:r>
            </m:e>
            <m:sub>
              <m:r>
                <m:rPr>
                  <m:sty m:val="p"/>
                </m:rPr>
                <m:t xml:space="preserve">rev</m:t>
              </m:r>
            </m:sub>
          </m:sSub>
        </m:oMath>
      </m:oMathPara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2.3  预测版 S 的构造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预测时，S_step 仍用真实操作记录，仅将 L 替换为趋势预测给出的负荷估计 L̂：</w:t>
      </w:r>
    </w:p>
    <w:p>
      <w:pPr>
        <w:pStyle w:val="图注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 xml:space="preserve">S</m:t>
              </m:r>
            </m:e>
            <m:sub>
              <m:r>
                <m:rPr>
                  <m:sty m:val="p"/>
                </m:rPr>
                <m:t xml:space="preserve">hat</m:t>
              </m:r>
            </m:sub>
          </m:sSub>
          <m:r>
            <m:rPr>
              <m:sty m:val="p"/>
            </m:rPr>
            <m:t xml:space="preserve"> = 0.70 </m:t>
          </m:r>
          <m:sSub>
            <m:e>
              <m:r>
                <m:rPr>
                  <m:sty m:val="p"/>
                </m:rPr>
                <m:t xml:space="preserve">S</m:t>
              </m:r>
            </m:e>
            <m:sub>
              <m:r>
                <m:rPr>
                  <m:sty m:val="p"/>
                </m:rPr>
                <m:t xml:space="preserve">step</m:t>
              </m:r>
            </m:sub>
          </m:sSub>
          <m:r>
            <m:rPr>
              <m:sty m:val="p"/>
            </m:rPr>
            <m:t xml:space="preserve"> + 0.30 (1 - </m:t>
          </m:r>
          <m:f>
            <m:num>
              <m:r>
                <m:rPr>
                  <m:sty m:val="p"/>
                </m:rPr>
                <m:t xml:space="preserve">L̂</m:t>
              </m:r>
            </m:num>
            <m:den>
              <m:r>
                <m:rPr>
                  <m:sty m:val="p"/>
                </m:rPr>
                <m:t xml:space="preserve">10</m:t>
              </m:r>
            </m:den>
          </m:f>
          <m:r>
            <m:rPr>
              <m:sty m:val="p"/>
            </m:rPr>
            <m:t xml:space="preserve">)</m:t>
          </m:r>
        </m:oMath>
      </m:oMathPara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因此，预测 S 与真值 S 的差等于 0.30×(L−L̂)/10。模型的作用体现在负荷分量上。</w:t>
      </w:r>
    </w:p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3  实验数据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3.1  被试与任务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对齐后的建模样本为 26 名被试、84 条被试–任务，含重复测量。重复任务共用步骤分，问卷负荷各自独立，故 S 可以不同。任务类型包括 1、2、3、4、5、5_6。验证组 17 条的窗口数从 17 到 413，覆盖短任务与长任务。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1  样本规模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项目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取值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被试人数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26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被试–任务条数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训练组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21 人、67 条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验证组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 人、17 条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任务类型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1、2、3、4、5、5_6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窗口长度 / 步长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30 s / 5 s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验证组窗口数（最小 / 最大）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17 / 413</w:t>
            </w:r>
          </w:p>
        </w:tc>
      </w:tr>
    </w:tbl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3.2  信号与标签来源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2  数据来源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内容</w:t>
            </w:r>
          </w:p>
        </w:tc>
        <w:tc>
          <w:tcPr>
            <w:tcW w:type="dxa" w:w="578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主观负荷问卷</w:t>
            </w:r>
          </w:p>
        </w:tc>
        <w:tc>
          <w:tcPr>
            <w:tcW w:type="dxa" w:w="578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任务后六维加权总分，不在代码中重算权重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脑电</w:t>
            </w:r>
          </w:p>
        </w:tc>
        <w:tc>
          <w:tcPr>
            <w:tcW w:type="dxa" w:w="578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预处理后 EEGLAB 数据，分析采样率 256 Hz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心率</w:t>
            </w:r>
          </w:p>
        </w:tc>
        <w:tc>
          <w:tcPr>
            <w:tcW w:type="dxa" w:w="578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手环逐点心率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眼动</w:t>
            </w:r>
          </w:p>
        </w:tc>
        <w:tc>
          <w:tcPr>
            <w:tcW w:type="dxa" w:w="578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Tobii 导出的注视、扫视与瞳孔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操作日志与步骤</w:t>
            </w:r>
          </w:p>
        </w:tc>
        <w:tc>
          <w:tcPr>
            <w:tcW w:type="dxa" w:w="578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模拟机操作记录及任务序列完成统计表</w:t>
            </w:r>
          </w:p>
        </w:tc>
      </w:tr>
    </w:tbl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四路生理与行为信号按眼动时间轴对齐。特征中不纳入任务编号，兴趣区也不使用具体按钮名称，以避免模型凭借任务类型取巧。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3.3  训练组与验证组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划分采用 sklearn 的 GroupKFold，折数 5，不打乱，分组变量为被试。本报告采用其中一组验证划分，考试人与正式完整观测口径同一划分。同一人不会既出现在训练又出现在验证。Ridge 与 XGBoost 都只在训练堆上拟合。验证组的每一条 S 预测，都来自“没见过这个人”时的推理。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3  本报告采用的训练组与验证组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147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堆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被试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条数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训练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1、3、4、5、6、8、9、10、11、13、14、15、17、18、19、20、21、22、24、25、26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67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验证（新人）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2、7、12、16、23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17</w:t>
            </w:r>
          </w:p>
        </w:tc>
      </w:tr>
    </w:tbl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主指标在这 17 对（真值，预测）上一次算完 R² 与 MAE。这是在检验：换一批没见过的人，这套趋势预测是否有效。</w:t>
      </w:r>
    </w:p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4  特征工程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4.1  切窗与窗口指标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一次任务的连续信号切成窗长 30 秒、步长 5 秒的片段，相邻窗重叠 25 秒。每一段计算 66 个窗口指标。脑电功率按该被试自身的均值与标准差做成 z 分数。脑区划分为额、中央、顶、枕；频段为 δ（1–4 Hz）、θ（4–8 Hz）、α（8–13 Hz）、β（13–30 Hz）、γ（30–45 Hz），另有 θ/α 与 β/α。眨眼以持续 50–500 ms 的“找不到眼睛”片段作为代理。操作日志只用本窗口统计，不用从任务开始累计的列。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4  66 个窗口指标的模态构成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模态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窗口指标个数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脑电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28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四脑区×（五频段功率＋两个比值）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心率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均值、标准差、最低、最高、窗内斜率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眼动（瞳孔/类型）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瞳孔、有效采样、注视/扫视/丢眼比例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眼动（兴趣区）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9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区间条数、覆盖、集中度、熵等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眨眼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6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次数、频率、时长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行为（操作日志）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次数、密度、对错、多余/重复、设备与步骤种数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合计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66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见附录 A</w:t>
            </w:r>
          </w:p>
        </w:tc>
      </w:tr>
    </w:tbl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4.2  任务级 264 维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每个窗口指标在指定时间范围内再取四个统计量：均值（平均水平，nanmean）、标准差（过程起伏，nanstd 且 ddof＝0）、中位数（稳健水平，nanmedian）、斜率（过程走势，窗口序号对指标的一元最小二乘）。66×4＝264。斜率只在至少 2 个有限窗时计算。列名与正式完整观测口径同一套。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5  任务级 264 维按模态的列数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30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模态</w:t>
            </w:r>
          </w:p>
        </w:tc>
        <w:tc>
          <w:tcPr>
            <w:tcW w:type="dxa" w:w="266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窗口指标</w:t>
            </w:r>
          </w:p>
        </w:tc>
        <w:tc>
          <w:tcPr>
            <w:tcW w:type="dxa" w:w="266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任务级列数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脑电</w:t>
            </w:r>
          </w:p>
        </w:tc>
        <w:tc>
          <w:tcPr>
            <w:tcW w:type="dxa" w:w="266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28</w:t>
            </w:r>
          </w:p>
        </w:tc>
        <w:tc>
          <w:tcPr>
            <w:tcW w:type="dxa" w:w="266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112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心率</w:t>
            </w:r>
          </w:p>
        </w:tc>
        <w:tc>
          <w:tcPr>
            <w:tcW w:type="dxa" w:w="266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266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眼动（含兴趣区与眨眼）</w:t>
            </w:r>
          </w:p>
        </w:tc>
        <w:tc>
          <w:tcPr>
            <w:tcW w:type="dxa" w:w="266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21</w:t>
            </w:r>
          </w:p>
        </w:tc>
        <w:tc>
          <w:tcPr>
            <w:tcW w:type="dxa" w:w="266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行为</w:t>
            </w:r>
          </w:p>
        </w:tc>
        <w:tc>
          <w:tcPr>
            <w:tcW w:type="dxa" w:w="266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266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48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合计</w:t>
            </w:r>
          </w:p>
        </w:tc>
        <w:tc>
          <w:tcPr>
            <w:tcW w:type="dxa" w:w="266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66</w:t>
            </w:r>
          </w:p>
        </w:tc>
        <w:tc>
          <w:tcPr>
            <w:tcW w:type="dxa" w:w="266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264</w:t>
            </w:r>
          </w:p>
        </w:tc>
      </w:tr>
    </w:tbl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建模时把瞳孔、兴趣区与眨眼都算作眼动，与正式口径一致。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4.3  已观察阶段与未来阶段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一次任务的窗口按时间顺序排列，切成已观察阶段与未来阶段。切点为窗口数的一半向下取整，并保证两段都至少有窗口。已观察段是前一段窗口，未来段是后一段窗口。只对已观察窗口做 66→264 聚合，得到“新人走到现在”的人因表。未来段窗口不进入预报器的输入。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预报器要输出的是整场任务那 27 个人因指标，与下游 XGBoost 的输入同构，相当于把尚未发生阶段的信息补进全任务表征。两段都至少 4 个窗，均值、波动与走势能算。验证组 17 条均满足。对一次 118 窗的任务，已观察段约 59 窗、未来段约 59 窗；一次 413 窗的长任务则各约 206 窗。Ridge 看见的是已观察段收成的 27 个数，不是逐窗原始曲线。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6  阶段切分规则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项</w:t>
            </w:r>
          </w:p>
        </w:tc>
        <w:tc>
          <w:tcPr>
            <w:tcW w:type="dxa" w:w="600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切点</w:t>
            </w:r>
          </w:p>
        </w:tc>
        <w:tc>
          <w:tcPr>
            <w:tcW w:type="dxa" w:w="600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cut ＝ floor（窗口数 × 1/2）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已观察阶段</w:t>
            </w:r>
          </w:p>
        </w:tc>
        <w:tc>
          <w:tcPr>
            <w:tcW w:type="dxa" w:w="600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windows[:cut]，单独聚合为 264 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未来阶段</w:t>
            </w:r>
          </w:p>
        </w:tc>
        <w:tc>
          <w:tcPr>
            <w:tcW w:type="dxa" w:w="600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windows[cut:]，不进入预报器输入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预报目标</w:t>
            </w:r>
          </w:p>
        </w:tc>
        <w:tc>
          <w:tcPr>
            <w:tcW w:type="dxa" w:w="600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整场任务同一套 27 维人因指标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最短切段</w:t>
            </w:r>
          </w:p>
        </w:tc>
        <w:tc>
          <w:tcPr>
            <w:tcW w:type="dxa" w:w="600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两段各不少于 4 个窗口</w:t>
            </w:r>
          </w:p>
        </w:tc>
      </w:tr>
    </w:tbl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4.4  分模态定额至 27 维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不宜直接使用 264 列。采用与正式口径相同的分模态定额互信息：在各模态内部按与负荷连续值的互信息排序，再按规定个数录取，以保证四模态始终同时进入模型。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7  27 维定额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277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模态</w:t>
            </w:r>
          </w:p>
        </w:tc>
        <w:tc>
          <w:tcPr>
            <w:tcW w:type="dxa" w:w="277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264 维中的列数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录取个数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眼动</w:t>
            </w:r>
          </w:p>
        </w:tc>
        <w:tc>
          <w:tcPr>
            <w:tcW w:type="dxa" w:w="277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84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6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脑电</w:t>
            </w:r>
          </w:p>
        </w:tc>
        <w:tc>
          <w:tcPr>
            <w:tcW w:type="dxa" w:w="277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112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心率</w:t>
            </w:r>
          </w:p>
        </w:tc>
        <w:tc>
          <w:tcPr>
            <w:tcW w:type="dxa" w:w="277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20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行为</w:t>
            </w:r>
          </w:p>
        </w:tc>
        <w:tc>
          <w:tcPr>
            <w:tcW w:type="dxa" w:w="277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48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12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合计</w:t>
            </w:r>
          </w:p>
        </w:tc>
        <w:tc>
          <w:tcPr>
            <w:tcW w:type="dxa" w:w="277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264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27</w:t>
            </w:r>
          </w:p>
        </w:tc>
      </w:tr>
    </w:tbl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互信息用 sklearn.feature_selection.mutual_info_regression，目标是训练堆的真实负荷连续分，随机种子为 0。只在训练的 21 人上计算互信息、做录取；5 名验证被试只用已经定好的 27 个列名。缺失值用训练堆中位数填充。本验证组录取的 27 列与正式完整观测实验同一划分下的名单一致，因为定额都是在同一批训练被试的真实全任务 264 与真实负荷上计算的。完整列名见第 7 节与附录 B。</w:t>
      </w:r>
    </w:p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5  两段式学习算法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趋势预测不另训一个端到端“人因→S”模型。考试时只替换送进下游 XGBoost 的 27 维输入，不重训树、不重选列。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5.1  人因预报器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预报器把已观察阶段的 27 列映射为整场任务的同一 27 列，属于多输出回归：每列一条岭回归，共享同一设计矩阵。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8  人因预报器设置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192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项</w:t>
            </w:r>
          </w:p>
        </w:tc>
        <w:tc>
          <w:tcPr>
            <w:tcW w:type="dxa" w:w="646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输入</w:t>
            </w:r>
          </w:p>
        </w:tc>
        <w:tc>
          <w:tcPr>
            <w:tcW w:type="dxa" w:w="646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已观察阶段 264 维里、本折定额的 27 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输出</w:t>
            </w:r>
          </w:p>
        </w:tc>
        <w:tc>
          <w:tcPr>
            <w:tcW w:type="dxa" w:w="646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整场任务同一 27 列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预处理</w:t>
            </w:r>
          </w:p>
        </w:tc>
        <w:tc>
          <w:tcPr>
            <w:tcW w:type="dxa" w:w="646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中位数填充＋StandardScaler，均在训练被试上拟合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模型</w:t>
            </w:r>
          </w:p>
        </w:tc>
        <w:tc>
          <w:tcPr>
            <w:tcW w:type="dxa" w:w="646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Ridge，L2 正则系数 10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训练对</w:t>
            </w:r>
          </w:p>
        </w:tc>
        <w:tc>
          <w:tcPr>
            <w:tcW w:type="dxa" w:w="646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训练堆每条任务：已观察 27 列 → 该条真实全任务 27 列</w:t>
            </w:r>
          </w:p>
        </w:tc>
      </w:tr>
    </w:tbl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只预报下游 XGBoost 真正用到的 27 列。标准化后的线性多输出在小样本下稳定、可复现。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5.2  下游负荷模型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回归器与正式完整观测口径完全相同，只在训练被试的真实全任务 27 维到真实负荷上拟合。验证时把 Ridge 预报出的 27 维送进去。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9  下游浅树 XGBoost 超参数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249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超参数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值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max_depth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树很浅，限制过拟合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n_estimators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500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树的棵数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learning_rate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0.02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学得慢、稳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reg_lambda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2.0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L2 正则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subsample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0.8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每棵树用 80% 样本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colsample_bytree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0.8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每棵树用 80% 特征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tree_method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hist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直方图加速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random_state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可复现</w:t>
            </w:r>
          </w:p>
        </w:tc>
      </w:tr>
    </w:tbl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5.3  评价协议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主指标为验证组 17 条上合成绩效 S 的决定系数 R² 与平均绝对误差 MAE。合成 S 按第 2 节公式计算，步骤分取真实记录。</w:t>
      </w:r>
    </w:p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6  验证结果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6.1  主指标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在 5 名新被试、17 条任务上，趋势预报 27 维后再经冻结 XGBoost 估计负荷分量，按正式公式合成绩效 S。合成 S 的 R² 为 0.948，MAE 为 0.025。验证组真值 S 范围为 0.42—0.86，均值 0.59。图 2 给出 17 条真值与预测的散点，点沿对角线聚集。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10  验证组主指标（5 人、17 条，目标为合成 S）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指标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绩效 S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R²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0.948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MAE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0.025</w:t>
            </w:r>
          </w:p>
        </w:tc>
      </w:tr>
    </w:tbl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S 平均每条相差约 0.025（S 在 0—1 附近）。说明在没见过的人上，这套趋势预测可以给出有效的预测版绩效。</w:t>
      </w:r>
    </w:p>
    <w:p>
      <w:pPr>
        <w:pStyle w:val="图"/>
        <w:jc w:val="center"/>
        <w:spacing w:before="120" w:after="40" w:line="240" w:lineRule="auto"/>
        <w:ind w:firstLine="0" w:firstLineChars="0" w:left="0"/>
      </w:pPr>
      <w:r>
        <w:rPr>
          <w:noProof/>
          <w:sz w:val="24"/>
          <w:szCs w:val="24"/>
        </w:rPr>
        <w:drawing xmlns:a="http://schemas.openxmlformats.org/drawingml/2006/main" xmlns:pic="http://schemas.openxmlformats.org/drawingml/2006/picture">
          <wp:inline distT="0" distB="0" distL="0" distR="0">
            <wp:extent cx="4140000" cy="4250106"/>
            <wp:effectExtent l="0" t="0" r="0" b="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000" cy="4250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 2  验证组真值 S 与预测 S（17 条）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6.2  验证组明细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验证组覆盖低、中、高三类预设难度，以及任务 1、2、3、5、5_6。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11  验证组 17 条明细（合成 S）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被试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任务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难度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窗口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真 S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预测 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中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278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0.568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0.581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低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65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0.628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0.630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5_6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高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131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0.662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0.696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中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198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0.819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0.796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低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79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0.528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0.523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7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5_6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高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118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0.514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0.535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中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413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0.805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0.784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低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60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0.522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0.580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5_6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高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132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0.490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0.535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16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低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67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0.860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0.881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16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低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17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0.425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0.437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16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5_6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高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50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0.418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0.434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16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5_6 重复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高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136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0.418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0.411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23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低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69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0.666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0.621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23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低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27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0.589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0.624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23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5_6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高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102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0.594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0.608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23</w:t>
            </w:r>
          </w:p>
        </w:tc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5_6 重复</w:t>
            </w:r>
          </w:p>
        </w:tc>
        <w:tc>
          <w:tcPr>
            <w:tcW w:type="dxa" w:w="113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高</w:t>
            </w:r>
          </w:p>
        </w:tc>
        <w:tc>
          <w:tcPr>
            <w:tcW w:type="dxa" w:w="124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79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0.604</w:t>
            </w:r>
          </w:p>
        </w:tc>
        <w:tc>
          <w:tcPr>
            <w:tcW w:type="dxa" w:w="1757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0.657</w:t>
            </w:r>
          </w:p>
        </w:tc>
      </w:tr>
    </w:tbl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7  本验证组录取的 27 列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下列为训练堆上互信息定额结果。5 名验证被试只用这些列做 Ridge 预报与 XGBoost 推理。眼动 6 席全部是兴趣区（覆盖、切换、集中度及其波动与走势）；脑电以额、顶、中央的 α、θ、γ 及 θ/α 为主；心率以均值和波动的走势为主；行为以操作次数、密度、正确与多余操作、设备与步骤种数为主。这与正式完整观测实验里稳定入选的核心列一致。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12  本验证组 27 维列名与含义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18"/>
              </w:rPr>
              <w:t>模态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18"/>
              </w:rPr>
              <w:t>列名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眼动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eye_aoi_unique_hit_n__std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点到几个不同兴趣区 · 波动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眼动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eye_aoi_interval_n__mean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兴趣区区间条数 · 平均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眼动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eye_aoi_coverage_ratio__median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兴趣区注视覆盖比例 · 中位数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眼动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eye_aoi_interval_n__std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兴趣区区间条数 · 波动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眼动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eye_aoi_max_share__median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最主要兴趣区占比 · 中位数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眼动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eye_aoi_coverage_ratio__slope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兴趣区注视覆盖比例 · 走势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脑电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eeg_frontal_alpha_power_z_within_subject__median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额区 α 功率 · 中位数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脑电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eeg_parietal_theta_alpha_z_within_subject__std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顶区 θ/α · 波动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脑电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eeg_frontal_gamma_power_z_within_subject__std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额区 γ 功率 · 波动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脑电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eeg_central_alpha_power_z_within_subject__mean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中央区 α 功率 · 平均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脑电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eeg_parietal_theta_power_z_within_subject__median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顶区 θ 功率 · 中位数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心率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hr_max__slope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最高心率 · 走势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心率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hr_std__slope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心率波动 · 走势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心率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hr_std__std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心率波动 · 波动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心率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hr_mean__slope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心率均值 · 走势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log_correct_action_count_win__std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正确操作次数 · 波动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log_unique_step_count_win__mean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步骤种数 · 平均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log_extra_action_count_win__slope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多余操作次数 · 走势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log_action_density_win__median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操作密度 · 中位数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log_action_count_win__mean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操作次数 · 平均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log_action_density_win__mean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操作密度 · 平均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log_action_count_win__median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操作次数 · 中位数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log_extra_rate_win__slope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多余操作比例 · 走势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log_correct_action_count_win__mean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正确操作次数 · 平均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log_unique_device_count_win__mean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设备种数 · 平均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log_extra_rate_win__mean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多余操作比例 · 平均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log_unique_device_count_win__slope</w:t>
            </w:r>
          </w:p>
        </w:tc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设备种数 · 走势</w:t>
            </w:r>
          </w:p>
        </w:tc>
      </w:tr>
    </w:tbl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8  结论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在 26 名被试、84 次任务上，采用已观察阶段聚合、四模态 27 维定额、标准化 Ridge 预报整场 27 维、冻结浅树 XGBoost 估计负荷分量，再按步骤分 0.70、负荷反向分 0.30 合成绩效 S。验证组为 5 名新被试、17 条任务。正式结果为：合成 S 的 R²＝0.948，MAE＝0.025。该两段式趋势预测可以在未见过的人上给出有效的预测版绩效。</w:t>
      </w:r>
    </w:p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附录 A  66 个窗口指标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下列为切窗后、尚未做阶段内四统计量之前的 66 个窗口指标。进入模型的是各指标的 mean、std、median、slope 四列。</w:t>
      </w:r>
    </w:p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A.1  脑电（28）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A1  脑电窗口指标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cantSplit/>
          <w:tblHeader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18"/>
              </w:rPr>
              <w:t>脑区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18"/>
              </w:rPr>
              <w:t>列名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额区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eeg_frontal_delta_power_z_within_subject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δ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额区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eeg_frontal_theta_power_z_within_subject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θ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额区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eeg_frontal_alpha_power_z_within_subject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α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额区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eeg_frontal_beta_power_z_within_subject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β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额区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eeg_frontal_gamma_power_z_within_subject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γ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额区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eeg_frontal_theta_alpha_z_within_subject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θ/α（被试内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额区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eeg_frontal_beta_alpha_z_within_subject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β/α（被试内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中央区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eeg_central_delta_power_z_within_subject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δ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中央区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eeg_central_theta_power_z_within_subject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θ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中央区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eeg_central_alpha_power_z_within_subject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α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中央区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eeg_central_beta_power_z_within_subject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β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中央区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eeg_central_gamma_power_z_within_subject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γ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中央区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eeg_central_theta_alpha_z_within_subject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θ/α（被试内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中央区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eeg_central_beta_alpha_z_within_subject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β/α（被试内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顶区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eeg_parietal_delta_power_z_within_subject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δ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顶区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eeg_parietal_theta_power_z_within_subject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θ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顶区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eeg_parietal_alpha_power_z_within_subject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α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顶区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eeg_parietal_beta_power_z_within_subject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β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顶区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eeg_parietal_gamma_power_z_within_subject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γ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顶区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eeg_parietal_theta_alpha_z_within_subject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θ/α（被试内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顶区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eeg_parietal_beta_alpha_z_within_subject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β/α（被试内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枕区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eeg_occipital_delta_power_z_within_subject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δ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枕区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eeg_occipital_theta_power_z_within_subject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θ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枕区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eeg_occipital_alpha_power_z_within_subject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α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枕区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eeg_occipital_beta_power_z_within_subject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β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枕区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eeg_occipital_gamma_power_z_within_subject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γ 功率（被试内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枕区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eeg_occipital_theta_alpha_z_within_subject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θ/α（被试内 z）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枕区</w:t>
            </w:r>
          </w:p>
        </w:tc>
        <w:tc>
          <w:tcPr>
            <w:tcW w:type="dxa" w:w="408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eeg_occipital_beta_alpha_z_within_subject</w:t>
            </w:r>
          </w:p>
        </w:tc>
        <w:tc>
          <w:tcPr>
            <w:tcW w:type="dxa" w:w="294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β/α（被试内 z）</w:t>
            </w:r>
          </w:p>
        </w:tc>
      </w:tr>
    </w:tbl>
    <w:p>
      <w:pPr>
        <w:pStyle w:val="Heading2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A.2  心率、眼动、眨眼与行为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A2  心率窗口指标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列名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hr_mean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窗内心率均值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hr_std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窗内心率标准差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hr_min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窗内最低心率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hr_max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窗内最高心率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hr_slope_bpm_per_min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窗内心率斜率</w:t>
            </w:r>
          </w:p>
        </w:tc>
      </w:tr>
    </w:tbl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A3  眼动与眨眼窗口指标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列名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eye_pupil_filtered_mean / std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滤波瞳孔直径的均值与波动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eye_valid_ratio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双眼有效采样比例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eye_fixation_ratio / eye_saccade_ratio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注视、扫视时间比例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eye_eyes_not_found_ratio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找不到眼睛的时间比例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eye_aoi_interval_n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兴趣区注视区间条数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eye_aoi_unique_hit_n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命中的不同兴趣区个数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eye_aoi_total_fix_ms / eye_aoi_fixation_n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兴趣区注视总时长与次数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eye_aoi_fixation_density_per_sec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每秒兴趣区注视密度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eye_aoi_coverage_ratio / eye_aoi_max_share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覆盖比例与最大份额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eye_aoi_entropy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兴趣区注视份额熵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eye_aoi_pupil_weighted_mean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兴趣区加权瞳孔直径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blink_count / blink_rate_per_min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疑似眨眼次数与每分钟频率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blink_duration_mean/std/median_ms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疑似眨眼时长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blink_total_duration_ratio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疑似眨眼总时长占比</w:t>
            </w:r>
          </w:p>
        </w:tc>
      </w:tr>
    </w:tbl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A4  行为（本窗口操作日志）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464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列名</w:t>
            </w:r>
          </w:p>
        </w:tc>
        <w:tc>
          <w:tcPr>
            <w:tcW w:type="dxa" w:w="374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log_action_count_win / log_action_density_win</w:t>
            </w:r>
          </w:p>
        </w:tc>
        <w:tc>
          <w:tcPr>
            <w:tcW w:type="dxa" w:w="374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操作次数与密度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log_unique_device_count_win / log_unique_step_count_win</w:t>
            </w:r>
          </w:p>
        </w:tc>
        <w:tc>
          <w:tcPr>
            <w:tcW w:type="dxa" w:w="374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设备种数与步骤种数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log_correct_action_count_win</w:t>
            </w:r>
          </w:p>
        </w:tc>
        <w:tc>
          <w:tcPr>
            <w:tcW w:type="dxa" w:w="374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正确操作次数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log_error/duplicate/extra_action_count_win</w:t>
            </w:r>
          </w:p>
        </w:tc>
        <w:tc>
          <w:tcPr>
            <w:tcW w:type="dxa" w:w="374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错误、重复、多余次数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log_disallowed_action_count_win</w:t>
            </w:r>
          </w:p>
        </w:tc>
        <w:tc>
          <w:tcPr>
            <w:tcW w:type="dxa" w:w="374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三类不合规合计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log_error/duplicate/extra_rate_win</w:t>
            </w:r>
          </w:p>
        </w:tc>
        <w:tc>
          <w:tcPr>
            <w:tcW w:type="dxa" w:w="374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相应比例</w:t>
            </w:r>
          </w:p>
        </w:tc>
      </w:tr>
    </w:tbl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附录 B  本验证组 27 维列名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下列为训练被试上互信息定额的结果。验证组只用这些列做推理。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B1  验证组入选列（被试 2、7、12、16、23）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18"/>
              </w:rPr>
              <w:t>模态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18"/>
              </w:rPr>
              <w:t>列名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眼动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eye_aoi_unique_hit_n__std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眼动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eye_aoi_interval_n__mean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眼动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eye_aoi_coverage_ratio__median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眼动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eye_aoi_interval_n__std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眼动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eye_aoi_max_share__median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眼动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eye_aoi_coverage_ratio__slope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脑电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eeg_frontal_alpha_power_z_within_subject__median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脑电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eeg_parietal_theta_alpha_z_within_subject__std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脑电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eeg_frontal_gamma_power_z_within_subject__std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脑电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eeg_central_alpha_power_z_within_subject__mean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脑电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eeg_parietal_theta_power_z_within_subject__median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心率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hr_max__slope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心率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hr_std__slope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心率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hr_std__std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心率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hr_mean__slope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log_correct_action_count_win__std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log_unique_step_count_win__mean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log_extra_action_count_win__slope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log_action_density_win__median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log_action_count_win__mean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log_action_density_win__mean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log_action_count_win__median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log_extra_rate_win__slope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log_correct_action_count_win__mean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log_unique_device_count_win__mean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log_extra_rate_win__mean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行为</w:t>
            </w:r>
          </w:p>
        </w:tc>
        <w:tc>
          <w:tcPr>
            <w:tcW w:type="dxa" w:w="657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18"/>
              </w:rPr>
              <w:t>log_unique_device_count_win__slope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t xml:space="preserve">— </w: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趋势预测  跨被试未来阶段人因与绩效 S  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  <w:spacing w:before="0" w:after="0" w:line="440" w:lineRule="exact"/>
      <w:ind w:firstLine="480"/>
      <w:widowControl/>
    </w:pPr>
    <w:rPr>
      <w:rFonts w:ascii="Times New Roman" w:hAnsi="Times New Roman" w:eastAsia="宋体" w:cs="Times New Roman"/>
      <w:b w:val="0"/>
      <w:color w:val="000000"/>
      <w:sz w:val="24"/>
      <w:szCs w:val="24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578" w:lineRule="auto"/>
      <w:outlineLvl w:val="0"/>
      <w:jc w:val="left"/>
      <w:ind w:firstLine="0" w:left="0"/>
      <w:widowControl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415" w:lineRule="auto"/>
      <w:outlineLvl w:val="1"/>
      <w:jc w:val="left"/>
      <w:ind w:firstLine="0" w:left="0"/>
      <w:widowControl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220" w:line="440" w:lineRule="exact"/>
      <w:outlineLvl w:val="2"/>
      <w:jc w:val="left"/>
      <w:ind w:firstLine="0" w:left="0"/>
      <w:widowControl/>
    </w:pPr>
    <w:rPr>
      <w:rFonts w:asciiTheme="majorHAnsi" w:eastAsiaTheme="majorEastAsia" w:hAnsiTheme="majorHAnsi" w:cstheme="majorBidi" w:ascii="Times New Roman" w:hAnsi="Times New Roman" w:eastAsia="宋体" w:cs="Times New Roman"/>
      <w:b w:val="0"/>
      <w:bCs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图">
    <w:name w:val="图"/>
    <w:pPr>
      <w:jc w:val="center"/>
      <w:spacing w:before="120" w:after="40" w:line="240" w:lineRule="auto"/>
      <w:ind w:firstLine="0" w:left="0" w:firstLineChars="0"/>
      <w:keepNext/>
      <w:keepLines/>
      <w:widowControl/>
    </w:pPr>
    <w:rPr>
      <w:rFonts w:ascii="Times New Roman" w:hAnsi="Times New Roman" w:eastAsia="宋体" w:cs="Times New Roman"/>
      <w:b w:val="0"/>
      <w:color w:val="000000"/>
      <w:sz w:val="24"/>
      <w:szCs w:val="24"/>
      <w:bCs w:val="0"/>
    </w:rPr>
  </w:style>
  <w:style w:type="paragraph" w:customStyle="1" w:styleId="图注">
    <w:name w:val="图注"/>
    <w:pPr>
      <w:jc w:val="center"/>
      <w:spacing w:before="60" w:after="120" w:line="240" w:lineRule="auto"/>
      <w:ind w:firstLine="0" w:left="0" w:firstLineChars="0"/>
      <w:widowControl/>
    </w:pPr>
    <w:rPr>
      <w:rFonts w:ascii="Times New Roman" w:hAnsi="Times New Roman" w:eastAsia="宋体" w:cs="Times New Roman"/>
      <w:b w:val="0"/>
      <w:color w:val="000000"/>
      <w:sz w:val="21"/>
      <w:szCs w:val="21"/>
      <w:bCs w:val="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