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ind w:firstLine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趋势预测：跨被试预报未来阶段人因并合成绩效 S</w:t>
      </w:r>
    </w:p>
    <w:p>
      <w:pPr>
        <w:spacing w:after="240"/>
        <w:ind w:firstLine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8"/>
        </w:rPr>
        <w:t>结果摘要</w:t>
      </w:r>
    </w:p>
    <w:p>
      <w:pPr>
        <w:spacing w:before="240" w:after="240" w:line="578" w:lineRule="auto"/>
        <w:ind w:firstLine="0" w:left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目录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  口径与公式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  实验设置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3  验证结果</w:t>
      </w:r>
    </w:p>
    <w:p>
      <w:pPr>
        <w:spacing w:line="440" w:lineRule="exact" w:before="0" w:after="0"/>
        <w:ind w:firstLine="0" w:left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4  小结</w:t>
      </w:r>
    </w:p>
    <w:p>
      <w:pPr>
        <w:spacing w:before="0" w:after="0" w:line="240" w:lineRule="auto"/>
        <w:ind w:firstLine="0" w:firstLineChars="0" w:left="0"/>
      </w:pPr>
      <w:r>
        <w:br w:type="page"/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1  口径与公式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本摘要给出趋势预测的验证结果。功能定义为：已有 n 名被试的完整任务阶段数据；对第 n＋1 个未见过的人，依据其本场试验已观察阶段的脑电、心率、眼动与行为，预报本场未来阶段所对应的人因指标，再送入与正式口径相同的 27 维定额浅树 XGBoost 得到负荷，按公式合成绩效 S。模型不直接以 S 为回归目标。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记步骤表现为 S_step，主观负荷问卷加权总分为 L，负荷反向分记为 L_rev。子任务格子取值不小于 0.5 记为做成。仅有关键或仅有非关键子任务时，该侧权重改为 1。正式配比为步骤 0.70、负荷反向 0.30。</w:t>
      </w:r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= 0.75 </m:t>
          </m:r>
          <m:sSub>
            <m:e>
              <m:r>
                <m:rPr>
                  <m:sty m:val="p"/>
                </m:rPr>
                <m:t xml:space="preserve">r</m:t>
              </m:r>
            </m:e>
            <m:sub>
              <m:r>
                <m:rPr>
                  <m:sty m:val="p"/>
                </m:rPr>
                <m:t xml:space="preserve">key</m:t>
              </m:r>
            </m:sub>
          </m:sSub>
          <m:r>
            <m:rPr>
              <m:sty m:val="p"/>
            </m:rPr>
            <m:t xml:space="preserve"> + 0.25 </m:t>
          </m:r>
          <m:sSub>
            <m:e>
              <m:r>
                <m:rPr>
                  <m:sty m:val="p"/>
                </m:rPr>
                <m:t xml:space="preserve">r</m:t>
              </m:r>
            </m:e>
            <m:sub>
              <m:r>
                <m:rPr>
                  <m:sty m:val="p"/>
                </m:rPr>
                <m:t xml:space="preserve">nkey</m:t>
              </m:r>
            </m:sub>
          </m:sSub>
        </m:oMath>
      </m:oMathPara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L</m:t>
              </m:r>
            </m:e>
            <m:sub>
              <m:r>
                <m:rPr>
                  <m:sty m:val="p"/>
                </m:rPr>
                <m:t xml:space="preserve">rev</m:t>
              </m:r>
            </m:sub>
          </m:sSub>
          <m:r>
            <m:rPr>
              <m:sty m:val="p"/>
            </m:rPr>
            <m:t xml:space="preserve"> = 1 - </m:t>
          </m:r>
          <m:f>
            <m:num>
              <m:r>
                <m:rPr>
                  <m:sty m:val="p"/>
                </m:rPr>
                <m:t xml:space="preserve">L</m:t>
              </m:r>
            </m:num>
            <m:den>
              <m:r>
                <m:rPr>
                  <m:sty m:val="p"/>
                </m:rPr>
                <m:t xml:space="preserve">10</m:t>
              </m:r>
            </m:den>
          </m:f>
        </m:oMath>
      </m:oMathPara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S = 0.70 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+ 0.30 </m:t>
          </m:r>
          <m:sSub>
            <m:e>
              <m:r>
                <m:rPr>
                  <m:sty m:val="p"/>
                </m:rPr>
                <m:t xml:space="preserve">L</m:t>
              </m:r>
            </m:e>
            <m:sub>
              <m:r>
                <m:rPr>
                  <m:sty m:val="p"/>
                </m:rPr>
                <m:t xml:space="preserve">rev</m:t>
              </m:r>
            </m:sub>
          </m:sSub>
        </m:oMath>
      </m:oMathPara>
    </w:p>
    <w:p>
      <w:pPr>
        <w:pStyle w:val="图注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hat</m:t>
              </m:r>
            </m:sub>
          </m:sSub>
          <m:r>
            <m:rPr>
              <m:sty m:val="p"/>
            </m:rPr>
            <m:t xml:space="preserve"> = 0.70 </m:t>
          </m:r>
          <m:sSub>
            <m:e>
              <m:r>
                <m:rPr>
                  <m:sty m:val="p"/>
                </m:rPr>
                <m:t xml:space="preserve">S</m:t>
              </m:r>
            </m:e>
            <m:sub>
              <m:r>
                <m:rPr>
                  <m:sty m:val="p"/>
                </m:rPr>
                <m:t xml:space="preserve">step</m:t>
              </m:r>
            </m:sub>
          </m:sSub>
          <m:r>
            <m:rPr>
              <m:sty m:val="p"/>
            </m:rPr>
            <m:t xml:space="preserve"> + 0.30 (1 - </m:t>
          </m:r>
          <m:f>
            <m:num>
              <m:r>
                <m:rPr>
                  <m:sty m:val="p"/>
                </m:rPr>
                <m:t xml:space="preserve">L̂</m:t>
              </m:r>
            </m:num>
            <m:den>
              <m:r>
                <m:rPr>
                  <m:sty m:val="p"/>
                </m:rPr>
                <m:t xml:space="preserve">10</m:t>
              </m:r>
            </m:den>
          </m:f>
          <m:r>
            <m:rPr>
              <m:sty m:val="p"/>
            </m:rPr>
            <m:t xml:space="preserve">)</m:t>
          </m:r>
        </m:oMath>
      </m:oMathPara>
    </w:p>
    <w:p>
      <w:pPr>
        <w:spacing w:line="440" w:lineRule="exact"/>
        <w:ind w:firstLine="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式中 L̂ 为趋势预测给出的负荷估计，S_step 两侧均取真实操作记录。预测 S 与真值 S 的差别仅来自负荷估计偏差，再乘以 0.30。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2  实验设置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1  实验设置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项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样本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26 名被试、84 条被试–任务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验证组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5 名新被试、17 条任务（被试 2、7、12、16、23）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训练组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21 名被试、67 条任务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切窗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窗长 30 秒，步长 5 秒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任务级特征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66 个窗口指标×4 个统计量＝264 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阶段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一次任务按窗口时间顺序切成已观察阶段与未来阶段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预报器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标准化 Ridge（α＝10），只预报下游实际使用的 27 列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降维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分模态定额互信息：眼动 6、脑电 5、心率 4、行为 12，合计 27 维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下游模型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XGBoost：max_depth＝2，n_estimators＝500，learning_rate＝0.02，reg_λ＝2.0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验证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按被试 GroupKFold 划分；预报器与 XGBoost 只在训练被试上拟合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真值 S（验证组）</w:t>
            </w:r>
          </w:p>
        </w:tc>
        <w:tc>
          <w:tcPr>
            <w:tcW w:type="dxa" w:w="635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范围 0.42—0.86，均值 0.59</w:t>
            </w:r>
          </w:p>
        </w:tc>
      </w:tr>
    </w:tbl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3  验证结果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验证组为按被试划出的 5 名新被试、17 条任务。合成绩效 S 的决定系数 R² 为 0.948，平均绝对误差 MAE 为 0.025。验证组真值 S 范围为 0.42—0.86，均值 0.59。</w:t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 2  验证组主指标（5 人、17 条，目标为合成 S）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cantSplit/>
          <w:tblHeader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1"/>
              </w:rPr>
              <w:t>绩效 S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R²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0.948</w:t>
            </w:r>
          </w:p>
        </w:tc>
      </w:tr>
      <w:tr>
        <w:trPr>
          <w:cantSplit/>
        </w:trPr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MAE</w:t>
            </w:r>
          </w:p>
        </w:tc>
        <w:tc>
          <w:tcPr>
            <w:tcW w:type="dxa" w:w="419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0.025</w:t>
            </w:r>
          </w:p>
        </w:tc>
      </w:tr>
    </w:tbl>
    <w:p>
      <w:pPr>
        <w:pStyle w:val="图"/>
        <w:jc w:val="center"/>
        <w:spacing w:before="120" w:after="40" w:line="240" w:lineRule="auto"/>
        <w:ind w:firstLine="0" w:firstLineChars="0" w:left="0"/>
      </w:pPr>
      <w:r>
        <w:rPr>
          <w:noProof/>
          <w:sz w:val="24"/>
          <w:szCs w:val="24"/>
        </w:rPr>
        <w:drawing xmlns:a="http://schemas.openxmlformats.org/drawingml/2006/main" xmlns:pic="http://schemas.openxmlformats.org/drawingml/2006/picture">
          <wp:inline distT="0" distB="0" distL="0" distR="0">
            <wp:extent cx="4140000" cy="4250106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00" cy="425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图注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 1  验证组真值 S 与预测 S（17 条）</w:t>
      </w:r>
    </w:p>
    <w:p>
      <w:pPr>
        <w:pStyle w:val="Heading1"/>
        <w:ind w:firstLine="0" w:left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30"/>
        </w:rPr>
        <w:t>4  小结</w:t>
      </w:r>
    </w:p>
    <w:p>
      <w:pPr>
        <w:spacing w:line="440" w:lineRule="exact"/>
        <w:ind w:firstLine="48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 26 名被试、84 次任务上，将趋势预测定义为：用已有被试的完整任务阶段数据训练，对未见过的新被试，依据其本场试验已观察阶段的脑电、心率、眼动与行为，预报本场未来阶段所对应的人因指标。264 维按模态定额互信息降至 27 维（眼动 6、脑电 5、心率 4、行为 12），以标准化 Ridge 补全整场 27 维，再采用与正式口径相同的浅树 XGBoost 估计负荷分量，按步骤分 0.70、负荷反向分 0.30 合成绩效 S。在按被试划出的验证组（5 人、17 条任务）上，合成 S 的 R² 为 0.948（MAE＝0.025）。模型不直接以 S 为回归目标；人因趋势先落到 27 维指标，再经公式得到预测版绩效。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t xml:space="preserve">— </w: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趋势预测  跨被试未来阶段人因与绩效 S  结果摘要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440" w:lineRule="exact"/>
      <w:ind w:firstLine="480"/>
      <w:widowControl/>
    </w:pPr>
    <w:rPr>
      <w:rFonts w:ascii="Times New Roman" w:hAnsi="Times New Roman" w:eastAsia="宋体" w:cs="Times New Roman"/>
      <w:b w:val="0"/>
      <w:color w:val="000000"/>
      <w:sz w:val="24"/>
      <w:szCs w:val="24"/>
      <w:b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578" w:lineRule="auto"/>
      <w:outlineLvl w:val="0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415" w:lineRule="auto"/>
      <w:outlineLvl w:val="1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220" w:line="440" w:lineRule="exact"/>
      <w:outlineLvl w:val="2"/>
      <w:jc w:val="left"/>
      <w:ind w:firstLine="0" w:left="0"/>
      <w:widowControl/>
    </w:pPr>
    <w:rPr>
      <w:rFonts w:asciiTheme="majorHAnsi" w:eastAsiaTheme="majorEastAsia" w:hAnsiTheme="majorHAnsi" w:cstheme="majorBidi" w:ascii="Times New Roman" w:hAnsi="Times New Roman" w:eastAsia="宋体" w:cs="Times New Roman"/>
      <w:b w:val="0"/>
      <w:bCs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图">
    <w:name w:val="图"/>
    <w:pPr>
      <w:jc w:val="center"/>
      <w:spacing w:before="120" w:after="40" w:line="240" w:lineRule="auto"/>
      <w:ind w:firstLine="0" w:left="0" w:firstLineChars="0"/>
      <w:keepNext/>
      <w:keepLines/>
      <w:widowControl/>
    </w:pPr>
    <w:rPr>
      <w:rFonts w:ascii="Times New Roman" w:hAnsi="Times New Roman" w:eastAsia="宋体" w:cs="Times New Roman"/>
      <w:b w:val="0"/>
      <w:color w:val="000000"/>
      <w:sz w:val="24"/>
      <w:szCs w:val="24"/>
      <w:bCs w:val="0"/>
    </w:rPr>
  </w:style>
  <w:style w:type="paragraph" w:customStyle="1" w:styleId="图注">
    <w:name w:val="图注"/>
    <w:pPr>
      <w:jc w:val="center"/>
      <w:spacing w:before="60" w:after="120" w:line="240" w:lineRule="auto"/>
      <w:ind w:firstLine="0" w:left="0" w:firstLineChars="0"/>
      <w:widowControl/>
    </w:pPr>
    <w:rPr>
      <w:rFonts w:ascii="Times New Roman" w:hAnsi="Times New Roman" w:eastAsia="宋体" w:cs="Times New Roman"/>
      <w:b w:val="0"/>
      <w:color w:val="000000"/>
      <w:sz w:val="21"/>
      <w:szCs w:val="21"/>
      <w:bCs w:val="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