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F0E" w:rsidRDefault="00490F21">
      <w:pPr>
        <w:spacing w:after="0" w:line="259" w:lineRule="auto"/>
        <w:ind w:left="16" w:firstLine="0"/>
      </w:pPr>
      <w:bookmarkStart w:id="0" w:name="_GoBack"/>
      <w:bookmarkEnd w:id="0"/>
      <w:r>
        <w:rPr>
          <w:noProof/>
        </w:rPr>
        <w:drawing>
          <wp:inline distT="0" distB="0" distL="0" distR="0">
            <wp:extent cx="1569720" cy="106426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1569720" cy="1064260"/>
                    </a:xfrm>
                    <a:prstGeom prst="rect">
                      <a:avLst/>
                    </a:prstGeom>
                  </pic:spPr>
                </pic:pic>
              </a:graphicData>
            </a:graphic>
          </wp:inline>
        </w:drawing>
      </w:r>
      <w:r>
        <w:rPr>
          <w:rFonts w:ascii="Calibri" w:eastAsia="Calibri" w:hAnsi="Calibri" w:cs="Calibri"/>
          <w:sz w:val="22"/>
        </w:rPr>
        <w:t xml:space="preserve"> </w:t>
      </w:r>
    </w:p>
    <w:tbl>
      <w:tblPr>
        <w:tblStyle w:val="TableGrid"/>
        <w:tblW w:w="7993" w:type="dxa"/>
        <w:tblInd w:w="13" w:type="dxa"/>
        <w:tblCellMar>
          <w:top w:w="0" w:type="dxa"/>
          <w:left w:w="0" w:type="dxa"/>
          <w:bottom w:w="0" w:type="dxa"/>
          <w:right w:w="0" w:type="dxa"/>
        </w:tblCellMar>
        <w:tblLook w:val="04A0" w:firstRow="1" w:lastRow="0" w:firstColumn="1" w:lastColumn="0" w:noHBand="0" w:noVBand="1"/>
      </w:tblPr>
      <w:tblGrid>
        <w:gridCol w:w="2460"/>
        <w:gridCol w:w="540"/>
        <w:gridCol w:w="4993"/>
      </w:tblGrid>
      <w:tr w:rsidR="004D6F0E">
        <w:trPr>
          <w:trHeight w:val="1561"/>
        </w:trPr>
        <w:tc>
          <w:tcPr>
            <w:tcW w:w="2460" w:type="dxa"/>
            <w:tcBorders>
              <w:top w:val="nil"/>
              <w:left w:val="nil"/>
              <w:bottom w:val="nil"/>
              <w:right w:val="nil"/>
            </w:tcBorders>
          </w:tcPr>
          <w:p w:rsidR="004D6F0E" w:rsidRDefault="00490F21">
            <w:pPr>
              <w:spacing w:after="0" w:line="259" w:lineRule="auto"/>
              <w:ind w:left="2" w:firstLine="0"/>
            </w:pPr>
            <w:r>
              <w:rPr>
                <w:sz w:val="40"/>
              </w:rPr>
              <w:t>聯博</w:t>
            </w:r>
            <w:r>
              <w:rPr>
                <w:sz w:val="40"/>
              </w:rPr>
              <w:t xml:space="preserve"> </w:t>
            </w:r>
          </w:p>
          <w:p w:rsidR="004D6F0E" w:rsidRDefault="00490F21">
            <w:pPr>
              <w:spacing w:after="0" w:line="259" w:lineRule="auto"/>
              <w:ind w:left="2" w:firstLine="0"/>
            </w:pPr>
            <w:r>
              <w:rPr>
                <w:rFonts w:ascii="Arial" w:eastAsia="Arial" w:hAnsi="Arial" w:cs="Arial"/>
                <w:sz w:val="24"/>
              </w:rPr>
              <w:t xml:space="preserve"> </w:t>
            </w:r>
          </w:p>
          <w:p w:rsidR="004D6F0E" w:rsidRDefault="00490F21">
            <w:pPr>
              <w:spacing w:after="39" w:line="259" w:lineRule="auto"/>
              <w:ind w:left="2" w:firstLine="0"/>
            </w:pPr>
            <w:r>
              <w:rPr>
                <w:sz w:val="20"/>
              </w:rPr>
              <w:t>致香港投資者補充資料</w:t>
            </w:r>
            <w:r>
              <w:rPr>
                <w:sz w:val="20"/>
              </w:rPr>
              <w:t xml:space="preserve"> </w:t>
            </w:r>
          </w:p>
          <w:p w:rsidR="004D6F0E" w:rsidRDefault="00490F21">
            <w:pPr>
              <w:spacing w:after="0" w:line="259" w:lineRule="auto"/>
              <w:ind w:left="2" w:firstLine="0"/>
            </w:pPr>
            <w:r>
              <w:rPr>
                <w:rFonts w:ascii="Arial" w:eastAsia="Arial" w:hAnsi="Arial" w:cs="Arial"/>
                <w:sz w:val="24"/>
              </w:rPr>
              <w:t xml:space="preserve"> </w:t>
            </w:r>
          </w:p>
          <w:p w:rsidR="004D6F0E" w:rsidRDefault="00490F21">
            <w:pPr>
              <w:spacing w:after="0" w:line="259" w:lineRule="auto"/>
              <w:ind w:left="2" w:firstLine="0"/>
            </w:pPr>
            <w:r>
              <w:rPr>
                <w:rFonts w:ascii="Arial" w:eastAsia="Arial" w:hAnsi="Arial" w:cs="Arial"/>
                <w:sz w:val="24"/>
              </w:rPr>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tcPr>
          <w:p w:rsidR="004D6F0E" w:rsidRDefault="004D6F0E">
            <w:pPr>
              <w:spacing w:after="160" w:line="259" w:lineRule="auto"/>
              <w:ind w:left="0" w:firstLine="0"/>
            </w:pPr>
          </w:p>
        </w:tc>
      </w:tr>
      <w:tr w:rsidR="004D6F0E">
        <w:trPr>
          <w:trHeight w:val="440"/>
        </w:trPr>
        <w:tc>
          <w:tcPr>
            <w:tcW w:w="2460" w:type="dxa"/>
            <w:tcBorders>
              <w:top w:val="nil"/>
              <w:left w:val="nil"/>
              <w:bottom w:val="nil"/>
              <w:right w:val="nil"/>
            </w:tcBorders>
          </w:tcPr>
          <w:p w:rsidR="004D6F0E" w:rsidRDefault="00490F21">
            <w:pPr>
              <w:spacing w:after="0" w:line="259" w:lineRule="auto"/>
              <w:ind w:left="2" w:firstLine="0"/>
            </w:pPr>
            <w:r>
              <w:rPr>
                <w:sz w:val="20"/>
              </w:rPr>
              <w:t>多元資產／資產配置</w:t>
            </w:r>
            <w:r>
              <w:rPr>
                <w:sz w:val="20"/>
              </w:rPr>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tcPr>
          <w:p w:rsidR="004D6F0E" w:rsidRDefault="00490F21">
            <w:pPr>
              <w:tabs>
                <w:tab w:val="center" w:pos="3406"/>
              </w:tabs>
              <w:spacing w:after="0" w:line="259" w:lineRule="auto"/>
              <w:ind w:left="0" w:firstLine="0"/>
            </w:pPr>
            <w:r>
              <w:rPr>
                <w:sz w:val="20"/>
              </w:rPr>
              <w:t>股票</w:t>
            </w:r>
            <w:r>
              <w:rPr>
                <w:sz w:val="20"/>
              </w:rPr>
              <w:t xml:space="preserve"> </w:t>
            </w:r>
            <w:r>
              <w:rPr>
                <w:sz w:val="20"/>
              </w:rPr>
              <w:tab/>
            </w:r>
            <w:r>
              <w:rPr>
                <w:sz w:val="20"/>
              </w:rPr>
              <w:t>固定收益</w:t>
            </w:r>
            <w:r>
              <w:rPr>
                <w:sz w:val="20"/>
              </w:rPr>
              <w:t xml:space="preserve"> </w:t>
            </w:r>
          </w:p>
        </w:tc>
      </w:tr>
      <w:tr w:rsidR="004D6F0E">
        <w:trPr>
          <w:trHeight w:val="535"/>
        </w:trPr>
        <w:tc>
          <w:tcPr>
            <w:tcW w:w="2460" w:type="dxa"/>
            <w:tcBorders>
              <w:top w:val="nil"/>
              <w:left w:val="nil"/>
              <w:bottom w:val="nil"/>
              <w:right w:val="nil"/>
            </w:tcBorders>
            <w:vAlign w:val="bottom"/>
          </w:tcPr>
          <w:p w:rsidR="004D6F0E" w:rsidRDefault="00490F21">
            <w:pPr>
              <w:spacing w:after="0" w:line="259" w:lineRule="auto"/>
              <w:ind w:left="0" w:firstLine="0"/>
            </w:pPr>
            <w:r>
              <w:rPr>
                <w:sz w:val="20"/>
              </w:rPr>
              <w:t xml:space="preserve">&gt; </w:t>
            </w:r>
            <w:r>
              <w:rPr>
                <w:sz w:val="20"/>
              </w:rPr>
              <w:t>全方位領航基金</w:t>
            </w:r>
            <w:r>
              <w:rPr>
                <w:sz w:val="20"/>
              </w:rPr>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vAlign w:val="bottom"/>
          </w:tcPr>
          <w:p w:rsidR="004D6F0E" w:rsidRDefault="00490F21">
            <w:pPr>
              <w:tabs>
                <w:tab w:val="center" w:pos="3769"/>
              </w:tabs>
              <w:spacing w:after="0" w:line="259" w:lineRule="auto"/>
              <w:ind w:left="0" w:firstLine="0"/>
            </w:pPr>
            <w:r>
              <w:rPr>
                <w:sz w:val="20"/>
              </w:rPr>
              <w:t xml:space="preserve">&gt; </w:t>
            </w:r>
            <w:r>
              <w:rPr>
                <w:sz w:val="20"/>
              </w:rPr>
              <w:t>環球股票策略基金</w:t>
            </w:r>
            <w:r>
              <w:rPr>
                <w:sz w:val="20"/>
              </w:rPr>
              <w:t xml:space="preserve"> </w:t>
            </w:r>
            <w:r>
              <w:rPr>
                <w:sz w:val="20"/>
              </w:rPr>
              <w:tab/>
              <w:t xml:space="preserve">&gt; </w:t>
            </w:r>
            <w:r>
              <w:rPr>
                <w:sz w:val="20"/>
              </w:rPr>
              <w:t>短期債券基金</w:t>
            </w:r>
            <w:r>
              <w:rPr>
                <w:sz w:val="20"/>
              </w:rPr>
              <w:t xml:space="preserve"> </w:t>
            </w:r>
          </w:p>
        </w:tc>
      </w:tr>
      <w:tr w:rsidR="004D6F0E">
        <w:trPr>
          <w:trHeight w:val="421"/>
        </w:trPr>
        <w:tc>
          <w:tcPr>
            <w:tcW w:w="2460" w:type="dxa"/>
            <w:tcBorders>
              <w:top w:val="nil"/>
              <w:left w:val="nil"/>
              <w:bottom w:val="nil"/>
              <w:right w:val="nil"/>
            </w:tcBorders>
            <w:vAlign w:val="center"/>
          </w:tcPr>
          <w:p w:rsidR="004D6F0E" w:rsidRDefault="00490F21">
            <w:pPr>
              <w:spacing w:after="0" w:line="259" w:lineRule="auto"/>
              <w:ind w:left="0" w:firstLine="0"/>
            </w:pPr>
            <w:r>
              <w:rPr>
                <w:sz w:val="20"/>
              </w:rPr>
              <w:t xml:space="preserve"> </w:t>
            </w:r>
            <w:r>
              <w:rPr>
                <w:sz w:val="20"/>
              </w:rPr>
              <w:tab/>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vAlign w:val="center"/>
          </w:tcPr>
          <w:p w:rsidR="004D6F0E" w:rsidRDefault="00490F21">
            <w:pPr>
              <w:tabs>
                <w:tab w:val="right" w:pos="4993"/>
              </w:tabs>
              <w:spacing w:after="0" w:line="259" w:lineRule="auto"/>
              <w:ind w:left="0" w:firstLine="0"/>
            </w:pPr>
            <w:r>
              <w:rPr>
                <w:sz w:val="20"/>
              </w:rPr>
              <w:t xml:space="preserve">&gt; </w:t>
            </w:r>
            <w:r>
              <w:rPr>
                <w:sz w:val="20"/>
              </w:rPr>
              <w:t>新興市場增長基金</w:t>
            </w:r>
            <w:r>
              <w:rPr>
                <w:sz w:val="20"/>
              </w:rPr>
              <w:t xml:space="preserve"> </w:t>
            </w:r>
            <w:r>
              <w:rPr>
                <w:sz w:val="20"/>
              </w:rPr>
              <w:tab/>
              <w:t xml:space="preserve">&gt; </w:t>
            </w:r>
            <w:r>
              <w:rPr>
                <w:sz w:val="20"/>
              </w:rPr>
              <w:t>環球高收益基金</w:t>
            </w:r>
            <w:r>
              <w:rPr>
                <w:sz w:val="20"/>
              </w:rPr>
              <w:t xml:space="preserve"> </w:t>
            </w:r>
          </w:p>
        </w:tc>
      </w:tr>
      <w:tr w:rsidR="004D6F0E">
        <w:trPr>
          <w:trHeight w:val="419"/>
        </w:trPr>
        <w:tc>
          <w:tcPr>
            <w:tcW w:w="2460" w:type="dxa"/>
            <w:tcBorders>
              <w:top w:val="nil"/>
              <w:left w:val="nil"/>
              <w:bottom w:val="nil"/>
              <w:right w:val="nil"/>
            </w:tcBorders>
            <w:vAlign w:val="center"/>
          </w:tcPr>
          <w:p w:rsidR="004D6F0E" w:rsidRDefault="00490F21">
            <w:pPr>
              <w:spacing w:after="0" w:line="259" w:lineRule="auto"/>
              <w:ind w:left="0" w:firstLine="0"/>
            </w:pPr>
            <w:r>
              <w:rPr>
                <w:sz w:val="20"/>
              </w:rPr>
              <w:t xml:space="preserve"> </w:t>
            </w:r>
            <w:r>
              <w:rPr>
                <w:sz w:val="20"/>
              </w:rPr>
              <w:tab/>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vAlign w:val="center"/>
          </w:tcPr>
          <w:p w:rsidR="004D6F0E" w:rsidRDefault="00490F21">
            <w:pPr>
              <w:tabs>
                <w:tab w:val="center" w:pos="3769"/>
              </w:tabs>
              <w:spacing w:after="0" w:line="259" w:lineRule="auto"/>
              <w:ind w:left="0" w:firstLine="0"/>
            </w:pPr>
            <w:r>
              <w:rPr>
                <w:sz w:val="20"/>
              </w:rPr>
              <w:t xml:space="preserve">&gt; </w:t>
            </w:r>
            <w:r>
              <w:rPr>
                <w:sz w:val="20"/>
              </w:rPr>
              <w:t>亞洲（日本以外）股票基金</w:t>
            </w:r>
            <w:r>
              <w:rPr>
                <w:sz w:val="20"/>
              </w:rPr>
              <w:t xml:space="preserve"> </w:t>
            </w:r>
            <w:r>
              <w:rPr>
                <w:sz w:val="20"/>
              </w:rPr>
              <w:tab/>
              <w:t xml:space="preserve">&gt; </w:t>
            </w:r>
            <w:r>
              <w:rPr>
                <w:sz w:val="20"/>
              </w:rPr>
              <w:t>美元收益基金</w:t>
            </w:r>
            <w:r>
              <w:rPr>
                <w:sz w:val="20"/>
              </w:rPr>
              <w:t xml:space="preserve"> </w:t>
            </w:r>
          </w:p>
        </w:tc>
      </w:tr>
      <w:tr w:rsidR="004D6F0E">
        <w:trPr>
          <w:trHeight w:val="422"/>
        </w:trPr>
        <w:tc>
          <w:tcPr>
            <w:tcW w:w="2460" w:type="dxa"/>
            <w:tcBorders>
              <w:top w:val="nil"/>
              <w:left w:val="nil"/>
              <w:bottom w:val="nil"/>
              <w:right w:val="nil"/>
            </w:tcBorders>
            <w:vAlign w:val="center"/>
          </w:tcPr>
          <w:p w:rsidR="004D6F0E" w:rsidRDefault="00490F21">
            <w:pPr>
              <w:spacing w:after="0" w:line="259" w:lineRule="auto"/>
              <w:ind w:left="0" w:firstLine="0"/>
            </w:pPr>
            <w:r>
              <w:rPr>
                <w:sz w:val="20"/>
              </w:rPr>
              <w:t xml:space="preserve"> </w:t>
            </w:r>
            <w:r>
              <w:rPr>
                <w:sz w:val="20"/>
              </w:rPr>
              <w:tab/>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vAlign w:val="center"/>
          </w:tcPr>
          <w:p w:rsidR="004D6F0E" w:rsidRDefault="00490F21">
            <w:pPr>
              <w:tabs>
                <w:tab w:val="center" w:pos="3769"/>
              </w:tabs>
              <w:spacing w:after="0" w:line="259" w:lineRule="auto"/>
              <w:ind w:left="0" w:firstLine="0"/>
            </w:pPr>
            <w:r>
              <w:rPr>
                <w:sz w:val="20"/>
              </w:rPr>
              <w:t xml:space="preserve">&gt; </w:t>
            </w:r>
            <w:r>
              <w:rPr>
                <w:sz w:val="20"/>
              </w:rPr>
              <w:t>日本策略價值基金</w:t>
            </w:r>
            <w:r>
              <w:rPr>
                <w:sz w:val="20"/>
              </w:rPr>
              <w:t xml:space="preserve"> </w:t>
            </w:r>
            <w:r>
              <w:rPr>
                <w:sz w:val="20"/>
              </w:rPr>
              <w:tab/>
              <w:t xml:space="preserve">&gt; </w:t>
            </w:r>
            <w:r>
              <w:rPr>
                <w:sz w:val="20"/>
              </w:rPr>
              <w:t>歐洲收益基金</w:t>
            </w:r>
            <w:r>
              <w:rPr>
                <w:sz w:val="20"/>
              </w:rPr>
              <w:t xml:space="preserve"> </w:t>
            </w:r>
          </w:p>
        </w:tc>
      </w:tr>
      <w:tr w:rsidR="004D6F0E">
        <w:trPr>
          <w:trHeight w:val="425"/>
        </w:trPr>
        <w:tc>
          <w:tcPr>
            <w:tcW w:w="2460" w:type="dxa"/>
            <w:tcBorders>
              <w:top w:val="nil"/>
              <w:left w:val="nil"/>
              <w:bottom w:val="nil"/>
              <w:right w:val="nil"/>
            </w:tcBorders>
            <w:vAlign w:val="center"/>
          </w:tcPr>
          <w:p w:rsidR="004D6F0E" w:rsidRDefault="00490F21">
            <w:pPr>
              <w:spacing w:after="0" w:line="259" w:lineRule="auto"/>
              <w:ind w:left="0" w:firstLine="0"/>
            </w:pPr>
            <w:r>
              <w:rPr>
                <w:sz w:val="20"/>
              </w:rPr>
              <w:t xml:space="preserve"> </w:t>
            </w:r>
            <w:r>
              <w:rPr>
                <w:sz w:val="20"/>
              </w:rPr>
              <w:tab/>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vAlign w:val="center"/>
          </w:tcPr>
          <w:p w:rsidR="004D6F0E" w:rsidRDefault="00490F21">
            <w:pPr>
              <w:tabs>
                <w:tab w:val="right" w:pos="4993"/>
              </w:tabs>
              <w:spacing w:after="0" w:line="259" w:lineRule="auto"/>
              <w:ind w:left="0" w:firstLine="0"/>
            </w:pPr>
            <w:r>
              <w:rPr>
                <w:sz w:val="20"/>
              </w:rPr>
              <w:t xml:space="preserve">&gt; </w:t>
            </w:r>
            <w:r>
              <w:rPr>
                <w:sz w:val="20"/>
              </w:rPr>
              <w:t>中國低波幅策略股票基金</w:t>
            </w:r>
            <w:r>
              <w:rPr>
                <w:sz w:val="20"/>
              </w:rPr>
              <w:t xml:space="preserve"> </w:t>
            </w:r>
            <w:r>
              <w:rPr>
                <w:sz w:val="20"/>
              </w:rPr>
              <w:tab/>
              <w:t xml:space="preserve">&gt; </w:t>
            </w:r>
            <w:r>
              <w:rPr>
                <w:sz w:val="20"/>
              </w:rPr>
              <w:t>新興市場債券基金</w:t>
            </w:r>
            <w:r>
              <w:rPr>
                <w:sz w:val="20"/>
              </w:rPr>
              <w:t xml:space="preserve"> </w:t>
            </w:r>
          </w:p>
        </w:tc>
      </w:tr>
      <w:tr w:rsidR="004D6F0E">
        <w:trPr>
          <w:trHeight w:val="424"/>
        </w:trPr>
        <w:tc>
          <w:tcPr>
            <w:tcW w:w="2460" w:type="dxa"/>
            <w:tcBorders>
              <w:top w:val="nil"/>
              <w:left w:val="nil"/>
              <w:bottom w:val="nil"/>
              <w:right w:val="nil"/>
            </w:tcBorders>
            <w:vAlign w:val="center"/>
          </w:tcPr>
          <w:p w:rsidR="004D6F0E" w:rsidRDefault="00490F21">
            <w:pPr>
              <w:spacing w:after="0" w:line="259" w:lineRule="auto"/>
              <w:ind w:left="0" w:firstLine="0"/>
            </w:pPr>
            <w:r>
              <w:rPr>
                <w:sz w:val="20"/>
              </w:rPr>
              <w:t xml:space="preserve"> </w:t>
            </w:r>
            <w:r>
              <w:rPr>
                <w:sz w:val="20"/>
              </w:rPr>
              <w:tab/>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vAlign w:val="center"/>
          </w:tcPr>
          <w:p w:rsidR="004D6F0E" w:rsidRDefault="00490F21">
            <w:pPr>
              <w:tabs>
                <w:tab w:val="center" w:pos="341"/>
                <w:tab w:val="center" w:pos="3769"/>
              </w:tabs>
              <w:spacing w:after="0" w:line="259" w:lineRule="auto"/>
              <w:ind w:left="0" w:firstLine="0"/>
            </w:pPr>
            <w:r>
              <w:rPr>
                <w:sz w:val="20"/>
              </w:rPr>
              <w:t xml:space="preserve"> </w:t>
            </w:r>
            <w:r>
              <w:rPr>
                <w:sz w:val="20"/>
              </w:rPr>
              <w:tab/>
              <w:t xml:space="preserve"> </w:t>
            </w:r>
            <w:r>
              <w:rPr>
                <w:sz w:val="20"/>
              </w:rPr>
              <w:tab/>
              <w:t xml:space="preserve">&gt; </w:t>
            </w:r>
            <w:r>
              <w:rPr>
                <w:sz w:val="20"/>
              </w:rPr>
              <w:t>按揭收益基金</w:t>
            </w:r>
            <w:r>
              <w:rPr>
                <w:sz w:val="20"/>
              </w:rPr>
              <w:t xml:space="preserve"> </w:t>
            </w:r>
          </w:p>
        </w:tc>
      </w:tr>
      <w:tr w:rsidR="004D6F0E">
        <w:trPr>
          <w:trHeight w:val="603"/>
        </w:trPr>
        <w:tc>
          <w:tcPr>
            <w:tcW w:w="2460" w:type="dxa"/>
            <w:tcBorders>
              <w:top w:val="nil"/>
              <w:left w:val="nil"/>
              <w:bottom w:val="nil"/>
              <w:right w:val="nil"/>
            </w:tcBorders>
          </w:tcPr>
          <w:p w:rsidR="004D6F0E" w:rsidRDefault="00490F21">
            <w:pPr>
              <w:spacing w:after="0" w:line="259" w:lineRule="auto"/>
              <w:ind w:left="0" w:firstLine="0"/>
            </w:pPr>
            <w:r>
              <w:rPr>
                <w:sz w:val="20"/>
              </w:rPr>
              <w:t xml:space="preserve"> </w:t>
            </w:r>
            <w:r>
              <w:rPr>
                <w:sz w:val="20"/>
              </w:rPr>
              <w:tab/>
              <w:t xml:space="preserve"> </w:t>
            </w:r>
          </w:p>
        </w:tc>
        <w:tc>
          <w:tcPr>
            <w:tcW w:w="540" w:type="dxa"/>
            <w:tcBorders>
              <w:top w:val="nil"/>
              <w:left w:val="nil"/>
              <w:bottom w:val="nil"/>
              <w:right w:val="nil"/>
            </w:tcBorders>
          </w:tcPr>
          <w:p w:rsidR="004D6F0E" w:rsidRDefault="004D6F0E">
            <w:pPr>
              <w:spacing w:after="160" w:line="259" w:lineRule="auto"/>
              <w:ind w:left="0" w:firstLine="0"/>
            </w:pPr>
          </w:p>
        </w:tc>
        <w:tc>
          <w:tcPr>
            <w:tcW w:w="4993" w:type="dxa"/>
            <w:tcBorders>
              <w:top w:val="nil"/>
              <w:left w:val="nil"/>
              <w:bottom w:val="nil"/>
              <w:right w:val="nil"/>
            </w:tcBorders>
          </w:tcPr>
          <w:p w:rsidR="004D6F0E" w:rsidRDefault="00490F21">
            <w:pPr>
              <w:spacing w:after="0" w:line="259" w:lineRule="auto"/>
              <w:ind w:left="0" w:firstLine="0"/>
            </w:pPr>
            <w:r>
              <w:rPr>
                <w:sz w:val="20"/>
              </w:rPr>
              <w:t xml:space="preserve"> </w:t>
            </w:r>
            <w:r>
              <w:rPr>
                <w:sz w:val="20"/>
              </w:rPr>
              <w:tab/>
              <w:t xml:space="preserve"> </w:t>
            </w:r>
            <w:r>
              <w:rPr>
                <w:sz w:val="20"/>
              </w:rPr>
              <w:tab/>
              <w:t xml:space="preserve"> </w:t>
            </w:r>
            <w:r>
              <w:rPr>
                <w:sz w:val="20"/>
              </w:rPr>
              <w:tab/>
              <w:t xml:space="preserve"> </w:t>
            </w:r>
          </w:p>
        </w:tc>
      </w:tr>
      <w:tr w:rsidR="004D6F0E">
        <w:trPr>
          <w:trHeight w:val="1359"/>
        </w:trPr>
        <w:tc>
          <w:tcPr>
            <w:tcW w:w="2460"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p>
        </w:tc>
        <w:tc>
          <w:tcPr>
            <w:tcW w:w="5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4"/>
              </w:rPr>
              <w:t xml:space="preserve"> </w:t>
            </w:r>
          </w:p>
        </w:tc>
        <w:tc>
          <w:tcPr>
            <w:tcW w:w="4993" w:type="dxa"/>
            <w:tcBorders>
              <w:top w:val="nil"/>
              <w:left w:val="nil"/>
              <w:bottom w:val="nil"/>
              <w:right w:val="nil"/>
            </w:tcBorders>
          </w:tcPr>
          <w:p w:rsidR="004D6F0E" w:rsidRDefault="00490F21">
            <w:pPr>
              <w:tabs>
                <w:tab w:val="center" w:pos="1537"/>
                <w:tab w:val="center" w:pos="2839"/>
                <w:tab w:val="center" w:pos="3221"/>
              </w:tabs>
              <w:spacing w:after="0" w:line="259" w:lineRule="auto"/>
              <w:ind w:left="0" w:firstLine="0"/>
            </w:pPr>
            <w:r>
              <w:rPr>
                <w:rFonts w:ascii="Calibri" w:eastAsia="Calibri" w:hAnsi="Calibri" w:cs="Calibri"/>
                <w:sz w:val="22"/>
              </w:rPr>
              <w:tab/>
            </w:r>
            <w:r>
              <w:rPr>
                <w:rFonts w:ascii="Arial" w:eastAsia="Arial" w:hAnsi="Arial" w:cs="Arial"/>
                <w:b/>
                <w:sz w:val="20"/>
              </w:rPr>
              <w:t>2023</w:t>
            </w:r>
            <w:r>
              <w:rPr>
                <w:sz w:val="20"/>
              </w:rPr>
              <w:t>年</w:t>
            </w:r>
            <w:r>
              <w:rPr>
                <w:rFonts w:ascii="Arial" w:eastAsia="Arial" w:hAnsi="Arial" w:cs="Arial"/>
                <w:b/>
                <w:sz w:val="20"/>
              </w:rPr>
              <w:t>4</w:t>
            </w:r>
            <w:r>
              <w:rPr>
                <w:sz w:val="20"/>
              </w:rPr>
              <w:t>月</w:t>
            </w: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 </w:t>
            </w:r>
            <w:r>
              <w:rPr>
                <w:rFonts w:ascii="Arial" w:eastAsia="Arial" w:hAnsi="Arial" w:cs="Arial"/>
                <w:sz w:val="24"/>
              </w:rPr>
              <w:tab/>
              <w:t xml:space="preserve"> </w:t>
            </w:r>
          </w:p>
        </w:tc>
      </w:tr>
    </w:tbl>
    <w:p w:rsidR="004D6F0E" w:rsidRDefault="00490F21">
      <w:pPr>
        <w:spacing w:after="0" w:line="258" w:lineRule="auto"/>
        <w:ind w:left="-13" w:firstLine="3"/>
      </w:pPr>
      <w:r>
        <w:rPr>
          <w:sz w:val="21"/>
        </w:rPr>
        <w:t>聯博是根據盧森堡大公國法律組成的互惠投資基金</w:t>
      </w:r>
      <w:r>
        <w:rPr>
          <w:sz w:val="21"/>
        </w:rPr>
        <w:t xml:space="preserve"> (</w:t>
      </w:r>
      <w:r>
        <w:rPr>
          <w:rFonts w:ascii="Arial" w:eastAsia="Arial" w:hAnsi="Arial" w:cs="Arial"/>
          <w:i/>
          <w:sz w:val="20"/>
        </w:rPr>
        <w:t>fonds commun de placement</w:t>
      </w:r>
      <w:r>
        <w:rPr>
          <w:sz w:val="21"/>
        </w:rPr>
        <w:t>)</w:t>
      </w:r>
      <w:r>
        <w:rPr>
          <w:sz w:val="21"/>
        </w:rPr>
        <w:t>，法定名稱為</w:t>
      </w:r>
      <w:r>
        <w:rPr>
          <w:rFonts w:ascii="Arial" w:eastAsia="Arial" w:hAnsi="Arial" w:cs="Arial"/>
          <w:i/>
          <w:sz w:val="20"/>
        </w:rPr>
        <w:t xml:space="preserve">AB FCP I </w:t>
      </w:r>
      <w:r>
        <w:rPr>
          <w:sz w:val="21"/>
        </w:rPr>
        <w:t>（「本傘子基金」）。購買指示僅可在</w:t>
      </w:r>
      <w:r>
        <w:rPr>
          <w:rFonts w:ascii="Arial" w:eastAsia="Arial" w:hAnsi="Arial" w:cs="Arial"/>
          <w:i/>
          <w:sz w:val="20"/>
        </w:rPr>
        <w:t>2023</w:t>
      </w:r>
      <w:r>
        <w:rPr>
          <w:sz w:val="21"/>
        </w:rPr>
        <w:t>年</w:t>
      </w:r>
      <w:r>
        <w:rPr>
          <w:rFonts w:ascii="Arial" w:eastAsia="Arial" w:hAnsi="Arial" w:cs="Arial"/>
          <w:i/>
          <w:sz w:val="20"/>
        </w:rPr>
        <w:t>3</w:t>
      </w:r>
      <w:r>
        <w:rPr>
          <w:sz w:val="21"/>
        </w:rPr>
        <w:t>月</w:t>
      </w:r>
      <w:r>
        <w:rPr>
          <w:rFonts w:ascii="Arial" w:eastAsia="Arial" w:hAnsi="Arial" w:cs="Arial"/>
          <w:i/>
          <w:sz w:val="20"/>
        </w:rPr>
        <w:t>31</w:t>
      </w:r>
      <w:r>
        <w:rPr>
          <w:sz w:val="21"/>
        </w:rPr>
        <w:t>日刊發的本傘子基金認購章程（「認購章程」）以及此份致香港投資者補充資料說明（本「香港補充資料」）的基礎上獲得接納。上述兩份文件共同組成本傘子基金在中華人民共和國香港特別行政區（「香港」）銷售本傘子基金股份的發售文件（「香港發售文件」）。</w:t>
      </w:r>
      <w:r>
        <w:rPr>
          <w:sz w:val="20"/>
        </w:rPr>
        <w:t xml:space="preserve"> </w:t>
      </w:r>
    </w:p>
    <w:p w:rsidR="004D6F0E" w:rsidRDefault="00490F21">
      <w:pPr>
        <w:spacing w:after="10" w:line="259" w:lineRule="auto"/>
        <w:ind w:left="13" w:firstLine="0"/>
      </w:pPr>
      <w:r>
        <w:rPr>
          <w:sz w:val="20"/>
        </w:rPr>
        <w:t xml:space="preserve"> </w:t>
      </w:r>
    </w:p>
    <w:p w:rsidR="004D6F0E" w:rsidRDefault="00490F21">
      <w:pPr>
        <w:spacing w:after="0" w:line="258" w:lineRule="auto"/>
        <w:ind w:left="-13" w:firstLine="3"/>
      </w:pPr>
      <w:r>
        <w:rPr>
          <w:sz w:val="21"/>
        </w:rPr>
        <w:t>倘若</w:t>
      </w:r>
      <w:r>
        <w:rPr>
          <w:sz w:val="21"/>
        </w:rPr>
        <w:t xml:space="preserve">  </w:t>
      </w:r>
      <w:r>
        <w:rPr>
          <w:sz w:val="21"/>
        </w:rPr>
        <w:t>閣下對認購章程、本香港補充資料或本文隨附之財務報表的內容有任何疑問，應徵詢獨立專業人員的意見。</w:t>
      </w:r>
      <w:r>
        <w:rPr>
          <w:sz w:val="21"/>
        </w:rPr>
        <w:t xml:space="preserve"> </w:t>
      </w:r>
    </w:p>
    <w:p w:rsidR="004D6F0E" w:rsidRDefault="00490F21">
      <w:pPr>
        <w:spacing w:after="60" w:line="259" w:lineRule="auto"/>
        <w:ind w:left="13" w:firstLine="0"/>
      </w:pPr>
      <w:r>
        <w:rPr>
          <w:sz w:val="20"/>
        </w:rPr>
        <w:t xml:space="preserve"> </w:t>
      </w:r>
    </w:p>
    <w:p w:rsidR="004D6F0E" w:rsidRDefault="00490F21">
      <w:pPr>
        <w:spacing w:after="3233" w:line="259" w:lineRule="auto"/>
        <w:ind w:left="13"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spacing w:after="125" w:line="259" w:lineRule="auto"/>
        <w:ind w:left="0" w:right="244" w:firstLine="0"/>
        <w:jc w:val="center"/>
      </w:pPr>
      <w:r>
        <w:rPr>
          <w:rFonts w:ascii="Times New Roman" w:eastAsia="Times New Roman" w:hAnsi="Times New Roman" w:cs="Times New Roman"/>
          <w:sz w:val="22"/>
        </w:rPr>
        <w:lastRenderedPageBreak/>
        <w:t xml:space="preserve">-1- </w:t>
      </w:r>
    </w:p>
    <w:p w:rsidR="004D6F0E" w:rsidRDefault="00490F21">
      <w:pPr>
        <w:spacing w:after="211" w:line="259" w:lineRule="auto"/>
        <w:ind w:left="16" w:firstLine="0"/>
      </w:pPr>
      <w:r>
        <w:rPr>
          <w:rFonts w:ascii="Arial" w:eastAsia="Arial" w:hAnsi="Arial" w:cs="Arial"/>
          <w:sz w:val="12"/>
        </w:rPr>
        <w:t xml:space="preserve"> </w:t>
      </w:r>
    </w:p>
    <w:p w:rsidR="004D6F0E" w:rsidRDefault="00490F21">
      <w:pPr>
        <w:spacing w:after="0" w:line="259" w:lineRule="auto"/>
        <w:ind w:left="16" w:firstLine="0"/>
      </w:pPr>
      <w:r>
        <w:rPr>
          <w:rFonts w:ascii="Arial" w:eastAsia="Arial" w:hAnsi="Arial" w:cs="Arial"/>
          <w:sz w:val="12"/>
        </w:rPr>
        <w:t xml:space="preserve"> </w:t>
      </w:r>
    </w:p>
    <w:p w:rsidR="004D6F0E" w:rsidRDefault="00490F21">
      <w:pPr>
        <w:spacing w:after="0" w:line="270" w:lineRule="auto"/>
      </w:pPr>
      <w:r>
        <w:rPr>
          <w:sz w:val="20"/>
        </w:rPr>
        <w:t>重要提示</w:t>
      </w:r>
      <w:r>
        <w:rPr>
          <w:sz w:val="20"/>
        </w:rPr>
        <w:t xml:space="preserve"> </w:t>
      </w:r>
    </w:p>
    <w:p w:rsidR="004D6F0E" w:rsidRDefault="00490F21">
      <w:pPr>
        <w:spacing w:after="7" w:line="259" w:lineRule="auto"/>
        <w:ind w:left="16" w:firstLine="0"/>
      </w:pPr>
      <w:r>
        <w:rPr>
          <w:rFonts w:ascii="Arial" w:eastAsia="Arial" w:hAnsi="Arial" w:cs="Arial"/>
          <w:b/>
        </w:rPr>
        <w:t xml:space="preserve"> </w:t>
      </w:r>
    </w:p>
    <w:p w:rsidR="004D6F0E" w:rsidRDefault="00490F21">
      <w:pPr>
        <w:pBdr>
          <w:top w:val="single" w:sz="4" w:space="0" w:color="000000"/>
          <w:left w:val="single" w:sz="4" w:space="0" w:color="000000"/>
          <w:bottom w:val="single" w:sz="4" w:space="0" w:color="000000"/>
          <w:right w:val="single" w:sz="4" w:space="0" w:color="000000"/>
        </w:pBdr>
        <w:spacing w:after="1" w:line="272" w:lineRule="auto"/>
        <w:ind w:left="131" w:hanging="10"/>
      </w:pPr>
      <w:r>
        <w:rPr>
          <w:sz w:val="20"/>
        </w:rPr>
        <w:t>警告：敬請注意，認購章程為一份全球發售文件，因此亦包含若干未獲證券及期貨事務監察委員會（「證監會」）認可的有關向香港公眾提呈發售的基金，或並非供香港投資者認購的單位類別的詳情。</w:t>
      </w:r>
      <w:r>
        <w:rPr>
          <w:sz w:val="20"/>
        </w:rPr>
        <w:t xml:space="preserve"> </w:t>
      </w:r>
    </w:p>
    <w:p w:rsidR="004D6F0E" w:rsidRDefault="00490F21">
      <w:pPr>
        <w:pBdr>
          <w:top w:val="single" w:sz="4" w:space="0" w:color="000000"/>
          <w:left w:val="single" w:sz="4" w:space="0" w:color="000000"/>
          <w:bottom w:val="single" w:sz="4" w:space="0" w:color="000000"/>
          <w:right w:val="single" w:sz="4" w:space="0" w:color="000000"/>
        </w:pBdr>
        <w:spacing w:after="10" w:line="259" w:lineRule="auto"/>
        <w:ind w:left="121" w:firstLine="0"/>
      </w:pPr>
      <w:r>
        <w:rPr>
          <w:sz w:val="20"/>
        </w:rPr>
        <w:t xml:space="preserve"> </w:t>
      </w:r>
    </w:p>
    <w:p w:rsidR="004D6F0E" w:rsidRDefault="00490F21">
      <w:pPr>
        <w:pBdr>
          <w:top w:val="single" w:sz="4" w:space="0" w:color="000000"/>
          <w:left w:val="single" w:sz="4" w:space="0" w:color="000000"/>
          <w:bottom w:val="single" w:sz="4" w:space="0" w:color="000000"/>
          <w:right w:val="single" w:sz="4" w:space="0" w:color="000000"/>
        </w:pBdr>
        <w:spacing w:after="1" w:line="272" w:lineRule="auto"/>
        <w:ind w:left="131" w:hanging="10"/>
      </w:pPr>
      <w:r>
        <w:rPr>
          <w:sz w:val="20"/>
        </w:rPr>
        <w:t>投資者應注意，本傘子基金的香港發售文件獲授權刊發的條件為管理公司須確保只有獲證監會認可的基金的單位類別方能列入本香港補充資料第</w:t>
      </w:r>
      <w:r>
        <w:rPr>
          <w:sz w:val="20"/>
        </w:rPr>
        <w:t xml:space="preserve"> </w:t>
      </w:r>
      <w:r>
        <w:rPr>
          <w:rFonts w:ascii="Arial" w:eastAsia="Arial" w:hAnsi="Arial" w:cs="Arial"/>
          <w:sz w:val="20"/>
        </w:rPr>
        <w:t>4</w:t>
      </w:r>
      <w:r>
        <w:rPr>
          <w:sz w:val="20"/>
        </w:rPr>
        <w:t xml:space="preserve"> </w:t>
      </w:r>
      <w:r>
        <w:rPr>
          <w:sz w:val="20"/>
        </w:rPr>
        <w:t>至</w:t>
      </w:r>
      <w:r>
        <w:rPr>
          <w:sz w:val="20"/>
        </w:rPr>
        <w:t xml:space="preserve"> </w:t>
      </w:r>
      <w:r>
        <w:rPr>
          <w:rFonts w:ascii="Arial" w:eastAsia="Arial" w:hAnsi="Arial" w:cs="Arial"/>
          <w:sz w:val="20"/>
        </w:rPr>
        <w:t>6</w:t>
      </w:r>
      <w:r>
        <w:rPr>
          <w:sz w:val="20"/>
        </w:rPr>
        <w:t xml:space="preserve"> </w:t>
      </w:r>
      <w:r>
        <w:rPr>
          <w:sz w:val="20"/>
        </w:rPr>
        <w:t>頁，該等單位類別乃指定供香港投資者認購，且須向香港公眾提呈發售。</w:t>
      </w:r>
      <w:r>
        <w:rPr>
          <w:sz w:val="20"/>
        </w:rPr>
        <w:t xml:space="preserve"> </w:t>
      </w:r>
    </w:p>
    <w:p w:rsidR="004D6F0E" w:rsidRDefault="00490F21">
      <w:pPr>
        <w:pBdr>
          <w:top w:val="single" w:sz="4" w:space="0" w:color="000000"/>
          <w:left w:val="single" w:sz="4" w:space="0" w:color="000000"/>
          <w:bottom w:val="single" w:sz="4" w:space="0" w:color="000000"/>
          <w:right w:val="single" w:sz="4" w:space="0" w:color="000000"/>
        </w:pBdr>
        <w:spacing w:after="14" w:line="259" w:lineRule="auto"/>
        <w:ind w:left="121" w:firstLine="0"/>
      </w:pPr>
      <w:r>
        <w:rPr>
          <w:sz w:val="20"/>
        </w:rPr>
        <w:t xml:space="preserve"> </w:t>
      </w:r>
    </w:p>
    <w:p w:rsidR="004D6F0E" w:rsidRDefault="00490F21">
      <w:pPr>
        <w:pBdr>
          <w:top w:val="single" w:sz="4" w:space="0" w:color="000000"/>
          <w:left w:val="single" w:sz="4" w:space="0" w:color="000000"/>
          <w:bottom w:val="single" w:sz="4" w:space="0" w:color="000000"/>
          <w:right w:val="single" w:sz="4" w:space="0" w:color="000000"/>
        </w:pBdr>
        <w:spacing w:after="1" w:line="272" w:lineRule="auto"/>
        <w:ind w:left="131" w:hanging="10"/>
      </w:pPr>
      <w:r>
        <w:rPr>
          <w:sz w:val="20"/>
        </w:rPr>
        <w:t>除非香港證券及期貨條例（第</w:t>
      </w:r>
      <w:r>
        <w:rPr>
          <w:sz w:val="20"/>
        </w:rPr>
        <w:t xml:space="preserve"> </w:t>
      </w:r>
      <w:r>
        <w:rPr>
          <w:rFonts w:ascii="Arial" w:eastAsia="Arial" w:hAnsi="Arial" w:cs="Arial"/>
          <w:sz w:val="20"/>
        </w:rPr>
        <w:t>571</w:t>
      </w:r>
      <w:r>
        <w:rPr>
          <w:sz w:val="20"/>
        </w:rPr>
        <w:t xml:space="preserve"> </w:t>
      </w:r>
      <w:r>
        <w:rPr>
          <w:sz w:val="20"/>
        </w:rPr>
        <w:t>章）（「證券及期貨條例」）第</w:t>
      </w:r>
      <w:r>
        <w:rPr>
          <w:sz w:val="20"/>
        </w:rPr>
        <w:t xml:space="preserve"> </w:t>
      </w:r>
      <w:r>
        <w:rPr>
          <w:rFonts w:ascii="Arial" w:eastAsia="Arial" w:hAnsi="Arial" w:cs="Arial"/>
          <w:sz w:val="20"/>
        </w:rPr>
        <w:t>103</w:t>
      </w:r>
      <w:r>
        <w:rPr>
          <w:sz w:val="20"/>
        </w:rPr>
        <w:t xml:space="preserve"> </w:t>
      </w:r>
      <w:r>
        <w:rPr>
          <w:sz w:val="20"/>
        </w:rPr>
        <w:t>條的豁免條例適用，否則將任何未獲證監會認可</w:t>
      </w:r>
      <w:r>
        <w:rPr>
          <w:sz w:val="20"/>
        </w:rPr>
        <w:t>的股份類別發售予香港公眾均屬違法。中介人應留意此項限制。</w:t>
      </w:r>
      <w:r>
        <w:rPr>
          <w:sz w:val="20"/>
        </w:rPr>
        <w:t xml:space="preserve"> </w:t>
      </w:r>
    </w:p>
    <w:p w:rsidR="004D6F0E" w:rsidRDefault="00490F21">
      <w:pPr>
        <w:pBdr>
          <w:top w:val="single" w:sz="4" w:space="0" w:color="000000"/>
          <w:left w:val="single" w:sz="4" w:space="0" w:color="000000"/>
          <w:bottom w:val="single" w:sz="4" w:space="0" w:color="000000"/>
          <w:right w:val="single" w:sz="4" w:space="0" w:color="000000"/>
        </w:pBdr>
        <w:spacing w:after="0" w:line="259" w:lineRule="auto"/>
        <w:ind w:left="121" w:firstLine="0"/>
      </w:pPr>
      <w:r>
        <w:rPr>
          <w:rFonts w:ascii="Arial" w:eastAsia="Arial" w:hAnsi="Arial" w:cs="Arial"/>
          <w:b/>
        </w:rPr>
        <w:t xml:space="preserve"> </w:t>
      </w:r>
    </w:p>
    <w:p w:rsidR="004D6F0E" w:rsidRDefault="00490F21">
      <w:pPr>
        <w:spacing w:after="0" w:line="259" w:lineRule="auto"/>
        <w:ind w:left="16" w:firstLine="0"/>
      </w:pPr>
      <w:r>
        <w:rPr>
          <w:rFonts w:ascii="Arial" w:eastAsia="Arial" w:hAnsi="Arial" w:cs="Arial"/>
          <w:b/>
        </w:rPr>
        <w:t xml:space="preserve"> </w:t>
      </w:r>
    </w:p>
    <w:p w:rsidR="004D6F0E" w:rsidRDefault="00490F21">
      <w:pPr>
        <w:spacing w:after="0" w:line="259" w:lineRule="auto"/>
        <w:ind w:left="16" w:firstLine="0"/>
      </w:pPr>
      <w:r>
        <w:rPr>
          <w:rFonts w:ascii="Arial" w:eastAsia="Arial" w:hAnsi="Arial" w:cs="Arial"/>
          <w:b/>
        </w:rPr>
        <w:t xml:space="preserve"> </w:t>
      </w:r>
      <w:r>
        <w:rPr>
          <w:rFonts w:ascii="Arial" w:eastAsia="Arial" w:hAnsi="Arial" w:cs="Arial"/>
          <w:b/>
        </w:rPr>
        <w:tab/>
        <w:t xml:space="preserve"> </w:t>
      </w:r>
      <w:r>
        <w:br w:type="page"/>
      </w:r>
    </w:p>
    <w:p w:rsidR="004D6F0E" w:rsidRDefault="00490F21">
      <w:pPr>
        <w:spacing w:after="124" w:line="270" w:lineRule="auto"/>
      </w:pPr>
      <w:r>
        <w:rPr>
          <w:sz w:val="20"/>
        </w:rPr>
        <w:lastRenderedPageBreak/>
        <w:t>投資者資訊</w:t>
      </w:r>
      <w:r>
        <w:rPr>
          <w:sz w:val="20"/>
        </w:rPr>
        <w:t xml:space="preserve"> </w:t>
      </w:r>
    </w:p>
    <w:p w:rsidR="004D6F0E" w:rsidRDefault="00490F21">
      <w:pPr>
        <w:spacing w:after="124" w:line="270" w:lineRule="auto"/>
      </w:pPr>
      <w:r>
        <w:rPr>
          <w:sz w:val="20"/>
        </w:rPr>
        <w:t>本香港補充資料旨在列載本傘子基金及其各基金與發售基金予香港投資者具體相關的全部資料。儘管認購章程內有提及，香港代表將僅應要求提供其中提及的</w:t>
      </w:r>
      <w:r>
        <w:rPr>
          <w:rFonts w:ascii="Arial" w:eastAsia="Arial" w:hAnsi="Arial" w:cs="Arial"/>
          <w:sz w:val="20"/>
        </w:rPr>
        <w:t>SFDR</w:t>
      </w:r>
      <w:r>
        <w:rPr>
          <w:sz w:val="20"/>
        </w:rPr>
        <w:t>訂約前披露的英文版本。</w:t>
      </w:r>
      <w:r>
        <w:rPr>
          <w:sz w:val="20"/>
        </w:rPr>
        <w:t xml:space="preserve"> </w:t>
      </w:r>
    </w:p>
    <w:p w:rsidR="004D6F0E" w:rsidRDefault="00490F21">
      <w:pPr>
        <w:spacing w:after="124" w:line="270" w:lineRule="auto"/>
      </w:pPr>
      <w:r>
        <w:rPr>
          <w:sz w:val="20"/>
        </w:rPr>
        <w:t>除文意另有所指，本香港補充資料使用的所有術語與認購章程內的含義相同。</w:t>
      </w:r>
      <w:r>
        <w:rPr>
          <w:sz w:val="20"/>
        </w:rPr>
        <w:t xml:space="preserve"> </w:t>
      </w:r>
    </w:p>
    <w:p w:rsidR="004D6F0E" w:rsidRDefault="00490F21">
      <w:pPr>
        <w:spacing w:after="124" w:line="270" w:lineRule="auto"/>
      </w:pPr>
      <w:r>
        <w:rPr>
          <w:sz w:val="20"/>
        </w:rPr>
        <w:t>管理公司管理人（「管理人」）已採取所有合理謹慎措施，以確保本文件載述的所有事實在本文件刊發之日在所有重要方面均真實準確，且沒有遺漏任何其他重要事實以致本文件的任何陳述（不論是事實方面，還是意見方面）具有誤導性。管理人將承擔相應的責任。</w:t>
      </w:r>
      <w:r>
        <w:rPr>
          <w:sz w:val="20"/>
        </w:rPr>
        <w:t xml:space="preserve"> </w:t>
      </w:r>
    </w:p>
    <w:p w:rsidR="004D6F0E" w:rsidRDefault="00490F21">
      <w:pPr>
        <w:spacing w:after="124" w:line="270" w:lineRule="auto"/>
      </w:pPr>
      <w:r>
        <w:rPr>
          <w:sz w:val="20"/>
        </w:rPr>
        <w:t>如果認購章程與本香港補充資料的內容之間出現任何不一致之處，以後者所列載的資料為準。</w:t>
      </w:r>
      <w:r>
        <w:rPr>
          <w:sz w:val="20"/>
        </w:rPr>
        <w:t xml:space="preserve"> </w:t>
      </w:r>
    </w:p>
    <w:p w:rsidR="004D6F0E" w:rsidRDefault="00490F21">
      <w:pPr>
        <w:spacing w:after="124" w:line="270" w:lineRule="auto"/>
      </w:pPr>
      <w:r>
        <w:rPr>
          <w:sz w:val="20"/>
        </w:rPr>
        <w:t>投資者應留意，基金一般有權使用衍生工具達到對沖、管理風險、以及投資的目的，例如有效管理投資組合及作為投資於相關證券或工具的替代方法等。使用衍生工具可能會涉及額外風險。</w:t>
      </w:r>
      <w:r>
        <w:rPr>
          <w:sz w:val="20"/>
        </w:rPr>
        <w:t xml:space="preserve"> </w:t>
      </w:r>
    </w:p>
    <w:p w:rsidR="004D6F0E" w:rsidRDefault="00490F21">
      <w:pPr>
        <w:spacing w:after="124" w:line="268" w:lineRule="auto"/>
        <w:ind w:left="11" w:right="114" w:hanging="10"/>
        <w:jc w:val="both"/>
      </w:pPr>
      <w:r>
        <w:rPr>
          <w:sz w:val="20"/>
        </w:rPr>
        <w:t>本傘子基金創立於</w:t>
      </w:r>
      <w:r>
        <w:rPr>
          <w:sz w:val="20"/>
        </w:rPr>
        <w:t xml:space="preserve"> </w:t>
      </w:r>
      <w:r>
        <w:rPr>
          <w:rFonts w:ascii="Arial" w:eastAsia="Arial" w:hAnsi="Arial" w:cs="Arial"/>
          <w:sz w:val="20"/>
        </w:rPr>
        <w:t>1991</w:t>
      </w:r>
      <w:r>
        <w:rPr>
          <w:sz w:val="20"/>
        </w:rPr>
        <w:t xml:space="preserve"> </w:t>
      </w:r>
      <w:r>
        <w:rPr>
          <w:sz w:val="20"/>
        </w:rPr>
        <w:t>年</w:t>
      </w:r>
      <w:r>
        <w:rPr>
          <w:sz w:val="20"/>
        </w:rPr>
        <w:t xml:space="preserve"> </w:t>
      </w:r>
      <w:r>
        <w:rPr>
          <w:rFonts w:ascii="Arial" w:eastAsia="Arial" w:hAnsi="Arial" w:cs="Arial"/>
          <w:sz w:val="20"/>
        </w:rPr>
        <w:t xml:space="preserve">8 </w:t>
      </w:r>
      <w:r>
        <w:rPr>
          <w:sz w:val="20"/>
        </w:rPr>
        <w:t>月</w:t>
      </w:r>
      <w:r>
        <w:rPr>
          <w:sz w:val="20"/>
        </w:rPr>
        <w:t xml:space="preserve"> </w:t>
      </w:r>
      <w:r>
        <w:rPr>
          <w:rFonts w:ascii="Arial" w:eastAsia="Arial" w:hAnsi="Arial" w:cs="Arial"/>
          <w:sz w:val="20"/>
        </w:rPr>
        <w:t>21</w:t>
      </w:r>
      <w:r>
        <w:rPr>
          <w:sz w:val="20"/>
        </w:rPr>
        <w:t xml:space="preserve"> </w:t>
      </w:r>
      <w:r>
        <w:rPr>
          <w:sz w:val="20"/>
        </w:rPr>
        <w:t>日，其註冊地址為</w:t>
      </w:r>
      <w:r>
        <w:rPr>
          <w:sz w:val="20"/>
        </w:rPr>
        <w:t xml:space="preserve"> </w:t>
      </w:r>
      <w:r>
        <w:rPr>
          <w:rFonts w:ascii="Arial" w:eastAsia="Arial" w:hAnsi="Arial" w:cs="Arial"/>
          <w:sz w:val="20"/>
        </w:rPr>
        <w:t>2-4, rue Eugène Ruppert, L-2453 Luxembourg</w:t>
      </w:r>
      <w:r>
        <w:rPr>
          <w:sz w:val="20"/>
        </w:rPr>
        <w:t>。</w:t>
      </w:r>
      <w:r>
        <w:rPr>
          <w:sz w:val="20"/>
        </w:rPr>
        <w:t xml:space="preserve"> </w:t>
      </w:r>
    </w:p>
    <w:p w:rsidR="004D6F0E" w:rsidRDefault="00490F21">
      <w:pPr>
        <w:spacing w:after="124" w:line="270" w:lineRule="auto"/>
      </w:pPr>
      <w:r>
        <w:rPr>
          <w:sz w:val="20"/>
        </w:rPr>
        <w:t>香港認可地位</w:t>
      </w:r>
      <w:r>
        <w:rPr>
          <w:sz w:val="20"/>
        </w:rPr>
        <w:t xml:space="preserve"> </w:t>
      </w:r>
    </w:p>
    <w:p w:rsidR="004D6F0E" w:rsidRDefault="00490F21">
      <w:pPr>
        <w:spacing w:after="124" w:line="270" w:lineRule="auto"/>
      </w:pPr>
      <w:r>
        <w:rPr>
          <w:sz w:val="20"/>
        </w:rPr>
        <w:t>警告：就認購章程所載的基金而言，下述基金乃根據證券及期貨條例第</w:t>
      </w:r>
      <w:r>
        <w:rPr>
          <w:sz w:val="20"/>
        </w:rPr>
        <w:t xml:space="preserve"> </w:t>
      </w:r>
      <w:r>
        <w:rPr>
          <w:rFonts w:ascii="Arial" w:eastAsia="Arial" w:hAnsi="Arial" w:cs="Arial"/>
          <w:sz w:val="20"/>
        </w:rPr>
        <w:t xml:space="preserve">104 </w:t>
      </w:r>
      <w:r>
        <w:rPr>
          <w:sz w:val="20"/>
        </w:rPr>
        <w:t>條獲得證監會的認可，而可以向香港公眾提呈發售：</w:t>
      </w:r>
      <w:r>
        <w:rPr>
          <w:sz w:val="20"/>
        </w:rPr>
        <w:t xml:space="preserve"> </w:t>
      </w:r>
    </w:p>
    <w:p w:rsidR="004D6F0E" w:rsidRDefault="00490F21">
      <w:pPr>
        <w:numPr>
          <w:ilvl w:val="0"/>
          <w:numId w:val="1"/>
        </w:numPr>
        <w:spacing w:after="124" w:line="270" w:lineRule="auto"/>
        <w:ind w:hanging="427"/>
      </w:pPr>
      <w:r>
        <w:rPr>
          <w:sz w:val="20"/>
        </w:rPr>
        <w:t>全方位領航基金</w:t>
      </w:r>
      <w:r>
        <w:rPr>
          <w:sz w:val="20"/>
        </w:rPr>
        <w:t xml:space="preserve">  </w:t>
      </w:r>
    </w:p>
    <w:p w:rsidR="004D6F0E" w:rsidRDefault="00490F21">
      <w:pPr>
        <w:numPr>
          <w:ilvl w:val="0"/>
          <w:numId w:val="1"/>
        </w:numPr>
        <w:spacing w:after="124" w:line="270" w:lineRule="auto"/>
        <w:ind w:hanging="427"/>
      </w:pPr>
      <w:r>
        <w:rPr>
          <w:sz w:val="20"/>
        </w:rPr>
        <w:t>環球股票策略基金</w:t>
      </w:r>
      <w:r>
        <w:rPr>
          <w:sz w:val="20"/>
        </w:rPr>
        <w:t xml:space="preserve">  </w:t>
      </w:r>
    </w:p>
    <w:p w:rsidR="004D6F0E" w:rsidRDefault="00490F21">
      <w:pPr>
        <w:numPr>
          <w:ilvl w:val="0"/>
          <w:numId w:val="1"/>
        </w:numPr>
        <w:spacing w:after="124" w:line="270" w:lineRule="auto"/>
        <w:ind w:hanging="427"/>
      </w:pPr>
      <w:r>
        <w:rPr>
          <w:sz w:val="20"/>
        </w:rPr>
        <w:t>新興市場</w:t>
      </w:r>
      <w:r>
        <w:rPr>
          <w:sz w:val="20"/>
        </w:rPr>
        <w:t>增長基金</w:t>
      </w:r>
      <w:r>
        <w:rPr>
          <w:sz w:val="20"/>
        </w:rPr>
        <w:t xml:space="preserve"> </w:t>
      </w:r>
    </w:p>
    <w:p w:rsidR="004D6F0E" w:rsidRDefault="00490F21">
      <w:pPr>
        <w:numPr>
          <w:ilvl w:val="0"/>
          <w:numId w:val="1"/>
        </w:numPr>
        <w:spacing w:after="124" w:line="270" w:lineRule="auto"/>
        <w:ind w:hanging="427"/>
      </w:pPr>
      <w:r>
        <w:rPr>
          <w:sz w:val="20"/>
        </w:rPr>
        <w:t>亞洲（日本以外）股票基金</w:t>
      </w:r>
      <w:r>
        <w:rPr>
          <w:sz w:val="20"/>
        </w:rPr>
        <w:t xml:space="preserve">  </w:t>
      </w:r>
    </w:p>
    <w:p w:rsidR="004D6F0E" w:rsidRDefault="00490F21">
      <w:pPr>
        <w:numPr>
          <w:ilvl w:val="0"/>
          <w:numId w:val="1"/>
        </w:numPr>
        <w:spacing w:after="124" w:line="270" w:lineRule="auto"/>
        <w:ind w:hanging="427"/>
      </w:pPr>
      <w:r>
        <w:rPr>
          <w:sz w:val="20"/>
        </w:rPr>
        <w:t>日本策略價值基金</w:t>
      </w:r>
      <w:r>
        <w:rPr>
          <w:sz w:val="20"/>
        </w:rPr>
        <w:t xml:space="preserve">  </w:t>
      </w:r>
    </w:p>
    <w:p w:rsidR="004D6F0E" w:rsidRDefault="00490F21">
      <w:pPr>
        <w:numPr>
          <w:ilvl w:val="0"/>
          <w:numId w:val="1"/>
        </w:numPr>
        <w:spacing w:after="124" w:line="270" w:lineRule="auto"/>
        <w:ind w:hanging="427"/>
      </w:pPr>
      <w:r>
        <w:rPr>
          <w:sz w:val="20"/>
        </w:rPr>
        <w:t>中國低波幅策略股票基金</w:t>
      </w:r>
      <w:r>
        <w:rPr>
          <w:sz w:val="20"/>
        </w:rPr>
        <w:t xml:space="preserve"> </w:t>
      </w:r>
    </w:p>
    <w:p w:rsidR="004D6F0E" w:rsidRDefault="00490F21">
      <w:pPr>
        <w:numPr>
          <w:ilvl w:val="0"/>
          <w:numId w:val="1"/>
        </w:numPr>
        <w:spacing w:after="124" w:line="270" w:lineRule="auto"/>
        <w:ind w:hanging="427"/>
      </w:pPr>
      <w:r>
        <w:rPr>
          <w:sz w:val="20"/>
        </w:rPr>
        <w:t>短期債券基金</w:t>
      </w:r>
      <w:r>
        <w:rPr>
          <w:sz w:val="20"/>
        </w:rPr>
        <w:t xml:space="preserve"> </w:t>
      </w:r>
    </w:p>
    <w:p w:rsidR="004D6F0E" w:rsidRDefault="00490F21">
      <w:pPr>
        <w:numPr>
          <w:ilvl w:val="0"/>
          <w:numId w:val="1"/>
        </w:numPr>
        <w:spacing w:after="124" w:line="270" w:lineRule="auto"/>
        <w:ind w:hanging="427"/>
      </w:pPr>
      <w:r>
        <w:rPr>
          <w:sz w:val="20"/>
        </w:rPr>
        <w:t>環球高收益基金</w:t>
      </w:r>
      <w:r>
        <w:rPr>
          <w:sz w:val="20"/>
        </w:rPr>
        <w:t xml:space="preserve">  </w:t>
      </w:r>
    </w:p>
    <w:p w:rsidR="004D6F0E" w:rsidRDefault="00490F21">
      <w:pPr>
        <w:numPr>
          <w:ilvl w:val="0"/>
          <w:numId w:val="1"/>
        </w:numPr>
        <w:spacing w:after="124" w:line="270" w:lineRule="auto"/>
        <w:ind w:hanging="427"/>
      </w:pPr>
      <w:r>
        <w:rPr>
          <w:sz w:val="20"/>
        </w:rPr>
        <w:t>美元收益基金</w:t>
      </w:r>
      <w:r>
        <w:rPr>
          <w:sz w:val="20"/>
        </w:rPr>
        <w:t xml:space="preserve">  </w:t>
      </w:r>
    </w:p>
    <w:p w:rsidR="004D6F0E" w:rsidRDefault="00490F21">
      <w:pPr>
        <w:numPr>
          <w:ilvl w:val="0"/>
          <w:numId w:val="1"/>
        </w:numPr>
        <w:spacing w:after="124" w:line="270" w:lineRule="auto"/>
        <w:ind w:hanging="427"/>
      </w:pPr>
      <w:r>
        <w:rPr>
          <w:sz w:val="20"/>
        </w:rPr>
        <w:t>歐洲收益基金</w:t>
      </w:r>
      <w:r>
        <w:rPr>
          <w:sz w:val="20"/>
        </w:rPr>
        <w:t xml:space="preserve">  </w:t>
      </w:r>
    </w:p>
    <w:p w:rsidR="004D6F0E" w:rsidRDefault="00490F21">
      <w:pPr>
        <w:numPr>
          <w:ilvl w:val="0"/>
          <w:numId w:val="1"/>
        </w:numPr>
        <w:spacing w:after="124" w:line="270" w:lineRule="auto"/>
        <w:ind w:hanging="427"/>
      </w:pPr>
      <w:r>
        <w:rPr>
          <w:sz w:val="20"/>
        </w:rPr>
        <w:t>新興市場債券基金</w:t>
      </w:r>
      <w:r>
        <w:rPr>
          <w:sz w:val="20"/>
        </w:rPr>
        <w:t xml:space="preserve">  </w:t>
      </w:r>
    </w:p>
    <w:p w:rsidR="004D6F0E" w:rsidRDefault="00490F21">
      <w:pPr>
        <w:numPr>
          <w:ilvl w:val="0"/>
          <w:numId w:val="1"/>
        </w:numPr>
        <w:spacing w:after="124" w:line="270" w:lineRule="auto"/>
        <w:ind w:hanging="427"/>
      </w:pPr>
      <w:r>
        <w:rPr>
          <w:sz w:val="20"/>
        </w:rPr>
        <w:t>按揭收益基金</w:t>
      </w:r>
      <w:r>
        <w:rPr>
          <w:sz w:val="20"/>
        </w:rPr>
        <w:t xml:space="preserve"> </w:t>
      </w:r>
    </w:p>
    <w:p w:rsidR="004D6F0E" w:rsidRDefault="00490F21">
      <w:pPr>
        <w:spacing w:after="124" w:line="270" w:lineRule="auto"/>
      </w:pPr>
      <w:r>
        <w:rPr>
          <w:sz w:val="20"/>
        </w:rPr>
        <w:t>敬請注意，認購章程為一份全球發售文件，因此亦包含有關未獲證監會認可的股份類別的資料。</w:t>
      </w:r>
      <w:r>
        <w:rPr>
          <w:sz w:val="20"/>
        </w:rPr>
        <w:t xml:space="preserve"> </w:t>
      </w:r>
    </w:p>
    <w:p w:rsidR="004D6F0E" w:rsidRDefault="00490F21">
      <w:pPr>
        <w:spacing w:after="124" w:line="270" w:lineRule="auto"/>
      </w:pPr>
      <w:r>
        <w:rPr>
          <w:sz w:val="20"/>
        </w:rPr>
        <w:t>未獲認可基金概不可向香港公眾提呈發售。證監會僅就向香港公眾提呈發售上述獲證監會認可基金而授權刊發認購章程。</w:t>
      </w:r>
      <w:r>
        <w:rPr>
          <w:sz w:val="20"/>
        </w:rPr>
        <w:t xml:space="preserve"> </w:t>
      </w:r>
    </w:p>
    <w:p w:rsidR="004D6F0E" w:rsidRDefault="00490F21">
      <w:pPr>
        <w:spacing w:after="124" w:line="270" w:lineRule="auto"/>
      </w:pPr>
      <w:r>
        <w:rPr>
          <w:sz w:val="20"/>
        </w:rPr>
        <w:lastRenderedPageBreak/>
        <w:t>中介人應留意此項限制。</w:t>
      </w:r>
      <w:r>
        <w:rPr>
          <w:sz w:val="20"/>
        </w:rPr>
        <w:t xml:space="preserve"> </w:t>
      </w:r>
    </w:p>
    <w:p w:rsidR="004D6F0E" w:rsidRDefault="00490F21">
      <w:pPr>
        <w:spacing w:after="124" w:line="270" w:lineRule="auto"/>
      </w:pPr>
      <w:r>
        <w:rPr>
          <w:sz w:val="20"/>
        </w:rPr>
        <w:t>證監會認可並不等同推薦或認許本傘子基金或此等基金，亦不保證本傘子基金或任何基金的商業素質或其表現。這並不意味本傘子基金及此等基金適合所有投資者，亦並不認許其適合任何特定投資者或類別投資者。</w:t>
      </w:r>
      <w:r>
        <w:rPr>
          <w:rFonts w:ascii="Arial" w:eastAsia="Arial" w:hAnsi="Arial" w:cs="Arial"/>
        </w:rPr>
        <w:t xml:space="preserve"> </w:t>
      </w:r>
    </w:p>
    <w:p w:rsidR="004D6F0E" w:rsidRDefault="00490F21">
      <w:pPr>
        <w:spacing w:after="0" w:line="259" w:lineRule="auto"/>
        <w:ind w:left="16" w:firstLine="0"/>
      </w:pPr>
      <w:r>
        <w:rPr>
          <w:rFonts w:ascii="Arial" w:eastAsia="Arial" w:hAnsi="Arial" w:cs="Arial"/>
        </w:rPr>
        <w:t xml:space="preserve"> </w:t>
      </w:r>
      <w:r>
        <w:rPr>
          <w:rFonts w:ascii="Arial" w:eastAsia="Arial" w:hAnsi="Arial" w:cs="Arial"/>
        </w:rPr>
        <w:tab/>
        <w:t xml:space="preserve"> </w:t>
      </w:r>
    </w:p>
    <w:p w:rsidR="004D6F0E" w:rsidRDefault="00490F21">
      <w:pPr>
        <w:spacing w:after="4" w:line="270" w:lineRule="auto"/>
      </w:pPr>
      <w:r>
        <w:rPr>
          <w:sz w:val="20"/>
        </w:rPr>
        <w:t>向香港公眾提呈發售的股份類別如下</w:t>
      </w:r>
      <w:r>
        <w:rPr>
          <w:rFonts w:ascii="Arial" w:eastAsia="Arial" w:hAnsi="Arial" w:cs="Arial"/>
          <w:sz w:val="20"/>
          <w:vertAlign w:val="superscript"/>
        </w:rPr>
        <w:footnoteReference w:id="1"/>
      </w:r>
      <w:r>
        <w:rPr>
          <w:sz w:val="20"/>
        </w:rPr>
        <w:t>：</w:t>
      </w:r>
      <w:r>
        <w:rPr>
          <w:rFonts w:ascii="Arial" w:eastAsia="Arial" w:hAnsi="Arial" w:cs="Arial"/>
        </w:rPr>
        <w:t xml:space="preserve"> </w:t>
      </w:r>
    </w:p>
    <w:p w:rsidR="004D6F0E" w:rsidRDefault="00490F21">
      <w:pPr>
        <w:spacing w:after="99" w:line="259" w:lineRule="auto"/>
        <w:ind w:left="124" w:firstLine="0"/>
      </w:pPr>
      <w:r>
        <w:rPr>
          <w:sz w:val="20"/>
        </w:rPr>
        <w:t xml:space="preserve"> </w:t>
      </w:r>
      <w:r>
        <w:rPr>
          <w:sz w:val="20"/>
        </w:rPr>
        <w:tab/>
      </w:r>
      <w:r>
        <w:rPr>
          <w:sz w:val="10"/>
        </w:rPr>
        <w:t xml:space="preserve"> </w:t>
      </w:r>
    </w:p>
    <w:p w:rsidR="004D6F0E" w:rsidRDefault="00490F21">
      <w:pPr>
        <w:numPr>
          <w:ilvl w:val="0"/>
          <w:numId w:val="2"/>
        </w:numPr>
        <w:spacing w:after="34" w:line="270" w:lineRule="auto"/>
        <w:ind w:left="441" w:hanging="317"/>
      </w:pPr>
      <w:r>
        <w:rPr>
          <w:sz w:val="20"/>
        </w:rPr>
        <w:t>全方位領航基金</w:t>
      </w:r>
      <w:r>
        <w:rPr>
          <w:sz w:val="20"/>
        </w:rPr>
        <w:t xml:space="preserve"> </w:t>
      </w:r>
      <w:r>
        <w:rPr>
          <w:sz w:val="20"/>
        </w:rPr>
        <w:tab/>
      </w:r>
      <w:r>
        <w:rPr>
          <w:sz w:val="16"/>
          <w:vertAlign w:val="superscript"/>
        </w:rPr>
        <w:t xml:space="preserve"> </w:t>
      </w:r>
    </w:p>
    <w:p w:rsidR="004D6F0E" w:rsidRDefault="00490F21">
      <w:pPr>
        <w:spacing w:after="24" w:line="259" w:lineRule="auto"/>
        <w:ind w:left="124" w:firstLine="0"/>
      </w:pPr>
      <w:r>
        <w:rPr>
          <w:sz w:val="20"/>
        </w:rPr>
        <w:t xml:space="preserve"> </w:t>
      </w:r>
      <w:r>
        <w:rPr>
          <w:sz w:val="20"/>
        </w:rPr>
        <w:tab/>
        <w:t xml:space="preserve"> </w:t>
      </w:r>
    </w:p>
    <w:p w:rsidR="004D6F0E" w:rsidRDefault="00490F21">
      <w:pPr>
        <w:numPr>
          <w:ilvl w:val="1"/>
          <w:numId w:val="2"/>
        </w:numPr>
        <w:spacing w:after="12" w:line="270" w:lineRule="auto"/>
        <w:ind w:left="626" w:hanging="190"/>
      </w:pPr>
      <w:r>
        <w:rPr>
          <w:sz w:val="20"/>
        </w:rPr>
        <w:t>類股份</w:t>
      </w:r>
      <w:r>
        <w:rPr>
          <w:sz w:val="20"/>
        </w:rPr>
        <w:t xml:space="preserve"> </w:t>
      </w:r>
      <w:r>
        <w:rPr>
          <w:sz w:val="20"/>
        </w:rPr>
        <w:tab/>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p w:rsidR="004D6F0E" w:rsidRDefault="00490F21">
      <w:pPr>
        <w:tabs>
          <w:tab w:val="center" w:pos="928"/>
          <w:tab w:val="center" w:pos="3971"/>
        </w:tabs>
        <w:spacing w:after="19" w:line="270" w:lineRule="auto"/>
        <w:ind w:left="0" w:firstLine="0"/>
      </w:pPr>
      <w:r>
        <w:rPr>
          <w:rFonts w:ascii="Calibri" w:eastAsia="Calibri" w:hAnsi="Calibri" w:cs="Calibri"/>
          <w:sz w:val="22"/>
        </w:rPr>
        <w:tab/>
      </w:r>
      <w:r>
        <w:rPr>
          <w:rFonts w:ascii="Arial" w:eastAsia="Arial" w:hAnsi="Arial" w:cs="Arial"/>
          <w:sz w:val="20"/>
        </w:rPr>
        <w:t xml:space="preserve">AX </w:t>
      </w:r>
      <w:r>
        <w:rPr>
          <w:sz w:val="20"/>
        </w:rPr>
        <w:t>類股份</w:t>
      </w:r>
      <w:r>
        <w:rPr>
          <w:rFonts w:ascii="Arial" w:eastAsia="Arial" w:hAnsi="Arial" w:cs="Arial"/>
          <w:sz w:val="20"/>
          <w:vertAlign w:val="superscript"/>
        </w:rPr>
        <w:t>#</w:t>
      </w:r>
      <w:r>
        <w:rPr>
          <w:sz w:val="20"/>
        </w:rPr>
        <w:t xml:space="preserve"> </w:t>
      </w:r>
      <w:r>
        <w:rPr>
          <w:sz w:val="20"/>
        </w:rPr>
        <w:tab/>
      </w:r>
      <w:r>
        <w:rPr>
          <w:rFonts w:ascii="Arial" w:eastAsia="Arial" w:hAnsi="Arial" w:cs="Arial"/>
          <w:sz w:val="20"/>
        </w:rPr>
        <w:t xml:space="preserve">AX </w:t>
      </w:r>
      <w:r>
        <w:rPr>
          <w:sz w:val="20"/>
        </w:rPr>
        <w:t>類美元、</w:t>
      </w:r>
      <w:r>
        <w:rPr>
          <w:rFonts w:ascii="Arial" w:eastAsia="Arial" w:hAnsi="Arial" w:cs="Arial"/>
          <w:sz w:val="20"/>
        </w:rPr>
        <w:t xml:space="preserve">AX </w:t>
      </w:r>
      <w:r>
        <w:rPr>
          <w:sz w:val="20"/>
        </w:rPr>
        <w:t>類歐元</w:t>
      </w:r>
      <w:r>
        <w:rPr>
          <w:sz w:val="20"/>
        </w:rPr>
        <w:t xml:space="preserve"> </w:t>
      </w:r>
    </w:p>
    <w:p w:rsidR="004D6F0E" w:rsidRDefault="00490F21">
      <w:pPr>
        <w:tabs>
          <w:tab w:val="center" w:pos="928"/>
          <w:tab w:val="center" w:pos="3415"/>
        </w:tabs>
        <w:spacing w:after="23" w:line="270" w:lineRule="auto"/>
        <w:ind w:left="0" w:firstLine="0"/>
      </w:pPr>
      <w:r>
        <w:rPr>
          <w:rFonts w:ascii="Calibri" w:eastAsia="Calibri" w:hAnsi="Calibri" w:cs="Calibri"/>
          <w:sz w:val="22"/>
        </w:rPr>
        <w:tab/>
      </w:r>
      <w:r>
        <w:rPr>
          <w:rFonts w:ascii="Arial" w:eastAsia="Arial" w:hAnsi="Arial" w:cs="Arial"/>
          <w:sz w:val="20"/>
        </w:rPr>
        <w:t xml:space="preserve">BX </w:t>
      </w:r>
      <w:r>
        <w:rPr>
          <w:sz w:val="20"/>
        </w:rPr>
        <w:t>類股份</w:t>
      </w:r>
      <w:r>
        <w:rPr>
          <w:rFonts w:ascii="Arial" w:eastAsia="Arial" w:hAnsi="Arial" w:cs="Arial"/>
          <w:sz w:val="20"/>
          <w:vertAlign w:val="superscript"/>
        </w:rPr>
        <w:t>#</w:t>
      </w:r>
      <w:r>
        <w:rPr>
          <w:sz w:val="20"/>
        </w:rPr>
        <w:t xml:space="preserve"> </w:t>
      </w:r>
      <w:r>
        <w:rPr>
          <w:sz w:val="20"/>
        </w:rPr>
        <w:tab/>
      </w:r>
      <w:r>
        <w:rPr>
          <w:rFonts w:ascii="Arial" w:eastAsia="Arial" w:hAnsi="Arial" w:cs="Arial"/>
          <w:sz w:val="20"/>
        </w:rPr>
        <w:t xml:space="preserve">BX </w:t>
      </w:r>
      <w:r>
        <w:rPr>
          <w:sz w:val="20"/>
        </w:rPr>
        <w:t>類美元</w:t>
      </w:r>
      <w:r>
        <w:rPr>
          <w:sz w:val="20"/>
        </w:rPr>
        <w:t xml:space="preserve"> </w:t>
      </w:r>
    </w:p>
    <w:p w:rsidR="004D6F0E" w:rsidRDefault="00490F21">
      <w:pPr>
        <w:tabs>
          <w:tab w:val="center" w:pos="829"/>
          <w:tab w:val="center" w:pos="3848"/>
        </w:tabs>
        <w:spacing w:after="15" w:line="270" w:lineRule="auto"/>
        <w:ind w:left="0" w:firstLine="0"/>
      </w:pPr>
      <w:r>
        <w:rPr>
          <w:rFonts w:ascii="Calibri" w:eastAsia="Calibri" w:hAnsi="Calibri" w:cs="Calibri"/>
          <w:sz w:val="22"/>
        </w:rPr>
        <w:tab/>
      </w:r>
      <w:r>
        <w:rPr>
          <w:rFonts w:ascii="Arial" w:eastAsia="Arial" w:hAnsi="Arial" w:cs="Arial"/>
          <w:sz w:val="20"/>
        </w:rPr>
        <w:t xml:space="preserve">C </w:t>
      </w: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sz w:val="20"/>
        </w:rPr>
        <w:t xml:space="preserve"> </w:t>
      </w:r>
    </w:p>
    <w:p w:rsidR="004D6F0E" w:rsidRDefault="00490F21">
      <w:pPr>
        <w:spacing w:after="23" w:line="259" w:lineRule="auto"/>
        <w:ind w:left="124" w:firstLine="0"/>
      </w:pPr>
      <w:r>
        <w:rPr>
          <w:sz w:val="20"/>
        </w:rPr>
        <w:t xml:space="preserve"> </w:t>
      </w:r>
      <w:r>
        <w:rPr>
          <w:sz w:val="20"/>
        </w:rPr>
        <w:tab/>
        <w:t xml:space="preserve"> </w:t>
      </w:r>
    </w:p>
    <w:p w:rsidR="004D6F0E" w:rsidRDefault="00490F21">
      <w:pPr>
        <w:numPr>
          <w:ilvl w:val="0"/>
          <w:numId w:val="2"/>
        </w:numPr>
        <w:spacing w:after="12" w:line="270" w:lineRule="auto"/>
        <w:ind w:left="441" w:hanging="317"/>
      </w:pPr>
      <w:r>
        <w:rPr>
          <w:sz w:val="20"/>
        </w:rPr>
        <w:t>環球股票策略基金</w:t>
      </w:r>
      <w:r>
        <w:rPr>
          <w:sz w:val="20"/>
        </w:rPr>
        <w:t xml:space="preserve"> </w:t>
      </w:r>
      <w:r>
        <w:rPr>
          <w:sz w:val="20"/>
        </w:rPr>
        <w:tab/>
        <w:t xml:space="preserve"> </w:t>
      </w:r>
    </w:p>
    <w:p w:rsidR="004D6F0E" w:rsidRDefault="00490F21">
      <w:pPr>
        <w:spacing w:after="27" w:line="259" w:lineRule="auto"/>
        <w:ind w:left="124" w:firstLine="0"/>
      </w:pPr>
      <w:r>
        <w:rPr>
          <w:sz w:val="20"/>
        </w:rPr>
        <w:t xml:space="preserve"> </w:t>
      </w:r>
      <w:r>
        <w:rPr>
          <w:sz w:val="20"/>
        </w:rPr>
        <w:tab/>
        <w:t xml:space="preserve"> </w:t>
      </w:r>
    </w:p>
    <w:p w:rsidR="004D6F0E" w:rsidRDefault="00490F21">
      <w:pPr>
        <w:numPr>
          <w:ilvl w:val="1"/>
          <w:numId w:val="2"/>
        </w:numPr>
        <w:spacing w:after="15" w:line="270" w:lineRule="auto"/>
        <w:ind w:left="626" w:hanging="190"/>
      </w:pPr>
      <w:r>
        <w:rPr>
          <w:sz w:val="20"/>
        </w:rPr>
        <w:t>類股份</w:t>
      </w:r>
      <w:r>
        <w:rPr>
          <w:sz w:val="20"/>
        </w:rPr>
        <w:t xml:space="preserve"> </w:t>
      </w:r>
      <w:r>
        <w:rPr>
          <w:sz w:val="20"/>
        </w:rPr>
        <w:tab/>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rFonts w:ascii="Arial" w:eastAsia="Arial" w:hAnsi="Arial" w:cs="Arial"/>
          <w:sz w:val="20"/>
        </w:rPr>
        <w:t xml:space="preserve"> </w:t>
      </w:r>
    </w:p>
    <w:p w:rsidR="004D6F0E" w:rsidRDefault="00490F21">
      <w:pPr>
        <w:numPr>
          <w:ilvl w:val="1"/>
          <w:numId w:val="2"/>
        </w:numPr>
        <w:spacing w:after="17" w:line="270" w:lineRule="auto"/>
        <w:ind w:left="626" w:hanging="190"/>
      </w:pPr>
      <w:r>
        <w:rPr>
          <w:sz w:val="20"/>
        </w:rPr>
        <w:t>類股份</w:t>
      </w:r>
      <w:r>
        <w:rPr>
          <w:rFonts w:ascii="Arial" w:eastAsia="Arial" w:hAnsi="Arial" w:cs="Arial"/>
          <w:sz w:val="20"/>
        </w:rPr>
        <w:t>*</w:t>
      </w:r>
      <w:r>
        <w:rPr>
          <w:sz w:val="20"/>
        </w:rPr>
        <w:t xml:space="preserve"> </w:t>
      </w:r>
      <w:r>
        <w:rPr>
          <w:sz w:val="20"/>
        </w:rPr>
        <w:tab/>
      </w:r>
      <w:r>
        <w:rPr>
          <w:rFonts w:ascii="Arial" w:eastAsia="Arial" w:hAnsi="Arial" w:cs="Arial"/>
          <w:sz w:val="20"/>
        </w:rPr>
        <w:t xml:space="preserve">B </w:t>
      </w:r>
      <w:r>
        <w:rPr>
          <w:sz w:val="20"/>
        </w:rPr>
        <w:t>類美元</w:t>
      </w:r>
      <w:r>
        <w:rPr>
          <w:sz w:val="20"/>
        </w:rPr>
        <w:t xml:space="preserve"> </w:t>
      </w:r>
    </w:p>
    <w:p w:rsidR="004D6F0E" w:rsidRDefault="00490F21">
      <w:pPr>
        <w:numPr>
          <w:ilvl w:val="1"/>
          <w:numId w:val="2"/>
        </w:numPr>
        <w:spacing w:after="12" w:line="270" w:lineRule="auto"/>
        <w:ind w:left="626" w:hanging="190"/>
      </w:pP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sz w:val="20"/>
        </w:rPr>
        <w:t xml:space="preserve"> </w:t>
      </w:r>
    </w:p>
    <w:p w:rsidR="004D6F0E" w:rsidRDefault="00490F21">
      <w:pPr>
        <w:spacing w:after="23" w:line="259" w:lineRule="auto"/>
        <w:ind w:left="124" w:firstLine="0"/>
      </w:pPr>
      <w:r>
        <w:rPr>
          <w:sz w:val="20"/>
        </w:rPr>
        <w:t xml:space="preserve"> </w:t>
      </w:r>
      <w:r>
        <w:rPr>
          <w:sz w:val="20"/>
        </w:rPr>
        <w:tab/>
        <w:t xml:space="preserve"> </w:t>
      </w:r>
    </w:p>
    <w:p w:rsidR="004D6F0E" w:rsidRDefault="00490F21">
      <w:pPr>
        <w:numPr>
          <w:ilvl w:val="0"/>
          <w:numId w:val="2"/>
        </w:numPr>
        <w:spacing w:after="15" w:line="270" w:lineRule="auto"/>
        <w:ind w:left="441" w:hanging="317"/>
      </w:pPr>
      <w:r>
        <w:rPr>
          <w:sz w:val="20"/>
        </w:rPr>
        <w:t>新興市場增長基金</w:t>
      </w:r>
      <w:r>
        <w:rPr>
          <w:sz w:val="20"/>
        </w:rPr>
        <w:t xml:space="preserve"> </w:t>
      </w:r>
      <w:r>
        <w:rPr>
          <w:sz w:val="20"/>
        </w:rPr>
        <w:tab/>
        <w:t xml:space="preserve"> </w:t>
      </w:r>
    </w:p>
    <w:p w:rsidR="004D6F0E" w:rsidRDefault="00490F21">
      <w:pPr>
        <w:spacing w:after="24" w:line="259" w:lineRule="auto"/>
        <w:ind w:left="124" w:firstLine="0"/>
      </w:pPr>
      <w:r>
        <w:rPr>
          <w:sz w:val="20"/>
        </w:rPr>
        <w:t xml:space="preserve"> </w:t>
      </w:r>
      <w:r>
        <w:rPr>
          <w:sz w:val="20"/>
        </w:rPr>
        <w:tab/>
        <w:t xml:space="preserve"> </w:t>
      </w:r>
    </w:p>
    <w:p w:rsidR="004D6F0E" w:rsidRDefault="00490F21">
      <w:pPr>
        <w:numPr>
          <w:ilvl w:val="1"/>
          <w:numId w:val="2"/>
        </w:numPr>
        <w:spacing w:after="9" w:line="270" w:lineRule="auto"/>
        <w:ind w:left="626" w:hanging="190"/>
      </w:pPr>
      <w:r>
        <w:rPr>
          <w:sz w:val="20"/>
        </w:rPr>
        <w:t>類股份</w:t>
      </w:r>
      <w:r>
        <w:rPr>
          <w:sz w:val="20"/>
        </w:rPr>
        <w:t xml:space="preserve"> </w:t>
      </w:r>
      <w:r>
        <w:rPr>
          <w:sz w:val="20"/>
        </w:rPr>
        <w:tab/>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rFonts w:ascii="Arial" w:eastAsia="Arial" w:hAnsi="Arial" w:cs="Arial"/>
          <w:sz w:val="20"/>
        </w:rPr>
        <w:t xml:space="preserve">A </w:t>
      </w:r>
      <w:r>
        <w:rPr>
          <w:sz w:val="20"/>
        </w:rPr>
        <w:t>類港元、</w:t>
      </w:r>
      <w:r>
        <w:rPr>
          <w:rFonts w:ascii="Arial" w:eastAsia="Arial" w:hAnsi="Arial" w:cs="Arial"/>
          <w:sz w:val="20"/>
        </w:rPr>
        <w:t xml:space="preserve">A </w:t>
      </w:r>
      <w:r>
        <w:rPr>
          <w:sz w:val="20"/>
        </w:rPr>
        <w:t>類新加坡元、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p w:rsidR="004D6F0E" w:rsidRDefault="00490F21">
      <w:pPr>
        <w:numPr>
          <w:ilvl w:val="1"/>
          <w:numId w:val="2"/>
        </w:numPr>
        <w:spacing w:after="15" w:line="270" w:lineRule="auto"/>
        <w:ind w:left="626" w:hanging="190"/>
      </w:pPr>
      <w:r>
        <w:rPr>
          <w:sz w:val="20"/>
        </w:rPr>
        <w:t>類股份</w:t>
      </w:r>
      <w:r>
        <w:rPr>
          <w:rFonts w:ascii="Arial" w:eastAsia="Arial" w:hAnsi="Arial" w:cs="Arial"/>
          <w:sz w:val="20"/>
        </w:rPr>
        <w:t>*</w:t>
      </w:r>
      <w:r>
        <w:rPr>
          <w:sz w:val="20"/>
        </w:rPr>
        <w:t xml:space="preserve"> </w:t>
      </w:r>
      <w:r>
        <w:rPr>
          <w:sz w:val="20"/>
        </w:rPr>
        <w:tab/>
      </w:r>
      <w:r>
        <w:rPr>
          <w:rFonts w:ascii="Arial" w:eastAsia="Arial" w:hAnsi="Arial" w:cs="Arial"/>
          <w:sz w:val="20"/>
        </w:rPr>
        <w:t xml:space="preserve">B </w:t>
      </w:r>
      <w:r>
        <w:rPr>
          <w:sz w:val="20"/>
        </w:rPr>
        <w:t>類美元</w:t>
      </w:r>
      <w:r>
        <w:rPr>
          <w:sz w:val="20"/>
        </w:rPr>
        <w:t xml:space="preserve"> </w:t>
      </w:r>
    </w:p>
    <w:p w:rsidR="004D6F0E" w:rsidRDefault="00490F21">
      <w:pPr>
        <w:numPr>
          <w:ilvl w:val="1"/>
          <w:numId w:val="2"/>
        </w:numPr>
        <w:spacing w:after="16" w:line="270" w:lineRule="auto"/>
        <w:ind w:left="626" w:hanging="190"/>
      </w:pP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rFonts w:ascii="Arial" w:eastAsia="Arial" w:hAnsi="Arial" w:cs="Arial"/>
          <w:sz w:val="20"/>
        </w:rPr>
        <w:t xml:space="preserve">C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tabs>
          <w:tab w:val="center" w:pos="785"/>
          <w:tab w:val="center" w:pos="4328"/>
        </w:tabs>
        <w:spacing w:after="13" w:line="270" w:lineRule="auto"/>
        <w:ind w:left="0" w:firstLine="0"/>
      </w:pPr>
      <w:r>
        <w:rPr>
          <w:rFonts w:ascii="Calibri" w:eastAsia="Calibri" w:hAnsi="Calibri" w:cs="Calibri"/>
          <w:sz w:val="22"/>
        </w:rPr>
        <w:tab/>
      </w:r>
      <w:r>
        <w:rPr>
          <w:rFonts w:ascii="Arial" w:eastAsia="Arial" w:hAnsi="Arial" w:cs="Arial"/>
          <w:sz w:val="20"/>
        </w:rPr>
        <w:t xml:space="preserve">I </w:t>
      </w:r>
      <w:r>
        <w:rPr>
          <w:sz w:val="20"/>
        </w:rPr>
        <w:t>類股份</w:t>
      </w:r>
      <w:r>
        <w:rPr>
          <w:sz w:val="20"/>
        </w:rPr>
        <w:t xml:space="preserve"> </w:t>
      </w:r>
      <w:r>
        <w:rPr>
          <w:sz w:val="20"/>
        </w:rPr>
        <w:tab/>
      </w:r>
      <w:r>
        <w:rPr>
          <w:rFonts w:ascii="Arial" w:eastAsia="Arial" w:hAnsi="Arial" w:cs="Arial"/>
          <w:sz w:val="20"/>
        </w:rPr>
        <w:t xml:space="preserve">I </w:t>
      </w:r>
      <w:r>
        <w:rPr>
          <w:sz w:val="20"/>
        </w:rPr>
        <w:t>類美元、</w:t>
      </w:r>
      <w:r>
        <w:rPr>
          <w:rFonts w:ascii="Arial" w:eastAsia="Arial" w:hAnsi="Arial" w:cs="Arial"/>
          <w:sz w:val="20"/>
        </w:rPr>
        <w:t xml:space="preserve">I </w:t>
      </w:r>
      <w:r>
        <w:rPr>
          <w:sz w:val="20"/>
        </w:rPr>
        <w:t>類歐元、</w:t>
      </w:r>
      <w:r>
        <w:rPr>
          <w:rFonts w:ascii="Arial" w:eastAsia="Arial" w:hAnsi="Arial" w:cs="Arial"/>
          <w:sz w:val="20"/>
        </w:rPr>
        <w:t xml:space="preserve">I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spacing w:after="25" w:line="259" w:lineRule="auto"/>
        <w:ind w:left="436" w:firstLine="0"/>
      </w:pPr>
      <w:r>
        <w:rPr>
          <w:sz w:val="20"/>
        </w:rPr>
        <w:t xml:space="preserve"> </w:t>
      </w:r>
      <w:r>
        <w:rPr>
          <w:sz w:val="20"/>
        </w:rPr>
        <w:tab/>
        <w:t xml:space="preserve"> </w:t>
      </w:r>
    </w:p>
    <w:p w:rsidR="004D6F0E" w:rsidRDefault="00490F21">
      <w:pPr>
        <w:numPr>
          <w:ilvl w:val="0"/>
          <w:numId w:val="2"/>
        </w:numPr>
        <w:spacing w:after="13" w:line="270" w:lineRule="auto"/>
        <w:ind w:left="441" w:hanging="317"/>
      </w:pPr>
      <w:r>
        <w:rPr>
          <w:sz w:val="20"/>
        </w:rPr>
        <w:t>亞洲（日本以外）股票基金</w:t>
      </w:r>
      <w:r>
        <w:rPr>
          <w:sz w:val="20"/>
        </w:rPr>
        <w:t xml:space="preserve"> </w:t>
      </w:r>
      <w:r>
        <w:rPr>
          <w:sz w:val="20"/>
        </w:rPr>
        <w:tab/>
        <w:t xml:space="preserve"> </w:t>
      </w:r>
    </w:p>
    <w:p w:rsidR="004D6F0E" w:rsidRDefault="00490F21">
      <w:pPr>
        <w:spacing w:after="25" w:line="259" w:lineRule="auto"/>
        <w:ind w:left="124" w:firstLine="0"/>
      </w:pPr>
      <w:r>
        <w:rPr>
          <w:sz w:val="20"/>
        </w:rPr>
        <w:t xml:space="preserve"> </w:t>
      </w:r>
      <w:r>
        <w:rPr>
          <w:sz w:val="20"/>
        </w:rPr>
        <w:tab/>
        <w:t xml:space="preserve"> </w:t>
      </w:r>
    </w:p>
    <w:p w:rsidR="004D6F0E" w:rsidRDefault="00490F21">
      <w:pPr>
        <w:numPr>
          <w:ilvl w:val="1"/>
          <w:numId w:val="2"/>
        </w:numPr>
        <w:spacing w:after="4" w:line="278" w:lineRule="auto"/>
        <w:ind w:left="626" w:hanging="190"/>
      </w:pPr>
      <w:r>
        <w:rPr>
          <w:sz w:val="20"/>
        </w:rPr>
        <w:lastRenderedPageBreak/>
        <w:t>類股份</w:t>
      </w:r>
      <w:r>
        <w:rPr>
          <w:sz w:val="20"/>
        </w:rPr>
        <w:t xml:space="preserve"> </w:t>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rFonts w:ascii="Arial" w:eastAsia="Arial" w:hAnsi="Arial" w:cs="Arial"/>
          <w:sz w:val="20"/>
        </w:rPr>
        <w:t xml:space="preserve">A </w:t>
      </w:r>
      <w:r>
        <w:rPr>
          <w:sz w:val="20"/>
        </w:rPr>
        <w:t>類港元、</w:t>
      </w:r>
      <w:r>
        <w:rPr>
          <w:sz w:val="20"/>
        </w:rPr>
        <w:t xml:space="preserve"> </w:t>
      </w:r>
      <w:r>
        <w:rPr>
          <w:rFonts w:ascii="Arial" w:eastAsia="Arial" w:hAnsi="Arial" w:cs="Arial"/>
          <w:sz w:val="20"/>
        </w:rPr>
        <w:t xml:space="preserve">AD </w:t>
      </w:r>
      <w:r>
        <w:rPr>
          <w:sz w:val="20"/>
        </w:rPr>
        <w:t>類美元、</w:t>
      </w:r>
      <w:r>
        <w:rPr>
          <w:rFonts w:ascii="Arial" w:eastAsia="Arial" w:hAnsi="Arial" w:cs="Arial"/>
          <w:sz w:val="20"/>
        </w:rPr>
        <w:t xml:space="preserve">AD </w:t>
      </w:r>
      <w:r>
        <w:rPr>
          <w:sz w:val="20"/>
        </w:rPr>
        <w:t>類歐元、</w:t>
      </w:r>
      <w:r>
        <w:rPr>
          <w:rFonts w:ascii="Arial" w:eastAsia="Arial" w:hAnsi="Arial" w:cs="Arial"/>
          <w:sz w:val="20"/>
        </w:rPr>
        <w:t xml:space="preserve">AD </w:t>
      </w:r>
      <w:r>
        <w:rPr>
          <w:sz w:val="20"/>
        </w:rPr>
        <w:t>類港元、</w:t>
      </w:r>
      <w:r>
        <w:rPr>
          <w:sz w:val="20"/>
        </w:rPr>
        <w:t xml:space="preserve"> </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p w:rsidR="004D6F0E" w:rsidRDefault="00490F21">
      <w:pPr>
        <w:tabs>
          <w:tab w:val="center" w:pos="829"/>
          <w:tab w:val="center" w:pos="4463"/>
        </w:tabs>
        <w:spacing w:after="15" w:line="270" w:lineRule="auto"/>
        <w:ind w:left="0" w:firstLine="0"/>
      </w:pPr>
      <w:r>
        <w:rPr>
          <w:rFonts w:ascii="Calibri" w:eastAsia="Calibri" w:hAnsi="Calibri" w:cs="Calibri"/>
          <w:sz w:val="22"/>
        </w:rPr>
        <w:tab/>
      </w:r>
      <w:r>
        <w:rPr>
          <w:rFonts w:ascii="Arial" w:eastAsia="Arial" w:hAnsi="Arial" w:cs="Arial"/>
          <w:sz w:val="20"/>
        </w:rPr>
        <w:t xml:space="preserve">C </w:t>
      </w: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rFonts w:ascii="Arial" w:eastAsia="Arial" w:hAnsi="Arial" w:cs="Arial"/>
          <w:sz w:val="20"/>
        </w:rPr>
        <w:t xml:space="preserve">C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tabs>
          <w:tab w:val="center" w:pos="785"/>
          <w:tab w:val="center" w:pos="5519"/>
        </w:tabs>
        <w:spacing w:after="12" w:line="270" w:lineRule="auto"/>
        <w:ind w:left="0" w:firstLine="0"/>
      </w:pPr>
      <w:r>
        <w:rPr>
          <w:rFonts w:ascii="Calibri" w:eastAsia="Calibri" w:hAnsi="Calibri" w:cs="Calibri"/>
          <w:sz w:val="22"/>
        </w:rPr>
        <w:tab/>
      </w:r>
      <w:r>
        <w:rPr>
          <w:rFonts w:ascii="Arial" w:eastAsia="Arial" w:hAnsi="Arial" w:cs="Arial"/>
          <w:sz w:val="20"/>
        </w:rPr>
        <w:t xml:space="preserve">I </w:t>
      </w:r>
      <w:r>
        <w:rPr>
          <w:sz w:val="20"/>
        </w:rPr>
        <w:t>類股份</w:t>
      </w:r>
      <w:r>
        <w:rPr>
          <w:sz w:val="20"/>
        </w:rPr>
        <w:t xml:space="preserve"> </w:t>
      </w:r>
      <w:r>
        <w:rPr>
          <w:sz w:val="20"/>
        </w:rPr>
        <w:tab/>
      </w:r>
      <w:r>
        <w:rPr>
          <w:rFonts w:ascii="Arial" w:eastAsia="Arial" w:hAnsi="Arial" w:cs="Arial"/>
          <w:sz w:val="20"/>
        </w:rPr>
        <w:t xml:space="preserve">I </w:t>
      </w:r>
      <w:r>
        <w:rPr>
          <w:sz w:val="20"/>
        </w:rPr>
        <w:t>類美元、</w:t>
      </w:r>
      <w:r>
        <w:rPr>
          <w:rFonts w:ascii="Arial" w:eastAsia="Arial" w:hAnsi="Arial" w:cs="Arial"/>
          <w:sz w:val="20"/>
        </w:rPr>
        <w:t xml:space="preserve">I </w:t>
      </w:r>
      <w:r>
        <w:rPr>
          <w:sz w:val="20"/>
        </w:rPr>
        <w:t>類歐元、</w:t>
      </w:r>
      <w:r>
        <w:rPr>
          <w:sz w:val="20"/>
        </w:rPr>
        <w:t xml:space="preserve"> </w:t>
      </w:r>
      <w:r>
        <w:rPr>
          <w:rFonts w:ascii="Arial" w:eastAsia="Arial" w:hAnsi="Arial" w:cs="Arial"/>
          <w:sz w:val="20"/>
        </w:rPr>
        <w:t xml:space="preserve">ID </w:t>
      </w:r>
      <w:r>
        <w:rPr>
          <w:sz w:val="20"/>
        </w:rPr>
        <w:t>類美元、</w:t>
      </w:r>
      <w:r>
        <w:rPr>
          <w:rFonts w:ascii="Arial" w:eastAsia="Arial" w:hAnsi="Arial" w:cs="Arial"/>
          <w:sz w:val="20"/>
        </w:rPr>
        <w:t xml:space="preserve">I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ID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spacing w:after="26" w:line="259" w:lineRule="auto"/>
        <w:ind w:left="124" w:firstLine="0"/>
      </w:pPr>
      <w:r>
        <w:rPr>
          <w:sz w:val="20"/>
        </w:rPr>
        <w:t xml:space="preserve"> </w:t>
      </w:r>
      <w:r>
        <w:rPr>
          <w:sz w:val="20"/>
        </w:rPr>
        <w:tab/>
        <w:t xml:space="preserve"> </w:t>
      </w:r>
    </w:p>
    <w:p w:rsidR="004D6F0E" w:rsidRDefault="00490F21">
      <w:pPr>
        <w:numPr>
          <w:ilvl w:val="0"/>
          <w:numId w:val="2"/>
        </w:numPr>
        <w:spacing w:after="12" w:line="270" w:lineRule="auto"/>
        <w:ind w:left="441" w:hanging="317"/>
      </w:pPr>
      <w:r>
        <w:rPr>
          <w:sz w:val="20"/>
        </w:rPr>
        <w:t>日本策略價值基金</w:t>
      </w:r>
      <w:r>
        <w:rPr>
          <w:sz w:val="20"/>
        </w:rPr>
        <w:t xml:space="preserve"> </w:t>
      </w:r>
      <w:r>
        <w:rPr>
          <w:sz w:val="20"/>
        </w:rPr>
        <w:tab/>
        <w:t xml:space="preserve"> </w:t>
      </w:r>
    </w:p>
    <w:p w:rsidR="004D6F0E" w:rsidRDefault="00490F21">
      <w:pPr>
        <w:spacing w:after="27" w:line="259" w:lineRule="auto"/>
        <w:ind w:left="124" w:firstLine="0"/>
      </w:pPr>
      <w:r>
        <w:rPr>
          <w:sz w:val="20"/>
        </w:rPr>
        <w:t xml:space="preserve"> </w:t>
      </w:r>
      <w:r>
        <w:rPr>
          <w:sz w:val="20"/>
        </w:rPr>
        <w:tab/>
        <w:t xml:space="preserve"> </w:t>
      </w:r>
    </w:p>
    <w:p w:rsidR="004D6F0E" w:rsidRDefault="00490F21">
      <w:pPr>
        <w:numPr>
          <w:ilvl w:val="1"/>
          <w:numId w:val="2"/>
        </w:numPr>
        <w:spacing w:after="14" w:line="270" w:lineRule="auto"/>
        <w:ind w:left="626" w:hanging="190"/>
      </w:pPr>
      <w:r>
        <w:rPr>
          <w:sz w:val="20"/>
        </w:rPr>
        <w:t>類股份</w:t>
      </w:r>
      <w:r>
        <w:rPr>
          <w:sz w:val="20"/>
        </w:rPr>
        <w:t xml:space="preserve"> </w:t>
      </w:r>
      <w:r>
        <w:rPr>
          <w:sz w:val="20"/>
        </w:rPr>
        <w:tab/>
      </w:r>
      <w:r>
        <w:rPr>
          <w:rFonts w:ascii="Arial" w:eastAsia="Arial" w:hAnsi="Arial" w:cs="Arial"/>
          <w:sz w:val="20"/>
        </w:rPr>
        <w:t xml:space="preserve">A </w:t>
      </w:r>
      <w:r>
        <w:rPr>
          <w:sz w:val="20"/>
        </w:rPr>
        <w:t>類日圓、</w:t>
      </w:r>
      <w:r>
        <w:rPr>
          <w:rFonts w:ascii="Arial" w:eastAsia="Arial" w:hAnsi="Arial" w:cs="Arial"/>
          <w:sz w:val="20"/>
        </w:rPr>
        <w:t xml:space="preserve">A </w:t>
      </w:r>
      <w:r>
        <w:rPr>
          <w:sz w:val="20"/>
        </w:rPr>
        <w:t>類歐元、</w:t>
      </w:r>
      <w:r>
        <w:rPr>
          <w:rFonts w:ascii="Arial" w:eastAsia="Arial" w:hAnsi="Arial" w:cs="Arial"/>
          <w:sz w:val="20"/>
        </w:rPr>
        <w:t xml:space="preserve">A </w:t>
      </w:r>
      <w:r>
        <w:rPr>
          <w:sz w:val="20"/>
        </w:rPr>
        <w:t>類新加坡元、</w:t>
      </w:r>
      <w:r>
        <w:rPr>
          <w:sz w:val="20"/>
        </w:rPr>
        <w:t xml:space="preserve"> </w:t>
      </w:r>
      <w:r>
        <w:rPr>
          <w:rFonts w:ascii="Arial" w:eastAsia="Arial" w:hAnsi="Arial" w:cs="Arial"/>
          <w:sz w:val="20"/>
        </w:rPr>
        <w:t xml:space="preserve">A </w:t>
      </w:r>
      <w:r>
        <w:rPr>
          <w:sz w:val="20"/>
        </w:rPr>
        <w:t>類美元、</w:t>
      </w:r>
      <w:r>
        <w:rPr>
          <w:sz w:val="20"/>
        </w:rPr>
        <w:t xml:space="preserve"> </w:t>
      </w:r>
      <w:r>
        <w:rPr>
          <w:rFonts w:ascii="Arial" w:eastAsia="Arial" w:hAnsi="Arial" w:cs="Arial"/>
          <w:sz w:val="20"/>
        </w:rPr>
        <w:t xml:space="preserve">AD </w:t>
      </w:r>
      <w:r>
        <w:rPr>
          <w:sz w:val="20"/>
        </w:rPr>
        <w:t>類日圓、</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 A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 </w:t>
      </w:r>
      <w:r>
        <w:rPr>
          <w:sz w:val="20"/>
        </w:rPr>
        <w:t>類</w:t>
      </w:r>
      <w:r>
        <w:rPr>
          <w:sz w:val="20"/>
        </w:rPr>
        <w:t xml:space="preserve"> </w:t>
      </w:r>
      <w:r>
        <w:rPr>
          <w:rFonts w:ascii="Arial" w:eastAsia="Arial" w:hAnsi="Arial" w:cs="Arial"/>
          <w:sz w:val="20"/>
        </w:rPr>
        <w:t xml:space="preserve">H </w:t>
      </w:r>
      <w:r>
        <w:rPr>
          <w:sz w:val="20"/>
        </w:rPr>
        <w:t>美元、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p>
    <w:p w:rsidR="004D6F0E" w:rsidRDefault="00490F21">
      <w:pPr>
        <w:tabs>
          <w:tab w:val="center" w:pos="829"/>
          <w:tab w:val="center" w:pos="4984"/>
        </w:tabs>
        <w:spacing w:after="14" w:line="270" w:lineRule="auto"/>
        <w:ind w:left="0" w:firstLine="0"/>
      </w:pPr>
      <w:r>
        <w:rPr>
          <w:rFonts w:ascii="Calibri" w:eastAsia="Calibri" w:hAnsi="Calibri" w:cs="Calibri"/>
          <w:sz w:val="22"/>
        </w:rPr>
        <w:tab/>
      </w:r>
      <w:r>
        <w:rPr>
          <w:rFonts w:ascii="Arial" w:eastAsia="Arial" w:hAnsi="Arial" w:cs="Arial"/>
          <w:sz w:val="20"/>
        </w:rPr>
        <w:t xml:space="preserve">C </w:t>
      </w:r>
      <w:r>
        <w:rPr>
          <w:sz w:val="20"/>
        </w:rPr>
        <w:t>類股份</w:t>
      </w:r>
      <w:r>
        <w:rPr>
          <w:sz w:val="20"/>
        </w:rPr>
        <w:t xml:space="preserve"> </w:t>
      </w:r>
      <w:r>
        <w:rPr>
          <w:sz w:val="20"/>
        </w:rPr>
        <w:tab/>
      </w:r>
      <w:r>
        <w:rPr>
          <w:rFonts w:ascii="Arial" w:eastAsia="Arial" w:hAnsi="Arial" w:cs="Arial"/>
          <w:sz w:val="20"/>
        </w:rPr>
        <w:t xml:space="preserve">C </w:t>
      </w:r>
      <w:r>
        <w:rPr>
          <w:sz w:val="20"/>
        </w:rPr>
        <w:t>類日圓、</w:t>
      </w:r>
      <w:r>
        <w:rPr>
          <w:rFonts w:ascii="Arial" w:eastAsia="Arial" w:hAnsi="Arial" w:cs="Arial"/>
          <w:sz w:val="20"/>
        </w:rPr>
        <w:t xml:space="preserve">C </w:t>
      </w:r>
      <w:r>
        <w:rPr>
          <w:sz w:val="20"/>
        </w:rPr>
        <w:t>類歐元、</w:t>
      </w:r>
      <w:r>
        <w:rPr>
          <w:rFonts w:ascii="Arial" w:eastAsia="Arial" w:hAnsi="Arial" w:cs="Arial"/>
          <w:sz w:val="20"/>
        </w:rPr>
        <w:t xml:space="preserve"> C </w:t>
      </w:r>
      <w:r>
        <w:rPr>
          <w:sz w:val="20"/>
        </w:rPr>
        <w:t>類美元、</w:t>
      </w:r>
      <w:r>
        <w:rPr>
          <w:rFonts w:ascii="Arial" w:eastAsia="Arial" w:hAnsi="Arial" w:cs="Arial"/>
          <w:sz w:val="20"/>
        </w:rPr>
        <w:t xml:space="preserve">C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p w:rsidR="004D6F0E" w:rsidRDefault="00490F21">
      <w:pPr>
        <w:tabs>
          <w:tab w:val="center" w:pos="785"/>
          <w:tab w:val="right" w:pos="9373"/>
        </w:tabs>
        <w:spacing w:after="19" w:line="270" w:lineRule="auto"/>
        <w:ind w:left="0" w:firstLine="0"/>
      </w:pPr>
      <w:r>
        <w:rPr>
          <w:rFonts w:ascii="Calibri" w:eastAsia="Calibri" w:hAnsi="Calibri" w:cs="Calibri"/>
          <w:sz w:val="22"/>
        </w:rPr>
        <w:tab/>
      </w:r>
      <w:r>
        <w:rPr>
          <w:rFonts w:ascii="Arial" w:eastAsia="Arial" w:hAnsi="Arial" w:cs="Arial"/>
          <w:sz w:val="20"/>
        </w:rPr>
        <w:t xml:space="preserve">I </w:t>
      </w:r>
      <w:r>
        <w:rPr>
          <w:sz w:val="20"/>
        </w:rPr>
        <w:t>類股份</w:t>
      </w:r>
      <w:r>
        <w:rPr>
          <w:sz w:val="20"/>
        </w:rPr>
        <w:t xml:space="preserve"> </w:t>
      </w:r>
      <w:r>
        <w:rPr>
          <w:sz w:val="20"/>
        </w:rPr>
        <w:tab/>
      </w:r>
      <w:r>
        <w:rPr>
          <w:rFonts w:ascii="Arial" w:eastAsia="Arial" w:hAnsi="Arial" w:cs="Arial"/>
          <w:sz w:val="20"/>
        </w:rPr>
        <w:t xml:space="preserve">I </w:t>
      </w:r>
      <w:r>
        <w:rPr>
          <w:sz w:val="20"/>
        </w:rPr>
        <w:t>類日圓、</w:t>
      </w:r>
      <w:r>
        <w:rPr>
          <w:rFonts w:ascii="Arial" w:eastAsia="Arial" w:hAnsi="Arial" w:cs="Arial"/>
          <w:sz w:val="20"/>
        </w:rPr>
        <w:t xml:space="preserve">I </w:t>
      </w:r>
      <w:r>
        <w:rPr>
          <w:sz w:val="20"/>
        </w:rPr>
        <w:t>類歐元、</w:t>
      </w:r>
      <w:r>
        <w:rPr>
          <w:rFonts w:ascii="Arial" w:eastAsia="Arial" w:hAnsi="Arial" w:cs="Arial"/>
          <w:sz w:val="20"/>
        </w:rPr>
        <w:t xml:space="preserve">I </w:t>
      </w:r>
      <w:r>
        <w:rPr>
          <w:sz w:val="20"/>
        </w:rPr>
        <w:t>類新加坡元、</w:t>
      </w:r>
      <w:r>
        <w:rPr>
          <w:sz w:val="20"/>
        </w:rPr>
        <w:t xml:space="preserve"> </w:t>
      </w:r>
      <w:r>
        <w:rPr>
          <w:rFonts w:ascii="Arial" w:eastAsia="Arial" w:hAnsi="Arial" w:cs="Arial"/>
          <w:sz w:val="20"/>
        </w:rPr>
        <w:t xml:space="preserve">I </w:t>
      </w:r>
      <w:r>
        <w:rPr>
          <w:sz w:val="20"/>
        </w:rPr>
        <w:t>類美元、</w:t>
      </w:r>
      <w:r>
        <w:rPr>
          <w:rFonts w:ascii="Arial" w:eastAsia="Arial" w:hAnsi="Arial" w:cs="Arial"/>
          <w:sz w:val="20"/>
        </w:rPr>
        <w:t xml:space="preserve">I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I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p>
    <w:p w:rsidR="004D6F0E" w:rsidRDefault="00490F21">
      <w:pPr>
        <w:tabs>
          <w:tab w:val="center" w:pos="1193"/>
          <w:tab w:val="center" w:pos="5735"/>
        </w:tabs>
        <w:spacing w:after="10" w:line="270" w:lineRule="auto"/>
        <w:ind w:left="0" w:firstLine="0"/>
      </w:pPr>
      <w:r>
        <w:rPr>
          <w:rFonts w:ascii="Calibri" w:eastAsia="Calibri" w:hAnsi="Calibri" w:cs="Calibri"/>
          <w:sz w:val="22"/>
        </w:rPr>
        <w:tab/>
      </w:r>
      <w:r>
        <w:rPr>
          <w:rFonts w:ascii="Arial" w:eastAsia="Arial" w:hAnsi="Arial" w:cs="Arial"/>
          <w:sz w:val="20"/>
        </w:rPr>
        <w:t xml:space="preserve">S </w:t>
      </w:r>
      <w:r>
        <w:rPr>
          <w:sz w:val="20"/>
        </w:rPr>
        <w:t>類及</w:t>
      </w:r>
      <w:r>
        <w:rPr>
          <w:sz w:val="20"/>
        </w:rPr>
        <w:t xml:space="preserve"> </w:t>
      </w:r>
      <w:r>
        <w:rPr>
          <w:rFonts w:ascii="Arial" w:eastAsia="Arial" w:hAnsi="Arial" w:cs="Arial"/>
          <w:sz w:val="20"/>
        </w:rPr>
        <w:t xml:space="preserve">S1 </w:t>
      </w:r>
      <w:r>
        <w:rPr>
          <w:sz w:val="20"/>
        </w:rPr>
        <w:t>類股份</w:t>
      </w:r>
      <w:r>
        <w:rPr>
          <w:sz w:val="20"/>
        </w:rPr>
        <w:t xml:space="preserve"> </w:t>
      </w:r>
      <w:r>
        <w:rPr>
          <w:sz w:val="20"/>
        </w:rPr>
        <w:tab/>
      </w:r>
      <w:r>
        <w:rPr>
          <w:rFonts w:ascii="Arial" w:eastAsia="Arial" w:hAnsi="Arial" w:cs="Arial"/>
          <w:sz w:val="20"/>
        </w:rPr>
        <w:t xml:space="preserve">S </w:t>
      </w:r>
      <w:r>
        <w:rPr>
          <w:sz w:val="20"/>
        </w:rPr>
        <w:t>類日圓、</w:t>
      </w:r>
      <w:r>
        <w:rPr>
          <w:sz w:val="20"/>
        </w:rPr>
        <w:t xml:space="preserve"> </w:t>
      </w:r>
      <w:r>
        <w:rPr>
          <w:rFonts w:ascii="Arial" w:eastAsia="Arial" w:hAnsi="Arial" w:cs="Arial"/>
          <w:sz w:val="20"/>
        </w:rPr>
        <w:t xml:space="preserve">S1 </w:t>
      </w:r>
      <w:r>
        <w:rPr>
          <w:sz w:val="20"/>
        </w:rPr>
        <w:t>類歐元、</w:t>
      </w:r>
      <w:r>
        <w:rPr>
          <w:rFonts w:ascii="Arial" w:eastAsia="Arial" w:hAnsi="Arial" w:cs="Arial"/>
          <w:sz w:val="20"/>
        </w:rPr>
        <w:t xml:space="preserve">S1 </w:t>
      </w:r>
      <w:r>
        <w:rPr>
          <w:sz w:val="20"/>
        </w:rPr>
        <w:t>類美元、</w:t>
      </w:r>
      <w:r>
        <w:rPr>
          <w:rFonts w:ascii="Arial" w:eastAsia="Arial" w:hAnsi="Arial" w:cs="Arial"/>
          <w:sz w:val="20"/>
        </w:rPr>
        <w:t xml:space="preserve">S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S1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p>
    <w:p w:rsidR="004D6F0E" w:rsidRDefault="00490F21">
      <w:pPr>
        <w:spacing w:after="0" w:line="343" w:lineRule="auto"/>
        <w:ind w:left="133" w:right="6195"/>
      </w:pPr>
      <w:r>
        <w:rPr>
          <w:sz w:val="20"/>
        </w:rPr>
        <w:t xml:space="preserve"> </w:t>
      </w:r>
      <w:r>
        <w:rPr>
          <w:sz w:val="20"/>
        </w:rPr>
        <w:tab/>
        <w:t xml:space="preserve"> </w:t>
      </w:r>
      <w:r>
        <w:rPr>
          <w:rFonts w:ascii="Arial" w:eastAsia="Arial" w:hAnsi="Arial" w:cs="Arial"/>
          <w:sz w:val="20"/>
        </w:rPr>
        <w:t xml:space="preserve">6. </w:t>
      </w:r>
      <w:r>
        <w:rPr>
          <w:sz w:val="20"/>
        </w:rPr>
        <w:t>中國低波幅策略股票基金</w:t>
      </w:r>
      <w:r>
        <w:rPr>
          <w:sz w:val="20"/>
        </w:rPr>
        <w:t xml:space="preserve"> </w:t>
      </w:r>
      <w:r>
        <w:rPr>
          <w:sz w:val="20"/>
        </w:rPr>
        <w:tab/>
        <w:t xml:space="preserve"> </w:t>
      </w:r>
    </w:p>
    <w:p w:rsidR="004D6F0E" w:rsidRDefault="00490F21">
      <w:pPr>
        <w:spacing w:after="27" w:line="259" w:lineRule="auto"/>
        <w:ind w:left="124" w:firstLine="0"/>
      </w:pPr>
      <w:r>
        <w:rPr>
          <w:sz w:val="20"/>
        </w:rPr>
        <w:t xml:space="preserve"> </w:t>
      </w:r>
      <w:r>
        <w:rPr>
          <w:sz w:val="20"/>
        </w:rPr>
        <w:tab/>
        <w:t xml:space="preserve"> </w:t>
      </w:r>
    </w:p>
    <w:p w:rsidR="004D6F0E" w:rsidRDefault="00490F21">
      <w:pPr>
        <w:numPr>
          <w:ilvl w:val="1"/>
          <w:numId w:val="3"/>
        </w:numPr>
        <w:spacing w:after="15" w:line="270" w:lineRule="auto"/>
        <w:ind w:left="614" w:right="2231" w:hanging="178"/>
      </w:pPr>
      <w:r>
        <w:rPr>
          <w:sz w:val="20"/>
        </w:rPr>
        <w:t>類股份</w:t>
      </w:r>
      <w:r>
        <w:rPr>
          <w:sz w:val="20"/>
        </w:rPr>
        <w:t xml:space="preserve"> </w:t>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rFonts w:ascii="Arial" w:eastAsia="Arial" w:hAnsi="Arial" w:cs="Arial"/>
          <w:sz w:val="20"/>
        </w:rPr>
        <w:t xml:space="preserve">A </w:t>
      </w:r>
      <w:r>
        <w:rPr>
          <w:sz w:val="20"/>
        </w:rPr>
        <w:t>類港元、</w:t>
      </w:r>
      <w:r>
        <w:rPr>
          <w:rFonts w:ascii="Arial" w:eastAsia="Arial" w:hAnsi="Arial" w:cs="Arial"/>
          <w:sz w:val="20"/>
        </w:rPr>
        <w:t xml:space="preserve">AD </w:t>
      </w:r>
      <w:r>
        <w:rPr>
          <w:sz w:val="20"/>
        </w:rPr>
        <w:t>類美元、</w:t>
      </w:r>
      <w:r>
        <w:rPr>
          <w:rFonts w:ascii="Arial" w:eastAsia="Arial" w:hAnsi="Arial" w:cs="Arial"/>
          <w:sz w:val="20"/>
        </w:rPr>
        <w:t xml:space="preserve">AD </w:t>
      </w:r>
      <w:r>
        <w:rPr>
          <w:sz w:val="20"/>
        </w:rPr>
        <w:t>類港元、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紐西蘭元、</w:t>
      </w:r>
    </w:p>
    <w:p w:rsidR="004D6F0E" w:rsidRDefault="00490F21">
      <w:pPr>
        <w:spacing w:after="15" w:line="270" w:lineRule="auto"/>
        <w:ind w:left="2970"/>
      </w:pPr>
      <w:r>
        <w:rPr>
          <w:rFonts w:ascii="Arial" w:eastAsia="Arial" w:hAnsi="Arial" w:cs="Arial"/>
          <w:sz w:val="20"/>
        </w:rPr>
        <w:t xml:space="preserve">AD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p w:rsidR="004D6F0E" w:rsidRDefault="00490F21">
      <w:pPr>
        <w:numPr>
          <w:ilvl w:val="1"/>
          <w:numId w:val="3"/>
        </w:numPr>
        <w:spacing w:after="13" w:line="270" w:lineRule="auto"/>
        <w:ind w:left="614" w:right="2231" w:hanging="178"/>
      </w:pPr>
      <w:r>
        <w:rPr>
          <w:sz w:val="20"/>
        </w:rPr>
        <w:t>類股份</w:t>
      </w:r>
      <w:r>
        <w:rPr>
          <w:rFonts w:ascii="Arial" w:eastAsia="Arial" w:hAnsi="Arial" w:cs="Arial"/>
          <w:sz w:val="20"/>
        </w:rPr>
        <w:t>*</w:t>
      </w:r>
      <w:r>
        <w:rPr>
          <w:sz w:val="20"/>
        </w:rPr>
        <w:t xml:space="preserve"> </w:t>
      </w:r>
      <w:r>
        <w:rPr>
          <w:sz w:val="20"/>
        </w:rPr>
        <w:tab/>
      </w:r>
      <w:r>
        <w:rPr>
          <w:rFonts w:ascii="Arial" w:eastAsia="Arial" w:hAnsi="Arial" w:cs="Arial"/>
          <w:sz w:val="20"/>
        </w:rPr>
        <w:t xml:space="preserve">B </w:t>
      </w:r>
      <w:r>
        <w:rPr>
          <w:sz w:val="20"/>
        </w:rPr>
        <w:t>類美元、</w:t>
      </w:r>
      <w:r>
        <w:rPr>
          <w:rFonts w:ascii="Arial" w:eastAsia="Arial" w:hAnsi="Arial" w:cs="Arial"/>
          <w:sz w:val="20"/>
        </w:rPr>
        <w:t xml:space="preserve">B </w:t>
      </w:r>
      <w:r>
        <w:rPr>
          <w:sz w:val="20"/>
        </w:rPr>
        <w:t>類歐元</w:t>
      </w:r>
      <w:r>
        <w:rPr>
          <w:sz w:val="20"/>
        </w:rPr>
        <w:t xml:space="preserve"> </w:t>
      </w:r>
      <w:r>
        <w:rPr>
          <w:rFonts w:ascii="Arial" w:eastAsia="Arial" w:hAnsi="Arial" w:cs="Arial"/>
          <w:sz w:val="20"/>
        </w:rPr>
        <w:t xml:space="preserve">C </w:t>
      </w: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sz w:val="20"/>
        </w:rPr>
        <w:t xml:space="preserve"> </w:t>
      </w:r>
    </w:p>
    <w:p w:rsidR="004D6F0E" w:rsidRDefault="00490F21">
      <w:pPr>
        <w:tabs>
          <w:tab w:val="center" w:pos="785"/>
          <w:tab w:val="center" w:pos="3758"/>
        </w:tabs>
        <w:spacing w:after="0" w:line="270" w:lineRule="auto"/>
        <w:ind w:left="0" w:firstLine="0"/>
      </w:pPr>
      <w:r>
        <w:rPr>
          <w:rFonts w:ascii="Calibri" w:eastAsia="Calibri" w:hAnsi="Calibri" w:cs="Calibri"/>
          <w:sz w:val="22"/>
        </w:rPr>
        <w:tab/>
      </w:r>
      <w:r>
        <w:rPr>
          <w:rFonts w:ascii="Arial" w:eastAsia="Arial" w:hAnsi="Arial" w:cs="Arial"/>
          <w:sz w:val="20"/>
        </w:rPr>
        <w:t xml:space="preserve">I </w:t>
      </w:r>
      <w:r>
        <w:rPr>
          <w:sz w:val="20"/>
        </w:rPr>
        <w:t>類股份</w:t>
      </w:r>
      <w:r>
        <w:rPr>
          <w:sz w:val="20"/>
        </w:rPr>
        <w:t xml:space="preserve"> </w:t>
      </w:r>
      <w:r>
        <w:rPr>
          <w:sz w:val="20"/>
        </w:rPr>
        <w:tab/>
      </w:r>
      <w:r>
        <w:rPr>
          <w:rFonts w:ascii="Arial" w:eastAsia="Arial" w:hAnsi="Arial" w:cs="Arial"/>
          <w:sz w:val="20"/>
        </w:rPr>
        <w:t xml:space="preserve">I </w:t>
      </w:r>
      <w:r>
        <w:rPr>
          <w:sz w:val="20"/>
        </w:rPr>
        <w:t>類美元、</w:t>
      </w:r>
      <w:r>
        <w:rPr>
          <w:rFonts w:ascii="Arial" w:eastAsia="Arial" w:hAnsi="Arial" w:cs="Arial"/>
          <w:sz w:val="20"/>
        </w:rPr>
        <w:t xml:space="preserve">I </w:t>
      </w:r>
      <w:r>
        <w:rPr>
          <w:sz w:val="20"/>
        </w:rPr>
        <w:t>類歐元</w:t>
      </w:r>
      <w:r>
        <w:rPr>
          <w:sz w:val="20"/>
        </w:rPr>
        <w:t xml:space="preserve"> </w:t>
      </w:r>
    </w:p>
    <w:p w:rsidR="004D6F0E" w:rsidRDefault="00490F21">
      <w:pPr>
        <w:spacing w:after="12" w:line="270" w:lineRule="auto"/>
        <w:ind w:left="133" w:right="6195"/>
      </w:pPr>
      <w:r>
        <w:rPr>
          <w:sz w:val="20"/>
        </w:rPr>
        <w:t xml:space="preserve"> </w:t>
      </w:r>
      <w:r>
        <w:rPr>
          <w:sz w:val="20"/>
        </w:rPr>
        <w:tab/>
        <w:t xml:space="preserve"> </w:t>
      </w:r>
      <w:r>
        <w:rPr>
          <w:rFonts w:ascii="Arial" w:eastAsia="Arial" w:hAnsi="Arial" w:cs="Arial"/>
          <w:sz w:val="20"/>
        </w:rPr>
        <w:t xml:space="preserve">7. </w:t>
      </w:r>
      <w:r>
        <w:rPr>
          <w:sz w:val="20"/>
        </w:rPr>
        <w:t>短期債券基金</w:t>
      </w:r>
      <w:r>
        <w:rPr>
          <w:sz w:val="20"/>
        </w:rPr>
        <w:t xml:space="preserve"> </w:t>
      </w:r>
      <w:r>
        <w:rPr>
          <w:sz w:val="20"/>
        </w:rPr>
        <w:tab/>
        <w:t xml:space="preserve"> </w:t>
      </w:r>
    </w:p>
    <w:p w:rsidR="004D6F0E" w:rsidRDefault="00490F21">
      <w:pPr>
        <w:spacing w:after="25" w:line="259" w:lineRule="auto"/>
        <w:ind w:left="124" w:firstLine="0"/>
      </w:pPr>
      <w:r>
        <w:rPr>
          <w:sz w:val="20"/>
        </w:rPr>
        <w:t xml:space="preserve"> </w:t>
      </w:r>
      <w:r>
        <w:rPr>
          <w:sz w:val="20"/>
        </w:rPr>
        <w:tab/>
        <w:t xml:space="preserve"> </w:t>
      </w:r>
    </w:p>
    <w:p w:rsidR="004D6F0E" w:rsidRDefault="00490F21">
      <w:pPr>
        <w:numPr>
          <w:ilvl w:val="1"/>
          <w:numId w:val="4"/>
        </w:numPr>
        <w:spacing w:after="4" w:line="278" w:lineRule="auto"/>
        <w:ind w:left="626" w:hanging="190"/>
      </w:pPr>
      <w:r>
        <w:rPr>
          <w:sz w:val="20"/>
        </w:rPr>
        <w:t>類股份</w:t>
      </w:r>
      <w:r>
        <w:rPr>
          <w:sz w:val="20"/>
        </w:rPr>
        <w:t xml:space="preserve"> </w:t>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sz w:val="20"/>
        </w:rPr>
        <w:t xml:space="preserve"> </w:t>
      </w:r>
      <w:r>
        <w:rPr>
          <w:rFonts w:ascii="Arial" w:eastAsia="Arial" w:hAnsi="Arial" w:cs="Arial"/>
          <w:sz w:val="20"/>
        </w:rPr>
        <w:t xml:space="preserve">A2 </w:t>
      </w:r>
      <w:r>
        <w:rPr>
          <w:sz w:val="20"/>
        </w:rPr>
        <w:t>類美元、</w:t>
      </w:r>
      <w:r>
        <w:rPr>
          <w:rFonts w:ascii="Arial" w:eastAsia="Arial" w:hAnsi="Arial" w:cs="Arial"/>
          <w:sz w:val="20"/>
        </w:rPr>
        <w:t xml:space="preserve">A2 </w:t>
      </w:r>
      <w:r>
        <w:rPr>
          <w:sz w:val="20"/>
        </w:rPr>
        <w:t>類歐元、</w:t>
      </w:r>
      <w:r>
        <w:rPr>
          <w:rFonts w:ascii="Arial" w:eastAsia="Arial" w:hAnsi="Arial" w:cs="Arial"/>
          <w:sz w:val="20"/>
        </w:rPr>
        <w:t xml:space="preserve">A2 </w:t>
      </w:r>
      <w:r>
        <w:rPr>
          <w:sz w:val="20"/>
        </w:rPr>
        <w:t>類港元、</w:t>
      </w:r>
      <w:r>
        <w:rPr>
          <w:sz w:val="20"/>
        </w:rPr>
        <w:t xml:space="preserve"> </w:t>
      </w:r>
      <w:r>
        <w:rPr>
          <w:rFonts w:ascii="Arial" w:eastAsia="Arial" w:hAnsi="Arial" w:cs="Arial"/>
          <w:sz w:val="20"/>
        </w:rPr>
        <w:t xml:space="preserve">AT </w:t>
      </w:r>
      <w:r>
        <w:rPr>
          <w:sz w:val="20"/>
        </w:rPr>
        <w:t>類美元、</w:t>
      </w:r>
      <w:r>
        <w:rPr>
          <w:sz w:val="20"/>
        </w:rPr>
        <w:t xml:space="preserve"> </w:t>
      </w:r>
      <w:r>
        <w:rPr>
          <w:rFonts w:ascii="Arial" w:eastAsia="Arial" w:hAnsi="Arial" w:cs="Arial"/>
          <w:sz w:val="20"/>
        </w:rPr>
        <w:t xml:space="preserve">AT </w:t>
      </w:r>
      <w:r>
        <w:rPr>
          <w:sz w:val="20"/>
        </w:rPr>
        <w:t>類歐元、</w:t>
      </w:r>
      <w:r>
        <w:rPr>
          <w:rFonts w:ascii="Arial" w:eastAsia="Arial" w:hAnsi="Arial" w:cs="Arial"/>
          <w:sz w:val="20"/>
        </w:rPr>
        <w:t xml:space="preserve">AT </w:t>
      </w:r>
      <w:r>
        <w:rPr>
          <w:sz w:val="20"/>
        </w:rPr>
        <w:t>類港元、</w:t>
      </w:r>
      <w:r>
        <w:rPr>
          <w:rFonts w:ascii="Arial" w:eastAsia="Arial" w:hAnsi="Arial" w:cs="Arial"/>
          <w:sz w:val="20"/>
        </w:rPr>
        <w:t xml:space="preserve">AA </w:t>
      </w:r>
      <w:r>
        <w:rPr>
          <w:sz w:val="20"/>
        </w:rPr>
        <w:t>類美元、</w:t>
      </w:r>
      <w:r>
        <w:rPr>
          <w:rFonts w:ascii="Arial" w:eastAsia="Arial" w:hAnsi="Arial" w:cs="Arial"/>
          <w:sz w:val="20"/>
        </w:rPr>
        <w:t xml:space="preserve">AA </w:t>
      </w:r>
      <w:r>
        <w:rPr>
          <w:sz w:val="20"/>
        </w:rPr>
        <w:t>類港元、</w:t>
      </w:r>
      <w:r>
        <w:rPr>
          <w:sz w:val="20"/>
        </w:rPr>
        <w:t xml:space="preserve"> </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加元、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p w:rsidR="004D6F0E" w:rsidRDefault="00490F21">
      <w:pPr>
        <w:numPr>
          <w:ilvl w:val="1"/>
          <w:numId w:val="4"/>
        </w:numPr>
        <w:spacing w:after="18" w:line="270" w:lineRule="auto"/>
        <w:ind w:left="626" w:hanging="190"/>
      </w:pPr>
      <w:r>
        <w:rPr>
          <w:sz w:val="20"/>
        </w:rPr>
        <w:t>類股份</w:t>
      </w:r>
      <w:r>
        <w:rPr>
          <w:sz w:val="20"/>
        </w:rPr>
        <w:t xml:space="preserve">* </w:t>
      </w:r>
      <w:r>
        <w:rPr>
          <w:sz w:val="20"/>
        </w:rPr>
        <w:tab/>
      </w:r>
      <w:r>
        <w:rPr>
          <w:rFonts w:ascii="Arial" w:eastAsia="Arial" w:hAnsi="Arial" w:cs="Arial"/>
          <w:sz w:val="20"/>
        </w:rPr>
        <w:t xml:space="preserve">B </w:t>
      </w:r>
      <w:r>
        <w:rPr>
          <w:sz w:val="20"/>
        </w:rPr>
        <w:t>類美元</w:t>
      </w:r>
      <w:r>
        <w:rPr>
          <w:sz w:val="20"/>
        </w:rPr>
        <w:t xml:space="preserve"> </w:t>
      </w:r>
    </w:p>
    <w:p w:rsidR="004D6F0E" w:rsidRDefault="00490F21">
      <w:pPr>
        <w:numPr>
          <w:ilvl w:val="1"/>
          <w:numId w:val="4"/>
        </w:numPr>
        <w:spacing w:after="16" w:line="270" w:lineRule="auto"/>
        <w:ind w:left="626" w:hanging="190"/>
      </w:pP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C2 </w:t>
      </w:r>
      <w:r>
        <w:rPr>
          <w:sz w:val="20"/>
        </w:rPr>
        <w:t>類美元、</w:t>
      </w:r>
      <w:r>
        <w:rPr>
          <w:rFonts w:ascii="Arial" w:eastAsia="Arial" w:hAnsi="Arial" w:cs="Arial"/>
          <w:sz w:val="20"/>
        </w:rPr>
        <w:t xml:space="preserve">C2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p w:rsidR="004D6F0E" w:rsidRDefault="00490F21">
      <w:pPr>
        <w:spacing w:after="8" w:line="270" w:lineRule="auto"/>
        <w:ind w:left="2961" w:hanging="2525"/>
      </w:pPr>
      <w:r>
        <w:rPr>
          <w:rFonts w:ascii="Arial" w:eastAsia="Arial" w:hAnsi="Arial" w:cs="Arial"/>
          <w:sz w:val="20"/>
        </w:rPr>
        <w:t xml:space="preserve">I </w:t>
      </w:r>
      <w:r>
        <w:rPr>
          <w:sz w:val="20"/>
        </w:rPr>
        <w:t>類股份</w:t>
      </w:r>
      <w:r>
        <w:rPr>
          <w:sz w:val="20"/>
        </w:rPr>
        <w:t xml:space="preserve"> </w:t>
      </w:r>
      <w:r>
        <w:rPr>
          <w:sz w:val="20"/>
        </w:rPr>
        <w:tab/>
      </w:r>
      <w:r>
        <w:rPr>
          <w:rFonts w:ascii="Arial" w:eastAsia="Arial" w:hAnsi="Arial" w:cs="Arial"/>
          <w:sz w:val="20"/>
        </w:rPr>
        <w:t xml:space="preserve">I2 </w:t>
      </w:r>
      <w:r>
        <w:rPr>
          <w:sz w:val="20"/>
        </w:rPr>
        <w:t>類美元、</w:t>
      </w:r>
      <w:r>
        <w:rPr>
          <w:rFonts w:ascii="Arial" w:eastAsia="Arial" w:hAnsi="Arial" w:cs="Arial"/>
          <w:sz w:val="20"/>
        </w:rPr>
        <w:t xml:space="preserve">I2 </w:t>
      </w:r>
      <w:r>
        <w:rPr>
          <w:sz w:val="20"/>
        </w:rPr>
        <w:t>類歐元、</w:t>
      </w:r>
      <w:r>
        <w:rPr>
          <w:sz w:val="20"/>
        </w:rPr>
        <w:t xml:space="preserve"> </w:t>
      </w:r>
      <w:r>
        <w:rPr>
          <w:rFonts w:ascii="Arial" w:eastAsia="Arial" w:hAnsi="Arial" w:cs="Arial"/>
          <w:sz w:val="20"/>
        </w:rPr>
        <w:t xml:space="preserve">IT </w:t>
      </w:r>
      <w:r>
        <w:rPr>
          <w:sz w:val="20"/>
        </w:rPr>
        <w:t>類美元、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tabs>
          <w:tab w:val="center" w:pos="1193"/>
          <w:tab w:val="center" w:pos="4620"/>
        </w:tabs>
        <w:spacing w:after="12" w:line="270" w:lineRule="auto"/>
        <w:ind w:left="0" w:firstLine="0"/>
      </w:pPr>
      <w:r>
        <w:rPr>
          <w:rFonts w:ascii="Calibri" w:eastAsia="Calibri" w:hAnsi="Calibri" w:cs="Calibri"/>
          <w:sz w:val="22"/>
        </w:rPr>
        <w:tab/>
      </w:r>
      <w:r>
        <w:rPr>
          <w:rFonts w:ascii="Arial" w:eastAsia="Arial" w:hAnsi="Arial" w:cs="Arial"/>
          <w:sz w:val="20"/>
        </w:rPr>
        <w:t xml:space="preserve">S </w:t>
      </w:r>
      <w:r>
        <w:rPr>
          <w:sz w:val="20"/>
        </w:rPr>
        <w:t>類及</w:t>
      </w:r>
      <w:r>
        <w:rPr>
          <w:sz w:val="20"/>
        </w:rPr>
        <w:t xml:space="preserve"> </w:t>
      </w:r>
      <w:r>
        <w:rPr>
          <w:rFonts w:ascii="Arial" w:eastAsia="Arial" w:hAnsi="Arial" w:cs="Arial"/>
          <w:sz w:val="20"/>
        </w:rPr>
        <w:t xml:space="preserve">S1 </w:t>
      </w:r>
      <w:r>
        <w:rPr>
          <w:sz w:val="20"/>
        </w:rPr>
        <w:t>類股份</w:t>
      </w:r>
      <w:r>
        <w:rPr>
          <w:sz w:val="20"/>
        </w:rPr>
        <w:t xml:space="preserve"> </w:t>
      </w:r>
      <w:r>
        <w:rPr>
          <w:sz w:val="20"/>
        </w:rPr>
        <w:tab/>
      </w:r>
      <w:r>
        <w:rPr>
          <w:rFonts w:ascii="Arial" w:eastAsia="Arial" w:hAnsi="Arial" w:cs="Arial"/>
          <w:sz w:val="20"/>
        </w:rPr>
        <w:t xml:space="preserve">S </w:t>
      </w:r>
      <w:r>
        <w:rPr>
          <w:sz w:val="20"/>
        </w:rPr>
        <w:t>類美元、</w:t>
      </w:r>
      <w:r>
        <w:rPr>
          <w:rFonts w:ascii="Arial" w:eastAsia="Arial" w:hAnsi="Arial" w:cs="Arial"/>
          <w:sz w:val="20"/>
        </w:rPr>
        <w:t xml:space="preserve">S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S1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p w:rsidR="004D6F0E" w:rsidRDefault="00490F21">
      <w:pPr>
        <w:spacing w:after="26" w:line="259" w:lineRule="auto"/>
        <w:ind w:left="124" w:firstLine="0"/>
      </w:pPr>
      <w:r>
        <w:rPr>
          <w:sz w:val="20"/>
        </w:rPr>
        <w:t xml:space="preserve"> </w:t>
      </w:r>
      <w:r>
        <w:rPr>
          <w:sz w:val="20"/>
        </w:rPr>
        <w:tab/>
        <w:t xml:space="preserve"> </w:t>
      </w:r>
    </w:p>
    <w:p w:rsidR="004D6F0E" w:rsidRDefault="00490F21">
      <w:pPr>
        <w:tabs>
          <w:tab w:val="center" w:pos="2960"/>
        </w:tabs>
        <w:spacing w:after="12" w:line="270" w:lineRule="auto"/>
        <w:ind w:left="0" w:firstLine="0"/>
      </w:pPr>
      <w:r>
        <w:rPr>
          <w:rFonts w:ascii="Arial" w:eastAsia="Arial" w:hAnsi="Arial" w:cs="Arial"/>
          <w:sz w:val="20"/>
        </w:rPr>
        <w:lastRenderedPageBreak/>
        <w:t xml:space="preserve">8. </w:t>
      </w:r>
      <w:r>
        <w:rPr>
          <w:sz w:val="20"/>
        </w:rPr>
        <w:t>環球高收益基金</w:t>
      </w:r>
      <w:r>
        <w:rPr>
          <w:sz w:val="20"/>
        </w:rPr>
        <w:t xml:space="preserve"> </w:t>
      </w:r>
      <w:r>
        <w:rPr>
          <w:sz w:val="20"/>
        </w:rPr>
        <w:tab/>
        <w:t xml:space="preserve"> </w:t>
      </w:r>
    </w:p>
    <w:p w:rsidR="004D6F0E" w:rsidRDefault="00490F21">
      <w:pPr>
        <w:spacing w:after="25" w:line="259" w:lineRule="auto"/>
        <w:ind w:left="124" w:firstLine="0"/>
      </w:pPr>
      <w:r>
        <w:rPr>
          <w:sz w:val="20"/>
        </w:rPr>
        <w:t xml:space="preserve"> </w:t>
      </w:r>
      <w:r>
        <w:rPr>
          <w:sz w:val="20"/>
        </w:rPr>
        <w:tab/>
        <w:t xml:space="preserve"> </w:t>
      </w:r>
    </w:p>
    <w:p w:rsidR="004D6F0E" w:rsidRDefault="00490F21">
      <w:pPr>
        <w:numPr>
          <w:ilvl w:val="0"/>
          <w:numId w:val="6"/>
        </w:numPr>
        <w:spacing w:after="4" w:line="278" w:lineRule="auto"/>
        <w:ind w:left="626" w:hanging="190"/>
      </w:pPr>
      <w:r>
        <w:rPr>
          <w:sz w:val="20"/>
        </w:rPr>
        <w:t>類股份</w:t>
      </w:r>
      <w:r>
        <w:rPr>
          <w:sz w:val="20"/>
        </w:rPr>
        <w:t xml:space="preserve"> </w:t>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sz w:val="20"/>
        </w:rPr>
        <w:t xml:space="preserve"> </w:t>
      </w:r>
      <w:r>
        <w:rPr>
          <w:rFonts w:ascii="Arial" w:eastAsia="Arial" w:hAnsi="Arial" w:cs="Arial"/>
          <w:sz w:val="20"/>
        </w:rPr>
        <w:t xml:space="preserve">A2 </w:t>
      </w:r>
      <w:r>
        <w:rPr>
          <w:sz w:val="20"/>
        </w:rPr>
        <w:t>類美元、</w:t>
      </w:r>
      <w:r>
        <w:rPr>
          <w:rFonts w:ascii="Arial" w:eastAsia="Arial" w:hAnsi="Arial" w:cs="Arial"/>
          <w:sz w:val="20"/>
        </w:rPr>
        <w:t xml:space="preserve">A2 </w:t>
      </w:r>
      <w:r>
        <w:rPr>
          <w:sz w:val="20"/>
        </w:rPr>
        <w:t>類歐元、</w:t>
      </w:r>
      <w:r>
        <w:rPr>
          <w:sz w:val="20"/>
        </w:rPr>
        <w:t xml:space="preserve"> </w:t>
      </w:r>
      <w:r>
        <w:rPr>
          <w:rFonts w:ascii="Arial" w:eastAsia="Arial" w:hAnsi="Arial" w:cs="Arial"/>
          <w:sz w:val="20"/>
        </w:rPr>
        <w:t xml:space="preserve">A2 </w:t>
      </w:r>
      <w:r>
        <w:rPr>
          <w:sz w:val="20"/>
        </w:rPr>
        <w:t>類港元、</w:t>
      </w:r>
      <w:r>
        <w:rPr>
          <w:rFonts w:ascii="Arial" w:eastAsia="Arial" w:hAnsi="Arial" w:cs="Arial"/>
          <w:sz w:val="20"/>
        </w:rPr>
        <w:t xml:space="preserve">A2 </w:t>
      </w:r>
      <w:r>
        <w:rPr>
          <w:sz w:val="20"/>
        </w:rPr>
        <w:t>類新加坡元、</w:t>
      </w:r>
      <w:r>
        <w:rPr>
          <w:rFonts w:ascii="Arial" w:eastAsia="Arial" w:hAnsi="Arial" w:cs="Arial"/>
          <w:sz w:val="20"/>
        </w:rPr>
        <w:t xml:space="preserve">AT </w:t>
      </w:r>
      <w:r>
        <w:rPr>
          <w:sz w:val="20"/>
        </w:rPr>
        <w:t>類美元、</w:t>
      </w:r>
      <w:r>
        <w:rPr>
          <w:sz w:val="20"/>
        </w:rPr>
        <w:t xml:space="preserve"> </w:t>
      </w:r>
      <w:r>
        <w:rPr>
          <w:rFonts w:ascii="Arial" w:eastAsia="Arial" w:hAnsi="Arial" w:cs="Arial"/>
          <w:sz w:val="20"/>
        </w:rPr>
        <w:t xml:space="preserve">AT </w:t>
      </w:r>
      <w:r>
        <w:rPr>
          <w:sz w:val="20"/>
        </w:rPr>
        <w:t>類歐元、</w:t>
      </w:r>
      <w:r>
        <w:rPr>
          <w:rFonts w:ascii="Arial" w:eastAsia="Arial" w:hAnsi="Arial" w:cs="Arial"/>
          <w:sz w:val="20"/>
        </w:rPr>
        <w:t xml:space="preserve"> AT </w:t>
      </w:r>
      <w:r>
        <w:rPr>
          <w:sz w:val="20"/>
        </w:rPr>
        <w:t>類港元、</w:t>
      </w:r>
      <w:r>
        <w:rPr>
          <w:rFonts w:ascii="Arial" w:eastAsia="Arial" w:hAnsi="Arial" w:cs="Arial"/>
          <w:sz w:val="20"/>
        </w:rPr>
        <w:t xml:space="preserve">AT </w:t>
      </w:r>
      <w:r>
        <w:rPr>
          <w:sz w:val="20"/>
        </w:rPr>
        <w:t>類新加坡元、</w:t>
      </w:r>
      <w:r>
        <w:rPr>
          <w:rFonts w:ascii="Arial" w:eastAsia="Arial" w:hAnsi="Arial" w:cs="Arial"/>
          <w:sz w:val="20"/>
        </w:rPr>
        <w:t xml:space="preserve">AA </w:t>
      </w:r>
      <w:r>
        <w:rPr>
          <w:sz w:val="20"/>
        </w:rPr>
        <w:t>類美元、</w:t>
      </w:r>
      <w:r>
        <w:rPr>
          <w:rFonts w:ascii="Arial" w:eastAsia="Arial" w:hAnsi="Arial" w:cs="Arial"/>
          <w:sz w:val="20"/>
        </w:rPr>
        <w:t xml:space="preserve">AA </w:t>
      </w:r>
      <w:r>
        <w:rPr>
          <w:sz w:val="20"/>
        </w:rPr>
        <w:t>類港元、</w:t>
      </w:r>
      <w:r>
        <w:rPr>
          <w:sz w:val="20"/>
        </w:rPr>
        <w:t xml:space="preserve"> </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紐西蘭元、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南非蘭特</w:t>
      </w:r>
      <w:r>
        <w:rPr>
          <w:sz w:val="20"/>
        </w:rPr>
        <w:t xml:space="preserve"> </w:t>
      </w:r>
    </w:p>
    <w:p w:rsidR="004D6F0E" w:rsidRDefault="00490F21">
      <w:pPr>
        <w:numPr>
          <w:ilvl w:val="0"/>
          <w:numId w:val="6"/>
        </w:numPr>
        <w:spacing w:after="18" w:line="270" w:lineRule="auto"/>
        <w:ind w:left="626" w:hanging="190"/>
      </w:pPr>
      <w:r>
        <w:rPr>
          <w:sz w:val="20"/>
        </w:rPr>
        <w:t>類股份</w:t>
      </w:r>
      <w:r>
        <w:rPr>
          <w:rFonts w:ascii="Arial" w:eastAsia="Arial" w:hAnsi="Arial" w:cs="Arial"/>
          <w:sz w:val="20"/>
        </w:rPr>
        <w:t>*</w:t>
      </w:r>
      <w:r>
        <w:rPr>
          <w:sz w:val="20"/>
        </w:rPr>
        <w:t xml:space="preserve"> </w:t>
      </w:r>
      <w:r>
        <w:rPr>
          <w:sz w:val="20"/>
        </w:rPr>
        <w:tab/>
      </w:r>
      <w:r>
        <w:rPr>
          <w:rFonts w:ascii="Arial" w:eastAsia="Arial" w:hAnsi="Arial" w:cs="Arial"/>
          <w:sz w:val="20"/>
        </w:rPr>
        <w:t xml:space="preserve">B </w:t>
      </w:r>
      <w:r>
        <w:rPr>
          <w:sz w:val="20"/>
        </w:rPr>
        <w:t>類美元、</w:t>
      </w:r>
      <w:r>
        <w:rPr>
          <w:rFonts w:ascii="Arial" w:eastAsia="Arial" w:hAnsi="Arial" w:cs="Arial"/>
          <w:sz w:val="20"/>
        </w:rPr>
        <w:t xml:space="preserve">B2 </w:t>
      </w:r>
      <w:r>
        <w:rPr>
          <w:sz w:val="20"/>
        </w:rPr>
        <w:t>類美元、</w:t>
      </w:r>
      <w:r>
        <w:rPr>
          <w:rFonts w:ascii="Arial" w:eastAsia="Arial" w:hAnsi="Arial" w:cs="Arial"/>
          <w:sz w:val="20"/>
        </w:rPr>
        <w:t xml:space="preserve">BT </w:t>
      </w:r>
      <w:r>
        <w:rPr>
          <w:sz w:val="20"/>
        </w:rPr>
        <w:t>類美元、</w:t>
      </w:r>
      <w:r>
        <w:rPr>
          <w:rFonts w:ascii="Arial" w:eastAsia="Arial" w:hAnsi="Arial" w:cs="Arial"/>
          <w:sz w:val="20"/>
        </w:rPr>
        <w:t xml:space="preserve">BT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numPr>
          <w:ilvl w:val="0"/>
          <w:numId w:val="6"/>
        </w:numPr>
        <w:spacing w:after="7" w:line="270" w:lineRule="auto"/>
        <w:ind w:left="626" w:hanging="190"/>
      </w:pP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rFonts w:ascii="Arial" w:eastAsia="Arial" w:hAnsi="Arial" w:cs="Arial"/>
          <w:sz w:val="20"/>
        </w:rPr>
        <w:t xml:space="preserve">C2 </w:t>
      </w:r>
      <w:r>
        <w:rPr>
          <w:sz w:val="20"/>
        </w:rPr>
        <w:t>類美元、</w:t>
      </w:r>
      <w:r>
        <w:rPr>
          <w:rFonts w:ascii="Arial" w:eastAsia="Arial" w:hAnsi="Arial" w:cs="Arial"/>
          <w:sz w:val="20"/>
        </w:rPr>
        <w:t xml:space="preserve">C2 </w:t>
      </w:r>
      <w:r>
        <w:rPr>
          <w:sz w:val="20"/>
        </w:rPr>
        <w:t>類歐元、</w:t>
      </w:r>
      <w:r>
        <w:rPr>
          <w:sz w:val="20"/>
        </w:rPr>
        <w:t xml:space="preserve"> </w:t>
      </w:r>
      <w:r>
        <w:rPr>
          <w:rFonts w:ascii="Arial" w:eastAsia="Arial" w:hAnsi="Arial" w:cs="Arial"/>
          <w:sz w:val="20"/>
        </w:rPr>
        <w:t xml:space="preserve">CT </w:t>
      </w:r>
      <w:r>
        <w:rPr>
          <w:sz w:val="20"/>
        </w:rPr>
        <w:t>類美元、</w:t>
      </w:r>
      <w:r>
        <w:rPr>
          <w:rFonts w:ascii="Arial" w:eastAsia="Arial" w:hAnsi="Arial" w:cs="Arial"/>
          <w:sz w:val="20"/>
        </w:rPr>
        <w:t xml:space="preserve">C2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p w:rsidR="004D6F0E" w:rsidRDefault="00490F21">
      <w:pPr>
        <w:spacing w:after="4" w:line="278" w:lineRule="auto"/>
        <w:ind w:left="2961" w:right="47" w:hanging="2525"/>
        <w:jc w:val="both"/>
      </w:pPr>
      <w:r>
        <w:rPr>
          <w:rFonts w:ascii="Arial" w:eastAsia="Arial" w:hAnsi="Arial" w:cs="Arial"/>
          <w:sz w:val="20"/>
        </w:rPr>
        <w:t xml:space="preserve">I </w:t>
      </w:r>
      <w:r>
        <w:rPr>
          <w:sz w:val="20"/>
        </w:rPr>
        <w:t>類股份</w:t>
      </w:r>
      <w:r>
        <w:rPr>
          <w:sz w:val="20"/>
        </w:rPr>
        <w:t xml:space="preserve"> </w:t>
      </w:r>
      <w:r>
        <w:rPr>
          <w:rFonts w:ascii="Arial" w:eastAsia="Arial" w:hAnsi="Arial" w:cs="Arial"/>
          <w:sz w:val="20"/>
        </w:rPr>
        <w:t xml:space="preserve">I2 </w:t>
      </w:r>
      <w:r>
        <w:rPr>
          <w:sz w:val="20"/>
        </w:rPr>
        <w:t>類美元、</w:t>
      </w:r>
      <w:r>
        <w:rPr>
          <w:rFonts w:ascii="Arial" w:eastAsia="Arial" w:hAnsi="Arial" w:cs="Arial"/>
          <w:sz w:val="20"/>
        </w:rPr>
        <w:t xml:space="preserve">I2 </w:t>
      </w:r>
      <w:r>
        <w:rPr>
          <w:sz w:val="20"/>
        </w:rPr>
        <w:t>類歐元、</w:t>
      </w:r>
      <w:r>
        <w:rPr>
          <w:rFonts w:ascii="Arial" w:eastAsia="Arial" w:hAnsi="Arial" w:cs="Arial"/>
          <w:sz w:val="20"/>
        </w:rPr>
        <w:t xml:space="preserve">I2 </w:t>
      </w:r>
      <w:r>
        <w:rPr>
          <w:sz w:val="20"/>
        </w:rPr>
        <w:t>類新加坡元、</w:t>
      </w:r>
      <w:r>
        <w:rPr>
          <w:rFonts w:ascii="Arial" w:eastAsia="Arial" w:hAnsi="Arial" w:cs="Arial"/>
          <w:sz w:val="20"/>
        </w:rPr>
        <w:t xml:space="preserve"> IT </w:t>
      </w:r>
      <w:r>
        <w:rPr>
          <w:sz w:val="20"/>
        </w:rPr>
        <w:t>類美元、</w:t>
      </w:r>
      <w:r>
        <w:rPr>
          <w:rFonts w:ascii="Arial" w:eastAsia="Arial" w:hAnsi="Arial" w:cs="Arial"/>
          <w:sz w:val="20"/>
        </w:rPr>
        <w:t xml:space="preserve">IT </w:t>
      </w:r>
      <w:r>
        <w:rPr>
          <w:sz w:val="20"/>
        </w:rPr>
        <w:t>類港元、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I2</w:t>
      </w:r>
      <w:r>
        <w:rPr>
          <w:sz w:val="20"/>
        </w:rPr>
        <w:t>類</w:t>
      </w:r>
      <w:r>
        <w:rPr>
          <w:sz w:val="20"/>
        </w:rPr>
        <w:t xml:space="preserve"> </w:t>
      </w:r>
      <w:r>
        <w:rPr>
          <w:rFonts w:ascii="Arial" w:eastAsia="Arial" w:hAnsi="Arial" w:cs="Arial"/>
          <w:sz w:val="20"/>
        </w:rPr>
        <w:t>H</w:t>
      </w:r>
      <w:r>
        <w:rPr>
          <w:sz w:val="20"/>
        </w:rPr>
        <w:t>歐元、</w:t>
      </w:r>
      <w:r>
        <w:rPr>
          <w:rFonts w:ascii="Arial" w:eastAsia="Arial" w:hAnsi="Arial" w:cs="Arial"/>
          <w:sz w:val="20"/>
        </w:rPr>
        <w:t>I2</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H</w:t>
      </w:r>
      <w:r>
        <w:rPr>
          <w:sz w:val="20"/>
        </w:rPr>
        <w:t>新加坡元、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加元、</w:t>
      </w:r>
      <w:r>
        <w:rPr>
          <w:sz w:val="20"/>
        </w:rPr>
        <w:t xml:space="preserve"> </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IA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tabs>
          <w:tab w:val="center" w:pos="878"/>
          <w:tab w:val="center" w:pos="3948"/>
        </w:tabs>
        <w:spacing w:after="16" w:line="270" w:lineRule="auto"/>
        <w:ind w:left="0" w:firstLine="0"/>
      </w:pPr>
      <w:r>
        <w:rPr>
          <w:rFonts w:ascii="Calibri" w:eastAsia="Calibri" w:hAnsi="Calibri" w:cs="Calibri"/>
          <w:sz w:val="22"/>
        </w:rPr>
        <w:tab/>
      </w:r>
      <w:r>
        <w:rPr>
          <w:rFonts w:ascii="Arial" w:eastAsia="Arial" w:hAnsi="Arial" w:cs="Arial"/>
          <w:sz w:val="20"/>
        </w:rPr>
        <w:t xml:space="preserve">S1 </w:t>
      </w:r>
      <w:r>
        <w:rPr>
          <w:sz w:val="20"/>
        </w:rPr>
        <w:t>類股份</w:t>
      </w:r>
      <w:r>
        <w:rPr>
          <w:sz w:val="20"/>
        </w:rPr>
        <w:t xml:space="preserve"> </w:t>
      </w:r>
      <w:r>
        <w:rPr>
          <w:sz w:val="20"/>
        </w:rPr>
        <w:tab/>
      </w:r>
      <w:r>
        <w:rPr>
          <w:rFonts w:ascii="Arial" w:eastAsia="Arial" w:hAnsi="Arial" w:cs="Arial"/>
          <w:sz w:val="20"/>
        </w:rPr>
        <w:t xml:space="preserve">S1 </w:t>
      </w:r>
      <w:r>
        <w:rPr>
          <w:sz w:val="20"/>
        </w:rPr>
        <w:t>類美元、</w:t>
      </w:r>
      <w:r>
        <w:rPr>
          <w:rFonts w:ascii="Arial" w:eastAsia="Arial" w:hAnsi="Arial" w:cs="Arial"/>
          <w:sz w:val="20"/>
        </w:rPr>
        <w:t xml:space="preserve">S1 </w:t>
      </w:r>
      <w:r>
        <w:rPr>
          <w:sz w:val="20"/>
        </w:rPr>
        <w:t>類歐元</w:t>
      </w:r>
      <w:r>
        <w:rPr>
          <w:sz w:val="20"/>
        </w:rPr>
        <w:t xml:space="preserve"> </w:t>
      </w:r>
    </w:p>
    <w:p w:rsidR="004D6F0E" w:rsidRDefault="00490F21">
      <w:pPr>
        <w:tabs>
          <w:tab w:val="center" w:pos="851"/>
          <w:tab w:val="center" w:pos="3437"/>
        </w:tabs>
        <w:spacing w:after="14" w:line="270" w:lineRule="auto"/>
        <w:ind w:left="0" w:firstLine="0"/>
      </w:pPr>
      <w:r>
        <w:rPr>
          <w:rFonts w:ascii="Calibri" w:eastAsia="Calibri" w:hAnsi="Calibri" w:cs="Calibri"/>
          <w:sz w:val="22"/>
        </w:rPr>
        <w:tab/>
      </w:r>
      <w:r>
        <w:rPr>
          <w:rFonts w:ascii="Arial" w:eastAsia="Arial" w:hAnsi="Arial" w:cs="Arial"/>
          <w:sz w:val="20"/>
        </w:rPr>
        <w:t xml:space="preserve">W </w:t>
      </w:r>
      <w:r>
        <w:rPr>
          <w:sz w:val="20"/>
        </w:rPr>
        <w:t>類股份</w:t>
      </w:r>
      <w:r>
        <w:rPr>
          <w:sz w:val="20"/>
        </w:rPr>
        <w:t xml:space="preserve"> </w:t>
      </w:r>
      <w:r>
        <w:rPr>
          <w:sz w:val="20"/>
        </w:rPr>
        <w:tab/>
      </w:r>
      <w:r>
        <w:rPr>
          <w:rFonts w:ascii="Arial" w:eastAsia="Arial" w:hAnsi="Arial" w:cs="Arial"/>
          <w:sz w:val="20"/>
        </w:rPr>
        <w:t xml:space="preserve">WT </w:t>
      </w:r>
      <w:r>
        <w:rPr>
          <w:sz w:val="20"/>
        </w:rPr>
        <w:t>類美元</w:t>
      </w:r>
      <w:r>
        <w:rPr>
          <w:sz w:val="20"/>
        </w:rPr>
        <w:t xml:space="preserve"> </w:t>
      </w:r>
    </w:p>
    <w:p w:rsidR="004D6F0E" w:rsidRDefault="00490F21">
      <w:pPr>
        <w:spacing w:after="12" w:line="270" w:lineRule="auto"/>
        <w:ind w:left="133" w:right="6195"/>
      </w:pPr>
      <w:r>
        <w:rPr>
          <w:sz w:val="20"/>
        </w:rPr>
        <w:t xml:space="preserve"> </w:t>
      </w:r>
      <w:r>
        <w:rPr>
          <w:sz w:val="20"/>
        </w:rPr>
        <w:tab/>
        <w:t xml:space="preserve"> </w:t>
      </w:r>
      <w:r>
        <w:rPr>
          <w:rFonts w:ascii="Arial" w:eastAsia="Arial" w:hAnsi="Arial" w:cs="Arial"/>
          <w:sz w:val="20"/>
        </w:rPr>
        <w:t xml:space="preserve">9. </w:t>
      </w:r>
      <w:r>
        <w:rPr>
          <w:sz w:val="20"/>
        </w:rPr>
        <w:t>美元收益基金</w:t>
      </w:r>
      <w:r>
        <w:rPr>
          <w:sz w:val="20"/>
        </w:rPr>
        <w:t xml:space="preserve"> </w:t>
      </w:r>
      <w:r>
        <w:rPr>
          <w:sz w:val="20"/>
        </w:rPr>
        <w:tab/>
        <w:t xml:space="preserve"> </w:t>
      </w:r>
    </w:p>
    <w:p w:rsidR="004D6F0E" w:rsidRDefault="00490F21">
      <w:pPr>
        <w:spacing w:after="25" w:line="259" w:lineRule="auto"/>
        <w:ind w:left="124" w:firstLine="0"/>
      </w:pPr>
      <w:r>
        <w:rPr>
          <w:sz w:val="20"/>
        </w:rPr>
        <w:t xml:space="preserve"> </w:t>
      </w:r>
      <w:r>
        <w:rPr>
          <w:sz w:val="20"/>
        </w:rPr>
        <w:tab/>
        <w:t xml:space="preserve"> </w:t>
      </w:r>
    </w:p>
    <w:p w:rsidR="004D6F0E" w:rsidRDefault="00490F21">
      <w:pPr>
        <w:numPr>
          <w:ilvl w:val="0"/>
          <w:numId w:val="5"/>
        </w:numPr>
        <w:spacing w:after="4" w:line="278" w:lineRule="auto"/>
        <w:ind w:left="626" w:hanging="190"/>
      </w:pPr>
      <w:r>
        <w:rPr>
          <w:sz w:val="20"/>
        </w:rPr>
        <w:t>類股份</w:t>
      </w:r>
      <w:r>
        <w:rPr>
          <w:sz w:val="20"/>
        </w:rPr>
        <w:t xml:space="preserve"> </w:t>
      </w: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sz w:val="20"/>
        </w:rPr>
        <w:t xml:space="preserve"> </w:t>
      </w:r>
      <w:r>
        <w:rPr>
          <w:rFonts w:ascii="Arial" w:eastAsia="Arial" w:hAnsi="Arial" w:cs="Arial"/>
          <w:sz w:val="20"/>
        </w:rPr>
        <w:t xml:space="preserve">A2 </w:t>
      </w:r>
      <w:r>
        <w:rPr>
          <w:sz w:val="20"/>
        </w:rPr>
        <w:t>類美元、</w:t>
      </w:r>
      <w:r>
        <w:rPr>
          <w:rFonts w:ascii="Arial" w:eastAsia="Arial" w:hAnsi="Arial" w:cs="Arial"/>
          <w:sz w:val="20"/>
        </w:rPr>
        <w:t xml:space="preserve">A2 </w:t>
      </w:r>
      <w:r>
        <w:rPr>
          <w:sz w:val="20"/>
        </w:rPr>
        <w:t>類歐元、</w:t>
      </w:r>
      <w:r>
        <w:rPr>
          <w:sz w:val="20"/>
        </w:rPr>
        <w:t xml:space="preserve"> </w:t>
      </w:r>
      <w:r>
        <w:rPr>
          <w:rFonts w:ascii="Arial" w:eastAsia="Arial" w:hAnsi="Arial" w:cs="Arial"/>
          <w:sz w:val="20"/>
        </w:rPr>
        <w:t xml:space="preserve">A2 </w:t>
      </w:r>
      <w:r>
        <w:rPr>
          <w:sz w:val="20"/>
        </w:rPr>
        <w:t>類港元、</w:t>
      </w:r>
      <w:r>
        <w:rPr>
          <w:rFonts w:ascii="Arial" w:eastAsia="Arial" w:hAnsi="Arial" w:cs="Arial"/>
          <w:sz w:val="20"/>
        </w:rPr>
        <w:t xml:space="preserve">A2 </w:t>
      </w:r>
      <w:r>
        <w:rPr>
          <w:sz w:val="20"/>
        </w:rPr>
        <w:t>類新加坡元、</w:t>
      </w:r>
      <w:r>
        <w:rPr>
          <w:sz w:val="20"/>
        </w:rPr>
        <w:t xml:space="preserve"> </w:t>
      </w:r>
      <w:r>
        <w:rPr>
          <w:rFonts w:ascii="Arial" w:eastAsia="Arial" w:hAnsi="Arial" w:cs="Arial"/>
          <w:sz w:val="20"/>
        </w:rPr>
        <w:t xml:space="preserve">AT </w:t>
      </w:r>
      <w:r>
        <w:rPr>
          <w:sz w:val="20"/>
        </w:rPr>
        <w:t>類美元、</w:t>
      </w:r>
      <w:r>
        <w:rPr>
          <w:rFonts w:ascii="Arial" w:eastAsia="Arial" w:hAnsi="Arial" w:cs="Arial"/>
          <w:sz w:val="20"/>
        </w:rPr>
        <w:t xml:space="preserve">AT </w:t>
      </w:r>
      <w:r>
        <w:rPr>
          <w:sz w:val="20"/>
        </w:rPr>
        <w:t>類歐元、</w:t>
      </w:r>
      <w:r>
        <w:rPr>
          <w:sz w:val="20"/>
        </w:rPr>
        <w:t xml:space="preserve"> </w:t>
      </w:r>
      <w:r>
        <w:rPr>
          <w:rFonts w:ascii="Arial" w:eastAsia="Arial" w:hAnsi="Arial" w:cs="Arial"/>
          <w:sz w:val="20"/>
        </w:rPr>
        <w:t xml:space="preserve">AT </w:t>
      </w:r>
      <w:r>
        <w:rPr>
          <w:sz w:val="20"/>
        </w:rPr>
        <w:t>類港元、</w:t>
      </w:r>
      <w:r>
        <w:rPr>
          <w:rFonts w:ascii="Arial" w:eastAsia="Arial" w:hAnsi="Arial" w:cs="Arial"/>
          <w:sz w:val="20"/>
        </w:rPr>
        <w:t xml:space="preserve">AT </w:t>
      </w:r>
      <w:r>
        <w:rPr>
          <w:sz w:val="20"/>
        </w:rPr>
        <w:t>類新加坡元、</w:t>
      </w:r>
      <w:r>
        <w:rPr>
          <w:sz w:val="20"/>
        </w:rPr>
        <w:t xml:space="preserve"> </w:t>
      </w:r>
      <w:r>
        <w:rPr>
          <w:rFonts w:ascii="Arial" w:eastAsia="Arial" w:hAnsi="Arial" w:cs="Arial"/>
          <w:sz w:val="20"/>
        </w:rPr>
        <w:t xml:space="preserve">AA </w:t>
      </w:r>
      <w:r>
        <w:rPr>
          <w:sz w:val="20"/>
        </w:rPr>
        <w:t>類美元、</w:t>
      </w:r>
      <w:r>
        <w:rPr>
          <w:rFonts w:ascii="Arial" w:eastAsia="Arial" w:hAnsi="Arial" w:cs="Arial"/>
          <w:sz w:val="20"/>
        </w:rPr>
        <w:t xml:space="preserve">AA </w:t>
      </w:r>
      <w:r>
        <w:rPr>
          <w:sz w:val="20"/>
        </w:rPr>
        <w:t>類港元、</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新加坡元、</w:t>
      </w:r>
    </w:p>
    <w:p w:rsidR="004D6F0E" w:rsidRDefault="00490F21">
      <w:pPr>
        <w:spacing w:after="18" w:line="270" w:lineRule="auto"/>
        <w:ind w:left="2970"/>
      </w:pP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南非蘭特</w:t>
      </w:r>
      <w:r>
        <w:rPr>
          <w:sz w:val="20"/>
        </w:rPr>
        <w:t xml:space="preserve"> </w:t>
      </w:r>
    </w:p>
    <w:p w:rsidR="004D6F0E" w:rsidRDefault="00490F21">
      <w:pPr>
        <w:numPr>
          <w:ilvl w:val="0"/>
          <w:numId w:val="5"/>
        </w:numPr>
        <w:spacing w:after="16" w:line="270" w:lineRule="auto"/>
        <w:ind w:left="626" w:hanging="190"/>
      </w:pPr>
      <w:r>
        <w:rPr>
          <w:sz w:val="20"/>
        </w:rPr>
        <w:t>類股份</w:t>
      </w:r>
      <w:r>
        <w:rPr>
          <w:rFonts w:ascii="Arial" w:eastAsia="Arial" w:hAnsi="Arial" w:cs="Arial"/>
          <w:sz w:val="20"/>
        </w:rPr>
        <w:t>*</w:t>
      </w:r>
      <w:r>
        <w:rPr>
          <w:sz w:val="20"/>
        </w:rPr>
        <w:t xml:space="preserve"> </w:t>
      </w:r>
      <w:r>
        <w:rPr>
          <w:sz w:val="20"/>
        </w:rPr>
        <w:tab/>
      </w:r>
      <w:r>
        <w:rPr>
          <w:rFonts w:ascii="Arial" w:eastAsia="Arial" w:hAnsi="Arial" w:cs="Arial"/>
          <w:sz w:val="20"/>
        </w:rPr>
        <w:t xml:space="preserve">B </w:t>
      </w:r>
      <w:r>
        <w:rPr>
          <w:sz w:val="20"/>
        </w:rPr>
        <w:t>類美元、</w:t>
      </w:r>
      <w:r>
        <w:rPr>
          <w:rFonts w:ascii="Arial" w:eastAsia="Arial" w:hAnsi="Arial" w:cs="Arial"/>
          <w:sz w:val="20"/>
        </w:rPr>
        <w:t xml:space="preserve">B2 </w:t>
      </w:r>
      <w:r>
        <w:rPr>
          <w:sz w:val="20"/>
        </w:rPr>
        <w:t>類美元、</w:t>
      </w:r>
      <w:r>
        <w:rPr>
          <w:rFonts w:ascii="Arial" w:eastAsia="Arial" w:hAnsi="Arial" w:cs="Arial"/>
          <w:sz w:val="20"/>
        </w:rPr>
        <w:t xml:space="preserve">BT </w:t>
      </w:r>
      <w:r>
        <w:rPr>
          <w:sz w:val="20"/>
        </w:rPr>
        <w:t>類美元</w:t>
      </w:r>
      <w:r>
        <w:rPr>
          <w:sz w:val="20"/>
        </w:rPr>
        <w:t xml:space="preserve"> </w:t>
      </w:r>
    </w:p>
    <w:p w:rsidR="004D6F0E" w:rsidRDefault="00490F21">
      <w:pPr>
        <w:numPr>
          <w:ilvl w:val="0"/>
          <w:numId w:val="5"/>
        </w:numPr>
        <w:spacing w:after="9" w:line="270" w:lineRule="auto"/>
        <w:ind w:left="626" w:hanging="190"/>
      </w:pPr>
      <w:r>
        <w:rPr>
          <w:sz w:val="20"/>
        </w:rPr>
        <w:t>類股份</w:t>
      </w:r>
      <w:r>
        <w:rPr>
          <w:sz w:val="20"/>
        </w:rPr>
        <w:t xml:space="preserve"> </w:t>
      </w:r>
      <w:r>
        <w:rPr>
          <w:sz w:val="20"/>
        </w:rPr>
        <w:tab/>
      </w: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rFonts w:ascii="Arial" w:eastAsia="Arial" w:hAnsi="Arial" w:cs="Arial"/>
          <w:sz w:val="20"/>
        </w:rPr>
        <w:t xml:space="preserve">C2 </w:t>
      </w:r>
      <w:r>
        <w:rPr>
          <w:sz w:val="20"/>
        </w:rPr>
        <w:t>類美元、</w:t>
      </w:r>
      <w:r>
        <w:rPr>
          <w:rFonts w:ascii="Arial" w:eastAsia="Arial" w:hAnsi="Arial" w:cs="Arial"/>
          <w:sz w:val="20"/>
        </w:rPr>
        <w:t xml:space="preserve">C2 </w:t>
      </w:r>
      <w:r>
        <w:rPr>
          <w:sz w:val="20"/>
        </w:rPr>
        <w:t>類歐元、</w:t>
      </w:r>
      <w:r>
        <w:rPr>
          <w:rFonts w:ascii="Arial" w:eastAsia="Arial" w:hAnsi="Arial" w:cs="Arial"/>
          <w:sz w:val="20"/>
        </w:rPr>
        <w:t xml:space="preserve">CT </w:t>
      </w:r>
      <w:r>
        <w:rPr>
          <w:sz w:val="20"/>
        </w:rPr>
        <w:t>類美元、</w:t>
      </w:r>
      <w:r>
        <w:rPr>
          <w:sz w:val="20"/>
        </w:rPr>
        <w:t xml:space="preserve"> </w:t>
      </w:r>
      <w:r>
        <w:rPr>
          <w:rFonts w:ascii="Arial" w:eastAsia="Arial" w:hAnsi="Arial" w:cs="Arial"/>
          <w:sz w:val="20"/>
        </w:rPr>
        <w:t xml:space="preserve">C2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p w:rsidR="004D6F0E" w:rsidRDefault="00490F21">
      <w:pPr>
        <w:spacing w:after="4" w:line="278" w:lineRule="auto"/>
        <w:ind w:left="2960" w:right="47" w:hanging="2524"/>
        <w:jc w:val="both"/>
      </w:pPr>
      <w:r>
        <w:rPr>
          <w:rFonts w:ascii="Arial" w:eastAsia="Arial" w:hAnsi="Arial" w:cs="Arial"/>
          <w:sz w:val="20"/>
        </w:rPr>
        <w:t xml:space="preserve">I </w:t>
      </w:r>
      <w:r>
        <w:rPr>
          <w:sz w:val="20"/>
        </w:rPr>
        <w:t>類股份</w:t>
      </w:r>
      <w:r>
        <w:rPr>
          <w:sz w:val="20"/>
        </w:rPr>
        <w:t xml:space="preserve"> </w:t>
      </w:r>
      <w:r>
        <w:rPr>
          <w:rFonts w:ascii="Arial" w:eastAsia="Arial" w:hAnsi="Arial" w:cs="Arial"/>
          <w:sz w:val="20"/>
        </w:rPr>
        <w:t xml:space="preserve">I </w:t>
      </w:r>
      <w:r>
        <w:rPr>
          <w:sz w:val="20"/>
        </w:rPr>
        <w:t>類美元、</w:t>
      </w:r>
      <w:r>
        <w:rPr>
          <w:rFonts w:ascii="Arial" w:eastAsia="Arial" w:hAnsi="Arial" w:cs="Arial"/>
          <w:sz w:val="20"/>
        </w:rPr>
        <w:t xml:space="preserve">I </w:t>
      </w:r>
      <w:r>
        <w:rPr>
          <w:sz w:val="20"/>
        </w:rPr>
        <w:t>類歐元、</w:t>
      </w:r>
      <w:r>
        <w:rPr>
          <w:rFonts w:ascii="Arial" w:eastAsia="Arial" w:hAnsi="Arial" w:cs="Arial"/>
          <w:sz w:val="20"/>
        </w:rPr>
        <w:t xml:space="preserve"> I2 </w:t>
      </w:r>
      <w:r>
        <w:rPr>
          <w:sz w:val="20"/>
        </w:rPr>
        <w:t>類美元、</w:t>
      </w:r>
      <w:r>
        <w:rPr>
          <w:rFonts w:ascii="Arial" w:eastAsia="Arial" w:hAnsi="Arial" w:cs="Arial"/>
          <w:sz w:val="20"/>
        </w:rPr>
        <w:t xml:space="preserve">I2 </w:t>
      </w:r>
      <w:r>
        <w:rPr>
          <w:sz w:val="20"/>
        </w:rPr>
        <w:t>類歐元、</w:t>
      </w:r>
      <w:r>
        <w:rPr>
          <w:rFonts w:ascii="Arial" w:eastAsia="Arial" w:hAnsi="Arial" w:cs="Arial"/>
          <w:sz w:val="20"/>
        </w:rPr>
        <w:t xml:space="preserve"> I2 </w:t>
      </w:r>
      <w:r>
        <w:rPr>
          <w:sz w:val="20"/>
        </w:rPr>
        <w:t>類港元、</w:t>
      </w:r>
      <w:r>
        <w:rPr>
          <w:rFonts w:ascii="Arial" w:eastAsia="Arial" w:hAnsi="Arial" w:cs="Arial"/>
          <w:sz w:val="20"/>
        </w:rPr>
        <w:t xml:space="preserve">I2 </w:t>
      </w:r>
      <w:r>
        <w:rPr>
          <w:sz w:val="20"/>
        </w:rPr>
        <w:t>類新加坡元、</w:t>
      </w:r>
      <w:r>
        <w:rPr>
          <w:sz w:val="20"/>
        </w:rPr>
        <w:t xml:space="preserve"> </w:t>
      </w:r>
      <w:r>
        <w:rPr>
          <w:rFonts w:ascii="Arial" w:eastAsia="Arial" w:hAnsi="Arial" w:cs="Arial"/>
          <w:sz w:val="20"/>
        </w:rPr>
        <w:t xml:space="preserve">IT </w:t>
      </w:r>
      <w:r>
        <w:rPr>
          <w:sz w:val="20"/>
        </w:rPr>
        <w:t>類美元、</w:t>
      </w:r>
      <w:r>
        <w:rPr>
          <w:rFonts w:ascii="Arial" w:eastAsia="Arial" w:hAnsi="Arial" w:cs="Arial"/>
          <w:sz w:val="20"/>
        </w:rPr>
        <w:t xml:space="preserve">IT </w:t>
      </w:r>
      <w:r>
        <w:rPr>
          <w:sz w:val="20"/>
        </w:rPr>
        <w:t>類港元、</w:t>
      </w:r>
      <w:r>
        <w:rPr>
          <w:rFonts w:ascii="Arial" w:eastAsia="Arial" w:hAnsi="Arial" w:cs="Arial"/>
          <w:sz w:val="20"/>
        </w:rPr>
        <w:t xml:space="preserve"> IT </w:t>
      </w:r>
      <w:r>
        <w:rPr>
          <w:sz w:val="20"/>
        </w:rPr>
        <w:t>類新加坡元、</w:t>
      </w:r>
      <w:r>
        <w:rPr>
          <w:sz w:val="20"/>
        </w:rPr>
        <w:t xml:space="preserve"> </w:t>
      </w:r>
      <w:r>
        <w:rPr>
          <w:rFonts w:ascii="Arial" w:eastAsia="Arial" w:hAnsi="Arial" w:cs="Arial"/>
          <w:sz w:val="20"/>
        </w:rPr>
        <w:t xml:space="preserve">IA </w:t>
      </w:r>
      <w:r>
        <w:rPr>
          <w:sz w:val="20"/>
        </w:rPr>
        <w:t>類美元、</w:t>
      </w:r>
      <w:r>
        <w:rPr>
          <w:sz w:val="20"/>
        </w:rPr>
        <w:t xml:space="preserve"> </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 IT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英鎊、</w:t>
      </w:r>
    </w:p>
    <w:p w:rsidR="004D6F0E" w:rsidRDefault="00490F21">
      <w:pPr>
        <w:spacing w:after="28" w:line="259" w:lineRule="auto"/>
        <w:ind w:left="0" w:right="506" w:firstLine="0"/>
        <w:jc w:val="right"/>
      </w:pP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 IT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IA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p>
    <w:p w:rsidR="004D6F0E" w:rsidRDefault="00490F21">
      <w:pPr>
        <w:spacing w:after="7" w:line="270" w:lineRule="auto"/>
        <w:ind w:left="2961" w:hanging="2525"/>
      </w:pPr>
      <w:r>
        <w:rPr>
          <w:rFonts w:ascii="Arial" w:eastAsia="Arial" w:hAnsi="Arial" w:cs="Arial"/>
          <w:sz w:val="20"/>
        </w:rPr>
        <w:t xml:space="preserve">W </w:t>
      </w:r>
      <w:r>
        <w:rPr>
          <w:sz w:val="20"/>
        </w:rPr>
        <w:t>類股份</w:t>
      </w:r>
      <w:r>
        <w:rPr>
          <w:sz w:val="20"/>
        </w:rPr>
        <w:t xml:space="preserve"> </w:t>
      </w:r>
      <w:r>
        <w:rPr>
          <w:sz w:val="20"/>
        </w:rPr>
        <w:tab/>
      </w:r>
      <w:r>
        <w:rPr>
          <w:rFonts w:ascii="Arial" w:eastAsia="Arial" w:hAnsi="Arial" w:cs="Arial"/>
          <w:sz w:val="20"/>
        </w:rPr>
        <w:t xml:space="preserve">W2 </w:t>
      </w:r>
      <w:r>
        <w:rPr>
          <w:sz w:val="20"/>
        </w:rPr>
        <w:t>類美元、</w:t>
      </w:r>
      <w:r>
        <w:rPr>
          <w:rFonts w:ascii="Arial" w:eastAsia="Arial" w:hAnsi="Arial" w:cs="Arial"/>
          <w:sz w:val="20"/>
        </w:rPr>
        <w:t xml:space="preserve">WT </w:t>
      </w:r>
      <w:r>
        <w:rPr>
          <w:sz w:val="20"/>
        </w:rPr>
        <w:t>類美元、</w:t>
      </w:r>
      <w:r>
        <w:rPr>
          <w:rFonts w:ascii="Arial" w:eastAsia="Arial" w:hAnsi="Arial" w:cs="Arial"/>
          <w:sz w:val="20"/>
        </w:rPr>
        <w:t xml:space="preserve">WT </w:t>
      </w:r>
      <w:r>
        <w:rPr>
          <w:sz w:val="20"/>
        </w:rPr>
        <w:t>類港元、</w:t>
      </w:r>
      <w:r>
        <w:rPr>
          <w:rFonts w:ascii="Arial" w:eastAsia="Arial" w:hAnsi="Arial" w:cs="Arial"/>
          <w:sz w:val="20"/>
        </w:rPr>
        <w:t xml:space="preserve">WT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WT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p w:rsidR="004D6F0E" w:rsidRDefault="00490F21">
      <w:pPr>
        <w:spacing w:after="24" w:line="259" w:lineRule="auto"/>
        <w:ind w:left="124" w:firstLine="0"/>
      </w:pPr>
      <w:r>
        <w:rPr>
          <w:sz w:val="20"/>
        </w:rPr>
        <w:t xml:space="preserve"> </w:t>
      </w:r>
      <w:r>
        <w:rPr>
          <w:sz w:val="20"/>
        </w:rPr>
        <w:tab/>
        <w:t xml:space="preserve"> </w:t>
      </w:r>
    </w:p>
    <w:p w:rsidR="004D6F0E" w:rsidRDefault="00490F21">
      <w:pPr>
        <w:spacing w:after="22" w:line="259" w:lineRule="auto"/>
        <w:ind w:left="124" w:firstLine="0"/>
      </w:pPr>
      <w:r>
        <w:rPr>
          <w:sz w:val="20"/>
        </w:rPr>
        <w:t xml:space="preserve"> </w:t>
      </w:r>
      <w:r>
        <w:rPr>
          <w:sz w:val="20"/>
        </w:rPr>
        <w:tab/>
        <w:t xml:space="preserve"> </w:t>
      </w:r>
    </w:p>
    <w:p w:rsidR="004D6F0E" w:rsidRDefault="00490F21">
      <w:pPr>
        <w:spacing w:after="0" w:line="259" w:lineRule="auto"/>
        <w:ind w:left="124" w:firstLine="0"/>
      </w:pPr>
      <w:r>
        <w:rPr>
          <w:sz w:val="20"/>
        </w:rPr>
        <w:t xml:space="preserve"> </w:t>
      </w:r>
      <w:r>
        <w:rPr>
          <w:sz w:val="20"/>
        </w:rPr>
        <w:tab/>
        <w:t xml:space="preserve"> </w:t>
      </w:r>
    </w:p>
    <w:tbl>
      <w:tblPr>
        <w:tblStyle w:val="TableGrid"/>
        <w:tblW w:w="9190" w:type="dxa"/>
        <w:tblInd w:w="124" w:type="dxa"/>
        <w:tblCellMar>
          <w:top w:w="0" w:type="dxa"/>
          <w:left w:w="0" w:type="dxa"/>
          <w:bottom w:w="0" w:type="dxa"/>
          <w:right w:w="0" w:type="dxa"/>
        </w:tblCellMar>
        <w:tblLook w:val="04A0" w:firstRow="1" w:lastRow="0" w:firstColumn="1" w:lastColumn="0" w:noHBand="0" w:noVBand="1"/>
      </w:tblPr>
      <w:tblGrid>
        <w:gridCol w:w="2414"/>
        <w:gridCol w:w="6776"/>
      </w:tblGrid>
      <w:tr w:rsidR="004D6F0E">
        <w:trPr>
          <w:trHeight w:val="230"/>
        </w:trPr>
        <w:tc>
          <w:tcPr>
            <w:tcW w:w="24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0"/>
              </w:rPr>
              <w:t xml:space="preserve">10. </w:t>
            </w:r>
            <w:r>
              <w:rPr>
                <w:sz w:val="20"/>
              </w:rPr>
              <w:t>歐洲收益基金</w:t>
            </w: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0" w:firstLine="0"/>
            </w:pP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1042"/>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lastRenderedPageBreak/>
              <w:t xml:space="preserve">A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87" w:lineRule="auto"/>
              <w:ind w:left="422" w:right="2" w:firstLine="0"/>
              <w:jc w:val="both"/>
            </w:pPr>
            <w:r>
              <w:rPr>
                <w:rFonts w:ascii="Arial" w:eastAsia="Arial" w:hAnsi="Arial" w:cs="Arial"/>
                <w:sz w:val="20"/>
              </w:rPr>
              <w:t xml:space="preserve">A </w:t>
            </w:r>
            <w:r>
              <w:rPr>
                <w:sz w:val="20"/>
              </w:rPr>
              <w:t>類歐元、</w:t>
            </w:r>
            <w:r>
              <w:rPr>
                <w:rFonts w:ascii="Arial" w:eastAsia="Arial" w:hAnsi="Arial" w:cs="Arial"/>
                <w:sz w:val="20"/>
              </w:rPr>
              <w:t xml:space="preserve">A </w:t>
            </w:r>
            <w:r>
              <w:rPr>
                <w:sz w:val="20"/>
              </w:rPr>
              <w:t>類美元、</w:t>
            </w:r>
            <w:r>
              <w:rPr>
                <w:sz w:val="20"/>
              </w:rPr>
              <w:t xml:space="preserve"> </w:t>
            </w:r>
            <w:r>
              <w:rPr>
                <w:rFonts w:ascii="Arial" w:eastAsia="Arial" w:hAnsi="Arial" w:cs="Arial"/>
                <w:sz w:val="20"/>
              </w:rPr>
              <w:t xml:space="preserve">A2 </w:t>
            </w:r>
            <w:r>
              <w:rPr>
                <w:sz w:val="20"/>
              </w:rPr>
              <w:t>類歐元、</w:t>
            </w:r>
            <w:r>
              <w:rPr>
                <w:rFonts w:ascii="Arial" w:eastAsia="Arial" w:hAnsi="Arial" w:cs="Arial"/>
                <w:sz w:val="20"/>
              </w:rPr>
              <w:t xml:space="preserve">A2 </w:t>
            </w:r>
            <w:r>
              <w:rPr>
                <w:sz w:val="20"/>
              </w:rPr>
              <w:t>類美元、</w:t>
            </w:r>
            <w:r>
              <w:rPr>
                <w:sz w:val="20"/>
              </w:rPr>
              <w:t xml:space="preserve"> </w:t>
            </w:r>
            <w:r>
              <w:rPr>
                <w:rFonts w:ascii="Arial" w:eastAsia="Arial" w:hAnsi="Arial" w:cs="Arial"/>
                <w:sz w:val="20"/>
              </w:rPr>
              <w:t xml:space="preserve">AT </w:t>
            </w:r>
            <w:r>
              <w:rPr>
                <w:sz w:val="20"/>
              </w:rPr>
              <w:t>類歐元、</w:t>
            </w:r>
            <w:r>
              <w:rPr>
                <w:rFonts w:ascii="Arial" w:eastAsia="Arial" w:hAnsi="Arial" w:cs="Arial"/>
                <w:sz w:val="20"/>
              </w:rPr>
              <w:t xml:space="preserve">AT </w:t>
            </w:r>
            <w:r>
              <w:rPr>
                <w:sz w:val="20"/>
              </w:rPr>
              <w:t>類美元、</w:t>
            </w:r>
            <w:r>
              <w:rPr>
                <w:sz w:val="20"/>
              </w:rPr>
              <w:t xml:space="preserve"> </w:t>
            </w:r>
            <w:r>
              <w:rPr>
                <w:rFonts w:ascii="Arial" w:eastAsia="Arial" w:hAnsi="Arial" w:cs="Arial"/>
                <w:sz w:val="20"/>
              </w:rPr>
              <w:t xml:space="preserve">AA </w:t>
            </w:r>
            <w:r>
              <w:rPr>
                <w:sz w:val="20"/>
              </w:rPr>
              <w:t>類歐元、</w:t>
            </w:r>
            <w:r>
              <w:rPr>
                <w:sz w:val="20"/>
              </w:rPr>
              <w:t xml:space="preserve"> </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美元、</w:t>
            </w:r>
            <w:r>
              <w:rPr>
                <w:rFonts w:ascii="Arial" w:eastAsia="Arial" w:hAnsi="Arial" w:cs="Arial"/>
                <w:sz w:val="20"/>
              </w:rPr>
              <w:t xml:space="preserve"> AT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美元、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港元、</w:t>
            </w:r>
          </w:p>
          <w:p w:rsidR="004D6F0E" w:rsidRDefault="00490F21">
            <w:pPr>
              <w:spacing w:after="0" w:line="259" w:lineRule="auto"/>
              <w:ind w:left="422" w:firstLine="0"/>
            </w:pP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人民幣、</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p>
        </w:tc>
      </w:tr>
      <w:tr w:rsidR="004D6F0E">
        <w:trPr>
          <w:trHeight w:val="26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B </w:t>
            </w:r>
            <w:r>
              <w:rPr>
                <w:sz w:val="20"/>
              </w:rPr>
              <w:t>類股份</w:t>
            </w:r>
            <w:r>
              <w:rPr>
                <w:rFonts w:ascii="Arial" w:eastAsia="Arial" w:hAnsi="Arial" w:cs="Arial"/>
                <w:sz w:val="20"/>
              </w:rPr>
              <w:t>*</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B </w:t>
            </w:r>
            <w:r>
              <w:rPr>
                <w:sz w:val="20"/>
              </w:rPr>
              <w:t>類美元、</w:t>
            </w:r>
            <w:r>
              <w:rPr>
                <w:rFonts w:ascii="Arial" w:eastAsia="Arial" w:hAnsi="Arial" w:cs="Arial"/>
                <w:sz w:val="20"/>
              </w:rPr>
              <w:t xml:space="preserve">B2 </w:t>
            </w:r>
            <w:r>
              <w:rPr>
                <w:sz w:val="20"/>
              </w:rPr>
              <w:t>類歐元、</w:t>
            </w:r>
            <w:r>
              <w:rPr>
                <w:rFonts w:ascii="Arial" w:eastAsia="Arial" w:hAnsi="Arial" w:cs="Arial"/>
                <w:sz w:val="20"/>
              </w:rPr>
              <w:t xml:space="preserve">B2 </w:t>
            </w:r>
            <w:r>
              <w:rPr>
                <w:sz w:val="20"/>
              </w:rPr>
              <w:t>類美元</w:t>
            </w:r>
            <w:r>
              <w:rPr>
                <w:sz w:val="20"/>
              </w:rPr>
              <w:t xml:space="preserve"> </w:t>
            </w:r>
          </w:p>
        </w:tc>
      </w:tr>
      <w:tr w:rsidR="004D6F0E">
        <w:trPr>
          <w:trHeight w:val="52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C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C </w:t>
            </w:r>
            <w:r>
              <w:rPr>
                <w:sz w:val="20"/>
              </w:rPr>
              <w:t>類歐元、</w:t>
            </w:r>
            <w:r>
              <w:rPr>
                <w:rFonts w:ascii="Arial" w:eastAsia="Arial" w:hAnsi="Arial" w:cs="Arial"/>
                <w:sz w:val="20"/>
              </w:rPr>
              <w:t xml:space="preserve">C </w:t>
            </w:r>
            <w:r>
              <w:rPr>
                <w:sz w:val="20"/>
              </w:rPr>
              <w:t>類美元、</w:t>
            </w:r>
            <w:r>
              <w:rPr>
                <w:rFonts w:ascii="Arial" w:eastAsia="Arial" w:hAnsi="Arial" w:cs="Arial"/>
                <w:sz w:val="20"/>
              </w:rPr>
              <w:t xml:space="preserve">C2 </w:t>
            </w:r>
            <w:r>
              <w:rPr>
                <w:sz w:val="20"/>
              </w:rPr>
              <w:t>類歐元、</w:t>
            </w:r>
            <w:r>
              <w:rPr>
                <w:rFonts w:ascii="Arial" w:eastAsia="Arial" w:hAnsi="Arial" w:cs="Arial"/>
                <w:sz w:val="20"/>
              </w:rPr>
              <w:t xml:space="preserve">C2 </w:t>
            </w:r>
            <w:r>
              <w:rPr>
                <w:sz w:val="20"/>
              </w:rPr>
              <w:t>類美元、</w:t>
            </w:r>
            <w:r>
              <w:rPr>
                <w:rFonts w:ascii="Arial" w:eastAsia="Arial" w:hAnsi="Arial" w:cs="Arial"/>
                <w:sz w:val="20"/>
              </w:rPr>
              <w:t xml:space="preserve">C2 </w:t>
            </w:r>
            <w:r>
              <w:rPr>
                <w:sz w:val="20"/>
              </w:rPr>
              <w:t>類</w:t>
            </w:r>
            <w:r>
              <w:rPr>
                <w:sz w:val="20"/>
              </w:rPr>
              <w:t xml:space="preserve"> </w:t>
            </w:r>
            <w:r>
              <w:rPr>
                <w:rFonts w:ascii="Arial" w:eastAsia="Arial" w:hAnsi="Arial" w:cs="Arial"/>
                <w:sz w:val="20"/>
              </w:rPr>
              <w:t xml:space="preserve">H </w:t>
            </w:r>
            <w:r>
              <w:rPr>
                <w:sz w:val="20"/>
              </w:rPr>
              <w:t>美元、</w:t>
            </w:r>
            <w:r>
              <w:rPr>
                <w:rFonts w:ascii="Arial" w:eastAsia="Arial" w:hAnsi="Arial" w:cs="Arial"/>
                <w:sz w:val="20"/>
              </w:rPr>
              <w:t xml:space="preserve">CT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p>
        </w:tc>
      </w:tr>
      <w:tr w:rsidR="004D6F0E">
        <w:trPr>
          <w:trHeight w:val="781"/>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I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2" w:line="285" w:lineRule="auto"/>
              <w:ind w:left="422" w:firstLine="0"/>
              <w:jc w:val="both"/>
            </w:pPr>
            <w:r>
              <w:rPr>
                <w:rFonts w:ascii="Arial" w:eastAsia="Arial" w:hAnsi="Arial" w:cs="Arial"/>
                <w:sz w:val="20"/>
              </w:rPr>
              <w:t xml:space="preserve">I2 </w:t>
            </w:r>
            <w:r>
              <w:rPr>
                <w:sz w:val="20"/>
              </w:rPr>
              <w:t>類歐元、</w:t>
            </w:r>
            <w:r>
              <w:rPr>
                <w:rFonts w:ascii="Arial" w:eastAsia="Arial" w:hAnsi="Arial" w:cs="Arial"/>
                <w:sz w:val="20"/>
              </w:rPr>
              <w:t xml:space="preserve">I2 </w:t>
            </w:r>
            <w:r>
              <w:rPr>
                <w:sz w:val="20"/>
              </w:rPr>
              <w:t>類美元、</w:t>
            </w:r>
            <w:r>
              <w:rPr>
                <w:rFonts w:ascii="Arial" w:eastAsia="Arial" w:hAnsi="Arial" w:cs="Arial"/>
                <w:sz w:val="20"/>
              </w:rPr>
              <w:t xml:space="preserve">IT </w:t>
            </w:r>
            <w:r>
              <w:rPr>
                <w:sz w:val="20"/>
              </w:rPr>
              <w:t>類歐元、</w:t>
            </w:r>
            <w:r>
              <w:rPr>
                <w:sz w:val="20"/>
              </w:rPr>
              <w:t xml:space="preserve"> </w:t>
            </w:r>
            <w:r>
              <w:rPr>
                <w:rFonts w:ascii="Arial" w:eastAsia="Arial" w:hAnsi="Arial" w:cs="Arial"/>
                <w:sz w:val="20"/>
              </w:rPr>
              <w:t xml:space="preserve">IA </w:t>
            </w:r>
            <w:r>
              <w:rPr>
                <w:sz w:val="20"/>
              </w:rPr>
              <w:t>類歐元、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美元、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r>
              <w:rPr>
                <w:rFonts w:ascii="Arial" w:eastAsia="Arial" w:hAnsi="Arial" w:cs="Arial"/>
                <w:sz w:val="20"/>
              </w:rPr>
              <w:t xml:space="preserve">IA </w:t>
            </w:r>
            <w:r>
              <w:rPr>
                <w:sz w:val="20"/>
              </w:rPr>
              <w:t>類</w:t>
            </w:r>
            <w:r>
              <w:rPr>
                <w:sz w:val="20"/>
              </w:rPr>
              <w:t xml:space="preserve"> </w:t>
            </w:r>
            <w:r>
              <w:rPr>
                <w:rFonts w:ascii="Arial" w:eastAsia="Arial" w:hAnsi="Arial" w:cs="Arial"/>
                <w:sz w:val="20"/>
              </w:rPr>
              <w:t xml:space="preserve">H </w:t>
            </w:r>
            <w:r>
              <w:rPr>
                <w:sz w:val="20"/>
              </w:rPr>
              <w:t>港元、</w:t>
            </w:r>
            <w:r>
              <w:rPr>
                <w:rFonts w:ascii="Arial" w:eastAsia="Arial" w:hAnsi="Arial" w:cs="Arial"/>
                <w:sz w:val="20"/>
              </w:rPr>
              <w:t xml:space="preserve">IA </w:t>
            </w:r>
            <w:r>
              <w:rPr>
                <w:sz w:val="20"/>
              </w:rPr>
              <w:t>類</w:t>
            </w:r>
            <w:r>
              <w:rPr>
                <w:sz w:val="20"/>
              </w:rPr>
              <w:t xml:space="preserve"> </w:t>
            </w:r>
            <w:r>
              <w:rPr>
                <w:rFonts w:ascii="Arial" w:eastAsia="Arial" w:hAnsi="Arial" w:cs="Arial"/>
                <w:sz w:val="20"/>
              </w:rPr>
              <w:t xml:space="preserve">H </w:t>
            </w:r>
            <w:r>
              <w:rPr>
                <w:sz w:val="20"/>
              </w:rPr>
              <w:t>新加坡元、</w:t>
            </w:r>
          </w:p>
          <w:p w:rsidR="004D6F0E" w:rsidRDefault="00490F21">
            <w:pPr>
              <w:spacing w:after="0" w:line="259" w:lineRule="auto"/>
              <w:ind w:left="423" w:firstLine="0"/>
            </w:pPr>
            <w:r>
              <w:rPr>
                <w:rFonts w:ascii="Arial" w:eastAsia="Arial" w:hAnsi="Arial" w:cs="Arial"/>
                <w:sz w:val="20"/>
              </w:rPr>
              <w:t xml:space="preserve">IA </w:t>
            </w:r>
            <w:r>
              <w:rPr>
                <w:sz w:val="20"/>
              </w:rPr>
              <w:t>類</w:t>
            </w:r>
            <w:r>
              <w:rPr>
                <w:sz w:val="20"/>
              </w:rPr>
              <w:t xml:space="preserve"> </w:t>
            </w:r>
            <w:r>
              <w:rPr>
                <w:rFonts w:ascii="Arial" w:eastAsia="Arial" w:hAnsi="Arial" w:cs="Arial"/>
                <w:sz w:val="20"/>
              </w:rPr>
              <w:t xml:space="preserve">H </w:t>
            </w:r>
            <w:r>
              <w:rPr>
                <w:sz w:val="20"/>
              </w:rPr>
              <w:t>美元</w:t>
            </w: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0" w:firstLine="0"/>
            </w:pP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262"/>
        </w:trPr>
        <w:tc>
          <w:tcPr>
            <w:tcW w:w="24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0"/>
              </w:rPr>
              <w:t xml:space="preserve">11. </w:t>
            </w:r>
            <w:r>
              <w:rPr>
                <w:sz w:val="20"/>
              </w:rPr>
              <w:t>新興市場債券基金</w:t>
            </w: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312" w:firstLine="0"/>
            </w:pP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1561"/>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A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1"/>
              <w:jc w:val="both"/>
            </w:pPr>
            <w:r>
              <w:rPr>
                <w:rFonts w:ascii="Arial" w:eastAsia="Arial" w:hAnsi="Arial" w:cs="Arial"/>
                <w:sz w:val="20"/>
              </w:rPr>
              <w:t xml:space="preserve">A </w:t>
            </w:r>
            <w:r>
              <w:rPr>
                <w:sz w:val="20"/>
              </w:rPr>
              <w:t>類美元、</w:t>
            </w:r>
            <w:r>
              <w:rPr>
                <w:rFonts w:ascii="Arial" w:eastAsia="Arial" w:hAnsi="Arial" w:cs="Arial"/>
                <w:sz w:val="20"/>
              </w:rPr>
              <w:t xml:space="preserve">A </w:t>
            </w:r>
            <w:r>
              <w:rPr>
                <w:sz w:val="20"/>
              </w:rPr>
              <w:t>類歐元、</w:t>
            </w:r>
            <w:r>
              <w:rPr>
                <w:sz w:val="20"/>
              </w:rPr>
              <w:t xml:space="preserve"> </w:t>
            </w:r>
            <w:r>
              <w:rPr>
                <w:rFonts w:ascii="Arial" w:eastAsia="Arial" w:hAnsi="Arial" w:cs="Arial"/>
                <w:sz w:val="20"/>
              </w:rPr>
              <w:t xml:space="preserve">A2 </w:t>
            </w:r>
            <w:r>
              <w:rPr>
                <w:sz w:val="20"/>
              </w:rPr>
              <w:t>類美元、</w:t>
            </w:r>
            <w:r>
              <w:rPr>
                <w:rFonts w:ascii="Arial" w:eastAsia="Arial" w:hAnsi="Arial" w:cs="Arial"/>
                <w:sz w:val="20"/>
              </w:rPr>
              <w:t xml:space="preserve">A2 </w:t>
            </w:r>
            <w:r>
              <w:rPr>
                <w:sz w:val="20"/>
              </w:rPr>
              <w:t>類歐元、</w:t>
            </w:r>
            <w:r>
              <w:rPr>
                <w:rFonts w:ascii="Arial" w:eastAsia="Arial" w:hAnsi="Arial" w:cs="Arial"/>
                <w:sz w:val="20"/>
              </w:rPr>
              <w:t xml:space="preserve">A2 </w:t>
            </w:r>
            <w:r>
              <w:rPr>
                <w:sz w:val="20"/>
              </w:rPr>
              <w:t>類港元、</w:t>
            </w:r>
            <w:r>
              <w:rPr>
                <w:sz w:val="20"/>
              </w:rPr>
              <w:t xml:space="preserve"> </w:t>
            </w:r>
            <w:r>
              <w:rPr>
                <w:rFonts w:ascii="Arial" w:eastAsia="Arial" w:hAnsi="Arial" w:cs="Arial"/>
                <w:sz w:val="20"/>
              </w:rPr>
              <w:t xml:space="preserve">AT </w:t>
            </w:r>
            <w:r>
              <w:rPr>
                <w:sz w:val="20"/>
              </w:rPr>
              <w:t>類美元、</w:t>
            </w:r>
            <w:r>
              <w:rPr>
                <w:sz w:val="20"/>
              </w:rPr>
              <w:t xml:space="preserve"> </w:t>
            </w:r>
            <w:r>
              <w:rPr>
                <w:rFonts w:ascii="Arial" w:eastAsia="Arial" w:hAnsi="Arial" w:cs="Arial"/>
                <w:sz w:val="20"/>
              </w:rPr>
              <w:t xml:space="preserve">AT </w:t>
            </w:r>
            <w:r>
              <w:rPr>
                <w:sz w:val="20"/>
              </w:rPr>
              <w:t>類歐元、</w:t>
            </w:r>
            <w:r>
              <w:rPr>
                <w:rFonts w:ascii="Arial" w:eastAsia="Arial" w:hAnsi="Arial" w:cs="Arial"/>
                <w:sz w:val="20"/>
              </w:rPr>
              <w:t xml:space="preserve">AT </w:t>
            </w:r>
            <w:r>
              <w:rPr>
                <w:sz w:val="20"/>
              </w:rPr>
              <w:t>類港元、</w:t>
            </w:r>
            <w:r>
              <w:rPr>
                <w:rFonts w:ascii="Arial" w:eastAsia="Arial" w:hAnsi="Arial" w:cs="Arial"/>
                <w:sz w:val="20"/>
              </w:rPr>
              <w:t xml:space="preserve">AA </w:t>
            </w:r>
            <w:r>
              <w:rPr>
                <w:sz w:val="20"/>
              </w:rPr>
              <w:t>類美元、</w:t>
            </w:r>
            <w:r>
              <w:rPr>
                <w:rFonts w:ascii="Arial" w:eastAsia="Arial" w:hAnsi="Arial" w:cs="Arial"/>
                <w:sz w:val="20"/>
              </w:rPr>
              <w:t xml:space="preserve">AA </w:t>
            </w:r>
            <w:r>
              <w:rPr>
                <w:sz w:val="20"/>
              </w:rPr>
              <w:t>類港元、</w:t>
            </w:r>
            <w:r>
              <w:rPr>
                <w:sz w:val="20"/>
              </w:rPr>
              <w:t xml:space="preserve"> </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A2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英鎊、</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加元、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南非蘭特</w:t>
            </w:r>
            <w:r>
              <w:rPr>
                <w:sz w:val="20"/>
              </w:rPr>
              <w:t xml:space="preserve"> </w:t>
            </w:r>
          </w:p>
        </w:tc>
      </w:tr>
      <w:tr w:rsidR="004D6F0E">
        <w:trPr>
          <w:trHeight w:val="261"/>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B </w:t>
            </w:r>
            <w:r>
              <w:rPr>
                <w:sz w:val="20"/>
              </w:rPr>
              <w:t>類股份</w:t>
            </w:r>
            <w:r>
              <w:rPr>
                <w:rFonts w:ascii="Arial" w:eastAsia="Arial" w:hAnsi="Arial" w:cs="Arial"/>
                <w:sz w:val="20"/>
              </w:rPr>
              <w:t>*</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BT </w:t>
            </w:r>
            <w:r>
              <w:rPr>
                <w:sz w:val="20"/>
              </w:rPr>
              <w:t>類美元</w:t>
            </w:r>
            <w:r>
              <w:rPr>
                <w:sz w:val="20"/>
              </w:rPr>
              <w:t xml:space="preserve"> </w:t>
            </w:r>
          </w:p>
        </w:tc>
      </w:tr>
      <w:tr w:rsidR="004D6F0E">
        <w:trPr>
          <w:trHeight w:val="52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C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C </w:t>
            </w:r>
            <w:r>
              <w:rPr>
                <w:sz w:val="20"/>
              </w:rPr>
              <w:t>類美元、</w:t>
            </w:r>
            <w:r>
              <w:rPr>
                <w:rFonts w:ascii="Arial" w:eastAsia="Arial" w:hAnsi="Arial" w:cs="Arial"/>
                <w:sz w:val="20"/>
              </w:rPr>
              <w:t xml:space="preserve">C </w:t>
            </w:r>
            <w:r>
              <w:rPr>
                <w:sz w:val="20"/>
              </w:rPr>
              <w:t>類歐元、</w:t>
            </w:r>
            <w:r>
              <w:rPr>
                <w:rFonts w:ascii="Arial" w:eastAsia="Arial" w:hAnsi="Arial" w:cs="Arial"/>
                <w:sz w:val="20"/>
              </w:rPr>
              <w:t xml:space="preserve">C2 </w:t>
            </w:r>
            <w:r>
              <w:rPr>
                <w:sz w:val="20"/>
              </w:rPr>
              <w:t>類美元、</w:t>
            </w:r>
            <w:r>
              <w:rPr>
                <w:rFonts w:ascii="Arial" w:eastAsia="Arial" w:hAnsi="Arial" w:cs="Arial"/>
                <w:sz w:val="20"/>
              </w:rPr>
              <w:t xml:space="preserve">C2 </w:t>
            </w:r>
            <w:r>
              <w:rPr>
                <w:sz w:val="20"/>
              </w:rPr>
              <w:t>類歐元、</w:t>
            </w:r>
            <w:r>
              <w:rPr>
                <w:rFonts w:ascii="Arial" w:eastAsia="Arial" w:hAnsi="Arial" w:cs="Arial"/>
                <w:sz w:val="20"/>
              </w:rPr>
              <w:t xml:space="preserve">CT </w:t>
            </w:r>
            <w:r>
              <w:rPr>
                <w:sz w:val="20"/>
              </w:rPr>
              <w:t>類美元、</w:t>
            </w:r>
            <w:r>
              <w:rPr>
                <w:rFonts w:ascii="Arial" w:eastAsia="Arial" w:hAnsi="Arial" w:cs="Arial"/>
                <w:sz w:val="20"/>
              </w:rPr>
              <w:t xml:space="preserve"> C2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p>
        </w:tc>
      </w:tr>
      <w:tr w:rsidR="004D6F0E">
        <w:trPr>
          <w:trHeight w:val="262"/>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I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58" w:firstLine="0"/>
              <w:jc w:val="center"/>
            </w:pPr>
            <w:r>
              <w:rPr>
                <w:rFonts w:ascii="Arial" w:eastAsia="Arial" w:hAnsi="Arial" w:cs="Arial"/>
                <w:sz w:val="20"/>
              </w:rPr>
              <w:t xml:space="preserve">I2 </w:t>
            </w:r>
            <w:r>
              <w:rPr>
                <w:sz w:val="20"/>
              </w:rPr>
              <w:t>類美元、</w:t>
            </w:r>
            <w:r>
              <w:rPr>
                <w:rFonts w:ascii="Arial" w:eastAsia="Arial" w:hAnsi="Arial" w:cs="Arial"/>
                <w:sz w:val="20"/>
              </w:rPr>
              <w:t xml:space="preserve">I2 </w:t>
            </w:r>
            <w:r>
              <w:rPr>
                <w:sz w:val="20"/>
              </w:rPr>
              <w:t>類歐元、</w:t>
            </w:r>
            <w:r>
              <w:rPr>
                <w:rFonts w:ascii="Arial" w:eastAsia="Arial" w:hAnsi="Arial" w:cs="Arial"/>
                <w:sz w:val="20"/>
              </w:rPr>
              <w:t xml:space="preserve">I2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IT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S </w:t>
            </w:r>
            <w:r>
              <w:rPr>
                <w:sz w:val="20"/>
              </w:rPr>
              <w:t>類及</w:t>
            </w:r>
            <w:r>
              <w:rPr>
                <w:sz w:val="20"/>
              </w:rPr>
              <w:t xml:space="preserve"> </w:t>
            </w:r>
            <w:r>
              <w:rPr>
                <w:rFonts w:ascii="Arial" w:eastAsia="Arial" w:hAnsi="Arial" w:cs="Arial"/>
                <w:sz w:val="20"/>
              </w:rPr>
              <w:t xml:space="preserve">S1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0" w:right="67" w:firstLine="0"/>
              <w:jc w:val="center"/>
            </w:pPr>
            <w:r>
              <w:rPr>
                <w:rFonts w:ascii="Arial" w:eastAsia="Arial" w:hAnsi="Arial" w:cs="Arial"/>
                <w:sz w:val="20"/>
              </w:rPr>
              <w:t xml:space="preserve">S </w:t>
            </w:r>
            <w:r>
              <w:rPr>
                <w:sz w:val="20"/>
              </w:rPr>
              <w:t>類美元、</w:t>
            </w:r>
            <w:r>
              <w:rPr>
                <w:rFonts w:ascii="Arial" w:eastAsia="Arial" w:hAnsi="Arial" w:cs="Arial"/>
                <w:sz w:val="20"/>
              </w:rPr>
              <w:t xml:space="preserve">S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S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S1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S1 </w:t>
            </w:r>
            <w:r>
              <w:rPr>
                <w:sz w:val="20"/>
              </w:rPr>
              <w:t>類</w:t>
            </w:r>
            <w:r>
              <w:rPr>
                <w:sz w:val="20"/>
              </w:rPr>
              <w:t xml:space="preserve"> </w:t>
            </w:r>
            <w:r>
              <w:rPr>
                <w:rFonts w:ascii="Arial" w:eastAsia="Arial" w:hAnsi="Arial" w:cs="Arial"/>
                <w:sz w:val="20"/>
              </w:rPr>
              <w:t xml:space="preserve">H </w:t>
            </w:r>
            <w:r>
              <w:rPr>
                <w:sz w:val="20"/>
              </w:rPr>
              <w:t>英鎊</w:t>
            </w: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0" w:firstLine="0"/>
            </w:pP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sz w:val="20"/>
              </w:rPr>
              <w:t xml:space="preserve"> </w:t>
            </w:r>
          </w:p>
        </w:tc>
      </w:tr>
      <w:tr w:rsidR="004D6F0E">
        <w:trPr>
          <w:trHeight w:val="262"/>
        </w:trPr>
        <w:tc>
          <w:tcPr>
            <w:tcW w:w="24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0"/>
              </w:rPr>
              <w:t xml:space="preserve">12. </w:t>
            </w:r>
            <w:r>
              <w:rPr>
                <w:sz w:val="20"/>
              </w:rPr>
              <w:t>按揭收益基金</w:t>
            </w: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0" w:firstLine="0"/>
            </w:pPr>
            <w:r>
              <w:rPr>
                <w:sz w:val="20"/>
              </w:rPr>
              <w:t xml:space="preserve"> </w:t>
            </w:r>
          </w:p>
        </w:tc>
        <w:tc>
          <w:tcPr>
            <w:tcW w:w="6775" w:type="dxa"/>
            <w:tcBorders>
              <w:top w:val="nil"/>
              <w:left w:val="nil"/>
              <w:bottom w:val="nil"/>
              <w:right w:val="nil"/>
            </w:tcBorders>
          </w:tcPr>
          <w:p w:rsidR="004D6F0E" w:rsidRDefault="00490F21">
            <w:pPr>
              <w:spacing w:after="0" w:line="259" w:lineRule="auto"/>
              <w:ind w:left="423" w:firstLine="0"/>
            </w:pPr>
            <w:r>
              <w:rPr>
                <w:sz w:val="20"/>
              </w:rPr>
              <w:t xml:space="preserve"> </w:t>
            </w:r>
          </w:p>
        </w:tc>
      </w:tr>
      <w:tr w:rsidR="004D6F0E">
        <w:trPr>
          <w:trHeight w:val="1561"/>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A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right="1" w:firstLine="0"/>
              <w:jc w:val="both"/>
            </w:pPr>
            <w:r>
              <w:rPr>
                <w:rFonts w:ascii="Arial" w:eastAsia="Arial" w:hAnsi="Arial" w:cs="Arial"/>
                <w:sz w:val="20"/>
              </w:rPr>
              <w:t xml:space="preserve">A </w:t>
            </w:r>
            <w:r>
              <w:rPr>
                <w:sz w:val="20"/>
              </w:rPr>
              <w:t>類美元、</w:t>
            </w:r>
            <w:r>
              <w:rPr>
                <w:rFonts w:ascii="Arial" w:eastAsia="Arial" w:hAnsi="Arial" w:cs="Arial"/>
                <w:sz w:val="20"/>
              </w:rPr>
              <w:t xml:space="preserve">A2 </w:t>
            </w:r>
            <w:r>
              <w:rPr>
                <w:sz w:val="20"/>
              </w:rPr>
              <w:t>類美元、</w:t>
            </w:r>
            <w:r>
              <w:rPr>
                <w:rFonts w:ascii="Arial" w:eastAsia="Arial" w:hAnsi="Arial" w:cs="Arial"/>
                <w:sz w:val="20"/>
              </w:rPr>
              <w:t xml:space="preserve">A2 </w:t>
            </w:r>
            <w:r>
              <w:rPr>
                <w:sz w:val="20"/>
              </w:rPr>
              <w:t>類歐元、</w:t>
            </w:r>
            <w:r>
              <w:rPr>
                <w:rFonts w:ascii="Arial" w:eastAsia="Arial" w:hAnsi="Arial" w:cs="Arial"/>
                <w:sz w:val="20"/>
              </w:rPr>
              <w:t xml:space="preserve">A2 </w:t>
            </w:r>
            <w:r>
              <w:rPr>
                <w:sz w:val="20"/>
              </w:rPr>
              <w:t>類港元、</w:t>
            </w:r>
            <w:r>
              <w:rPr>
                <w:sz w:val="20"/>
              </w:rPr>
              <w:t xml:space="preserve"> </w:t>
            </w:r>
            <w:r>
              <w:rPr>
                <w:rFonts w:ascii="Arial" w:eastAsia="Arial" w:hAnsi="Arial" w:cs="Arial"/>
                <w:sz w:val="20"/>
              </w:rPr>
              <w:t xml:space="preserve">A2 </w:t>
            </w:r>
            <w:r>
              <w:rPr>
                <w:sz w:val="20"/>
              </w:rPr>
              <w:t>類新加坡元、</w:t>
            </w:r>
            <w:r>
              <w:rPr>
                <w:sz w:val="20"/>
              </w:rPr>
              <w:t xml:space="preserve"> </w:t>
            </w:r>
            <w:r>
              <w:rPr>
                <w:rFonts w:ascii="Arial" w:eastAsia="Arial" w:hAnsi="Arial" w:cs="Arial"/>
                <w:sz w:val="20"/>
              </w:rPr>
              <w:t xml:space="preserve">AT </w:t>
            </w:r>
            <w:r>
              <w:rPr>
                <w:sz w:val="20"/>
              </w:rPr>
              <w:t>類美元、</w:t>
            </w:r>
            <w:r>
              <w:rPr>
                <w:rFonts w:ascii="Arial" w:eastAsia="Arial" w:hAnsi="Arial" w:cs="Arial"/>
                <w:sz w:val="20"/>
              </w:rPr>
              <w:t xml:space="preserve">AT </w:t>
            </w:r>
            <w:r>
              <w:rPr>
                <w:sz w:val="20"/>
              </w:rPr>
              <w:t>類歐元、</w:t>
            </w:r>
            <w:r>
              <w:rPr>
                <w:rFonts w:ascii="Arial" w:eastAsia="Arial" w:hAnsi="Arial" w:cs="Arial"/>
                <w:sz w:val="20"/>
              </w:rPr>
              <w:t xml:space="preserve">AT </w:t>
            </w:r>
            <w:r>
              <w:rPr>
                <w:sz w:val="20"/>
              </w:rPr>
              <w:t>類港元、</w:t>
            </w:r>
            <w:r>
              <w:rPr>
                <w:sz w:val="20"/>
              </w:rPr>
              <w:t xml:space="preserve"> </w:t>
            </w:r>
            <w:r>
              <w:rPr>
                <w:rFonts w:ascii="Arial" w:eastAsia="Arial" w:hAnsi="Arial" w:cs="Arial"/>
                <w:sz w:val="20"/>
              </w:rPr>
              <w:t xml:space="preserve">AT </w:t>
            </w:r>
            <w:r>
              <w:rPr>
                <w:sz w:val="20"/>
              </w:rPr>
              <w:t>類新加坡元、</w:t>
            </w:r>
            <w:r>
              <w:rPr>
                <w:rFonts w:ascii="Arial" w:eastAsia="Arial" w:hAnsi="Arial" w:cs="Arial"/>
                <w:sz w:val="20"/>
              </w:rPr>
              <w:t xml:space="preserve">AA </w:t>
            </w:r>
            <w:r>
              <w:rPr>
                <w:sz w:val="20"/>
              </w:rPr>
              <w:t>類美元、</w:t>
            </w:r>
            <w:r>
              <w:rPr>
                <w:rFonts w:ascii="Arial" w:eastAsia="Arial" w:hAnsi="Arial" w:cs="Arial"/>
                <w:sz w:val="20"/>
              </w:rPr>
              <w:t xml:space="preserve">AA </w:t>
            </w:r>
            <w:r>
              <w:rPr>
                <w:sz w:val="20"/>
              </w:rPr>
              <w:t>類港元、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澳元、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加元、</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歐元、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英鎊、</w:t>
            </w:r>
            <w:r>
              <w:rPr>
                <w:sz w:val="20"/>
              </w:rPr>
              <w:t xml:space="preserve"> </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AT </w:t>
            </w:r>
            <w:r>
              <w:rPr>
                <w:sz w:val="20"/>
              </w:rPr>
              <w:t>類</w:t>
            </w:r>
            <w:r>
              <w:rPr>
                <w:sz w:val="20"/>
              </w:rPr>
              <w:t xml:space="preserve"> </w:t>
            </w:r>
            <w:r>
              <w:rPr>
                <w:rFonts w:ascii="Arial" w:eastAsia="Arial" w:hAnsi="Arial" w:cs="Arial"/>
                <w:sz w:val="20"/>
              </w:rPr>
              <w:t xml:space="preserve">H </w:t>
            </w:r>
            <w:r>
              <w:rPr>
                <w:sz w:val="20"/>
              </w:rPr>
              <w:t>新加坡元、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澳元、</w:t>
            </w:r>
            <w:r>
              <w:rPr>
                <w:rFonts w:ascii="Arial" w:eastAsia="Arial" w:hAnsi="Arial" w:cs="Arial"/>
                <w:sz w:val="20"/>
              </w:rPr>
              <w:t xml:space="preserve"> AA </w:t>
            </w:r>
            <w:r>
              <w:rPr>
                <w:sz w:val="20"/>
              </w:rPr>
              <w:t>類</w:t>
            </w:r>
            <w:r>
              <w:rPr>
                <w:sz w:val="20"/>
              </w:rPr>
              <w:t xml:space="preserve"> </w:t>
            </w:r>
            <w:r>
              <w:rPr>
                <w:rFonts w:ascii="Arial" w:eastAsia="Arial" w:hAnsi="Arial" w:cs="Arial"/>
                <w:sz w:val="20"/>
              </w:rPr>
              <w:t xml:space="preserve">H </w:t>
            </w:r>
            <w:r>
              <w:rPr>
                <w:sz w:val="20"/>
              </w:rPr>
              <w:t>加元、</w:t>
            </w:r>
            <w:r>
              <w:rPr>
                <w:sz w:val="20"/>
              </w:rPr>
              <w:t xml:space="preserve"> </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歐元、</w:t>
            </w:r>
            <w:r>
              <w:rPr>
                <w:sz w:val="20"/>
              </w:rPr>
              <w:t xml:space="preserve"> </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英鎊、</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紐西蘭元、</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人民幣、</w:t>
            </w:r>
            <w:r>
              <w:rPr>
                <w:sz w:val="20"/>
              </w:rPr>
              <w:t xml:space="preserve"> </w:t>
            </w:r>
            <w:r>
              <w:rPr>
                <w:rFonts w:ascii="Arial" w:eastAsia="Arial" w:hAnsi="Arial" w:cs="Arial"/>
                <w:sz w:val="20"/>
              </w:rPr>
              <w:t xml:space="preserve">AA </w:t>
            </w:r>
            <w:r>
              <w:rPr>
                <w:sz w:val="20"/>
              </w:rPr>
              <w:t>類</w:t>
            </w:r>
            <w:r>
              <w:rPr>
                <w:sz w:val="20"/>
              </w:rPr>
              <w:t xml:space="preserve"> </w:t>
            </w:r>
            <w:r>
              <w:rPr>
                <w:rFonts w:ascii="Arial" w:eastAsia="Arial" w:hAnsi="Arial" w:cs="Arial"/>
                <w:sz w:val="20"/>
              </w:rPr>
              <w:t xml:space="preserve">H </w:t>
            </w:r>
            <w:r>
              <w:rPr>
                <w:sz w:val="20"/>
              </w:rPr>
              <w:t>新加坡元</w:t>
            </w:r>
            <w:r>
              <w:rPr>
                <w:sz w:val="20"/>
              </w:rPr>
              <w:t xml:space="preserve"> </w:t>
            </w:r>
          </w:p>
        </w:tc>
      </w:tr>
      <w:tr w:rsidR="004D6F0E">
        <w:trPr>
          <w:trHeight w:val="261"/>
        </w:trPr>
        <w:tc>
          <w:tcPr>
            <w:tcW w:w="2414" w:type="dxa"/>
            <w:tcBorders>
              <w:top w:val="nil"/>
              <w:left w:val="nil"/>
              <w:bottom w:val="nil"/>
              <w:right w:val="nil"/>
            </w:tcBorders>
          </w:tcPr>
          <w:p w:rsidR="004D6F0E" w:rsidRDefault="00490F21">
            <w:pPr>
              <w:spacing w:after="0" w:line="259" w:lineRule="auto"/>
              <w:ind w:left="0" w:right="134" w:firstLine="0"/>
              <w:jc w:val="center"/>
            </w:pPr>
            <w:r>
              <w:rPr>
                <w:rFonts w:ascii="Arial" w:eastAsia="Arial" w:hAnsi="Arial" w:cs="Arial"/>
                <w:sz w:val="20"/>
              </w:rPr>
              <w:t xml:space="preserve">AX </w:t>
            </w:r>
            <w:r>
              <w:rPr>
                <w:sz w:val="20"/>
              </w:rPr>
              <w:t>及</w:t>
            </w:r>
            <w:r>
              <w:rPr>
                <w:sz w:val="20"/>
              </w:rPr>
              <w:t xml:space="preserve"> </w:t>
            </w:r>
            <w:r>
              <w:rPr>
                <w:rFonts w:ascii="Arial" w:eastAsia="Arial" w:hAnsi="Arial" w:cs="Arial"/>
                <w:sz w:val="20"/>
              </w:rPr>
              <w:t xml:space="preserve">A2X </w:t>
            </w:r>
            <w:r>
              <w:rPr>
                <w:sz w:val="20"/>
              </w:rPr>
              <w:t>類股份</w:t>
            </w:r>
            <w:r>
              <w:rPr>
                <w:rFonts w:ascii="Arial" w:eastAsia="Arial" w:hAnsi="Arial" w:cs="Arial"/>
                <w:sz w:val="20"/>
                <w:vertAlign w:val="superscript"/>
              </w:rPr>
              <w:t>#</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AX </w:t>
            </w:r>
            <w:r>
              <w:rPr>
                <w:sz w:val="20"/>
              </w:rPr>
              <w:t>類美元、</w:t>
            </w:r>
            <w:r>
              <w:rPr>
                <w:rFonts w:ascii="Arial" w:eastAsia="Arial" w:hAnsi="Arial" w:cs="Arial"/>
                <w:sz w:val="20"/>
              </w:rPr>
              <w:t xml:space="preserve">AX </w:t>
            </w:r>
            <w:r>
              <w:rPr>
                <w:sz w:val="20"/>
              </w:rPr>
              <w:t>類歐元、</w:t>
            </w:r>
            <w:r>
              <w:rPr>
                <w:rFonts w:ascii="Arial" w:eastAsia="Arial" w:hAnsi="Arial" w:cs="Arial"/>
                <w:sz w:val="20"/>
              </w:rPr>
              <w:t xml:space="preserve">A2X </w:t>
            </w:r>
            <w:r>
              <w:rPr>
                <w:sz w:val="20"/>
              </w:rPr>
              <w:t>類美元、</w:t>
            </w:r>
            <w:r>
              <w:rPr>
                <w:rFonts w:ascii="Arial" w:eastAsia="Arial" w:hAnsi="Arial" w:cs="Arial"/>
                <w:sz w:val="20"/>
              </w:rPr>
              <w:t xml:space="preserve">A2X </w:t>
            </w:r>
            <w:r>
              <w:rPr>
                <w:sz w:val="20"/>
              </w:rPr>
              <w:t>類歐元</w:t>
            </w:r>
            <w:r>
              <w:rPr>
                <w:sz w:val="20"/>
              </w:rPr>
              <w:t xml:space="preserve"> </w:t>
            </w:r>
          </w:p>
        </w:tc>
      </w:tr>
      <w:tr w:rsidR="004D6F0E">
        <w:trPr>
          <w:trHeight w:val="26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BX </w:t>
            </w:r>
            <w:r>
              <w:rPr>
                <w:sz w:val="20"/>
              </w:rPr>
              <w:t>類股份</w:t>
            </w:r>
            <w:r>
              <w:rPr>
                <w:rFonts w:ascii="Arial" w:eastAsia="Arial" w:hAnsi="Arial" w:cs="Arial"/>
                <w:sz w:val="20"/>
                <w:vertAlign w:val="superscript"/>
              </w:rPr>
              <w:t>#</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BX </w:t>
            </w:r>
            <w:r>
              <w:rPr>
                <w:sz w:val="20"/>
              </w:rPr>
              <w:t>類美元、</w:t>
            </w:r>
            <w:r>
              <w:rPr>
                <w:rFonts w:ascii="Arial" w:eastAsia="Arial" w:hAnsi="Arial" w:cs="Arial"/>
                <w:sz w:val="20"/>
              </w:rPr>
              <w:t xml:space="preserve">BX </w:t>
            </w:r>
            <w:r>
              <w:rPr>
                <w:sz w:val="20"/>
              </w:rPr>
              <w:t>類歐元</w:t>
            </w:r>
            <w:r>
              <w:rPr>
                <w:sz w:val="20"/>
              </w:rPr>
              <w:t xml:space="preserve"> </w:t>
            </w:r>
          </w:p>
        </w:tc>
      </w:tr>
      <w:tr w:rsidR="004D6F0E">
        <w:trPr>
          <w:trHeight w:val="26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lastRenderedPageBreak/>
              <w:t xml:space="preserve">C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C </w:t>
            </w:r>
            <w:r>
              <w:rPr>
                <w:sz w:val="20"/>
              </w:rPr>
              <w:t>類美元、</w:t>
            </w:r>
            <w:r>
              <w:rPr>
                <w:rFonts w:ascii="Arial" w:eastAsia="Arial" w:hAnsi="Arial" w:cs="Arial"/>
                <w:sz w:val="20"/>
              </w:rPr>
              <w:t xml:space="preserve">C2 </w:t>
            </w:r>
            <w:r>
              <w:rPr>
                <w:sz w:val="20"/>
              </w:rPr>
              <w:t>類美元、</w:t>
            </w:r>
            <w:r>
              <w:rPr>
                <w:rFonts w:ascii="Arial" w:eastAsia="Arial" w:hAnsi="Arial" w:cs="Arial"/>
                <w:sz w:val="20"/>
              </w:rPr>
              <w:t xml:space="preserve">C2 </w:t>
            </w:r>
            <w:r>
              <w:rPr>
                <w:sz w:val="20"/>
              </w:rPr>
              <w:t>類歐元</w:t>
            </w:r>
            <w:r>
              <w:rPr>
                <w:sz w:val="20"/>
              </w:rPr>
              <w:t xml:space="preserve"> </w:t>
            </w:r>
          </w:p>
        </w:tc>
      </w:tr>
      <w:tr w:rsidR="004D6F0E">
        <w:trPr>
          <w:trHeight w:val="26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CX </w:t>
            </w:r>
            <w:r>
              <w:rPr>
                <w:sz w:val="20"/>
              </w:rPr>
              <w:t>類股份</w:t>
            </w:r>
            <w:r>
              <w:rPr>
                <w:rFonts w:ascii="Arial" w:eastAsia="Arial" w:hAnsi="Arial" w:cs="Arial"/>
                <w:sz w:val="20"/>
                <w:vertAlign w:val="superscript"/>
              </w:rPr>
              <w:t>#</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CX </w:t>
            </w:r>
            <w:r>
              <w:rPr>
                <w:sz w:val="20"/>
              </w:rPr>
              <w:t>類美元</w:t>
            </w:r>
            <w:r>
              <w:rPr>
                <w:sz w:val="20"/>
              </w:rPr>
              <w:t xml:space="preserve"> </w:t>
            </w:r>
          </w:p>
        </w:tc>
      </w:tr>
      <w:tr w:rsidR="004D6F0E">
        <w:trPr>
          <w:trHeight w:val="260"/>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I </w:t>
            </w:r>
            <w:r>
              <w:rPr>
                <w:sz w:val="20"/>
              </w:rPr>
              <w:t>類股份</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I </w:t>
            </w:r>
            <w:r>
              <w:rPr>
                <w:sz w:val="20"/>
              </w:rPr>
              <w:t>類美元、</w:t>
            </w:r>
            <w:r>
              <w:rPr>
                <w:rFonts w:ascii="Arial" w:eastAsia="Arial" w:hAnsi="Arial" w:cs="Arial"/>
                <w:sz w:val="20"/>
              </w:rPr>
              <w:t xml:space="preserve">I </w:t>
            </w:r>
            <w:r>
              <w:rPr>
                <w:sz w:val="20"/>
              </w:rPr>
              <w:t>類歐元、</w:t>
            </w:r>
            <w:r>
              <w:rPr>
                <w:rFonts w:ascii="Arial" w:eastAsia="Arial" w:hAnsi="Arial" w:cs="Arial"/>
                <w:sz w:val="20"/>
              </w:rPr>
              <w:t xml:space="preserve">I2 </w:t>
            </w:r>
            <w:r>
              <w:rPr>
                <w:sz w:val="20"/>
              </w:rPr>
              <w:t>類美元、</w:t>
            </w:r>
            <w:r>
              <w:rPr>
                <w:rFonts w:ascii="Arial" w:eastAsia="Arial" w:hAnsi="Arial" w:cs="Arial"/>
                <w:sz w:val="20"/>
              </w:rPr>
              <w:t xml:space="preserve">I2 </w:t>
            </w:r>
            <w:r>
              <w:rPr>
                <w:sz w:val="20"/>
              </w:rPr>
              <w:t>類歐元</w:t>
            </w:r>
            <w:r>
              <w:rPr>
                <w:sz w:val="20"/>
              </w:rPr>
              <w:t xml:space="preserve"> </w:t>
            </w:r>
          </w:p>
        </w:tc>
      </w:tr>
      <w:tr w:rsidR="004D6F0E">
        <w:trPr>
          <w:trHeight w:val="259"/>
        </w:trPr>
        <w:tc>
          <w:tcPr>
            <w:tcW w:w="2414"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20"/>
              </w:rPr>
              <w:t xml:space="preserve">IX </w:t>
            </w:r>
            <w:r>
              <w:rPr>
                <w:sz w:val="20"/>
              </w:rPr>
              <w:t>及</w:t>
            </w:r>
            <w:r>
              <w:rPr>
                <w:sz w:val="20"/>
              </w:rPr>
              <w:t xml:space="preserve"> </w:t>
            </w:r>
            <w:r>
              <w:rPr>
                <w:rFonts w:ascii="Arial" w:eastAsia="Arial" w:hAnsi="Arial" w:cs="Arial"/>
                <w:sz w:val="20"/>
              </w:rPr>
              <w:t xml:space="preserve">I2X </w:t>
            </w:r>
            <w:r>
              <w:rPr>
                <w:sz w:val="20"/>
              </w:rPr>
              <w:t>類股份</w:t>
            </w:r>
            <w:r>
              <w:rPr>
                <w:rFonts w:ascii="Arial" w:eastAsia="Arial" w:hAnsi="Arial" w:cs="Arial"/>
                <w:sz w:val="20"/>
                <w:vertAlign w:val="superscript"/>
              </w:rPr>
              <w:t>#</w:t>
            </w: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rFonts w:ascii="Arial" w:eastAsia="Arial" w:hAnsi="Arial" w:cs="Arial"/>
                <w:sz w:val="20"/>
              </w:rPr>
              <w:t xml:space="preserve">IX </w:t>
            </w:r>
            <w:r>
              <w:rPr>
                <w:sz w:val="20"/>
              </w:rPr>
              <w:t>類美元、</w:t>
            </w:r>
            <w:r>
              <w:rPr>
                <w:rFonts w:ascii="Arial" w:eastAsia="Arial" w:hAnsi="Arial" w:cs="Arial"/>
                <w:sz w:val="20"/>
              </w:rPr>
              <w:t xml:space="preserve">I2X </w:t>
            </w:r>
            <w:r>
              <w:rPr>
                <w:sz w:val="20"/>
              </w:rPr>
              <w:t>類美元</w:t>
            </w:r>
            <w:r>
              <w:rPr>
                <w:sz w:val="20"/>
              </w:rPr>
              <w:t xml:space="preserve"> </w:t>
            </w:r>
          </w:p>
        </w:tc>
      </w:tr>
      <w:tr w:rsidR="004D6F0E">
        <w:trPr>
          <w:trHeight w:val="228"/>
        </w:trPr>
        <w:tc>
          <w:tcPr>
            <w:tcW w:w="2414" w:type="dxa"/>
            <w:tcBorders>
              <w:top w:val="nil"/>
              <w:left w:val="nil"/>
              <w:bottom w:val="nil"/>
              <w:right w:val="nil"/>
            </w:tcBorders>
          </w:tcPr>
          <w:p w:rsidR="004D6F0E" w:rsidRDefault="00490F21">
            <w:pPr>
              <w:spacing w:after="0" w:line="259" w:lineRule="auto"/>
              <w:ind w:left="0" w:firstLine="0"/>
            </w:pPr>
            <w:r>
              <w:rPr>
                <w:sz w:val="20"/>
              </w:rPr>
              <w:t xml:space="preserve"> </w:t>
            </w:r>
          </w:p>
        </w:tc>
        <w:tc>
          <w:tcPr>
            <w:tcW w:w="6775" w:type="dxa"/>
            <w:tcBorders>
              <w:top w:val="nil"/>
              <w:left w:val="nil"/>
              <w:bottom w:val="nil"/>
              <w:right w:val="nil"/>
            </w:tcBorders>
          </w:tcPr>
          <w:p w:rsidR="004D6F0E" w:rsidRDefault="00490F21">
            <w:pPr>
              <w:spacing w:after="0" w:line="259" w:lineRule="auto"/>
              <w:ind w:left="422" w:firstLine="0"/>
            </w:pPr>
            <w:r>
              <w:rPr>
                <w:sz w:val="20"/>
              </w:rPr>
              <w:t xml:space="preserve"> </w:t>
            </w:r>
          </w:p>
        </w:tc>
      </w:tr>
    </w:tbl>
    <w:p w:rsidR="004D6F0E" w:rsidRDefault="00490F21">
      <w:pPr>
        <w:spacing w:after="124" w:line="340" w:lineRule="auto"/>
        <w:ind w:left="284" w:hanging="283"/>
      </w:pPr>
      <w:r>
        <w:rPr>
          <w:rFonts w:ascii="Arial" w:eastAsia="Arial" w:hAnsi="Arial" w:cs="Arial"/>
          <w:sz w:val="20"/>
          <w:vertAlign w:val="superscript"/>
        </w:rPr>
        <w:t>#</w:t>
      </w:r>
      <w:r>
        <w:rPr>
          <w:rFonts w:ascii="Arial" w:eastAsia="Arial" w:hAnsi="Arial" w:cs="Arial"/>
          <w:sz w:val="20"/>
        </w:rPr>
        <w:t xml:space="preserve"> AX</w:t>
      </w:r>
      <w:r>
        <w:rPr>
          <w:sz w:val="20"/>
        </w:rPr>
        <w:t>、</w:t>
      </w:r>
      <w:r>
        <w:rPr>
          <w:rFonts w:ascii="Arial" w:eastAsia="Arial" w:hAnsi="Arial" w:cs="Arial"/>
          <w:sz w:val="20"/>
        </w:rPr>
        <w:t>A2X</w:t>
      </w:r>
      <w:r>
        <w:rPr>
          <w:sz w:val="20"/>
        </w:rPr>
        <w:t>、</w:t>
      </w:r>
      <w:r>
        <w:rPr>
          <w:rFonts w:ascii="Arial" w:eastAsia="Arial" w:hAnsi="Arial" w:cs="Arial"/>
          <w:sz w:val="20"/>
        </w:rPr>
        <w:t>BX</w:t>
      </w:r>
      <w:r>
        <w:rPr>
          <w:sz w:val="20"/>
        </w:rPr>
        <w:t>、</w:t>
      </w:r>
      <w:r>
        <w:rPr>
          <w:rFonts w:ascii="Arial" w:eastAsia="Arial" w:hAnsi="Arial" w:cs="Arial"/>
          <w:sz w:val="20"/>
        </w:rPr>
        <w:t>CX</w:t>
      </w:r>
      <w:r>
        <w:rPr>
          <w:sz w:val="20"/>
        </w:rPr>
        <w:t>、</w:t>
      </w:r>
      <w:r>
        <w:rPr>
          <w:rFonts w:ascii="Arial" w:eastAsia="Arial" w:hAnsi="Arial" w:cs="Arial"/>
          <w:sz w:val="20"/>
        </w:rPr>
        <w:t xml:space="preserve">IX </w:t>
      </w:r>
      <w:r>
        <w:rPr>
          <w:sz w:val="20"/>
        </w:rPr>
        <w:t>及</w:t>
      </w:r>
      <w:r>
        <w:rPr>
          <w:sz w:val="20"/>
        </w:rPr>
        <w:t xml:space="preserve"> </w:t>
      </w:r>
      <w:r>
        <w:rPr>
          <w:rFonts w:ascii="Arial" w:eastAsia="Arial" w:hAnsi="Arial" w:cs="Arial"/>
          <w:sz w:val="20"/>
        </w:rPr>
        <w:t xml:space="preserve">I2X </w:t>
      </w:r>
      <w:r>
        <w:rPr>
          <w:sz w:val="20"/>
        </w:rPr>
        <w:t>類股份除持有相關股份類別之現有股東外，不再接納新投資者發出的認購單，詳情請參閱認購章程。</w:t>
      </w:r>
      <w:r>
        <w:rPr>
          <w:rFonts w:ascii="Arial" w:eastAsia="Arial" w:hAnsi="Arial" w:cs="Arial"/>
          <w:sz w:val="20"/>
        </w:rPr>
        <w:t xml:space="preserve"> </w:t>
      </w:r>
    </w:p>
    <w:p w:rsidR="004D6F0E" w:rsidRDefault="00490F21">
      <w:pPr>
        <w:spacing w:after="124" w:line="270" w:lineRule="auto"/>
        <w:ind w:left="284" w:hanging="283"/>
      </w:pPr>
      <w:r>
        <w:rPr>
          <w:rFonts w:ascii="Arial" w:eastAsia="Arial" w:hAnsi="Arial" w:cs="Arial"/>
          <w:sz w:val="20"/>
        </w:rPr>
        <w:t>*</w:t>
      </w:r>
      <w:r>
        <w:rPr>
          <w:sz w:val="20"/>
        </w:rPr>
        <w:t xml:space="preserve"> </w:t>
      </w:r>
      <w:r>
        <w:rPr>
          <w:sz w:val="20"/>
        </w:rPr>
        <w:t>所有</w:t>
      </w:r>
      <w:r>
        <w:rPr>
          <w:rFonts w:ascii="Arial" w:eastAsia="Arial" w:hAnsi="Arial" w:cs="Arial"/>
          <w:sz w:val="20"/>
        </w:rPr>
        <w:t>B</w:t>
      </w:r>
      <w:r>
        <w:rPr>
          <w:sz w:val="20"/>
        </w:rPr>
        <w:t>、</w:t>
      </w:r>
      <w:r>
        <w:rPr>
          <w:rFonts w:ascii="Arial" w:eastAsia="Arial" w:hAnsi="Arial" w:cs="Arial"/>
          <w:sz w:val="20"/>
        </w:rPr>
        <w:t>B2</w:t>
      </w:r>
      <w:r>
        <w:rPr>
          <w:sz w:val="20"/>
        </w:rPr>
        <w:t>類股份及</w:t>
      </w:r>
      <w:r>
        <w:rPr>
          <w:rFonts w:ascii="Arial" w:eastAsia="Arial" w:hAnsi="Arial" w:cs="Arial"/>
          <w:sz w:val="20"/>
        </w:rPr>
        <w:t>BT</w:t>
      </w:r>
      <w:r>
        <w:rPr>
          <w:sz w:val="20"/>
        </w:rPr>
        <w:t>類股份（及相應</w:t>
      </w:r>
      <w:r>
        <w:rPr>
          <w:rFonts w:ascii="Arial" w:eastAsia="Arial" w:hAnsi="Arial" w:cs="Arial"/>
          <w:sz w:val="20"/>
        </w:rPr>
        <w:t>H</w:t>
      </w:r>
      <w:r>
        <w:rPr>
          <w:sz w:val="20"/>
        </w:rPr>
        <w:t>類股份）不再接納新及現有投資者發出的認購單。然而，投資者可要求將其持有的</w:t>
      </w:r>
      <w:r>
        <w:rPr>
          <w:rFonts w:ascii="Arial" w:eastAsia="Arial" w:hAnsi="Arial" w:cs="Arial"/>
          <w:sz w:val="20"/>
        </w:rPr>
        <w:t>B</w:t>
      </w:r>
      <w:r>
        <w:rPr>
          <w:sz w:val="20"/>
        </w:rPr>
        <w:t>、</w:t>
      </w:r>
      <w:r>
        <w:rPr>
          <w:rFonts w:ascii="Arial" w:eastAsia="Arial" w:hAnsi="Arial" w:cs="Arial"/>
          <w:sz w:val="20"/>
        </w:rPr>
        <w:t>B2</w:t>
      </w:r>
      <w:r>
        <w:rPr>
          <w:sz w:val="20"/>
        </w:rPr>
        <w:t>類股份及</w:t>
      </w:r>
      <w:r>
        <w:rPr>
          <w:rFonts w:ascii="Arial" w:eastAsia="Arial" w:hAnsi="Arial" w:cs="Arial"/>
          <w:sz w:val="20"/>
        </w:rPr>
        <w:t>BT</w:t>
      </w:r>
      <w:r>
        <w:rPr>
          <w:sz w:val="20"/>
        </w:rPr>
        <w:t>類股份（及相應</w:t>
      </w:r>
      <w:r>
        <w:rPr>
          <w:rFonts w:ascii="Arial" w:eastAsia="Arial" w:hAnsi="Arial" w:cs="Arial"/>
          <w:sz w:val="20"/>
        </w:rPr>
        <w:t>H</w:t>
      </w:r>
      <w:r>
        <w:rPr>
          <w:sz w:val="20"/>
        </w:rPr>
        <w:t>類股份）轉換為另一由聯博保薦、於盧森堡成立並在香港獲認可向散戶分銷或以其他方式透過在香港的聯博認可交易商可供認購的</w:t>
      </w:r>
      <w:r>
        <w:rPr>
          <w:rFonts w:ascii="Arial" w:eastAsia="Arial" w:hAnsi="Arial" w:cs="Arial"/>
          <w:sz w:val="20"/>
        </w:rPr>
        <w:t>UCITS</w:t>
      </w:r>
      <w:r>
        <w:rPr>
          <w:sz w:val="20"/>
        </w:rPr>
        <w:t>基金的相同股份類別。</w:t>
      </w:r>
      <w:r>
        <w:rPr>
          <w:sz w:val="20"/>
        </w:rPr>
        <w:t xml:space="preserve"> </w:t>
      </w:r>
    </w:p>
    <w:p w:rsidR="004D6F0E" w:rsidRDefault="00490F21">
      <w:pPr>
        <w:spacing w:after="124" w:line="270" w:lineRule="auto"/>
      </w:pPr>
      <w:r>
        <w:rPr>
          <w:sz w:val="20"/>
        </w:rPr>
        <w:t>香港代表</w:t>
      </w:r>
      <w:r>
        <w:rPr>
          <w:sz w:val="20"/>
        </w:rPr>
        <w:t xml:space="preserve"> </w:t>
      </w:r>
    </w:p>
    <w:p w:rsidR="004D6F0E" w:rsidRDefault="00490F21">
      <w:pPr>
        <w:spacing w:after="124" w:line="270" w:lineRule="auto"/>
      </w:pPr>
      <w:r>
        <w:rPr>
          <w:sz w:val="20"/>
        </w:rPr>
        <w:t>本傘子基金的香港代表（「香港代表」）是聯博香港有限公司，其地址為香港鰂魚涌華蘭路</w:t>
      </w:r>
      <w:r>
        <w:rPr>
          <w:rFonts w:ascii="Arial" w:eastAsia="Arial" w:hAnsi="Arial" w:cs="Arial"/>
          <w:sz w:val="20"/>
        </w:rPr>
        <w:t>18</w:t>
      </w:r>
      <w:r>
        <w:rPr>
          <w:sz w:val="20"/>
        </w:rPr>
        <w:t>號太古坊港島東中心</w:t>
      </w:r>
      <w:r>
        <w:rPr>
          <w:rFonts w:ascii="Arial" w:eastAsia="Arial" w:hAnsi="Arial" w:cs="Arial"/>
          <w:sz w:val="20"/>
        </w:rPr>
        <w:t>39</w:t>
      </w:r>
      <w:r>
        <w:rPr>
          <w:sz w:val="20"/>
        </w:rPr>
        <w:t>樓，電話：</w:t>
      </w:r>
      <w:r>
        <w:rPr>
          <w:rFonts w:ascii="Arial" w:eastAsia="Arial" w:hAnsi="Arial" w:cs="Arial"/>
          <w:sz w:val="20"/>
        </w:rPr>
        <w:t>+852 2918 7888</w:t>
      </w:r>
      <w:r>
        <w:rPr>
          <w:sz w:val="20"/>
        </w:rPr>
        <w:t>，圖文傳真：</w:t>
      </w:r>
      <w:r>
        <w:rPr>
          <w:rFonts w:ascii="Arial" w:eastAsia="Arial" w:hAnsi="Arial" w:cs="Arial"/>
          <w:sz w:val="20"/>
        </w:rPr>
        <w:t>+852 2918 0200</w:t>
      </w:r>
      <w:r>
        <w:rPr>
          <w:sz w:val="20"/>
        </w:rPr>
        <w:t>。</w:t>
      </w:r>
      <w:r>
        <w:rPr>
          <w:sz w:val="20"/>
        </w:rPr>
        <w:t xml:space="preserve"> </w:t>
      </w:r>
    </w:p>
    <w:p w:rsidR="004D6F0E" w:rsidRDefault="00490F21">
      <w:pPr>
        <w:spacing w:after="124" w:line="270" w:lineRule="auto"/>
      </w:pPr>
      <w:r>
        <w:rPr>
          <w:sz w:val="20"/>
        </w:rPr>
        <w:t>投資管理人的受委人</w:t>
      </w:r>
      <w:r>
        <w:rPr>
          <w:sz w:val="20"/>
        </w:rPr>
        <w:t xml:space="preserve"> </w:t>
      </w:r>
    </w:p>
    <w:p w:rsidR="004D6F0E" w:rsidRDefault="00490F21">
      <w:pPr>
        <w:spacing w:after="124" w:line="270" w:lineRule="auto"/>
      </w:pPr>
      <w:r>
        <w:rPr>
          <w:sz w:val="20"/>
        </w:rPr>
        <w:t>如認購章程「投資管理」一節所披露，投資管理人可將若干全權委託投資管理職能再轉授予聯博集團旗下的實體，而該等實體可（視乎情況而定）於聯同投資管</w:t>
      </w:r>
      <w:r>
        <w:rPr>
          <w:sz w:val="20"/>
        </w:rPr>
        <w:t>理人對相關基金實施投資策略時擁有投資酌情權。</w:t>
      </w:r>
      <w:r>
        <w:rPr>
          <w:sz w:val="20"/>
        </w:rPr>
        <w:t xml:space="preserve">  </w:t>
      </w:r>
    </w:p>
    <w:p w:rsidR="004D6F0E" w:rsidRDefault="00490F21">
      <w:pPr>
        <w:spacing w:after="0" w:line="270" w:lineRule="auto"/>
      </w:pPr>
      <w:r>
        <w:rPr>
          <w:sz w:val="20"/>
        </w:rPr>
        <w:t>就此而言，以下實體將獲委任為下列基金的投資管理人的受委人（「投資管理人的受委人」）：</w:t>
      </w:r>
      <w:r>
        <w:rPr>
          <w:rFonts w:ascii="Arial" w:eastAsia="Arial" w:hAnsi="Arial" w:cs="Arial"/>
          <w:sz w:val="20"/>
        </w:rPr>
        <w:t xml:space="preserve"> </w:t>
      </w:r>
    </w:p>
    <w:p w:rsidR="004D6F0E" w:rsidRDefault="00490F21">
      <w:pPr>
        <w:spacing w:after="0" w:line="259" w:lineRule="auto"/>
        <w:ind w:left="16" w:firstLine="0"/>
      </w:pPr>
      <w:r>
        <w:rPr>
          <w:rFonts w:ascii="Arial" w:eastAsia="Arial" w:hAnsi="Arial" w:cs="Arial"/>
        </w:rPr>
        <w:t xml:space="preserve"> </w:t>
      </w:r>
    </w:p>
    <w:tbl>
      <w:tblPr>
        <w:tblStyle w:val="TableGrid"/>
        <w:tblW w:w="7632" w:type="dxa"/>
        <w:tblInd w:w="319" w:type="dxa"/>
        <w:tblCellMar>
          <w:top w:w="42" w:type="dxa"/>
          <w:left w:w="104" w:type="dxa"/>
          <w:bottom w:w="0" w:type="dxa"/>
          <w:right w:w="115" w:type="dxa"/>
        </w:tblCellMar>
        <w:tblLook w:val="04A0" w:firstRow="1" w:lastRow="0" w:firstColumn="1" w:lastColumn="0" w:noHBand="0" w:noVBand="1"/>
      </w:tblPr>
      <w:tblGrid>
        <w:gridCol w:w="4010"/>
        <w:gridCol w:w="3622"/>
      </w:tblGrid>
      <w:tr w:rsidR="004D6F0E">
        <w:trPr>
          <w:trHeight w:val="361"/>
        </w:trPr>
        <w:tc>
          <w:tcPr>
            <w:tcW w:w="4010" w:type="dxa"/>
            <w:tcBorders>
              <w:top w:val="single" w:sz="12" w:space="0" w:color="000000"/>
              <w:left w:val="single" w:sz="12" w:space="0" w:color="000000"/>
              <w:bottom w:val="single" w:sz="12" w:space="0" w:color="000000"/>
              <w:right w:val="single" w:sz="12" w:space="0" w:color="000000"/>
            </w:tcBorders>
            <w:shd w:val="clear" w:color="auto" w:fill="D9D9D9"/>
          </w:tcPr>
          <w:p w:rsidR="004D6F0E" w:rsidRDefault="00490F21">
            <w:pPr>
              <w:spacing w:after="0" w:line="259" w:lineRule="auto"/>
              <w:ind w:left="0" w:firstLine="0"/>
            </w:pPr>
            <w:r>
              <w:rPr>
                <w:sz w:val="20"/>
              </w:rPr>
              <w:t>投資管理人的受委人</w:t>
            </w:r>
            <w:r>
              <w:rPr>
                <w:rFonts w:ascii="Arial" w:eastAsia="Arial" w:hAnsi="Arial" w:cs="Arial"/>
                <w:b/>
                <w:sz w:val="20"/>
              </w:rPr>
              <w:t xml:space="preserve"> </w:t>
            </w:r>
          </w:p>
        </w:tc>
        <w:tc>
          <w:tcPr>
            <w:tcW w:w="3622" w:type="dxa"/>
            <w:tcBorders>
              <w:top w:val="single" w:sz="12" w:space="0" w:color="000000"/>
              <w:left w:val="single" w:sz="12" w:space="0" w:color="000000"/>
              <w:bottom w:val="single" w:sz="12" w:space="0" w:color="000000"/>
              <w:right w:val="single" w:sz="12" w:space="0" w:color="000000"/>
            </w:tcBorders>
            <w:shd w:val="clear" w:color="auto" w:fill="D9D9D9"/>
          </w:tcPr>
          <w:p w:rsidR="004D6F0E" w:rsidRDefault="00490F21">
            <w:pPr>
              <w:spacing w:after="0" w:line="259" w:lineRule="auto"/>
              <w:ind w:left="2" w:firstLine="0"/>
            </w:pPr>
            <w:r>
              <w:rPr>
                <w:sz w:val="20"/>
              </w:rPr>
              <w:t>相關基金</w:t>
            </w:r>
            <w:r>
              <w:rPr>
                <w:sz w:val="20"/>
              </w:rPr>
              <w:t xml:space="preserve"> </w:t>
            </w:r>
          </w:p>
        </w:tc>
      </w:tr>
      <w:tr w:rsidR="004D6F0E">
        <w:trPr>
          <w:trHeight w:val="294"/>
        </w:trPr>
        <w:tc>
          <w:tcPr>
            <w:tcW w:w="4010"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0" w:firstLine="0"/>
            </w:pPr>
            <w:r>
              <w:rPr>
                <w:rFonts w:ascii="Arial" w:eastAsia="Arial" w:hAnsi="Arial" w:cs="Arial"/>
                <w:sz w:val="20"/>
              </w:rPr>
              <w:t xml:space="preserve">AllianceBernstein (Japan) Ltd. </w:t>
            </w:r>
          </w:p>
        </w:tc>
        <w:tc>
          <w:tcPr>
            <w:tcW w:w="3622"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2" w:firstLine="0"/>
            </w:pPr>
            <w:r>
              <w:rPr>
                <w:sz w:val="20"/>
              </w:rPr>
              <w:t>日本策略價值基金</w:t>
            </w:r>
            <w:r>
              <w:rPr>
                <w:sz w:val="20"/>
              </w:rPr>
              <w:t xml:space="preserve"> </w:t>
            </w:r>
          </w:p>
        </w:tc>
      </w:tr>
      <w:tr w:rsidR="004D6F0E">
        <w:trPr>
          <w:trHeight w:val="290"/>
        </w:trPr>
        <w:tc>
          <w:tcPr>
            <w:tcW w:w="4010"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0" w:firstLine="0"/>
            </w:pPr>
            <w:r>
              <w:rPr>
                <w:rFonts w:ascii="Arial" w:eastAsia="Arial" w:hAnsi="Arial" w:cs="Arial"/>
                <w:sz w:val="20"/>
              </w:rPr>
              <w:t xml:space="preserve">AllianceBernstein (Singapore) Ltd.  </w:t>
            </w:r>
          </w:p>
        </w:tc>
        <w:tc>
          <w:tcPr>
            <w:tcW w:w="3622"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2" w:firstLine="0"/>
            </w:pPr>
            <w:r>
              <w:rPr>
                <w:sz w:val="20"/>
              </w:rPr>
              <w:t>新興市場增長基金</w:t>
            </w:r>
            <w:r>
              <w:rPr>
                <w:sz w:val="20"/>
              </w:rPr>
              <w:t xml:space="preserve"> </w:t>
            </w:r>
          </w:p>
        </w:tc>
      </w:tr>
      <w:tr w:rsidR="004D6F0E">
        <w:trPr>
          <w:trHeight w:val="550"/>
        </w:trPr>
        <w:tc>
          <w:tcPr>
            <w:tcW w:w="4010" w:type="dxa"/>
            <w:tcBorders>
              <w:top w:val="single" w:sz="12" w:space="0" w:color="000000"/>
              <w:left w:val="single" w:sz="12" w:space="0" w:color="000000"/>
              <w:bottom w:val="single" w:sz="12" w:space="0" w:color="000000"/>
              <w:right w:val="single" w:sz="12" w:space="0" w:color="000000"/>
            </w:tcBorders>
          </w:tcPr>
          <w:p w:rsidR="004D6F0E" w:rsidRDefault="00490F21">
            <w:pPr>
              <w:spacing w:after="10" w:line="259" w:lineRule="auto"/>
              <w:ind w:left="0" w:firstLine="0"/>
            </w:pPr>
            <w:r>
              <w:rPr>
                <w:sz w:val="20"/>
              </w:rPr>
              <w:t>聯博香港有限公司及</w:t>
            </w: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20"/>
              </w:rPr>
              <w:t xml:space="preserve">AllianceBernstein Australia Limited </w:t>
            </w:r>
          </w:p>
        </w:tc>
        <w:tc>
          <w:tcPr>
            <w:tcW w:w="3622" w:type="dxa"/>
            <w:tcBorders>
              <w:top w:val="single" w:sz="12" w:space="0" w:color="000000"/>
              <w:left w:val="single" w:sz="12" w:space="0" w:color="000000"/>
              <w:bottom w:val="single" w:sz="12" w:space="0" w:color="000000"/>
              <w:right w:val="single" w:sz="12" w:space="0" w:color="000000"/>
            </w:tcBorders>
          </w:tcPr>
          <w:p w:rsidR="004D6F0E" w:rsidRDefault="00490F21">
            <w:pPr>
              <w:spacing w:after="12" w:line="259" w:lineRule="auto"/>
              <w:ind w:left="2" w:firstLine="0"/>
            </w:pPr>
            <w:r>
              <w:rPr>
                <w:sz w:val="20"/>
              </w:rPr>
              <w:t>亞洲（日本以外）股票基金</w:t>
            </w:r>
            <w:r>
              <w:rPr>
                <w:sz w:val="20"/>
              </w:rPr>
              <w:t xml:space="preserve"> </w:t>
            </w:r>
          </w:p>
          <w:p w:rsidR="004D6F0E" w:rsidRDefault="00490F21">
            <w:pPr>
              <w:spacing w:after="0" w:line="259" w:lineRule="auto"/>
              <w:ind w:left="2" w:firstLine="0"/>
            </w:pPr>
            <w:r>
              <w:rPr>
                <w:sz w:val="20"/>
              </w:rPr>
              <w:t xml:space="preserve"> </w:t>
            </w:r>
          </w:p>
        </w:tc>
      </w:tr>
      <w:tr w:rsidR="004D6F0E">
        <w:trPr>
          <w:trHeight w:val="780"/>
        </w:trPr>
        <w:tc>
          <w:tcPr>
            <w:tcW w:w="4010" w:type="dxa"/>
            <w:tcBorders>
              <w:top w:val="single" w:sz="12" w:space="0" w:color="000000"/>
              <w:left w:val="single" w:sz="12" w:space="0" w:color="000000"/>
              <w:bottom w:val="single" w:sz="12" w:space="0" w:color="000000"/>
              <w:right w:val="single" w:sz="12" w:space="0" w:color="000000"/>
            </w:tcBorders>
          </w:tcPr>
          <w:p w:rsidR="004D6F0E" w:rsidRDefault="00490F21">
            <w:pPr>
              <w:spacing w:after="26" w:line="259" w:lineRule="auto"/>
              <w:ind w:left="0" w:firstLine="0"/>
            </w:pPr>
            <w:r>
              <w:rPr>
                <w:sz w:val="20"/>
              </w:rPr>
              <w:t>聯博香港有限公司、</w:t>
            </w: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20"/>
              </w:rPr>
              <w:t>AllianceBernstein Australia Limited</w:t>
            </w:r>
            <w:r>
              <w:rPr>
                <w:sz w:val="20"/>
              </w:rPr>
              <w:t>及</w:t>
            </w:r>
            <w:r>
              <w:rPr>
                <w:rFonts w:ascii="Arial" w:eastAsia="Arial" w:hAnsi="Arial" w:cs="Arial"/>
                <w:sz w:val="20"/>
              </w:rPr>
              <w:t xml:space="preserve"> AllianceBernstein (Singapore) Ltd. </w:t>
            </w:r>
          </w:p>
        </w:tc>
        <w:tc>
          <w:tcPr>
            <w:tcW w:w="3622"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2" w:firstLine="0"/>
            </w:pPr>
            <w:r>
              <w:rPr>
                <w:sz w:val="20"/>
              </w:rPr>
              <w:t>中國低波幅策略股票基金</w:t>
            </w:r>
            <w:r>
              <w:rPr>
                <w:sz w:val="20"/>
              </w:rPr>
              <w:t xml:space="preserve"> </w:t>
            </w:r>
          </w:p>
        </w:tc>
      </w:tr>
      <w:tr w:rsidR="004D6F0E">
        <w:trPr>
          <w:trHeight w:val="811"/>
        </w:trPr>
        <w:tc>
          <w:tcPr>
            <w:tcW w:w="4010"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0" w:firstLine="0"/>
            </w:pPr>
            <w:r>
              <w:rPr>
                <w:rFonts w:ascii="Arial" w:eastAsia="Arial" w:hAnsi="Arial" w:cs="Arial"/>
                <w:sz w:val="20"/>
              </w:rPr>
              <w:t xml:space="preserve">AllianceBernstein Limited  </w:t>
            </w:r>
          </w:p>
        </w:tc>
        <w:tc>
          <w:tcPr>
            <w:tcW w:w="3622"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2" w:right="499" w:firstLine="0"/>
            </w:pPr>
            <w:r>
              <w:rPr>
                <w:sz w:val="20"/>
              </w:rPr>
              <w:t>歐洲收益基金</w:t>
            </w:r>
            <w:r>
              <w:rPr>
                <w:sz w:val="20"/>
              </w:rPr>
              <w:t xml:space="preserve">  </w:t>
            </w:r>
            <w:r>
              <w:rPr>
                <w:sz w:val="20"/>
              </w:rPr>
              <w:t>環球股票策略基金</w:t>
            </w:r>
            <w:r>
              <w:rPr>
                <w:sz w:val="20"/>
              </w:rPr>
              <w:t xml:space="preserve">  </w:t>
            </w:r>
            <w:r>
              <w:rPr>
                <w:sz w:val="20"/>
              </w:rPr>
              <w:t>短期債券基金</w:t>
            </w:r>
            <w:r>
              <w:rPr>
                <w:sz w:val="20"/>
              </w:rPr>
              <w:t xml:space="preserve"> </w:t>
            </w:r>
          </w:p>
        </w:tc>
      </w:tr>
      <w:tr w:rsidR="004D6F0E">
        <w:trPr>
          <w:trHeight w:val="550"/>
        </w:trPr>
        <w:tc>
          <w:tcPr>
            <w:tcW w:w="4010"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0" w:firstLine="0"/>
            </w:pPr>
            <w:r>
              <w:rPr>
                <w:rFonts w:ascii="Arial" w:eastAsia="Arial" w:hAnsi="Arial" w:cs="Arial"/>
                <w:sz w:val="20"/>
              </w:rPr>
              <w:t>AllianceBernstein Limited</w:t>
            </w:r>
            <w:r>
              <w:rPr>
                <w:sz w:val="20"/>
              </w:rPr>
              <w:t>及聯博香港有限公司</w:t>
            </w:r>
            <w:r>
              <w:rPr>
                <w:rFonts w:ascii="Arial" w:eastAsia="Arial" w:hAnsi="Arial" w:cs="Arial"/>
                <w:sz w:val="20"/>
              </w:rPr>
              <w:t xml:space="preserve"> </w:t>
            </w:r>
          </w:p>
        </w:tc>
        <w:tc>
          <w:tcPr>
            <w:tcW w:w="3622" w:type="dxa"/>
            <w:tcBorders>
              <w:top w:val="single" w:sz="12" w:space="0" w:color="000000"/>
              <w:left w:val="single" w:sz="12" w:space="0" w:color="000000"/>
              <w:bottom w:val="single" w:sz="12" w:space="0" w:color="000000"/>
              <w:right w:val="single" w:sz="12" w:space="0" w:color="000000"/>
            </w:tcBorders>
          </w:tcPr>
          <w:p w:rsidR="004D6F0E" w:rsidRDefault="00490F21">
            <w:pPr>
              <w:spacing w:after="0" w:line="259" w:lineRule="auto"/>
              <w:ind w:left="2" w:firstLine="0"/>
            </w:pPr>
            <w:r>
              <w:rPr>
                <w:sz w:val="20"/>
              </w:rPr>
              <w:t>新興市場債券基金</w:t>
            </w:r>
            <w:r>
              <w:rPr>
                <w:sz w:val="20"/>
              </w:rPr>
              <w:t xml:space="preserve"> </w:t>
            </w:r>
          </w:p>
        </w:tc>
      </w:tr>
    </w:tbl>
    <w:p w:rsidR="004D6F0E" w:rsidRDefault="00490F21">
      <w:pPr>
        <w:spacing w:after="0" w:line="259" w:lineRule="auto"/>
        <w:ind w:left="16" w:firstLine="0"/>
      </w:pPr>
      <w:r>
        <w:rPr>
          <w:rFonts w:ascii="Arial" w:eastAsia="Arial" w:hAnsi="Arial" w:cs="Arial"/>
          <w:i/>
        </w:rPr>
        <w:t xml:space="preserve"> </w:t>
      </w:r>
    </w:p>
    <w:p w:rsidR="004D6F0E" w:rsidRDefault="00490F21">
      <w:pPr>
        <w:spacing w:after="123" w:line="259" w:lineRule="auto"/>
        <w:ind w:left="11" w:hanging="10"/>
      </w:pPr>
      <w:r>
        <w:rPr>
          <w:rFonts w:ascii="Arial" w:eastAsia="Arial" w:hAnsi="Arial" w:cs="Arial"/>
          <w:i/>
          <w:sz w:val="20"/>
        </w:rPr>
        <w:t xml:space="preserve">AllianceBernstein (Japan) Ltd. </w:t>
      </w:r>
    </w:p>
    <w:p w:rsidR="004D6F0E" w:rsidRDefault="00490F21">
      <w:pPr>
        <w:spacing w:after="115" w:line="268" w:lineRule="auto"/>
        <w:ind w:left="11" w:right="114" w:hanging="10"/>
        <w:jc w:val="both"/>
      </w:pPr>
      <w:r>
        <w:rPr>
          <w:rFonts w:ascii="Arial" w:eastAsia="Arial" w:hAnsi="Arial" w:cs="Arial"/>
          <w:sz w:val="20"/>
        </w:rPr>
        <w:lastRenderedPageBreak/>
        <w:t>AllianceBernstein (Japan) Ltd.</w:t>
      </w:r>
      <w:r>
        <w:rPr>
          <w:sz w:val="20"/>
        </w:rPr>
        <w:t>的主要辦事處位於</w:t>
      </w:r>
      <w:r>
        <w:rPr>
          <w:rFonts w:ascii="Arial" w:eastAsia="Arial" w:hAnsi="Arial" w:cs="Arial"/>
          <w:sz w:val="20"/>
        </w:rPr>
        <w:t>Hibiya Park Front Building 14F, 2-1-6 Uchisaiwaicho, Chiyoda-ku, 14th Floor, Tokyo 100-0011, Japan</w:t>
      </w:r>
      <w:r>
        <w:rPr>
          <w:sz w:val="20"/>
        </w:rPr>
        <w:t>，為於</w:t>
      </w:r>
      <w:r>
        <w:rPr>
          <w:rFonts w:ascii="Arial" w:eastAsia="Arial" w:hAnsi="Arial" w:cs="Arial"/>
          <w:sz w:val="20"/>
        </w:rPr>
        <w:t>1996</w:t>
      </w:r>
      <w:r>
        <w:rPr>
          <w:sz w:val="20"/>
        </w:rPr>
        <w:t>年</w:t>
      </w:r>
      <w:r>
        <w:rPr>
          <w:rFonts w:ascii="Arial" w:eastAsia="Arial" w:hAnsi="Arial" w:cs="Arial"/>
          <w:sz w:val="20"/>
        </w:rPr>
        <w:t>10</w:t>
      </w:r>
      <w:r>
        <w:rPr>
          <w:sz w:val="20"/>
        </w:rPr>
        <w:t>月</w:t>
      </w:r>
      <w:r>
        <w:rPr>
          <w:rFonts w:ascii="Arial" w:eastAsia="Arial" w:hAnsi="Arial" w:cs="Arial"/>
          <w:sz w:val="20"/>
        </w:rPr>
        <w:t>28</w:t>
      </w:r>
      <w:r>
        <w:rPr>
          <w:sz w:val="20"/>
        </w:rPr>
        <w:t>日在日本成立的公司，並於金融廳（</w:t>
      </w:r>
      <w:r>
        <w:rPr>
          <w:rFonts w:ascii="Arial" w:eastAsia="Arial" w:hAnsi="Arial" w:cs="Arial"/>
          <w:sz w:val="20"/>
        </w:rPr>
        <w:t>Financial Services Agency</w:t>
      </w:r>
      <w:r>
        <w:rPr>
          <w:sz w:val="20"/>
        </w:rPr>
        <w:t>）註冊為一間金融工具業務運營商，以提供</w:t>
      </w:r>
      <w:r>
        <w:rPr>
          <w:rFonts w:ascii="Arial" w:eastAsia="Arial" w:hAnsi="Arial" w:cs="Arial"/>
          <w:sz w:val="20"/>
        </w:rPr>
        <w:t>(i)</w:t>
      </w:r>
      <w:r>
        <w:rPr>
          <w:sz w:val="20"/>
        </w:rPr>
        <w:t>第一類金融工具業務；</w:t>
      </w:r>
      <w:r>
        <w:rPr>
          <w:rFonts w:ascii="Arial" w:eastAsia="Arial" w:hAnsi="Arial" w:cs="Arial"/>
          <w:sz w:val="20"/>
        </w:rPr>
        <w:t>(ii)</w:t>
      </w:r>
      <w:r>
        <w:rPr>
          <w:sz w:val="20"/>
        </w:rPr>
        <w:t>第二類金融工具業務；</w:t>
      </w:r>
      <w:r>
        <w:rPr>
          <w:rFonts w:ascii="Arial" w:eastAsia="Arial" w:hAnsi="Arial" w:cs="Arial"/>
          <w:sz w:val="20"/>
        </w:rPr>
        <w:t>(iii)</w:t>
      </w:r>
      <w:r>
        <w:rPr>
          <w:sz w:val="20"/>
        </w:rPr>
        <w:t>投資顧問及代理業務；</w:t>
      </w:r>
      <w:r>
        <w:rPr>
          <w:rFonts w:ascii="Arial" w:eastAsia="Arial" w:hAnsi="Arial" w:cs="Arial"/>
          <w:sz w:val="20"/>
        </w:rPr>
        <w:t>(iv)</w:t>
      </w:r>
      <w:r>
        <w:rPr>
          <w:sz w:val="20"/>
        </w:rPr>
        <w:t>投資管理業務；及</w:t>
      </w:r>
      <w:r>
        <w:rPr>
          <w:rFonts w:ascii="Arial" w:eastAsia="Arial" w:hAnsi="Arial" w:cs="Arial"/>
          <w:sz w:val="20"/>
        </w:rPr>
        <w:t>(v)</w:t>
      </w:r>
      <w:r>
        <w:rPr>
          <w:sz w:val="20"/>
        </w:rPr>
        <w:t>證券</w:t>
      </w:r>
      <w:r>
        <w:rPr>
          <w:sz w:val="20"/>
        </w:rPr>
        <w:t>–</w:t>
      </w:r>
      <w:r>
        <w:rPr>
          <w:sz w:val="20"/>
        </w:rPr>
        <w:t>相關業務。</w:t>
      </w:r>
      <w:r>
        <w:rPr>
          <w:sz w:val="20"/>
        </w:rPr>
        <w:t xml:space="preserve"> </w:t>
      </w:r>
    </w:p>
    <w:p w:rsidR="004D6F0E" w:rsidRDefault="00490F21">
      <w:pPr>
        <w:spacing w:after="123" w:line="259" w:lineRule="auto"/>
        <w:ind w:left="11" w:hanging="10"/>
      </w:pPr>
      <w:r>
        <w:rPr>
          <w:rFonts w:ascii="Arial" w:eastAsia="Arial" w:hAnsi="Arial" w:cs="Arial"/>
          <w:i/>
          <w:sz w:val="20"/>
        </w:rPr>
        <w:t xml:space="preserve">AllianceBernstein </w:t>
      </w:r>
      <w:r>
        <w:rPr>
          <w:rFonts w:ascii="Arial" w:eastAsia="Arial" w:hAnsi="Arial" w:cs="Arial"/>
          <w:i/>
          <w:sz w:val="20"/>
        </w:rPr>
        <w:t xml:space="preserve">(Singapore) Ltd. </w:t>
      </w:r>
    </w:p>
    <w:p w:rsidR="004D6F0E" w:rsidRDefault="00490F21">
      <w:pPr>
        <w:spacing w:after="7" w:line="268" w:lineRule="auto"/>
        <w:ind w:left="11" w:right="114" w:hanging="10"/>
        <w:jc w:val="both"/>
      </w:pPr>
      <w:r>
        <w:rPr>
          <w:rFonts w:ascii="Arial" w:eastAsia="Arial" w:hAnsi="Arial" w:cs="Arial"/>
          <w:sz w:val="20"/>
        </w:rPr>
        <w:t>AllianceBernstein (Singapore) Ltd.</w:t>
      </w:r>
      <w:r>
        <w:rPr>
          <w:sz w:val="20"/>
        </w:rPr>
        <w:t>的主要辦事處位於</w:t>
      </w:r>
      <w:r>
        <w:rPr>
          <w:rFonts w:ascii="Arial" w:eastAsia="Arial" w:hAnsi="Arial" w:cs="Arial"/>
          <w:sz w:val="20"/>
        </w:rPr>
        <w:t xml:space="preserve">One Raffles Quay, #27-11 South Tower, Singapore </w:t>
      </w:r>
    </w:p>
    <w:p w:rsidR="004D6F0E" w:rsidRDefault="00490F21">
      <w:pPr>
        <w:spacing w:after="125" w:line="268" w:lineRule="auto"/>
        <w:ind w:left="11" w:right="114" w:hanging="10"/>
        <w:jc w:val="both"/>
      </w:pPr>
      <w:r>
        <w:rPr>
          <w:rFonts w:ascii="Arial" w:eastAsia="Arial" w:hAnsi="Arial" w:cs="Arial"/>
          <w:sz w:val="20"/>
        </w:rPr>
        <w:t>048583</w:t>
      </w:r>
      <w:r>
        <w:rPr>
          <w:sz w:val="20"/>
        </w:rPr>
        <w:t>，於</w:t>
      </w:r>
      <w:r>
        <w:rPr>
          <w:rFonts w:ascii="Arial" w:eastAsia="Arial" w:hAnsi="Arial" w:cs="Arial"/>
          <w:sz w:val="20"/>
        </w:rPr>
        <w:t>1997</w:t>
      </w:r>
      <w:r>
        <w:rPr>
          <w:sz w:val="20"/>
        </w:rPr>
        <w:t>年</w:t>
      </w:r>
      <w:r>
        <w:rPr>
          <w:rFonts w:ascii="Arial" w:eastAsia="Arial" w:hAnsi="Arial" w:cs="Arial"/>
          <w:sz w:val="20"/>
        </w:rPr>
        <w:t>5</w:t>
      </w:r>
      <w:r>
        <w:rPr>
          <w:sz w:val="20"/>
        </w:rPr>
        <w:t>月</w:t>
      </w:r>
      <w:r>
        <w:rPr>
          <w:rFonts w:ascii="Arial" w:eastAsia="Arial" w:hAnsi="Arial" w:cs="Arial"/>
          <w:sz w:val="20"/>
        </w:rPr>
        <w:t>17</w:t>
      </w:r>
      <w:r>
        <w:rPr>
          <w:sz w:val="20"/>
        </w:rPr>
        <w:t>日在新加坡成立，受新加坡金融管理局（</w:t>
      </w:r>
      <w:r>
        <w:rPr>
          <w:rFonts w:ascii="Arial" w:eastAsia="Arial" w:hAnsi="Arial" w:cs="Arial"/>
          <w:sz w:val="20"/>
        </w:rPr>
        <w:t>Monetary Authority of Singapore</w:t>
      </w:r>
      <w:r>
        <w:rPr>
          <w:sz w:val="20"/>
        </w:rPr>
        <w:t>）監管並根據《證券及期貨法》（</w:t>
      </w:r>
      <w:r>
        <w:rPr>
          <w:rFonts w:ascii="Arial" w:eastAsia="Arial" w:hAnsi="Arial" w:cs="Arial"/>
          <w:sz w:val="20"/>
        </w:rPr>
        <w:t>Securities and Futures Act</w:t>
      </w:r>
      <w:r>
        <w:rPr>
          <w:sz w:val="20"/>
        </w:rPr>
        <w:t>）獲發資本市場服務牌照（</w:t>
      </w:r>
      <w:r>
        <w:rPr>
          <w:rFonts w:ascii="Arial" w:eastAsia="Arial" w:hAnsi="Arial" w:cs="Arial"/>
          <w:sz w:val="20"/>
        </w:rPr>
        <w:t>Capital Markets Service Lice</w:t>
      </w:r>
      <w:r>
        <w:rPr>
          <w:rFonts w:ascii="Arial" w:eastAsia="Arial" w:hAnsi="Arial" w:cs="Arial"/>
          <w:sz w:val="20"/>
        </w:rPr>
        <w:t>nce</w:t>
      </w:r>
      <w:r>
        <w:rPr>
          <w:sz w:val="20"/>
        </w:rPr>
        <w:t>），以從事資本市場產品買賣及基金管理受監管活動。</w:t>
      </w:r>
      <w:r>
        <w:rPr>
          <w:sz w:val="20"/>
        </w:rPr>
        <w:t xml:space="preserve">  </w:t>
      </w:r>
    </w:p>
    <w:p w:rsidR="004D6F0E" w:rsidRDefault="00490F21">
      <w:pPr>
        <w:spacing w:after="119" w:line="258" w:lineRule="auto"/>
        <w:ind w:left="-13" w:firstLine="3"/>
      </w:pPr>
      <w:r>
        <w:rPr>
          <w:sz w:val="21"/>
        </w:rPr>
        <w:t>聯博香港有限公司</w:t>
      </w:r>
      <w:r>
        <w:rPr>
          <w:sz w:val="21"/>
        </w:rPr>
        <w:t xml:space="preserve"> </w:t>
      </w:r>
    </w:p>
    <w:p w:rsidR="004D6F0E" w:rsidRDefault="00490F21">
      <w:pPr>
        <w:spacing w:after="124" w:line="270" w:lineRule="auto"/>
      </w:pPr>
      <w:r>
        <w:rPr>
          <w:sz w:val="20"/>
        </w:rPr>
        <w:t>聯博香港有限公司為於香港註冊成立的有限責任公司，目前獲證監會發牌可從事《證券及期貨條例》下第一類（證券交易）、第二類（期貨合約交易）、第四類（就證券提供意見）、第五類（就期貨合約提供意見）及第九類（提供資產管理）受規管活動（中央編號</w:t>
      </w:r>
      <w:r>
        <w:rPr>
          <w:rFonts w:ascii="Arial" w:eastAsia="Arial" w:hAnsi="Arial" w:cs="Arial"/>
          <w:sz w:val="20"/>
        </w:rPr>
        <w:t>ADX555</w:t>
      </w:r>
      <w:r>
        <w:rPr>
          <w:sz w:val="20"/>
        </w:rPr>
        <w:t>）。聯博香港有限公司為聯博集團的一部分，而聯博集團為全球廣泛類型客戶（包括機構客戶、零售客戶及私人客戶）提供研究、多元化投資管理及相關服務。</w:t>
      </w:r>
      <w:r>
        <w:rPr>
          <w:sz w:val="20"/>
        </w:rPr>
        <w:t xml:space="preserve"> </w:t>
      </w:r>
    </w:p>
    <w:p w:rsidR="004D6F0E" w:rsidRDefault="00490F21">
      <w:pPr>
        <w:spacing w:after="123" w:line="259" w:lineRule="auto"/>
        <w:ind w:left="11" w:hanging="10"/>
      </w:pPr>
      <w:r>
        <w:rPr>
          <w:rFonts w:ascii="Arial" w:eastAsia="Arial" w:hAnsi="Arial" w:cs="Arial"/>
          <w:i/>
          <w:sz w:val="20"/>
        </w:rPr>
        <w:t xml:space="preserve">AllianceBernstein Australia Limited  </w:t>
      </w:r>
    </w:p>
    <w:p w:rsidR="004D6F0E" w:rsidRDefault="00490F21">
      <w:pPr>
        <w:spacing w:after="7" w:line="268" w:lineRule="auto"/>
        <w:ind w:left="11" w:right="114" w:hanging="10"/>
        <w:jc w:val="both"/>
      </w:pPr>
      <w:r>
        <w:rPr>
          <w:rFonts w:ascii="Arial" w:eastAsia="Arial" w:hAnsi="Arial" w:cs="Arial"/>
          <w:sz w:val="20"/>
        </w:rPr>
        <w:t>AllianceBernstein Austra</w:t>
      </w:r>
      <w:r>
        <w:rPr>
          <w:rFonts w:ascii="Arial" w:eastAsia="Arial" w:hAnsi="Arial" w:cs="Arial"/>
          <w:sz w:val="20"/>
        </w:rPr>
        <w:t>lia Limited</w:t>
      </w:r>
      <w:r>
        <w:rPr>
          <w:sz w:val="20"/>
        </w:rPr>
        <w:t>的主要辦事處位於</w:t>
      </w:r>
      <w:r>
        <w:rPr>
          <w:rFonts w:ascii="Arial" w:eastAsia="Arial" w:hAnsi="Arial" w:cs="Arial"/>
          <w:sz w:val="20"/>
        </w:rPr>
        <w:t xml:space="preserve">Level 32, Aurora Place, 88 Phillip Street, Sydney, </w:t>
      </w:r>
    </w:p>
    <w:p w:rsidR="004D6F0E" w:rsidRDefault="00490F21">
      <w:pPr>
        <w:spacing w:after="11" w:line="270" w:lineRule="auto"/>
      </w:pPr>
      <w:r>
        <w:rPr>
          <w:rFonts w:ascii="Arial" w:eastAsia="Arial" w:hAnsi="Arial" w:cs="Arial"/>
          <w:sz w:val="20"/>
        </w:rPr>
        <w:t>NSW 2000</w:t>
      </w:r>
      <w:r>
        <w:rPr>
          <w:sz w:val="20"/>
        </w:rPr>
        <w:t>，是一間於</w:t>
      </w:r>
      <w:r>
        <w:rPr>
          <w:rFonts w:ascii="Arial" w:eastAsia="Arial" w:hAnsi="Arial" w:cs="Arial"/>
          <w:sz w:val="20"/>
        </w:rPr>
        <w:t>2000</w:t>
      </w:r>
      <w:r>
        <w:rPr>
          <w:sz w:val="20"/>
        </w:rPr>
        <w:t>年</w:t>
      </w:r>
      <w:r>
        <w:rPr>
          <w:rFonts w:ascii="Arial" w:eastAsia="Arial" w:hAnsi="Arial" w:cs="Arial"/>
          <w:sz w:val="20"/>
        </w:rPr>
        <w:t>11</w:t>
      </w:r>
      <w:r>
        <w:rPr>
          <w:sz w:val="20"/>
        </w:rPr>
        <w:t>月</w:t>
      </w:r>
      <w:r>
        <w:rPr>
          <w:rFonts w:ascii="Arial" w:eastAsia="Arial" w:hAnsi="Arial" w:cs="Arial"/>
          <w:sz w:val="20"/>
        </w:rPr>
        <w:t>9</w:t>
      </w:r>
      <w:r>
        <w:rPr>
          <w:sz w:val="20"/>
        </w:rPr>
        <w:t>日在澳洲成立的公司，受澳洲證券及投資監察委員會（</w:t>
      </w:r>
      <w:r>
        <w:rPr>
          <w:rFonts w:ascii="Arial" w:eastAsia="Arial" w:hAnsi="Arial" w:cs="Arial"/>
          <w:sz w:val="20"/>
        </w:rPr>
        <w:t xml:space="preserve">Australian </w:t>
      </w:r>
    </w:p>
    <w:p w:rsidR="004D6F0E" w:rsidRDefault="00490F21">
      <w:pPr>
        <w:spacing w:after="7" w:line="268" w:lineRule="auto"/>
        <w:ind w:left="11" w:right="114" w:hanging="10"/>
        <w:jc w:val="both"/>
      </w:pPr>
      <w:r>
        <w:rPr>
          <w:rFonts w:ascii="Arial" w:eastAsia="Arial" w:hAnsi="Arial" w:cs="Arial"/>
          <w:sz w:val="20"/>
        </w:rPr>
        <w:t>Securities and Investments Commission</w:t>
      </w:r>
      <w:r>
        <w:rPr>
          <w:sz w:val="20"/>
        </w:rPr>
        <w:t>）規管，並獲授澳洲金融服務牌照（「澳洲金融服務牌照」）從事</w:t>
      </w:r>
    </w:p>
    <w:p w:rsidR="004D6F0E" w:rsidRDefault="00490F21">
      <w:pPr>
        <w:spacing w:after="124" w:line="270" w:lineRule="auto"/>
      </w:pPr>
      <w:r>
        <w:rPr>
          <w:sz w:val="20"/>
        </w:rPr>
        <w:t>（其中包括）金融服務業務以向零售投資者提供一般金融產品意見及進行金融產品交易。根據澳洲金融服務牌照的條款，</w:t>
      </w:r>
      <w:r>
        <w:rPr>
          <w:rFonts w:ascii="Arial" w:eastAsia="Arial" w:hAnsi="Arial" w:cs="Arial"/>
          <w:sz w:val="20"/>
        </w:rPr>
        <w:t>Allianc</w:t>
      </w:r>
      <w:r>
        <w:rPr>
          <w:rFonts w:ascii="Arial" w:eastAsia="Arial" w:hAnsi="Arial" w:cs="Arial"/>
          <w:sz w:val="20"/>
        </w:rPr>
        <w:t>eBernstein Australia Limited</w:t>
      </w:r>
      <w:r>
        <w:rPr>
          <w:sz w:val="20"/>
        </w:rPr>
        <w:t>可向批發客戶（包括註冊管理投資計劃（公開發售投資產品／集體投資工具）、私募基金及退休金（養老金）基金的負責實體（營運機構））提供全權委託投資管理服務，這意味著澳洲金融服務牌照令</w:t>
      </w:r>
      <w:r>
        <w:rPr>
          <w:rFonts w:ascii="Arial" w:eastAsia="Arial" w:hAnsi="Arial" w:cs="Arial"/>
          <w:sz w:val="20"/>
        </w:rPr>
        <w:t>AllianceBernstein Australia Limited</w:t>
      </w:r>
      <w:r>
        <w:rPr>
          <w:sz w:val="20"/>
        </w:rPr>
        <w:t>能夠管理註冊管理投資計劃的投資基金。</w:t>
      </w:r>
      <w:r>
        <w:rPr>
          <w:rFonts w:ascii="Arial" w:eastAsia="Arial" w:hAnsi="Arial" w:cs="Arial"/>
          <w:sz w:val="20"/>
        </w:rPr>
        <w:t xml:space="preserve"> </w:t>
      </w:r>
    </w:p>
    <w:p w:rsidR="004D6F0E" w:rsidRDefault="00490F21">
      <w:pPr>
        <w:spacing w:after="123" w:line="259" w:lineRule="auto"/>
        <w:ind w:left="11" w:hanging="10"/>
      </w:pPr>
      <w:r>
        <w:rPr>
          <w:rFonts w:ascii="Arial" w:eastAsia="Arial" w:hAnsi="Arial" w:cs="Arial"/>
          <w:i/>
          <w:sz w:val="20"/>
        </w:rPr>
        <w:t xml:space="preserve">AllianceBernstein Limited </w:t>
      </w:r>
    </w:p>
    <w:p w:rsidR="004D6F0E" w:rsidRDefault="00490F21">
      <w:pPr>
        <w:spacing w:after="126" w:line="278" w:lineRule="auto"/>
        <w:ind w:left="11" w:right="47" w:hanging="10"/>
        <w:jc w:val="both"/>
      </w:pPr>
      <w:r>
        <w:rPr>
          <w:rFonts w:ascii="Arial" w:eastAsia="Arial" w:hAnsi="Arial" w:cs="Arial"/>
          <w:sz w:val="20"/>
        </w:rPr>
        <w:t xml:space="preserve">AllianceBernstein Limited </w:t>
      </w:r>
      <w:r>
        <w:rPr>
          <w:sz w:val="20"/>
        </w:rPr>
        <w:t>的主要辦事處位於</w:t>
      </w:r>
      <w:r>
        <w:rPr>
          <w:sz w:val="20"/>
        </w:rPr>
        <w:t xml:space="preserve"> </w:t>
      </w:r>
      <w:r>
        <w:rPr>
          <w:rFonts w:ascii="Arial" w:eastAsia="Arial" w:hAnsi="Arial" w:cs="Arial"/>
          <w:sz w:val="20"/>
        </w:rPr>
        <w:t>60 London Wall, London, EC2M 5SJ, United Kingdom</w:t>
      </w:r>
      <w:r>
        <w:rPr>
          <w:sz w:val="20"/>
        </w:rPr>
        <w:t>，於</w:t>
      </w:r>
      <w:r>
        <w:rPr>
          <w:sz w:val="20"/>
        </w:rPr>
        <w:t xml:space="preserve"> </w:t>
      </w:r>
      <w:r>
        <w:rPr>
          <w:rFonts w:ascii="Arial" w:eastAsia="Arial" w:hAnsi="Arial" w:cs="Arial"/>
          <w:sz w:val="20"/>
        </w:rPr>
        <w:t xml:space="preserve">1990 </w:t>
      </w:r>
      <w:r>
        <w:rPr>
          <w:sz w:val="20"/>
        </w:rPr>
        <w:t>年</w:t>
      </w:r>
      <w:r>
        <w:rPr>
          <w:sz w:val="20"/>
        </w:rPr>
        <w:t xml:space="preserve"> </w:t>
      </w:r>
      <w:r>
        <w:rPr>
          <w:rFonts w:ascii="Arial" w:eastAsia="Arial" w:hAnsi="Arial" w:cs="Arial"/>
          <w:sz w:val="20"/>
        </w:rPr>
        <w:t xml:space="preserve">10 </w:t>
      </w:r>
      <w:r>
        <w:rPr>
          <w:sz w:val="20"/>
        </w:rPr>
        <w:t>月</w:t>
      </w:r>
      <w:r>
        <w:rPr>
          <w:sz w:val="20"/>
        </w:rPr>
        <w:t xml:space="preserve"> </w:t>
      </w:r>
      <w:r>
        <w:rPr>
          <w:rFonts w:ascii="Arial" w:eastAsia="Arial" w:hAnsi="Arial" w:cs="Arial"/>
          <w:sz w:val="20"/>
        </w:rPr>
        <w:t xml:space="preserve">23 </w:t>
      </w:r>
      <w:r>
        <w:rPr>
          <w:sz w:val="20"/>
        </w:rPr>
        <w:t>日在英國成立，並於英國金融行為監管局（</w:t>
      </w:r>
      <w:r>
        <w:rPr>
          <w:rFonts w:ascii="Arial" w:eastAsia="Arial" w:hAnsi="Arial" w:cs="Arial"/>
          <w:sz w:val="20"/>
        </w:rPr>
        <w:t>Financial Conduct Authority</w:t>
      </w:r>
      <w:r>
        <w:rPr>
          <w:sz w:val="20"/>
        </w:rPr>
        <w:t>）註冊，以（其中包括）提供投資意見、進行受監管活動、促成投資交易、作為代理人進行投資交易及管理投資。投資管理人應繼續持續監督及定期監察其受委人是否勝任，以確保其對投資者的問責程度不會減損。雖然投資管理人的投資管理職能可轉授予投資管理人的受委人，惟其責任及義務不可轉授。</w:t>
      </w:r>
      <w:r>
        <w:rPr>
          <w:sz w:val="20"/>
        </w:rPr>
        <w:t xml:space="preserve"> </w:t>
      </w:r>
    </w:p>
    <w:p w:rsidR="004D6F0E" w:rsidRDefault="00490F21">
      <w:pPr>
        <w:spacing w:after="124" w:line="270" w:lineRule="auto"/>
      </w:pPr>
      <w:r>
        <w:rPr>
          <w:sz w:val="20"/>
        </w:rPr>
        <w:t>投資限制</w:t>
      </w:r>
      <w:r>
        <w:rPr>
          <w:sz w:val="20"/>
        </w:rPr>
        <w:t xml:space="preserve"> </w:t>
      </w:r>
    </w:p>
    <w:p w:rsidR="004D6F0E" w:rsidRDefault="00490F21">
      <w:pPr>
        <w:spacing w:after="124" w:line="270" w:lineRule="auto"/>
      </w:pPr>
      <w:r>
        <w:rPr>
          <w:sz w:val="20"/>
        </w:rPr>
        <w:lastRenderedPageBreak/>
        <w:t>借出</w:t>
      </w:r>
      <w:r>
        <w:rPr>
          <w:sz w:val="20"/>
        </w:rPr>
        <w:t>證券交易：本傘子基金可能會訂立借出證券交易。然而，本傘子基金不會與管理公司或投資管理人的聯屬公司訂立有關交易。概無借出證券機構將為管理公司或投資管理人的聯屬公司。該等交易所產生的一切額外收入將會累計進本傘子基金屬下的有關基金中。</w:t>
      </w:r>
      <w:r>
        <w:rPr>
          <w:sz w:val="20"/>
        </w:rPr>
        <w:t xml:space="preserve"> </w:t>
      </w:r>
    </w:p>
    <w:p w:rsidR="004D6F0E" w:rsidRDefault="00490F21">
      <w:pPr>
        <w:spacing w:after="124" w:line="270" w:lineRule="auto"/>
      </w:pPr>
      <w:r>
        <w:rPr>
          <w:sz w:val="20"/>
        </w:rPr>
        <w:t>借出證券概不會超過有關基金證券價值的</w:t>
      </w:r>
      <w:r>
        <w:rPr>
          <w:rFonts w:ascii="Arial" w:eastAsia="Arial" w:hAnsi="Arial" w:cs="Arial"/>
          <w:sz w:val="20"/>
        </w:rPr>
        <w:t>50%</w:t>
      </w:r>
      <w:r>
        <w:rPr>
          <w:sz w:val="20"/>
        </w:rPr>
        <w:t>，而投資管理人可隨時選擇終止任何借出證券交易。</w:t>
      </w:r>
      <w:r>
        <w:rPr>
          <w:sz w:val="20"/>
        </w:rPr>
        <w:t xml:space="preserve"> </w:t>
      </w:r>
    </w:p>
    <w:p w:rsidR="004D6F0E" w:rsidRDefault="00490F21">
      <w:pPr>
        <w:spacing w:after="124" w:line="270" w:lineRule="auto"/>
      </w:pPr>
      <w:r>
        <w:rPr>
          <w:sz w:val="20"/>
        </w:rPr>
        <w:t>回購／逆回購協議或類似的場外交易：本傘子基金可能會訂立回購／逆回購協議或類似的場外交易。然而，本傘子基金不會與管理公司或投資管理人的聯屬公司訂立回購／逆回購協議或類似的場外交易。本傘子基金</w:t>
      </w:r>
      <w:r>
        <w:rPr>
          <w:sz w:val="20"/>
        </w:rPr>
        <w:t>所訂立的一切回購／逆回購協議交易安排會以經合組織成員國的政府證券作抵押，價值至少相等於從對手方收取／向對手方支付的現金。</w:t>
      </w:r>
      <w:r>
        <w:rPr>
          <w:sz w:val="20"/>
        </w:rPr>
        <w:t xml:space="preserve"> </w:t>
      </w:r>
    </w:p>
    <w:p w:rsidR="004D6F0E" w:rsidRDefault="00490F21">
      <w:pPr>
        <w:spacing w:after="124" w:line="270" w:lineRule="auto"/>
      </w:pPr>
      <w:r>
        <w:rPr>
          <w:sz w:val="20"/>
        </w:rPr>
        <w:t>經計及交易類別、風險、集中個別對手方、信用評級等因素後，投資管理人開始及持續對對手方進行回顧，以評估其現有及建議的對手方的信譽。投資管理人存有一份認可對手方的名單，列出當中各實體獲認可進行交易的類別。</w:t>
      </w:r>
      <w:r>
        <w:rPr>
          <w:sz w:val="20"/>
        </w:rPr>
        <w:t xml:space="preserve"> </w:t>
      </w:r>
    </w:p>
    <w:p w:rsidR="004D6F0E" w:rsidRDefault="00490F21">
      <w:pPr>
        <w:spacing w:after="124" w:line="270" w:lineRule="auto"/>
      </w:pPr>
      <w:r>
        <w:rPr>
          <w:sz w:val="20"/>
        </w:rPr>
        <w:t>投資類別</w:t>
      </w:r>
      <w:r>
        <w:rPr>
          <w:sz w:val="20"/>
        </w:rPr>
        <w:t xml:space="preserve"> </w:t>
      </w:r>
    </w:p>
    <w:p w:rsidR="004D6F0E" w:rsidRDefault="00490F21">
      <w:pPr>
        <w:spacing w:after="124" w:line="270" w:lineRule="auto"/>
      </w:pPr>
      <w:r>
        <w:rPr>
          <w:sz w:val="20"/>
        </w:rPr>
        <w:t>本傘子基金屬下各基金可能會進行認購章程第</w:t>
      </w:r>
      <w:r>
        <w:rPr>
          <w:rFonts w:ascii="Arial" w:eastAsia="Arial" w:hAnsi="Arial" w:cs="Arial"/>
          <w:sz w:val="20"/>
        </w:rPr>
        <w:t>II-11</w:t>
      </w:r>
      <w:r>
        <w:rPr>
          <w:sz w:val="20"/>
        </w:rPr>
        <w:t>頁起所表列的若干類別投資（但不應視為限制屬下基金投資其他類別政權的能力）。為免生疑，美元收益基金、短期債券基金、環球高收益</w:t>
      </w:r>
      <w:r>
        <w:rPr>
          <w:sz w:val="20"/>
        </w:rPr>
        <w:t>基金及新興市場債券基金可能會投資商業按揭抵押證券、美國政府機構按揭抵押證券、資產抵押證券及信用掛鈎票據。</w:t>
      </w:r>
      <w:r>
        <w:rPr>
          <w:sz w:val="20"/>
        </w:rPr>
        <w:t xml:space="preserve"> </w:t>
      </w:r>
    </w:p>
    <w:p w:rsidR="004D6F0E" w:rsidRDefault="00490F21">
      <w:pPr>
        <w:spacing w:after="0" w:line="376" w:lineRule="auto"/>
        <w:ind w:left="-13" w:right="6640" w:firstLine="3"/>
      </w:pPr>
      <w:r>
        <w:rPr>
          <w:sz w:val="20"/>
        </w:rPr>
        <w:t>其他投資類別</w:t>
      </w:r>
      <w:r>
        <w:rPr>
          <w:sz w:val="21"/>
        </w:rPr>
        <w:t>匯聚型投資工具</w:t>
      </w:r>
      <w:r>
        <w:rPr>
          <w:sz w:val="20"/>
        </w:rPr>
        <w:t xml:space="preserve"> </w:t>
      </w:r>
    </w:p>
    <w:p w:rsidR="004D6F0E" w:rsidRDefault="00490F21">
      <w:pPr>
        <w:spacing w:after="124" w:line="270" w:lineRule="auto"/>
      </w:pPr>
      <w:r>
        <w:rPr>
          <w:sz w:val="20"/>
        </w:rPr>
        <w:t>新興市場債券基金可將其最多</w:t>
      </w:r>
      <w:r>
        <w:rPr>
          <w:rFonts w:ascii="Arial" w:eastAsia="Arial" w:hAnsi="Arial" w:cs="Arial"/>
          <w:sz w:val="20"/>
        </w:rPr>
        <w:t>10%</w:t>
      </w:r>
      <w:r>
        <w:rPr>
          <w:sz w:val="20"/>
        </w:rPr>
        <w:t>的資產淨值投資於由投資管理人保薦的匯聚型投資工具，其中可包括互惠投資基金或開放式投資公司。為更有效地管理資產和增加投資於若干資產類別（包括另類投資），全方位領航基金可投資於匯聚型投資工具或其他投資管理人或其聯營公司或非聯營第三方保薦及／或管理的其他產品。</w:t>
      </w:r>
      <w:r>
        <w:rPr>
          <w:sz w:val="20"/>
        </w:rPr>
        <w:t xml:space="preserve"> </w:t>
      </w:r>
    </w:p>
    <w:p w:rsidR="004D6F0E" w:rsidRDefault="00490F21">
      <w:pPr>
        <w:spacing w:after="119" w:line="258" w:lineRule="auto"/>
        <w:ind w:left="-13" w:firstLine="3"/>
      </w:pPr>
      <w:r>
        <w:rPr>
          <w:sz w:val="21"/>
        </w:rPr>
        <w:t>房地產投資信託基金</w:t>
      </w:r>
      <w:r>
        <w:rPr>
          <w:sz w:val="20"/>
        </w:rPr>
        <w:t xml:space="preserve"> </w:t>
      </w:r>
    </w:p>
    <w:p w:rsidR="004D6F0E" w:rsidRDefault="00490F21">
      <w:pPr>
        <w:spacing w:after="124" w:line="270" w:lineRule="auto"/>
      </w:pPr>
      <w:r>
        <w:rPr>
          <w:sz w:val="20"/>
        </w:rPr>
        <w:t>某些基金（例如全方位領航基金）可投資於房地產投資信託基金（「</w:t>
      </w:r>
      <w:r>
        <w:rPr>
          <w:rFonts w:ascii="Arial" w:eastAsia="Arial" w:hAnsi="Arial" w:cs="Arial"/>
          <w:b/>
          <w:sz w:val="20"/>
        </w:rPr>
        <w:t>REIT</w:t>
      </w:r>
      <w:r>
        <w:rPr>
          <w:sz w:val="20"/>
        </w:rPr>
        <w:t>」）。全方位領航基金可最高將其</w:t>
      </w:r>
      <w:r>
        <w:rPr>
          <w:rFonts w:ascii="Arial" w:eastAsia="Arial" w:hAnsi="Arial" w:cs="Arial"/>
          <w:sz w:val="20"/>
        </w:rPr>
        <w:t>10%</w:t>
      </w:r>
      <w:r>
        <w:rPr>
          <w:sz w:val="20"/>
        </w:rPr>
        <w:t>的資產淨值投資於</w:t>
      </w:r>
      <w:r>
        <w:rPr>
          <w:rFonts w:ascii="Arial" w:eastAsia="Arial" w:hAnsi="Arial" w:cs="Arial"/>
          <w:sz w:val="20"/>
        </w:rPr>
        <w:t>REIT</w:t>
      </w:r>
      <w:r>
        <w:rPr>
          <w:sz w:val="20"/>
        </w:rPr>
        <w:t>。</w:t>
      </w:r>
      <w:r>
        <w:rPr>
          <w:sz w:val="20"/>
        </w:rPr>
        <w:t xml:space="preserve"> </w:t>
      </w:r>
    </w:p>
    <w:p w:rsidR="004D6F0E" w:rsidRDefault="00490F21">
      <w:pPr>
        <w:spacing w:after="124" w:line="270" w:lineRule="auto"/>
      </w:pPr>
      <w:r>
        <w:rPr>
          <w:sz w:val="20"/>
        </w:rPr>
        <w:t>投資者應注意，基金可投資的相關房地產投資信託基金可能未獲證監會認可，其股息或派付政策不一定代表基金之股息或派付政策。</w:t>
      </w:r>
      <w:r>
        <w:rPr>
          <w:sz w:val="20"/>
        </w:rPr>
        <w:t xml:space="preserve"> </w:t>
      </w:r>
    </w:p>
    <w:p w:rsidR="004D6F0E" w:rsidRDefault="00490F21">
      <w:pPr>
        <w:spacing w:after="119" w:line="258" w:lineRule="auto"/>
        <w:ind w:left="-13" w:firstLine="3"/>
      </w:pPr>
      <w:r>
        <w:rPr>
          <w:sz w:val="21"/>
        </w:rPr>
        <w:t>衍生工具及其他債務證券</w:t>
      </w:r>
      <w:r>
        <w:rPr>
          <w:sz w:val="21"/>
        </w:rPr>
        <w:t xml:space="preserve"> </w:t>
      </w:r>
    </w:p>
    <w:p w:rsidR="004D6F0E" w:rsidRDefault="00490F21">
      <w:pPr>
        <w:spacing w:after="124" w:line="270" w:lineRule="auto"/>
      </w:pPr>
      <w:r>
        <w:rPr>
          <w:sz w:val="20"/>
        </w:rPr>
        <w:t>投資者應留意，基金一般有權使用衍生工具達到對沖、管理風險、以及投資的目的，例如有效管理投資組合及作為直接投資於相關證券或工具的替代方法等。使用衍生工具可能會涉及額外風險。在不利情況下，基金使用的衍生工具未必能夠有效地達到對沖、管理風</w:t>
      </w:r>
      <w:r>
        <w:rPr>
          <w:sz w:val="20"/>
        </w:rPr>
        <w:t>險或有效管理投資組合的目的，且基金可能會遭受重大損失。除全方位領航基金的衍生工具風險承擔淨額可達其資產淨值的</w:t>
      </w:r>
      <w:r>
        <w:rPr>
          <w:rFonts w:ascii="Arial" w:eastAsia="Arial" w:hAnsi="Arial" w:cs="Arial"/>
          <w:sz w:val="20"/>
        </w:rPr>
        <w:t>50%</w:t>
      </w:r>
      <w:r>
        <w:rPr>
          <w:sz w:val="20"/>
        </w:rPr>
        <w:t>以上但不超過</w:t>
      </w:r>
      <w:r>
        <w:rPr>
          <w:rFonts w:ascii="Arial" w:eastAsia="Arial" w:hAnsi="Arial" w:cs="Arial"/>
          <w:sz w:val="20"/>
        </w:rPr>
        <w:t>100%</w:t>
      </w:r>
      <w:r>
        <w:rPr>
          <w:sz w:val="20"/>
        </w:rPr>
        <w:t>外，所有其他基金的衍生工具風險承擔淨額最多可達有關基金資產淨值的</w:t>
      </w:r>
      <w:r>
        <w:rPr>
          <w:rFonts w:ascii="Arial" w:eastAsia="Arial" w:hAnsi="Arial" w:cs="Arial"/>
          <w:sz w:val="20"/>
        </w:rPr>
        <w:t>50%</w:t>
      </w:r>
      <w:r>
        <w:rPr>
          <w:sz w:val="20"/>
        </w:rPr>
        <w:t>。</w:t>
      </w:r>
      <w:r>
        <w:rPr>
          <w:sz w:val="20"/>
        </w:rPr>
        <w:t xml:space="preserve"> </w:t>
      </w:r>
    </w:p>
    <w:p w:rsidR="004D6F0E" w:rsidRDefault="00490F21">
      <w:pPr>
        <w:spacing w:after="124" w:line="270" w:lineRule="auto"/>
      </w:pPr>
      <w:r>
        <w:rPr>
          <w:sz w:val="20"/>
        </w:rPr>
        <w:lastRenderedPageBreak/>
        <w:t>新興市場債券基金、全方位領航基金、環球高收益基金、亞洲（日本以外）股票基金、按揭收益基金及美元收益基金可投資於若干衍生工具及策略，這使其投資範圍擴展至若干市場、行業及個別證券，並有助對其進行更有效的貨幣管理。該等衍生工具可包括期權、利率互換、貨幣互換、總回報互換、信貸違約互換、期貨及遠期合約。</w:t>
      </w:r>
      <w:r>
        <w:rPr>
          <w:sz w:val="20"/>
        </w:rPr>
        <w:t xml:space="preserve"> </w:t>
      </w:r>
    </w:p>
    <w:p w:rsidR="004D6F0E" w:rsidRDefault="00490F21">
      <w:pPr>
        <w:spacing w:after="124" w:line="270" w:lineRule="auto"/>
      </w:pPr>
      <w:r>
        <w:rPr>
          <w:sz w:val="20"/>
        </w:rPr>
        <w:t>新興</w:t>
      </w:r>
      <w:r>
        <w:rPr>
          <w:sz w:val="20"/>
        </w:rPr>
        <w:t>市場債券基金、短期債券基金、日本策略價值基金、環球高收益基金、美元收益基金、歐洲收益基金、按揭收益基金及全方位領航基金可投資於眾多發起人及保薦人發起的結構式證券（包括投資級別與非投資級別）。短期債券基金不會投資超過其資產淨值的</w:t>
      </w:r>
      <w:r>
        <w:rPr>
          <w:rFonts w:ascii="Arial" w:eastAsia="Arial" w:hAnsi="Arial" w:cs="Arial"/>
          <w:sz w:val="20"/>
        </w:rPr>
        <w:t>20%</w:t>
      </w:r>
      <w:r>
        <w:rPr>
          <w:sz w:val="20"/>
        </w:rPr>
        <w:t>於結構式證券。就新興市場債券基金而言，於非投資級別證券的投資隨時均可超過資產淨值的</w:t>
      </w:r>
      <w:r>
        <w:rPr>
          <w:rFonts w:ascii="Arial" w:eastAsia="Arial" w:hAnsi="Arial" w:cs="Arial"/>
          <w:sz w:val="20"/>
        </w:rPr>
        <w:t>50%</w:t>
      </w:r>
      <w:r>
        <w:rPr>
          <w:sz w:val="20"/>
        </w:rPr>
        <w:t>。</w:t>
      </w:r>
      <w:r>
        <w:rPr>
          <w:sz w:val="20"/>
        </w:rPr>
        <w:t xml:space="preserve"> </w:t>
      </w:r>
    </w:p>
    <w:p w:rsidR="004D6F0E" w:rsidRDefault="00490F21">
      <w:pPr>
        <w:spacing w:after="4" w:line="278" w:lineRule="auto"/>
        <w:ind w:left="11" w:right="47" w:hanging="10"/>
        <w:jc w:val="both"/>
      </w:pPr>
      <w:r>
        <w:rPr>
          <w:sz w:val="20"/>
        </w:rPr>
        <w:t>應注意的是，全方位領航基金使用衍生工具，並不會改變該基金就信貸質量、存續期和貨幣相關風險所訂立的現行指引。另外，全方位領航基金使用衍生工具，也不會改變其若干其他主要風險參數（包括利率風險</w:t>
      </w:r>
      <w:r>
        <w:rPr>
          <w:sz w:val="20"/>
        </w:rPr>
        <w:t>、信貸風險、外匯風險和流動性風險）的可接受幅度。全方位領航基金的加權平均有效期仍將不超過</w:t>
      </w:r>
      <w:r>
        <w:rPr>
          <w:rFonts w:ascii="Arial" w:eastAsia="Arial" w:hAnsi="Arial" w:cs="Arial"/>
          <w:sz w:val="20"/>
        </w:rPr>
        <w:t xml:space="preserve"> </w:t>
      </w:r>
    </w:p>
    <w:p w:rsidR="004D6F0E" w:rsidRDefault="00490F21">
      <w:pPr>
        <w:spacing w:after="113" w:line="278" w:lineRule="auto"/>
        <w:ind w:left="11" w:right="47" w:hanging="10"/>
        <w:jc w:val="both"/>
      </w:pPr>
      <w:r>
        <w:rPr>
          <w:rFonts w:ascii="Arial" w:eastAsia="Arial" w:hAnsi="Arial" w:cs="Arial"/>
          <w:sz w:val="20"/>
        </w:rPr>
        <w:t xml:space="preserve">15 </w:t>
      </w:r>
      <w:r>
        <w:rPr>
          <w:sz w:val="20"/>
        </w:rPr>
        <w:t>年。衍生工具投資可能涉及較高的波動和重大風險，可能導致</w:t>
      </w:r>
      <w:r>
        <w:rPr>
          <w:sz w:val="20"/>
        </w:rPr>
        <w:t xml:space="preserve">  </w:t>
      </w:r>
      <w:r>
        <w:rPr>
          <w:sz w:val="20"/>
        </w:rPr>
        <w:t>閣下在基金的投資產生重大損失。</w:t>
      </w:r>
      <w:r>
        <w:rPr>
          <w:sz w:val="20"/>
        </w:rPr>
        <w:t>雖然審慎使用衍生工具可以有利，但衍生工具及策略帶有的風險，可能有別於較為傳統的投資所涉及的風險，基金可能蒙受重大損失。該等風險包括如對手方違約風險（場外市場買賣衍生工具的直接對手方不準時作出合約規定的利息或本金付款的風險）或無力償付風險（對手方並無充裕資金或申請破產的風險）、與有效管理衍生工具策略相關的風險（以衍生工具為基礎的投資策略的相關投資並無取得預期表現的風險）、衍生工具錯誤定價或不適當估值風險（衍生工具並無適當定價的經營性風險）、較高波動性風險、若干衍生工具策略的市場流動性不足風險（若干場外市場買賣</w:t>
      </w:r>
      <w:r>
        <w:rPr>
          <w:sz w:val="20"/>
        </w:rPr>
        <w:t>衍生工具的轉換性不及其他投資容易的風險）。衍生工具或會引起槓桿而損失風險或會超過衍生工具的投資額並或會令基金承擔巨額虧損。詳情並請參閲認購章程第</w:t>
      </w:r>
      <w:r>
        <w:rPr>
          <w:sz w:val="20"/>
        </w:rPr>
        <w:t xml:space="preserve"> </w:t>
      </w:r>
      <w:r>
        <w:rPr>
          <w:rFonts w:ascii="Arial" w:eastAsia="Arial" w:hAnsi="Arial" w:cs="Arial"/>
          <w:sz w:val="20"/>
        </w:rPr>
        <w:t xml:space="preserve">II </w:t>
      </w:r>
      <w:r>
        <w:rPr>
          <w:sz w:val="20"/>
        </w:rPr>
        <w:t>部分，特別是「衍生工具風險」一節。</w:t>
      </w:r>
      <w:r>
        <w:rPr>
          <w:sz w:val="20"/>
        </w:rPr>
        <w:t xml:space="preserve"> </w:t>
      </w:r>
    </w:p>
    <w:p w:rsidR="004D6F0E" w:rsidRDefault="00490F21">
      <w:pPr>
        <w:spacing w:after="119" w:line="258" w:lineRule="auto"/>
        <w:ind w:left="-13" w:firstLine="3"/>
      </w:pPr>
      <w:r>
        <w:rPr>
          <w:sz w:val="21"/>
        </w:rPr>
        <w:t>投資於具損失吸收特點的工具</w:t>
      </w:r>
      <w:r>
        <w:rPr>
          <w:sz w:val="20"/>
        </w:rPr>
        <w:t xml:space="preserve"> </w:t>
      </w:r>
    </w:p>
    <w:p w:rsidR="004D6F0E" w:rsidRDefault="00490F21">
      <w:pPr>
        <w:spacing w:after="124" w:line="270" w:lineRule="auto"/>
      </w:pPr>
      <w:r>
        <w:rPr>
          <w:sz w:val="20"/>
        </w:rPr>
        <w:t>美元收益基金、全方位領航基金、新興市場債券基金、歐洲收益基金、環球高收益基金、按揭收益基金及短期債券基金可將其各自少於</w:t>
      </w:r>
      <w:r>
        <w:rPr>
          <w:rFonts w:ascii="Arial" w:eastAsia="Arial" w:hAnsi="Arial" w:cs="Arial"/>
          <w:sz w:val="20"/>
        </w:rPr>
        <w:t>30%</w:t>
      </w:r>
      <w:r>
        <w:rPr>
          <w:sz w:val="20"/>
        </w:rPr>
        <w:t>的資產淨值投資於證監會界定的具損失吸收特點的債務工具。相關基金可投資的具損失吸收特點的債務工具包括（但不限於）或有可轉換證券、高級非優先債務及其他一級和二級資本工具。在</w:t>
      </w:r>
      <w:r>
        <w:rPr>
          <w:sz w:val="20"/>
        </w:rPr>
        <w:t>發生觸發事件時，此等工具可能會面臨或有減記或或有轉換為普通股。</w:t>
      </w:r>
      <w:r>
        <w:rPr>
          <w:sz w:val="20"/>
        </w:rPr>
        <w:t xml:space="preserve"> </w:t>
      </w:r>
    </w:p>
    <w:p w:rsidR="004D6F0E" w:rsidRDefault="00490F21">
      <w:pPr>
        <w:spacing w:after="119" w:line="258" w:lineRule="auto"/>
        <w:ind w:left="-13" w:firstLine="3"/>
      </w:pPr>
      <w:r>
        <w:rPr>
          <w:sz w:val="21"/>
        </w:rPr>
        <w:t>中國</w:t>
      </w:r>
      <w:r>
        <w:rPr>
          <w:rFonts w:ascii="Arial" w:eastAsia="Arial" w:hAnsi="Arial" w:cs="Arial"/>
          <w:i/>
          <w:sz w:val="20"/>
        </w:rPr>
        <w:t>A</w:t>
      </w:r>
      <w:r>
        <w:rPr>
          <w:sz w:val="21"/>
        </w:rPr>
        <w:t>股及</w:t>
      </w:r>
      <w:r>
        <w:rPr>
          <w:rFonts w:ascii="Arial" w:eastAsia="Arial" w:hAnsi="Arial" w:cs="Arial"/>
          <w:i/>
          <w:sz w:val="20"/>
        </w:rPr>
        <w:t>B</w:t>
      </w:r>
      <w:r>
        <w:rPr>
          <w:sz w:val="21"/>
        </w:rPr>
        <w:t>股</w:t>
      </w:r>
      <w:r>
        <w:rPr>
          <w:sz w:val="21"/>
        </w:rPr>
        <w:t xml:space="preserve"> </w:t>
      </w:r>
    </w:p>
    <w:p w:rsidR="004D6F0E" w:rsidRDefault="00490F21">
      <w:pPr>
        <w:spacing w:after="124" w:line="270" w:lineRule="auto"/>
      </w:pPr>
      <w:r>
        <w:rPr>
          <w:sz w:val="20"/>
        </w:rPr>
        <w:t>中國低波幅策略股票基金可透過能夠進入中國的一個或多個資本市場制度將其總計最多</w:t>
      </w:r>
      <w:r>
        <w:rPr>
          <w:rFonts w:ascii="Arial" w:eastAsia="Arial" w:hAnsi="Arial" w:cs="Arial"/>
          <w:sz w:val="20"/>
        </w:rPr>
        <w:t>40%</w:t>
      </w:r>
      <w:r>
        <w:rPr>
          <w:sz w:val="20"/>
        </w:rPr>
        <w:t>的資產淨值投資於中國</w:t>
      </w:r>
      <w:r>
        <w:rPr>
          <w:rFonts w:ascii="Arial" w:eastAsia="Arial" w:hAnsi="Arial" w:cs="Arial"/>
          <w:sz w:val="20"/>
        </w:rPr>
        <w:t>A</w:t>
      </w:r>
      <w:r>
        <w:rPr>
          <w:sz w:val="20"/>
        </w:rPr>
        <w:t>股，包括中華通、</w:t>
      </w:r>
      <w:r>
        <w:rPr>
          <w:rFonts w:ascii="Arial" w:eastAsia="Arial" w:hAnsi="Arial" w:cs="Arial"/>
          <w:sz w:val="20"/>
        </w:rPr>
        <w:t>QFI</w:t>
      </w:r>
      <w:r>
        <w:rPr>
          <w:sz w:val="20"/>
        </w:rPr>
        <w:t>計劃，及／或透過獲</w:t>
      </w:r>
      <w:r>
        <w:rPr>
          <w:rFonts w:ascii="Arial" w:eastAsia="Arial" w:hAnsi="Arial" w:cs="Arial"/>
          <w:sz w:val="20"/>
        </w:rPr>
        <w:t xml:space="preserve">Commission de Surveillance du Secteur Financier </w:t>
      </w:r>
      <w:r>
        <w:rPr>
          <w:sz w:val="20"/>
        </w:rPr>
        <w:t>批准而可能不時推出的其他計劃。</w:t>
      </w:r>
      <w:r>
        <w:rPr>
          <w:sz w:val="20"/>
        </w:rPr>
        <w:t xml:space="preserve"> </w:t>
      </w:r>
    </w:p>
    <w:p w:rsidR="004D6F0E" w:rsidRDefault="00490F21">
      <w:pPr>
        <w:spacing w:after="124" w:line="270" w:lineRule="auto"/>
      </w:pPr>
      <w:r>
        <w:rPr>
          <w:sz w:val="20"/>
        </w:rPr>
        <w:t>新興市場增長基金可將其資產淨值及投資承擔的最多</w:t>
      </w:r>
      <w:r>
        <w:rPr>
          <w:rFonts w:ascii="Arial" w:eastAsia="Arial" w:hAnsi="Arial" w:cs="Arial"/>
          <w:sz w:val="20"/>
        </w:rPr>
        <w:t>10%</w:t>
      </w:r>
      <w:r>
        <w:rPr>
          <w:sz w:val="20"/>
        </w:rPr>
        <w:t>投資於在深圳證券交易所或上海證券交易所上市的</w:t>
      </w:r>
      <w:r>
        <w:rPr>
          <w:rFonts w:ascii="Arial" w:eastAsia="Arial" w:hAnsi="Arial" w:cs="Arial"/>
          <w:sz w:val="20"/>
        </w:rPr>
        <w:t>B</w:t>
      </w:r>
      <w:r>
        <w:rPr>
          <w:sz w:val="20"/>
        </w:rPr>
        <w:t>股。基金可將其資產淨值的最多</w:t>
      </w:r>
      <w:r>
        <w:rPr>
          <w:rFonts w:ascii="Arial" w:eastAsia="Arial" w:hAnsi="Arial" w:cs="Arial"/>
          <w:sz w:val="20"/>
        </w:rPr>
        <w:t>10%</w:t>
      </w:r>
      <w:r>
        <w:rPr>
          <w:sz w:val="20"/>
        </w:rPr>
        <w:t>投資於或投資參與在深圳</w:t>
      </w:r>
      <w:r>
        <w:rPr>
          <w:sz w:val="20"/>
        </w:rPr>
        <w:t>證券交易所或上海證券交易所上市的</w:t>
      </w:r>
      <w:r>
        <w:rPr>
          <w:rFonts w:ascii="Arial" w:eastAsia="Arial" w:hAnsi="Arial" w:cs="Arial"/>
          <w:sz w:val="20"/>
        </w:rPr>
        <w:t xml:space="preserve">A </w:t>
      </w:r>
      <w:r>
        <w:rPr>
          <w:sz w:val="20"/>
        </w:rPr>
        <w:t>股。</w:t>
      </w:r>
      <w:r>
        <w:rPr>
          <w:sz w:val="20"/>
        </w:rPr>
        <w:t xml:space="preserve"> </w:t>
      </w:r>
    </w:p>
    <w:p w:rsidR="004D6F0E" w:rsidRDefault="00490F21">
      <w:pPr>
        <w:spacing w:after="124" w:line="270" w:lineRule="auto"/>
      </w:pPr>
      <w:r>
        <w:rPr>
          <w:sz w:val="20"/>
        </w:rPr>
        <w:t>短期債券基金</w:t>
      </w:r>
      <w:r>
        <w:rPr>
          <w:sz w:val="20"/>
        </w:rPr>
        <w:t xml:space="preserve"> </w:t>
      </w:r>
    </w:p>
    <w:p w:rsidR="004D6F0E" w:rsidRDefault="00490F21">
      <w:pPr>
        <w:spacing w:after="124" w:line="270" w:lineRule="auto"/>
      </w:pPr>
      <w:r>
        <w:rPr>
          <w:sz w:val="20"/>
        </w:rPr>
        <w:lastRenderedPageBreak/>
        <w:t>本基金可憑藉債券通（或隨著市場發展，通過其他渠道）透過中國銀行間債券市場，將其少於</w:t>
      </w:r>
      <w:r>
        <w:rPr>
          <w:rFonts w:ascii="Arial" w:eastAsia="Arial" w:hAnsi="Arial" w:cs="Arial"/>
          <w:sz w:val="20"/>
        </w:rPr>
        <w:t>30%</w:t>
      </w:r>
      <w:r>
        <w:rPr>
          <w:sz w:val="20"/>
        </w:rPr>
        <w:t>的資產淨值投資於在岸人民幣計價固定收益證券。</w:t>
      </w:r>
      <w:r>
        <w:rPr>
          <w:sz w:val="20"/>
        </w:rPr>
        <w:t xml:space="preserve"> </w:t>
      </w:r>
    </w:p>
    <w:p w:rsidR="004D6F0E" w:rsidRDefault="00490F21">
      <w:pPr>
        <w:spacing w:after="124" w:line="270" w:lineRule="auto"/>
      </w:pPr>
      <w:r>
        <w:rPr>
          <w:sz w:val="20"/>
        </w:rPr>
        <w:t>中國低波幅策略股票基金</w:t>
      </w:r>
      <w:r>
        <w:rPr>
          <w:sz w:val="20"/>
        </w:rPr>
        <w:t xml:space="preserve"> </w:t>
      </w:r>
    </w:p>
    <w:p w:rsidR="004D6F0E" w:rsidRDefault="00490F21">
      <w:pPr>
        <w:spacing w:after="124" w:line="270" w:lineRule="auto"/>
      </w:pPr>
      <w:r>
        <w:rPr>
          <w:sz w:val="20"/>
        </w:rPr>
        <w:t>基金尋求透過將其至少</w:t>
      </w:r>
      <w:r>
        <w:rPr>
          <w:rFonts w:ascii="Arial" w:eastAsia="Arial" w:hAnsi="Arial" w:cs="Arial"/>
          <w:sz w:val="20"/>
        </w:rPr>
        <w:t>80%</w:t>
      </w:r>
      <w:r>
        <w:rPr>
          <w:sz w:val="20"/>
        </w:rPr>
        <w:t>的資產淨值投資於可提供投資於投資管理人認為從基本因素來看波幅較低，且未來下行風險較低的中國公司的證券，以實現其投資目標。波動性較低的股本證券是指相對於市場或基準而言在特徵上展現出回報標準差等方面波動性較低的股本證券。投資管理人利用專有風險模型、定量分析及市場研究衡</w:t>
      </w:r>
      <w:r>
        <w:rPr>
          <w:sz w:val="20"/>
        </w:rPr>
        <w:t>量某項股本證券及基金整體的波動性。投資管理人利用其專有風險及回報模型，以及其管理投資組合的判斷及經驗構建一個在質量、穩定性及合理估值之間取得平衡的投資組合。投資管理人尋求實現投資目標，同時限制與</w:t>
      </w:r>
      <w:r>
        <w:rPr>
          <w:rFonts w:ascii="Arial" w:eastAsia="Arial" w:hAnsi="Arial" w:cs="Arial"/>
          <w:sz w:val="20"/>
        </w:rPr>
        <w:t>MSCI</w:t>
      </w:r>
      <w:r>
        <w:rPr>
          <w:sz w:val="20"/>
        </w:rPr>
        <w:t>中國指數（美元）相關的波幅。為實現投資策略，投資管理人將尋求構建一個在質量和穩定性之間取得平衡且波幅相對於</w:t>
      </w:r>
      <w:r>
        <w:rPr>
          <w:rFonts w:ascii="Arial" w:eastAsia="Arial" w:hAnsi="Arial" w:cs="Arial"/>
          <w:sz w:val="20"/>
        </w:rPr>
        <w:t>MSCI</w:t>
      </w:r>
      <w:r>
        <w:rPr>
          <w:sz w:val="20"/>
        </w:rPr>
        <w:t>中國指數（美元）為低的投資組合。</w:t>
      </w:r>
      <w:r>
        <w:rPr>
          <w:sz w:val="20"/>
        </w:rPr>
        <w:t xml:space="preserve"> </w:t>
      </w:r>
    </w:p>
    <w:p w:rsidR="004D6F0E" w:rsidRDefault="00490F21">
      <w:pPr>
        <w:spacing w:after="124" w:line="270" w:lineRule="auto"/>
      </w:pPr>
      <w:r>
        <w:rPr>
          <w:sz w:val="20"/>
        </w:rPr>
        <w:t>全方位領航基金</w:t>
      </w:r>
      <w:r>
        <w:rPr>
          <w:sz w:val="20"/>
        </w:rPr>
        <w:t xml:space="preserve"> </w:t>
      </w:r>
    </w:p>
    <w:p w:rsidR="004D6F0E" w:rsidRDefault="00490F21">
      <w:pPr>
        <w:spacing w:after="119" w:line="258" w:lineRule="auto"/>
        <w:ind w:left="-13" w:firstLine="3"/>
      </w:pPr>
      <w:r>
        <w:rPr>
          <w:sz w:val="21"/>
        </w:rPr>
        <w:t>動態資產配置多元化策略</w:t>
      </w:r>
      <w:r>
        <w:rPr>
          <w:sz w:val="20"/>
        </w:rPr>
        <w:t xml:space="preserve"> </w:t>
      </w:r>
    </w:p>
    <w:p w:rsidR="004D6F0E" w:rsidRDefault="00490F21">
      <w:pPr>
        <w:spacing w:after="124" w:line="270" w:lineRule="auto"/>
      </w:pPr>
      <w:r>
        <w:rPr>
          <w:sz w:val="20"/>
        </w:rPr>
        <w:t>投資管理人將使用其專屬「動態資產配置」策略來調整全方位領航基金在上述資產類別的各項投資持倉，以達致投資管理人於任何特</w:t>
      </w:r>
      <w:r>
        <w:rPr>
          <w:sz w:val="20"/>
        </w:rPr>
        <w:t>定時刻所認為的該等基金的最佳風險／回報平衡。</w:t>
      </w:r>
      <w:r>
        <w:rPr>
          <w:sz w:val="20"/>
        </w:rPr>
        <w:t xml:space="preserve"> </w:t>
      </w:r>
    </w:p>
    <w:p w:rsidR="004D6F0E" w:rsidRDefault="00490F21">
      <w:pPr>
        <w:spacing w:after="124" w:line="270" w:lineRule="auto"/>
      </w:pPr>
      <w:r>
        <w:rPr>
          <w:sz w:val="20"/>
        </w:rPr>
        <w:t>動態資產配置包含一系列分析及預測工具，可使投資管理人量度各種資產類別在風險／回報平衡方面的市場波動。動態資產配置的目標是在不斷變化的市況下調整基金的投資金額，從而透過降低市場波動的影響來降低基金的整體波幅，包括極端市況的「尾端」事件，同時保持連貫一致的長期回報潛力。例如當動態資產配置工具顯示有關一種或以上的資產類別的市場風險正在上升但回報機遇正在下跌，投資管理人可尋求減少基金在該等資產的風險。</w:t>
      </w:r>
      <w:r>
        <w:rPr>
          <w:sz w:val="20"/>
        </w:rPr>
        <w:t xml:space="preserve"> </w:t>
      </w:r>
    </w:p>
    <w:p w:rsidR="004D6F0E" w:rsidRDefault="00490F21">
      <w:pPr>
        <w:spacing w:after="3" w:line="270" w:lineRule="auto"/>
      </w:pPr>
      <w:r>
        <w:rPr>
          <w:sz w:val="20"/>
        </w:rPr>
        <w:t>相反，當動態資產配置工具顯示一種或以上的資產類別的回報機遇正在上升且市場風險正在下跌，投資管理人可傾向尋求更積極的取向。儘管該等基金可透過直接投資證券或使用金融衍生工具，取得個別資產類別的投資持倉，該等基金各種投資持倉的動態調整預期將主要透過使用金融衍生工具執行。出於投資目的而使用衍生工具的策略</w:t>
      </w:r>
      <w:r>
        <w:rPr>
          <w:sz w:val="21"/>
        </w:rPr>
        <w:t>全方位領航基金</w:t>
      </w:r>
      <w:r>
        <w:rPr>
          <w:sz w:val="20"/>
        </w:rPr>
        <w:t xml:space="preserve"> </w:t>
      </w:r>
    </w:p>
    <w:p w:rsidR="004D6F0E" w:rsidRDefault="00490F21">
      <w:pPr>
        <w:spacing w:after="124" w:line="270" w:lineRule="auto"/>
      </w:pPr>
      <w:r>
        <w:rPr>
          <w:sz w:val="20"/>
        </w:rPr>
        <w:t>投資管理人可出於投資目的而使用期貨（包括短期及長期）以及「總回報」或「超額回報」掉期等衍生工具，以改變本基金內多個不同資產類別的配置，例如回報導向型資產類別（如股票）與較穩健資產類別（如債券）間的分</w:t>
      </w:r>
      <w:r>
        <w:rPr>
          <w:sz w:val="20"/>
        </w:rPr>
        <w:t>配。這可令管理人有效實施本基金的多資產策略，尋求在市況向好的情況下把握股票等資產類別所提供的有利回報，而在市況欠佳時將資產靈活配置於債券等較穩健的資產類別。</w:t>
      </w:r>
      <w:r>
        <w:rPr>
          <w:sz w:val="20"/>
        </w:rPr>
        <w:t xml:space="preserve"> </w:t>
      </w:r>
    </w:p>
    <w:p w:rsidR="004D6F0E" w:rsidRDefault="00490F21">
      <w:pPr>
        <w:spacing w:after="0" w:line="376" w:lineRule="auto"/>
        <w:ind w:right="7240"/>
      </w:pPr>
      <w:r>
        <w:rPr>
          <w:sz w:val="20"/>
        </w:rPr>
        <w:t>額外風險因素</w:t>
      </w:r>
      <w:r>
        <w:rPr>
          <w:sz w:val="21"/>
        </w:rPr>
        <w:t>集中風險</w:t>
      </w:r>
      <w:r>
        <w:rPr>
          <w:sz w:val="21"/>
        </w:rPr>
        <w:t xml:space="preserve"> </w:t>
      </w:r>
    </w:p>
    <w:p w:rsidR="004D6F0E" w:rsidRDefault="00490F21">
      <w:pPr>
        <w:spacing w:after="124" w:line="270" w:lineRule="auto"/>
      </w:pPr>
      <w:r>
        <w:rPr>
          <w:sz w:val="20"/>
        </w:rPr>
        <w:t>若干基金的投資集中於特定行業、工具或地域。相比擁有更分散投資組合的基金，各基金的價值可能更為波動。各基金的價值可能更容易受影響市場的不利經濟、政治、政策、外匯、流動性、稅務、法律或監管事件的影響。</w:t>
      </w:r>
      <w:r>
        <w:rPr>
          <w:sz w:val="20"/>
        </w:rPr>
        <w:t xml:space="preserve"> </w:t>
      </w:r>
    </w:p>
    <w:p w:rsidR="004D6F0E" w:rsidRDefault="00490F21">
      <w:pPr>
        <w:spacing w:after="119" w:line="258" w:lineRule="auto"/>
        <w:ind w:left="-13" w:firstLine="3"/>
      </w:pPr>
      <w:r>
        <w:rPr>
          <w:sz w:val="21"/>
        </w:rPr>
        <w:t>託管風險</w:t>
      </w:r>
      <w:r>
        <w:rPr>
          <w:sz w:val="21"/>
        </w:rPr>
        <w:t xml:space="preserve">  </w:t>
      </w:r>
    </w:p>
    <w:p w:rsidR="004D6F0E" w:rsidRDefault="00490F21">
      <w:pPr>
        <w:spacing w:after="124" w:line="270" w:lineRule="auto"/>
      </w:pPr>
      <w:r>
        <w:rPr>
          <w:sz w:val="20"/>
        </w:rPr>
        <w:lastRenderedPageBreak/>
        <w:t>本傘子基金及其各基金的資產由存管人保管，並在適用法律法規允許的範圍內，透過本傘子基金委任的第三方託管人／副託管人及</w:t>
      </w:r>
      <w:r>
        <w:rPr>
          <w:sz w:val="20"/>
        </w:rPr>
        <w:t>／或任何其他主要經紀及／或經紀交易商進行保管。謹通知投資者，現金及信託存款不可視為獨立資產，因此倘若存管人、副託管人、其他託管人／第三方銀行、主要經紀或經紀交易商無力償債或啟動破產、延期償付、清算或重組程序（視情況而定），則該等現金及信託存款不可與相關存管人、副託管人、其他託管人／第三方銀行、主要經紀及／或經紀交易商本身的資產獨立分開。在相關存管人、副託管人、其他託管人／第三方銀行、主要經紀或經紀交易商的司法管轄區法規所載的特定存款人於破產程序中所享有的優先權規限下，本傘子基金的索賠未必享有特權及可能僅與所</w:t>
      </w:r>
      <w:r>
        <w:rPr>
          <w:sz w:val="20"/>
        </w:rPr>
        <w:t>有其他無擔保債權人的索賠享有同等地位。本傘子基金及／或其各基金可能無法全數收回其所有資產。</w:t>
      </w:r>
      <w:r>
        <w:rPr>
          <w:sz w:val="20"/>
        </w:rPr>
        <w:t xml:space="preserve"> </w:t>
      </w:r>
    </w:p>
    <w:p w:rsidR="004D6F0E" w:rsidRDefault="00490F21">
      <w:pPr>
        <w:spacing w:after="119" w:line="258" w:lineRule="auto"/>
        <w:ind w:left="-13" w:firstLine="3"/>
      </w:pPr>
      <w:r>
        <w:rPr>
          <w:sz w:val="21"/>
        </w:rPr>
        <w:t>新興市場風險</w:t>
      </w:r>
      <w:r>
        <w:rPr>
          <w:sz w:val="21"/>
        </w:rPr>
        <w:t xml:space="preserve"> </w:t>
      </w:r>
    </w:p>
    <w:p w:rsidR="004D6F0E" w:rsidRDefault="00490F21">
      <w:pPr>
        <w:spacing w:after="124" w:line="270" w:lineRule="auto"/>
      </w:pPr>
      <w:r>
        <w:rPr>
          <w:sz w:val="20"/>
        </w:rPr>
        <w:t>準投資者應注意，投資於新興市場涉及特別風險，需作出特別考慮。除認購章程第</w:t>
      </w:r>
      <w:r>
        <w:rPr>
          <w:rFonts w:ascii="Arial" w:eastAsia="Arial" w:hAnsi="Arial" w:cs="Arial"/>
          <w:sz w:val="20"/>
        </w:rPr>
        <w:t>II-28</w:t>
      </w:r>
      <w:r>
        <w:rPr>
          <w:sz w:val="20"/>
        </w:rPr>
        <w:t>頁「國家風險</w:t>
      </w:r>
      <w:r>
        <w:rPr>
          <w:sz w:val="20"/>
        </w:rPr>
        <w:t>–</w:t>
      </w:r>
      <w:r>
        <w:rPr>
          <w:sz w:val="20"/>
        </w:rPr>
        <w:t>新興市場」一節所披露的風險外，準投資者亦應注意，在新興市場進行的有關投資可能受到法律及政府政策的變更、證券交易所實施的要求（例如價格限制、停市等）以及政治變動影響。這些法律及政府政策的變更、證券交易所的要求及政治變動可能影響政府及市場的穩定性，並且／或會導致對外商投資或資金調回本國實施限制。</w:t>
      </w:r>
      <w:r>
        <w:rPr>
          <w:sz w:val="20"/>
        </w:rPr>
        <w:t xml:space="preserve"> </w:t>
      </w:r>
    </w:p>
    <w:p w:rsidR="004D6F0E" w:rsidRDefault="00490F21">
      <w:pPr>
        <w:spacing w:after="119" w:line="258" w:lineRule="auto"/>
        <w:ind w:left="-13" w:firstLine="3"/>
      </w:pPr>
      <w:r>
        <w:rPr>
          <w:sz w:val="21"/>
        </w:rPr>
        <w:t>提前終止風險</w:t>
      </w:r>
      <w:r>
        <w:rPr>
          <w:sz w:val="20"/>
        </w:rPr>
        <w:t xml:space="preserve"> </w:t>
      </w:r>
    </w:p>
    <w:p w:rsidR="004D6F0E" w:rsidRDefault="00490F21">
      <w:pPr>
        <w:spacing w:after="124" w:line="270" w:lineRule="auto"/>
      </w:pPr>
      <w:r>
        <w:rPr>
          <w:sz w:val="20"/>
        </w:rPr>
        <w:t>基金及若干股份類別在某些情況下可按照認購章程「附加資料」一節「本傘子基金的期限、清盤及合併」所述之方式由管理公司終止。於終止之時，投資者可能必須變現其投資損失，且無法獲得與其最初投資相等之款額。</w:t>
      </w:r>
      <w:r>
        <w:rPr>
          <w:sz w:val="20"/>
        </w:rPr>
        <w:t xml:space="preserve"> </w:t>
      </w:r>
    </w:p>
    <w:p w:rsidR="004D6F0E" w:rsidRDefault="00490F21">
      <w:pPr>
        <w:spacing w:after="119" w:line="258" w:lineRule="auto"/>
        <w:ind w:left="-13" w:firstLine="3"/>
      </w:pPr>
      <w:r>
        <w:rPr>
          <w:sz w:val="21"/>
        </w:rPr>
        <w:t>動</w:t>
      </w:r>
      <w:r>
        <w:rPr>
          <w:sz w:val="21"/>
        </w:rPr>
        <w:t>態資產配置風險</w:t>
      </w:r>
      <w:r>
        <w:rPr>
          <w:sz w:val="20"/>
        </w:rPr>
        <w:t xml:space="preserve"> </w:t>
      </w:r>
    </w:p>
    <w:p w:rsidR="004D6F0E" w:rsidRDefault="00490F21">
      <w:pPr>
        <w:spacing w:after="124" w:line="270" w:lineRule="auto"/>
      </w:pPr>
      <w:r>
        <w:rPr>
          <w:sz w:val="20"/>
        </w:rPr>
        <w:t>儘管認購章程第</w:t>
      </w:r>
      <w:r>
        <w:rPr>
          <w:rFonts w:ascii="Arial" w:eastAsia="Arial" w:hAnsi="Arial" w:cs="Arial"/>
          <w:sz w:val="20"/>
        </w:rPr>
        <w:t>II-20</w:t>
      </w:r>
      <w:r>
        <w:rPr>
          <w:sz w:val="20"/>
        </w:rPr>
        <w:t>頁「風險因素」一節並無特別詳細說明，但倘若投資管理人對市場波動和相關性的預測偏離實際市場波動和相關性，動態資產配置策略可能無法達成既定目標（即相對於僅依賴長期尺度構建資產配置的策略而言，降低波動性和尾端事件風險（即減少極度損失和過高收益））。投資者可能因此蒙受損失。</w:t>
      </w:r>
      <w:r>
        <w:rPr>
          <w:sz w:val="20"/>
        </w:rPr>
        <w:t xml:space="preserve"> </w:t>
      </w:r>
    </w:p>
    <w:p w:rsidR="004D6F0E" w:rsidRDefault="00490F21">
      <w:pPr>
        <w:spacing w:after="119" w:line="258" w:lineRule="auto"/>
        <w:ind w:left="-13" w:firstLine="3"/>
      </w:pPr>
      <w:r>
        <w:rPr>
          <w:sz w:val="21"/>
        </w:rPr>
        <w:t>波動性風險</w:t>
      </w:r>
      <w:r>
        <w:rPr>
          <w:sz w:val="20"/>
        </w:rPr>
        <w:t xml:space="preserve"> </w:t>
      </w:r>
    </w:p>
    <w:p w:rsidR="004D6F0E" w:rsidRDefault="00490F21">
      <w:pPr>
        <w:spacing w:after="124" w:line="270" w:lineRule="auto"/>
      </w:pPr>
      <w:r>
        <w:rPr>
          <w:sz w:val="20"/>
        </w:rPr>
        <w:t>儘管認購章程第</w:t>
      </w:r>
      <w:r>
        <w:rPr>
          <w:rFonts w:ascii="Arial" w:eastAsia="Arial" w:hAnsi="Arial" w:cs="Arial"/>
          <w:sz w:val="20"/>
        </w:rPr>
        <w:t>II-31</w:t>
      </w:r>
      <w:r>
        <w:rPr>
          <w:sz w:val="20"/>
        </w:rPr>
        <w:t>頁「衍生工具風險」一節並無特別說明，有意投資者亦應注意，衍生工具投資可能受相關基金的資產淨值較高的波動性影響，並涉及重大風險，可能導致</w:t>
      </w:r>
      <w:r>
        <w:rPr>
          <w:sz w:val="20"/>
        </w:rPr>
        <w:t xml:space="preserve">  </w:t>
      </w:r>
      <w:r>
        <w:rPr>
          <w:sz w:val="20"/>
        </w:rPr>
        <w:t>閣下在基金的投資產生重大</w:t>
      </w:r>
      <w:r>
        <w:rPr>
          <w:sz w:val="20"/>
        </w:rPr>
        <w:t>損失。</w:t>
      </w:r>
      <w:r>
        <w:rPr>
          <w:sz w:val="20"/>
        </w:rPr>
        <w:t xml:space="preserve"> </w:t>
      </w:r>
    </w:p>
    <w:p w:rsidR="004D6F0E" w:rsidRDefault="00490F21">
      <w:pPr>
        <w:spacing w:after="119" w:line="258" w:lineRule="auto"/>
        <w:ind w:left="-13" w:firstLine="3"/>
      </w:pPr>
      <w:r>
        <w:rPr>
          <w:sz w:val="21"/>
        </w:rPr>
        <w:t>歐元區風險</w:t>
      </w:r>
      <w:r>
        <w:rPr>
          <w:sz w:val="20"/>
        </w:rPr>
        <w:t xml:space="preserve"> </w:t>
      </w:r>
    </w:p>
    <w:p w:rsidR="004D6F0E" w:rsidRDefault="00490F21">
      <w:pPr>
        <w:spacing w:after="124" w:line="270" w:lineRule="auto"/>
      </w:pPr>
      <w:r>
        <w:rPr>
          <w:sz w:val="20"/>
        </w:rPr>
        <w:t>鑑於當前的歐元區國家主權債務風險憂慮持續，若干基金於區內的投資可能面臨較高的波動性、流動性、貨幣及違約風險。任何不利的事件（例如：主權信貸評級下調或歐盟成員國退出歐元區）均可能對各基金的價值造成負面影響。</w:t>
      </w:r>
      <w:r>
        <w:rPr>
          <w:sz w:val="20"/>
        </w:rPr>
        <w:t xml:space="preserve"> </w:t>
      </w:r>
    </w:p>
    <w:p w:rsidR="004D6F0E" w:rsidRDefault="00490F21">
      <w:pPr>
        <w:spacing w:after="0" w:line="259" w:lineRule="auto"/>
        <w:ind w:left="2" w:firstLine="0"/>
      </w:pPr>
      <w:r>
        <w:rPr>
          <w:sz w:val="21"/>
        </w:rPr>
        <w:t xml:space="preserve"> </w:t>
      </w:r>
      <w:r>
        <w:rPr>
          <w:sz w:val="21"/>
        </w:rPr>
        <w:tab/>
        <w:t xml:space="preserve"> </w:t>
      </w:r>
    </w:p>
    <w:p w:rsidR="004D6F0E" w:rsidRDefault="00490F21">
      <w:pPr>
        <w:spacing w:after="119" w:line="258" w:lineRule="auto"/>
        <w:ind w:left="-13" w:firstLine="3"/>
      </w:pPr>
      <w:r>
        <w:rPr>
          <w:sz w:val="21"/>
        </w:rPr>
        <w:t>以資本撥付股息的相關風險</w:t>
      </w:r>
      <w:r>
        <w:rPr>
          <w:sz w:val="20"/>
        </w:rPr>
        <w:t xml:space="preserve"> </w:t>
      </w:r>
    </w:p>
    <w:p w:rsidR="004D6F0E" w:rsidRDefault="00490F21">
      <w:pPr>
        <w:spacing w:after="124" w:line="270" w:lineRule="auto"/>
      </w:pPr>
      <w:r>
        <w:rPr>
          <w:sz w:val="20"/>
        </w:rPr>
        <w:lastRenderedPageBreak/>
        <w:t>在獲證監會事先批准（如有規定）並至少提前一個月向投資者發出通知的前提下，管理公司可全權酌情決定修訂基金的股息政策。股息率並非基金回報的指示。管理公司可酌情決定以若干基金的資本或實際上以資本撥付股息，金額可能為投資者原本投資的部份回報或本金或原本</w:t>
      </w:r>
      <w:r>
        <w:rPr>
          <w:sz w:val="20"/>
        </w:rPr>
        <w:t>投資應佔的任何資本增值，由此即時減低每股資產淨值。貨幣對沖股份類別的分派金額及資產淨值可能受到貨幣對沖股份類別的參考貨幣與本基金的基準貨幣之間利率差異的不利影響，導致從資本中撥付的分派金額增加，從而造成比其他非對沖股份類別更大的資本流失。</w:t>
      </w:r>
      <w:r>
        <w:rPr>
          <w:sz w:val="20"/>
        </w:rPr>
        <w:t xml:space="preserve"> </w:t>
      </w:r>
    </w:p>
    <w:p w:rsidR="004D6F0E" w:rsidRDefault="00490F21">
      <w:pPr>
        <w:spacing w:after="119" w:line="258" w:lineRule="auto"/>
        <w:ind w:left="-13" w:firstLine="3"/>
      </w:pPr>
      <w:r>
        <w:rPr>
          <w:sz w:val="21"/>
        </w:rPr>
        <w:t>交易所買賣基金（「</w:t>
      </w:r>
      <w:r>
        <w:rPr>
          <w:rFonts w:ascii="Arial" w:eastAsia="Arial" w:hAnsi="Arial" w:cs="Arial"/>
          <w:i/>
          <w:sz w:val="20"/>
        </w:rPr>
        <w:t>ETFs</w:t>
      </w:r>
      <w:r>
        <w:rPr>
          <w:sz w:val="21"/>
        </w:rPr>
        <w:t>」）的相關風險</w:t>
      </w:r>
      <w:r>
        <w:rPr>
          <w:sz w:val="21"/>
        </w:rPr>
        <w:t xml:space="preserve"> </w:t>
      </w:r>
    </w:p>
    <w:p w:rsidR="004D6F0E" w:rsidRDefault="00490F21">
      <w:pPr>
        <w:spacing w:after="124" w:line="270" w:lineRule="auto"/>
      </w:pPr>
      <w:r>
        <w:rPr>
          <w:sz w:val="20"/>
        </w:rPr>
        <w:t>投資於交易所買賣基金的基金須承受以下與交易所買賣基金相關的風險：</w:t>
      </w:r>
      <w:r>
        <w:rPr>
          <w:sz w:val="20"/>
        </w:rPr>
        <w:t xml:space="preserve"> </w:t>
      </w:r>
    </w:p>
    <w:p w:rsidR="004D6F0E" w:rsidRDefault="00490F21">
      <w:pPr>
        <w:spacing w:after="124" w:line="270" w:lineRule="auto"/>
      </w:pPr>
      <w:r>
        <w:rPr>
          <w:sz w:val="20"/>
        </w:rPr>
        <w:t>被動式投資風險：交易所買賣基金乃以被動方式管理，由於該交易所買賣基金的固有投資性質，該交易所買賣基金的管理人將無酌情權因應市場變化作出調整。相關指數下跌預期會</w:t>
      </w:r>
      <w:r>
        <w:rPr>
          <w:sz w:val="20"/>
        </w:rPr>
        <w:t>導致該交易所買賣基金的價值相應地下跌，以及因此導致投資於該交易所買賣基金的基金的價值下跌。</w:t>
      </w:r>
      <w:r>
        <w:rPr>
          <w:sz w:val="20"/>
        </w:rPr>
        <w:t xml:space="preserve"> </w:t>
      </w:r>
    </w:p>
    <w:p w:rsidR="004D6F0E" w:rsidRDefault="00490F21">
      <w:pPr>
        <w:spacing w:after="124" w:line="270" w:lineRule="auto"/>
      </w:pPr>
      <w:r>
        <w:rPr>
          <w:sz w:val="20"/>
        </w:rPr>
        <w:t>追蹤誤差風險：交易所買賣基金可能須承受追蹤誤差風險，即其表現未必能準確追蹤相關指數的表現的風險。此追蹤誤差可能由所採用的投資策略，以及費用和開支等因素造成。交易所買賣基金的管理人將監察及尋求管理該風險以盡量減低追蹤誤差。無法保證基金於任何時候均可確切地或完全相同地複製相關指數的表現。</w:t>
      </w:r>
      <w:r>
        <w:rPr>
          <w:sz w:val="20"/>
        </w:rPr>
        <w:t xml:space="preserve"> </w:t>
      </w:r>
    </w:p>
    <w:p w:rsidR="004D6F0E" w:rsidRDefault="00490F21">
      <w:pPr>
        <w:spacing w:after="119" w:line="258" w:lineRule="auto"/>
        <w:ind w:left="-13" w:firstLine="3"/>
      </w:pPr>
      <w:r>
        <w:rPr>
          <w:sz w:val="21"/>
        </w:rPr>
        <w:t>與投資策略有關的風險</w:t>
      </w:r>
      <w:r>
        <w:rPr>
          <w:sz w:val="21"/>
        </w:rPr>
        <w:t xml:space="preserve"> </w:t>
      </w:r>
    </w:p>
    <w:p w:rsidR="004D6F0E" w:rsidRDefault="00490F21">
      <w:pPr>
        <w:spacing w:after="124" w:line="270" w:lineRule="auto"/>
      </w:pPr>
      <w:r>
        <w:rPr>
          <w:sz w:val="20"/>
        </w:rPr>
        <w:t>基金採取的投資策略可能無效及／或未能達到某程度的波動性。基金的表現在很大程度上取決於投資管理人選股的判斷和經驗。在市場低迷的情況下，基金未必可提供正回報或表現勝過一般股票市場。因此，基金的價值可能受到不利影響。低波幅股票被認為具有比整體市場更低的風險狀況。投資者應注意，較低波幅不一定意味著較低風險。</w:t>
      </w:r>
      <w:r>
        <w:rPr>
          <w:sz w:val="20"/>
        </w:rPr>
        <w:t xml:space="preserve"> </w:t>
      </w:r>
    </w:p>
    <w:p w:rsidR="004D6F0E" w:rsidRDefault="00490F21">
      <w:pPr>
        <w:spacing w:after="124" w:line="270" w:lineRule="auto"/>
      </w:pPr>
      <w:r>
        <w:rPr>
          <w:sz w:val="21"/>
        </w:rPr>
        <w:t>與抵押及／或有抵押品的產品（例如：資產抵押證券、按揭抵押證券及資產抵押商業票據）相關的風險</w:t>
      </w:r>
      <w:r>
        <w:rPr>
          <w:sz w:val="20"/>
        </w:rPr>
        <w:t>若干基金投資於按揭抵押證券，其高度缺乏流動性，並容易出現大幅價格波動。相比其他債務證券，此等工具可能面臨更大的信貸、流</w:t>
      </w:r>
      <w:r>
        <w:rPr>
          <w:sz w:val="20"/>
        </w:rPr>
        <w:t>動性及利率風險。其往往面臨延期及提早還款風險及與相關資產有關的償還義務未獲履行風險，這可能對證券回報造成不利影響。</w:t>
      </w:r>
      <w:r>
        <w:rPr>
          <w:sz w:val="20"/>
        </w:rPr>
        <w:t xml:space="preserve"> </w:t>
      </w:r>
    </w:p>
    <w:p w:rsidR="004D6F0E" w:rsidRDefault="00490F21">
      <w:pPr>
        <w:spacing w:after="119" w:line="258" w:lineRule="auto"/>
        <w:ind w:left="-13" w:firstLine="3"/>
      </w:pPr>
      <w:r>
        <w:rPr>
          <w:sz w:val="21"/>
        </w:rPr>
        <w:t>與具損失吸收特點的工具相關的風險</w:t>
      </w:r>
      <w:r>
        <w:rPr>
          <w:sz w:val="21"/>
        </w:rPr>
        <w:t xml:space="preserve"> </w:t>
      </w:r>
    </w:p>
    <w:p w:rsidR="004D6F0E" w:rsidRDefault="00490F21">
      <w:pPr>
        <w:spacing w:after="124" w:line="270" w:lineRule="auto"/>
      </w:pPr>
      <w:r>
        <w:rPr>
          <w:sz w:val="20"/>
        </w:rPr>
        <w:t>基金可投資於具損失吸收特點的工具，與傳統債務工具相比，此等工具面臨較高風險，因為該等工具通常包括的條款及條件，可能導致其在預先界定的觸發事件發生時（例如，當發行人接近或處於不可持續經營時或當發行人的資本比率跌至指定水平時）部分或全部撇銷、減記或轉換為發行人的普通股。</w:t>
      </w:r>
      <w:r>
        <w:rPr>
          <w:sz w:val="20"/>
        </w:rPr>
        <w:t xml:space="preserve"> </w:t>
      </w:r>
    </w:p>
    <w:p w:rsidR="004D6F0E" w:rsidRDefault="00490F21">
      <w:pPr>
        <w:spacing w:after="124" w:line="270" w:lineRule="auto"/>
      </w:pPr>
      <w:r>
        <w:rPr>
          <w:sz w:val="20"/>
        </w:rPr>
        <w:t>該等觸發事件可能超出發行人的控制範圍，並且複雜、難以預測及可能導致該等工具的價值大幅或完</w:t>
      </w:r>
      <w:r>
        <w:rPr>
          <w:sz w:val="20"/>
        </w:rPr>
        <w:t>全降低，從而導致基金產生相應的損失。</w:t>
      </w:r>
      <w:r>
        <w:rPr>
          <w:sz w:val="20"/>
        </w:rPr>
        <w:t xml:space="preserve"> </w:t>
      </w:r>
    </w:p>
    <w:p w:rsidR="004D6F0E" w:rsidRDefault="00490F21">
      <w:pPr>
        <w:spacing w:after="124" w:line="270" w:lineRule="auto"/>
      </w:pPr>
      <w:r>
        <w:rPr>
          <w:sz w:val="20"/>
        </w:rPr>
        <w:t>尤其是，若干基金可投資於屬於具損失吸收特點工具類型的或有可轉換證券，並可能面臨多種風險（包括但不限於）：</w:t>
      </w:r>
      <w:r>
        <w:rPr>
          <w:sz w:val="20"/>
        </w:rPr>
        <w:t xml:space="preserve"> </w:t>
      </w:r>
    </w:p>
    <w:p w:rsidR="004D6F0E" w:rsidRDefault="00490F21">
      <w:pPr>
        <w:spacing w:after="2" w:line="270" w:lineRule="auto"/>
      </w:pPr>
      <w:r>
        <w:rPr>
          <w:sz w:val="20"/>
        </w:rPr>
        <w:lastRenderedPageBreak/>
        <w:t>觸發水平風險：觸發事件通常與發行人的財務狀況有關，因此，當相關證券的相對資本實力轉差，則轉換很可能發生。與不同或有可轉換證券相關的相對風險將取決於當前資本比率與有效觸發水平之間的差距。</w:t>
      </w:r>
    </w:p>
    <w:p w:rsidR="004D6F0E" w:rsidRDefault="00490F21">
      <w:pPr>
        <w:spacing w:after="124" w:line="270" w:lineRule="auto"/>
      </w:pPr>
      <w:r>
        <w:rPr>
          <w:sz w:val="20"/>
        </w:rPr>
        <w:t>股本轉換很可能按股價進行，而該股價將低於債券發行或購買時的價格。</w:t>
      </w:r>
      <w:r>
        <w:rPr>
          <w:sz w:val="20"/>
        </w:rPr>
        <w:t xml:space="preserve"> </w:t>
      </w:r>
    </w:p>
    <w:p w:rsidR="004D6F0E" w:rsidRDefault="00490F21">
      <w:pPr>
        <w:spacing w:after="124" w:line="270" w:lineRule="auto"/>
      </w:pPr>
      <w:r>
        <w:rPr>
          <w:sz w:val="20"/>
        </w:rPr>
        <w:t>資本結構逆轉風險：如屬本金減記的或有可轉換證券，持有人可能在股本持有人之前減記，這與典型的資本結構等級制度相反</w:t>
      </w:r>
      <w:r>
        <w:rPr>
          <w:sz w:val="20"/>
        </w:rPr>
        <w:t>。</w:t>
      </w:r>
      <w:r>
        <w:rPr>
          <w:sz w:val="20"/>
        </w:rPr>
        <w:t xml:space="preserve"> </w:t>
      </w:r>
    </w:p>
    <w:p w:rsidR="004D6F0E" w:rsidRDefault="00490F21">
      <w:pPr>
        <w:spacing w:after="124" w:line="270" w:lineRule="auto"/>
      </w:pPr>
      <w:r>
        <w:rPr>
          <w:sz w:val="20"/>
        </w:rPr>
        <w:t>流動性風險：在市況受壓時，發行人的流動資金概況可能會顯著惡化，或難以物色現有買家，意味著或須作出大幅折讓才可將之出售。</w:t>
      </w:r>
      <w:r>
        <w:rPr>
          <w:sz w:val="20"/>
        </w:rPr>
        <w:t xml:space="preserve"> </w:t>
      </w:r>
    </w:p>
    <w:p w:rsidR="004D6F0E" w:rsidRDefault="00490F21">
      <w:pPr>
        <w:spacing w:after="124" w:line="270" w:lineRule="auto"/>
      </w:pPr>
      <w:r>
        <w:rPr>
          <w:sz w:val="20"/>
        </w:rPr>
        <w:t>可贖回延期風險：或有可轉換證券亦可作為永續債券發行（即沒有到期日的債券</w:t>
      </w:r>
      <w:r>
        <w:rPr>
          <w:sz w:val="20"/>
        </w:rPr>
        <w:t xml:space="preserve"> - </w:t>
      </w:r>
      <w:r>
        <w:rPr>
          <w:sz w:val="20"/>
        </w:rPr>
        <w:t>請參閱與永續債券相關的風險），而此等債券將有贖回日期，惟概不保證有關債券將於此日期被贖回，有關債券可能永遠不被贖回，導致原有資本投資悉數虧損。</w:t>
      </w:r>
      <w:r>
        <w:rPr>
          <w:sz w:val="20"/>
        </w:rPr>
        <w:t xml:space="preserve"> </w:t>
      </w:r>
    </w:p>
    <w:p w:rsidR="004D6F0E" w:rsidRDefault="00490F21">
      <w:pPr>
        <w:spacing w:after="124" w:line="270" w:lineRule="auto"/>
      </w:pPr>
      <w:r>
        <w:rPr>
          <w:sz w:val="20"/>
        </w:rPr>
        <w:t>未知／不確定性風險：或有可轉換證券是一種相對較新的工具，而觸發事件通常未經測試，因此無法確定資產類別在市況受壓時和面臨資本風險時的表現，且波動性可屬重大。取消息票</w:t>
      </w:r>
      <w:r>
        <w:rPr>
          <w:sz w:val="20"/>
        </w:rPr>
        <w:t>風險：息票可酌情支付，並可隨時基於任何理由而取消。</w:t>
      </w:r>
      <w:r>
        <w:rPr>
          <w:sz w:val="20"/>
        </w:rPr>
        <w:t xml:space="preserve"> </w:t>
      </w:r>
    </w:p>
    <w:p w:rsidR="004D6F0E" w:rsidRDefault="00490F21">
      <w:pPr>
        <w:spacing w:after="124" w:line="270" w:lineRule="auto"/>
      </w:pPr>
      <w:r>
        <w:rPr>
          <w:sz w:val="20"/>
        </w:rPr>
        <w:t>估值風險：或有可轉換證券的投資或擁有較高收益率，但所附帶的風險可高於投資於傳統債務工具／可轉換證券及（在若干情況下）股票；波動性及損失風險可屬重大。</w:t>
      </w:r>
      <w:r>
        <w:rPr>
          <w:sz w:val="20"/>
        </w:rPr>
        <w:t xml:space="preserve"> </w:t>
      </w:r>
    </w:p>
    <w:p w:rsidR="004D6F0E" w:rsidRDefault="00490F21">
      <w:pPr>
        <w:spacing w:after="124" w:line="270" w:lineRule="auto"/>
      </w:pPr>
      <w:r>
        <w:rPr>
          <w:sz w:val="20"/>
        </w:rPr>
        <w:t>轉換風險／減記風險：此類工具的價值或受到工具轉換為股本或減記機制所影響，有關機制或會因各不同證券的結構和條款有別而有所不同。或有可轉換證券的結構可能較為複雜，且條款或會因應不同的發行人和不同的債券而有所差異。在股本或有可轉換證券方面，轉換股價十分重要，理由是該價格決定了基金（作為該等工具的持有人）在轉換後</w:t>
      </w:r>
      <w:r>
        <w:rPr>
          <w:sz w:val="20"/>
        </w:rPr>
        <w:t>將蒙受的經濟損失，而有關損失或未能預先釐定。在轉換為股本的情況下，若相關基金不允許持有或會導致基金損失的股本證券，投資管理人或會被迫出售權益股份。就本金減記的或有可轉換證券而言，減記可即時進行，並在許多情況下或會帶來全面虧損，且預期將不獲發還任何本金。</w:t>
      </w:r>
      <w:r>
        <w:rPr>
          <w:sz w:val="20"/>
        </w:rPr>
        <w:t xml:space="preserve">  </w:t>
      </w:r>
    </w:p>
    <w:p w:rsidR="004D6F0E" w:rsidRDefault="00490F21">
      <w:pPr>
        <w:spacing w:after="124" w:line="270" w:lineRule="auto"/>
      </w:pPr>
      <w:r>
        <w:rPr>
          <w:sz w:val="20"/>
        </w:rPr>
        <w:t>界別集中度風險：或有可轉換證券由銀行／保險機構發行。若基金主要投資於或有可轉換證券，則與遵循較多元化策略的基金相比，其業績表現將在較大程度上取決於金融服務業的整體狀況。</w:t>
      </w:r>
      <w:r>
        <w:rPr>
          <w:sz w:val="20"/>
        </w:rPr>
        <w:t xml:space="preserve"> </w:t>
      </w:r>
    </w:p>
    <w:p w:rsidR="004D6F0E" w:rsidRDefault="00490F21">
      <w:pPr>
        <w:spacing w:after="124" w:line="270" w:lineRule="auto"/>
      </w:pPr>
      <w:r>
        <w:rPr>
          <w:sz w:val="20"/>
        </w:rPr>
        <w:t>流動性風險管理</w:t>
      </w:r>
      <w:r>
        <w:rPr>
          <w:sz w:val="20"/>
        </w:rPr>
        <w:t xml:space="preserve"> </w:t>
      </w:r>
    </w:p>
    <w:p w:rsidR="004D6F0E" w:rsidRDefault="00490F21">
      <w:pPr>
        <w:spacing w:after="7" w:line="268" w:lineRule="auto"/>
        <w:ind w:left="11" w:right="114" w:hanging="10"/>
        <w:jc w:val="both"/>
      </w:pPr>
      <w:r>
        <w:rPr>
          <w:sz w:val="20"/>
        </w:rPr>
        <w:t>管理公司以遵守</w:t>
      </w:r>
      <w:r>
        <w:rPr>
          <w:rFonts w:ascii="Arial" w:eastAsia="Arial" w:hAnsi="Arial" w:cs="Arial"/>
          <w:sz w:val="20"/>
        </w:rPr>
        <w:t>UCITS</w:t>
      </w:r>
      <w:r>
        <w:rPr>
          <w:sz w:val="20"/>
        </w:rPr>
        <w:t>之管理公司的方式經營，並受盧森堡金融監管</w:t>
      </w:r>
      <w:r>
        <w:rPr>
          <w:sz w:val="20"/>
        </w:rPr>
        <w:t>機構</w:t>
      </w:r>
      <w:r>
        <w:rPr>
          <w:rFonts w:ascii="Arial" w:eastAsia="Arial" w:hAnsi="Arial" w:cs="Arial"/>
          <w:sz w:val="20"/>
        </w:rPr>
        <w:t xml:space="preserve">Commission de Surveillance du </w:t>
      </w:r>
    </w:p>
    <w:p w:rsidR="004D6F0E" w:rsidRDefault="00490F21">
      <w:pPr>
        <w:spacing w:after="124" w:line="270" w:lineRule="auto"/>
      </w:pPr>
      <w:r>
        <w:rPr>
          <w:rFonts w:ascii="Arial" w:eastAsia="Arial" w:hAnsi="Arial" w:cs="Arial"/>
          <w:sz w:val="20"/>
        </w:rPr>
        <w:t>Secteur Financier</w:t>
      </w:r>
      <w:r>
        <w:rPr>
          <w:sz w:val="20"/>
        </w:rPr>
        <w:t>所監管。故此，管理公司已就其多項活動制訂遵守</w:t>
      </w:r>
      <w:r>
        <w:rPr>
          <w:rFonts w:ascii="Arial" w:eastAsia="Arial" w:hAnsi="Arial" w:cs="Arial"/>
          <w:sz w:val="20"/>
        </w:rPr>
        <w:t>UCITS</w:t>
      </w:r>
      <w:r>
        <w:rPr>
          <w:sz w:val="20"/>
        </w:rPr>
        <w:t>的整體風險管理框架。</w:t>
      </w:r>
      <w:r>
        <w:rPr>
          <w:sz w:val="20"/>
        </w:rPr>
        <w:t xml:space="preserve"> </w:t>
      </w:r>
    </w:p>
    <w:p w:rsidR="004D6F0E" w:rsidRDefault="00490F21">
      <w:pPr>
        <w:spacing w:after="13" w:line="270" w:lineRule="auto"/>
      </w:pPr>
      <w:r>
        <w:rPr>
          <w:sz w:val="20"/>
        </w:rPr>
        <w:t>管理公司已委任投資管理人</w:t>
      </w:r>
      <w:r>
        <w:rPr>
          <w:sz w:val="20"/>
        </w:rPr>
        <w:t xml:space="preserve"> </w:t>
      </w:r>
      <w:r>
        <w:rPr>
          <w:rFonts w:ascii="Arial" w:eastAsia="Arial" w:hAnsi="Arial" w:cs="Arial"/>
          <w:sz w:val="20"/>
        </w:rPr>
        <w:t>AllianceBernstein L.P.</w:t>
      </w:r>
      <w:r>
        <w:rPr>
          <w:sz w:val="20"/>
        </w:rPr>
        <w:t>為其於各基金的投資管理及顧問職能方面的委託人士。</w:t>
      </w:r>
    </w:p>
    <w:p w:rsidR="004D6F0E" w:rsidRDefault="00490F21">
      <w:pPr>
        <w:spacing w:after="124" w:line="270" w:lineRule="auto"/>
      </w:pPr>
      <w:r>
        <w:rPr>
          <w:sz w:val="20"/>
        </w:rPr>
        <w:t>投資管理人根據美國《</w:t>
      </w:r>
      <w:r>
        <w:rPr>
          <w:rFonts w:ascii="Arial" w:eastAsia="Arial" w:hAnsi="Arial" w:cs="Arial"/>
          <w:sz w:val="20"/>
        </w:rPr>
        <w:t xml:space="preserve">1940 </w:t>
      </w:r>
      <w:r>
        <w:rPr>
          <w:sz w:val="20"/>
        </w:rPr>
        <w:t>年投資顧問法》（經修訂）於美國證券交易委員會註冊為投資顧問。</w:t>
      </w:r>
      <w:r>
        <w:rPr>
          <w:sz w:val="20"/>
        </w:rPr>
        <w:t xml:space="preserve"> </w:t>
      </w:r>
    </w:p>
    <w:p w:rsidR="004D6F0E" w:rsidRDefault="00490F21">
      <w:pPr>
        <w:spacing w:after="124" w:line="270" w:lineRule="auto"/>
      </w:pPr>
      <w:r>
        <w:rPr>
          <w:sz w:val="20"/>
        </w:rPr>
        <w:t>投資管理人已制訂一項流動性風險管理框架，以識別、評估、計量、控制及減緩公司層面及各基金中的流動性風險。</w:t>
      </w:r>
      <w:r>
        <w:rPr>
          <w:sz w:val="20"/>
        </w:rPr>
        <w:t xml:space="preserve"> </w:t>
      </w:r>
    </w:p>
    <w:p w:rsidR="004D6F0E" w:rsidRDefault="00490F21">
      <w:pPr>
        <w:spacing w:after="124" w:line="270" w:lineRule="auto"/>
      </w:pPr>
      <w:r>
        <w:rPr>
          <w:sz w:val="20"/>
        </w:rPr>
        <w:lastRenderedPageBreak/>
        <w:t>各基金的流動性風險管理主要為投資管理人基金投資職能的職責，並由投資管理人的風險管理職能進行獨立監控。投資管理人之流動性風險管理委員會由來自合規、基金管理、定量研究、交易、科技及風險管理之高級代表組成，一般每月（及於有需要時）舉行會議。與某一基金流動性風險有關的事務、憂慮及例外情況應上呈流動性風險管理委員會及／或直接提呈予合適的基金管理團隊。</w:t>
      </w:r>
      <w:r>
        <w:rPr>
          <w:sz w:val="20"/>
        </w:rPr>
        <w:t xml:space="preserve"> </w:t>
      </w:r>
    </w:p>
    <w:p w:rsidR="004D6F0E" w:rsidRDefault="00490F21">
      <w:pPr>
        <w:spacing w:after="124" w:line="270" w:lineRule="auto"/>
      </w:pPr>
      <w:r>
        <w:rPr>
          <w:sz w:val="20"/>
        </w:rPr>
        <w:t>投資管理人採納整體的流動性風險管理方式，包括評估基金產品特徵、各基金的資產／負債情況、股東狀況、各基金的流動性壓力測試，以及於有需要時進行的其他持續評估。</w:t>
      </w:r>
      <w:r>
        <w:rPr>
          <w:sz w:val="20"/>
        </w:rPr>
        <w:t xml:space="preserve"> </w:t>
      </w:r>
    </w:p>
    <w:p w:rsidR="004D6F0E" w:rsidRDefault="00490F21">
      <w:pPr>
        <w:spacing w:after="124" w:line="270" w:lineRule="auto"/>
      </w:pPr>
      <w:r>
        <w:rPr>
          <w:sz w:val="20"/>
        </w:rPr>
        <w:t>投資管理</w:t>
      </w:r>
      <w:r>
        <w:rPr>
          <w:sz w:val="20"/>
        </w:rPr>
        <w:t>人旨在確保各基金擁有合適的流動性狀況，以助各該等基金遵守於一般及受壓的市場中，有序應對贖回要求的責任。該框架連同可予運用的流動性管理工具亦旨在於出現大量贖回時，能公平對待股東，並保障餘下股東的利益。</w:t>
      </w:r>
      <w:r>
        <w:rPr>
          <w:sz w:val="20"/>
        </w:rPr>
        <w:t xml:space="preserve"> </w:t>
      </w:r>
    </w:p>
    <w:p w:rsidR="004D6F0E" w:rsidRDefault="00490F21">
      <w:pPr>
        <w:spacing w:after="124" w:line="270" w:lineRule="auto"/>
      </w:pPr>
      <w:r>
        <w:rPr>
          <w:sz w:val="20"/>
        </w:rPr>
        <w:t>投資管理人於評估某一基金資產的流動性時，可使用多項定量標準及定質因素，包括（但不限於）交易量、周轉率、平均交易規模、對手方數目、交易商庫存、價格影響測量法、清盤前尚餘日期測量法、買賣差價、類別、到期日、信貸評級及債券年期。</w:t>
      </w:r>
      <w:r>
        <w:rPr>
          <w:sz w:val="20"/>
        </w:rPr>
        <w:t xml:space="preserve"> </w:t>
      </w:r>
    </w:p>
    <w:p w:rsidR="004D6F0E" w:rsidRDefault="00490F21">
      <w:pPr>
        <w:spacing w:after="124" w:line="270" w:lineRule="auto"/>
      </w:pPr>
      <w:r>
        <w:rPr>
          <w:sz w:val="20"/>
        </w:rPr>
        <w:t>管理公司或投資管理人可代表管理公司（視乎情況而定）可運用以下工具管理流動性風險：</w:t>
      </w:r>
      <w:r>
        <w:rPr>
          <w:sz w:val="20"/>
        </w:rPr>
        <w:t xml:space="preserve"> </w:t>
      </w:r>
    </w:p>
    <w:p w:rsidR="004D6F0E" w:rsidRDefault="00490F21">
      <w:pPr>
        <w:numPr>
          <w:ilvl w:val="0"/>
          <w:numId w:val="7"/>
        </w:numPr>
        <w:spacing w:after="124" w:line="270" w:lineRule="auto"/>
        <w:ind w:hanging="360"/>
      </w:pPr>
      <w:r>
        <w:rPr>
          <w:sz w:val="20"/>
        </w:rPr>
        <w:t>任何基金於任何交易日的股份贖回數目，可被限制為截至該日期相關基金發行在外股份或類別的</w:t>
      </w:r>
      <w:r>
        <w:rPr>
          <w:sz w:val="20"/>
        </w:rPr>
        <w:t xml:space="preserve"> </w:t>
      </w:r>
      <w:r>
        <w:rPr>
          <w:rFonts w:ascii="Arial" w:eastAsia="Arial" w:hAnsi="Arial" w:cs="Arial"/>
          <w:sz w:val="20"/>
        </w:rPr>
        <w:t>10%</w:t>
      </w:r>
      <w:r>
        <w:rPr>
          <w:sz w:val="20"/>
        </w:rPr>
        <w:t>（受認購章程內「如何贖回股份」一節的情況所限）。倘施行有關限制，股東於特定交易日全面贖回擬贖回股份的能力可能受到限制；</w:t>
      </w:r>
      <w:r>
        <w:rPr>
          <w:sz w:val="20"/>
        </w:rPr>
        <w:t xml:space="preserve"> </w:t>
      </w:r>
    </w:p>
    <w:p w:rsidR="004D6F0E" w:rsidRDefault="00490F21">
      <w:pPr>
        <w:numPr>
          <w:ilvl w:val="0"/>
          <w:numId w:val="7"/>
        </w:numPr>
        <w:spacing w:after="124" w:line="270" w:lineRule="auto"/>
        <w:ind w:hanging="360"/>
      </w:pPr>
      <w:r>
        <w:rPr>
          <w:sz w:val="20"/>
        </w:rPr>
        <w:t>於認購章程內「資產淨值的釐定</w:t>
      </w:r>
      <w:r>
        <w:rPr>
          <w:sz w:val="20"/>
        </w:rPr>
        <w:t>–</w:t>
      </w:r>
      <w:r>
        <w:rPr>
          <w:sz w:val="20"/>
        </w:rPr>
        <w:t>暫停發行、贖回及轉換股份及計算資產淨值」一節所述的若干情況下，贖回可能遭到暫停。於該暫停期間，股東將不能贖回其於相關基金的投資；</w:t>
      </w:r>
      <w:r>
        <w:rPr>
          <w:sz w:val="20"/>
        </w:rPr>
        <w:t xml:space="preserve"> </w:t>
      </w:r>
    </w:p>
    <w:p w:rsidR="004D6F0E" w:rsidRDefault="00490F21">
      <w:pPr>
        <w:numPr>
          <w:ilvl w:val="0"/>
          <w:numId w:val="7"/>
        </w:numPr>
        <w:spacing w:after="3" w:line="270" w:lineRule="auto"/>
        <w:ind w:hanging="360"/>
      </w:pPr>
      <w:r>
        <w:rPr>
          <w:sz w:val="20"/>
        </w:rPr>
        <w:t>已採納波動定價政策，以抵消因大量購買或贖回基金股份對基金資產淨值所帶來的攤薄效應。詳情請參閱認購章程內「資產淨值的釐定</w:t>
      </w:r>
      <w:r>
        <w:rPr>
          <w:sz w:val="20"/>
        </w:rPr>
        <w:t>–</w:t>
      </w:r>
      <w:r>
        <w:rPr>
          <w:sz w:val="20"/>
        </w:rPr>
        <w:t>波動定價調整」一</w:t>
      </w:r>
      <w:r>
        <w:rPr>
          <w:sz w:val="20"/>
        </w:rPr>
        <w:t>節。因應該等調整，購買價或贖回價</w:t>
      </w:r>
    </w:p>
    <w:p w:rsidR="004D6F0E" w:rsidRDefault="00490F21">
      <w:pPr>
        <w:spacing w:after="124" w:line="270" w:lineRule="auto"/>
        <w:ind w:left="744"/>
      </w:pPr>
      <w:r>
        <w:rPr>
          <w:sz w:val="20"/>
        </w:rPr>
        <w:t>（視乎情況而定）將較並無作出該調整下的基金原有資產淨值為高或低。</w:t>
      </w:r>
      <w:r>
        <w:rPr>
          <w:sz w:val="20"/>
        </w:rPr>
        <w:t xml:space="preserve"> </w:t>
      </w:r>
    </w:p>
    <w:p w:rsidR="004D6F0E" w:rsidRDefault="00490F21">
      <w:pPr>
        <w:spacing w:after="63" w:line="270" w:lineRule="auto"/>
      </w:pPr>
      <w:r>
        <w:rPr>
          <w:sz w:val="20"/>
        </w:rPr>
        <w:t>根據適用法律，流動性風險管理措施（例如：實行波動定價或申請贖回門檻）乃管理公司的責任。管理公司須向存管人提供其流動性政策，作為存管人定期審查的一部分，以便存管人確認管理公司的政策是否符合適用法規。因此，存管人將充分了解管理公司的流動性措施，並將視乎適用情況提供意見和諮詢。管理公司根據盧森堡法律，就各基金授予投資管理人的投資管理及顧問職能行使獨立監察。該等活動包括每月（或在有需要時）審閱基金特定的流動性狀況，</w:t>
      </w:r>
      <w:r>
        <w:rPr>
          <w:sz w:val="20"/>
        </w:rPr>
        <w:t>以及各基金的「流動性覆蓋比率」（流動性覆蓋比率）。此外，聯博集團風險管理部監察聯博集團作為投資管理人的所有賬目的流動性，包括定期的壓力測試。投資者應注意，此等工具於管理流動性及贖回風險上可能存在風險（即據認購章程所載，投資者於贖回投資上可能有所延遲）。股份資產淨值的公佈</w:t>
      </w:r>
      <w:r>
        <w:rPr>
          <w:sz w:val="20"/>
        </w:rPr>
        <w:t xml:space="preserve"> </w:t>
      </w:r>
    </w:p>
    <w:p w:rsidR="004D6F0E" w:rsidRDefault="00490F21">
      <w:pPr>
        <w:spacing w:after="4" w:line="278" w:lineRule="auto"/>
        <w:ind w:left="11" w:right="47" w:hanging="10"/>
        <w:jc w:val="both"/>
      </w:pPr>
      <w:r>
        <w:rPr>
          <w:sz w:val="20"/>
        </w:rPr>
        <w:t>管理公司將在每一營業日（紐約證券交易所及盧森堡銀行的營業日）於美國東部時間下午四時正或認購章程第</w:t>
      </w:r>
      <w:r>
        <w:rPr>
          <w:sz w:val="20"/>
        </w:rPr>
        <w:t xml:space="preserve"> </w:t>
      </w:r>
      <w:r>
        <w:rPr>
          <w:rFonts w:ascii="Arial" w:eastAsia="Arial" w:hAnsi="Arial" w:cs="Arial"/>
          <w:sz w:val="20"/>
        </w:rPr>
        <w:t xml:space="preserve">I </w:t>
      </w:r>
      <w:r>
        <w:rPr>
          <w:sz w:val="20"/>
        </w:rPr>
        <w:t>部分相關部分所列明的時間決定每一類別股份的每股資產淨值（以有關基金貨幣和任何其他發售貨幣表示</w:t>
      </w:r>
      <w:r>
        <w:rPr>
          <w:sz w:val="20"/>
        </w:rPr>
        <w:lastRenderedPageBreak/>
        <w:t>），並每日於</w:t>
      </w:r>
      <w:r>
        <w:rPr>
          <w:rFonts w:ascii="Arial" w:eastAsia="Arial" w:hAnsi="Arial" w:cs="Arial"/>
          <w:sz w:val="20"/>
          <w:u w:val="single" w:color="000000"/>
        </w:rPr>
        <w:t>www.alliancebern</w:t>
      </w:r>
      <w:r>
        <w:rPr>
          <w:rFonts w:ascii="Arial" w:eastAsia="Arial" w:hAnsi="Arial" w:cs="Arial"/>
          <w:sz w:val="20"/>
          <w:u w:val="single" w:color="000000"/>
        </w:rPr>
        <w:t>stein.com.hk</w:t>
      </w:r>
      <w:r>
        <w:rPr>
          <w:sz w:val="20"/>
        </w:rPr>
        <w:t>網站公佈，</w:t>
      </w:r>
      <w:r>
        <w:rPr>
          <w:sz w:val="20"/>
        </w:rPr>
        <w:t xml:space="preserve">  </w:t>
      </w:r>
      <w:r>
        <w:rPr>
          <w:sz w:val="20"/>
        </w:rPr>
        <w:t>閣下亦可致電</w:t>
      </w:r>
      <w:r>
        <w:rPr>
          <w:rFonts w:ascii="Arial" w:eastAsia="Arial" w:hAnsi="Arial" w:cs="Arial"/>
          <w:sz w:val="20"/>
        </w:rPr>
        <w:t>+852 2918 7888</w:t>
      </w:r>
      <w:r>
        <w:rPr>
          <w:sz w:val="20"/>
        </w:rPr>
        <w:t>與聯博香港有限公司（作為本傘子基金的香港代表）聯絡。在可行的範圍內，投資收益、應付利息、費用和其他債務</w:t>
      </w:r>
    </w:p>
    <w:p w:rsidR="004D6F0E" w:rsidRDefault="00490F21">
      <w:pPr>
        <w:spacing w:after="124" w:line="270" w:lineRule="auto"/>
      </w:pPr>
      <w:r>
        <w:rPr>
          <w:sz w:val="20"/>
        </w:rPr>
        <w:t>（包括管理費）將每日累計。</w:t>
      </w:r>
      <w:r>
        <w:rPr>
          <w:sz w:val="20"/>
        </w:rPr>
        <w:t xml:space="preserve"> </w:t>
      </w:r>
    </w:p>
    <w:p w:rsidR="004D6F0E" w:rsidRDefault="00490F21">
      <w:pPr>
        <w:spacing w:after="124" w:line="270" w:lineRule="auto"/>
      </w:pPr>
      <w:r>
        <w:rPr>
          <w:sz w:val="20"/>
        </w:rPr>
        <w:t>網站公佈的資訊</w:t>
      </w:r>
      <w:r>
        <w:rPr>
          <w:sz w:val="20"/>
        </w:rPr>
        <w:t xml:space="preserve"> </w:t>
      </w:r>
    </w:p>
    <w:p w:rsidR="004D6F0E" w:rsidRDefault="00490F21">
      <w:pPr>
        <w:spacing w:after="124" w:line="270" w:lineRule="auto"/>
      </w:pPr>
      <w:r>
        <w:rPr>
          <w:sz w:val="20"/>
        </w:rPr>
        <w:t>上述網站並未獲證監會審閱，而且可能包含未獲證監會認可的若干基金信息。</w:t>
      </w:r>
      <w:r>
        <w:rPr>
          <w:sz w:val="20"/>
        </w:rPr>
        <w:t xml:space="preserve"> </w:t>
      </w:r>
    </w:p>
    <w:p w:rsidR="004D6F0E" w:rsidRDefault="00490F21">
      <w:pPr>
        <w:spacing w:after="124" w:line="270" w:lineRule="auto"/>
      </w:pPr>
      <w:r>
        <w:rPr>
          <w:sz w:val="20"/>
        </w:rPr>
        <w:t>股份交易</w:t>
      </w:r>
      <w:r>
        <w:rPr>
          <w:sz w:val="20"/>
        </w:rPr>
        <w:t xml:space="preserve"> </w:t>
      </w:r>
    </w:p>
    <w:p w:rsidR="004D6F0E" w:rsidRDefault="00490F21">
      <w:pPr>
        <w:spacing w:after="124" w:line="270" w:lineRule="auto"/>
      </w:pPr>
      <w:r>
        <w:rPr>
          <w:sz w:val="20"/>
        </w:rPr>
        <w:t>「交易日」指某一基金的股份之任何交易（包括購買、贖回和轉換）在本傘子基金屬下（依有關情況所需）一個或多個基金的股東名冊中記錄為已獲接受的紐約證券交易所及盧森堡銀行的營業日。</w:t>
      </w:r>
      <w:r>
        <w:rPr>
          <w:sz w:val="20"/>
        </w:rPr>
        <w:t xml:space="preserve"> </w:t>
      </w:r>
    </w:p>
    <w:p w:rsidR="004D6F0E" w:rsidRDefault="00490F21">
      <w:pPr>
        <w:spacing w:after="124" w:line="270" w:lineRule="auto"/>
      </w:pPr>
      <w:r>
        <w:rPr>
          <w:sz w:val="20"/>
        </w:rPr>
        <w:t>「香港營業日」指香港銀</w:t>
      </w:r>
      <w:r>
        <w:rPr>
          <w:sz w:val="20"/>
        </w:rPr>
        <w:t>行開門正常營業的每一日（不包括星期六），但如果香港懸掛八號或以上颱風訊號或發出黑色暴雨警告或發生其他類似事件，且香港銀行在該日開門正常營業的時間將縮短，則該日不作為是香港營業日，但有關認可交易商另有其他決定的則除外。</w:t>
      </w:r>
      <w:r>
        <w:rPr>
          <w:sz w:val="20"/>
        </w:rPr>
        <w:t xml:space="preserve"> </w:t>
      </w:r>
    </w:p>
    <w:p w:rsidR="004D6F0E" w:rsidRDefault="00490F21">
      <w:pPr>
        <w:spacing w:after="119" w:line="258" w:lineRule="auto"/>
        <w:ind w:left="-13" w:firstLine="3"/>
      </w:pPr>
      <w:r>
        <w:rPr>
          <w:sz w:val="21"/>
        </w:rPr>
        <w:t>指示處理和截止時間</w:t>
      </w:r>
      <w:r>
        <w:rPr>
          <w:sz w:val="20"/>
        </w:rPr>
        <w:t xml:space="preserve"> </w:t>
      </w:r>
    </w:p>
    <w:p w:rsidR="004D6F0E" w:rsidRDefault="00490F21">
      <w:pPr>
        <w:spacing w:after="124" w:line="270" w:lineRule="auto"/>
      </w:pPr>
      <w:r>
        <w:rPr>
          <w:sz w:val="20"/>
        </w:rPr>
        <w:t>香港投資者應於代行控制其股份的認可交易商指定的每日處理指示截止時間之前，將其股份購買、轉換和贖回指示提交有關認可交易商，以便能於有關香港營業日處理其交易指示。認可交易商會將交易指示轉交過戶代理審核。過戶代理將審核該等指示，並在接納後於同一日（如該日為交易日）處理該等指示</w:t>
      </w:r>
      <w:r>
        <w:rPr>
          <w:sz w:val="20"/>
        </w:rPr>
        <w:t>。如果該日並不是一個交易日，則接獲的指示將會在下一個交易日進行處理。認可交易商在其指定的每日處理指示截止時間之後接獲的指示，可由認可交易商決定在下一香港營業日轉交給過戶代理。投資者應向其交易商查詢其處理指示的截止時間。以下是提交股份購買、轉換和贖回指示的更詳盡說明。</w:t>
      </w:r>
      <w:r>
        <w:rPr>
          <w:sz w:val="20"/>
        </w:rPr>
        <w:t xml:space="preserve"> </w:t>
      </w:r>
    </w:p>
    <w:p w:rsidR="004D6F0E" w:rsidRDefault="00490F21">
      <w:pPr>
        <w:spacing w:after="124" w:line="270" w:lineRule="auto"/>
      </w:pPr>
      <w:r>
        <w:rPr>
          <w:sz w:val="20"/>
        </w:rPr>
        <w:t>股份購買</w:t>
      </w:r>
      <w:r>
        <w:rPr>
          <w:sz w:val="20"/>
        </w:rPr>
        <w:t xml:space="preserve"> </w:t>
      </w:r>
    </w:p>
    <w:p w:rsidR="004D6F0E" w:rsidRDefault="00490F21">
      <w:pPr>
        <w:spacing w:after="119" w:line="258" w:lineRule="auto"/>
        <w:ind w:left="-13" w:firstLine="3"/>
      </w:pPr>
      <w:r>
        <w:rPr>
          <w:sz w:val="21"/>
        </w:rPr>
        <w:t>申請購買股份</w:t>
      </w:r>
      <w:r>
        <w:rPr>
          <w:sz w:val="20"/>
        </w:rPr>
        <w:t xml:space="preserve"> </w:t>
      </w:r>
    </w:p>
    <w:p w:rsidR="004D6F0E" w:rsidRDefault="00490F21">
      <w:pPr>
        <w:spacing w:after="124" w:line="270" w:lineRule="auto"/>
      </w:pPr>
      <w:r>
        <w:rPr>
          <w:sz w:val="20"/>
        </w:rPr>
        <w:t>首次作出投資時，投資者應仔細閱讀認購章程和本香港補充資料的內容，填妥聯博基金申請表格（從認可交易商或香港代表取得）以及將之交回認可交易商，連同支票，或如以電匯形式付款則連同投資者的匯款通知影印本（其解釋見下文「購買股份的付款」一節），以及</w:t>
      </w:r>
      <w:r>
        <w:rPr>
          <w:sz w:val="20"/>
        </w:rPr>
        <w:t xml:space="preserve"> </w:t>
      </w:r>
      <w:r>
        <w:rPr>
          <w:rFonts w:ascii="Arial" w:eastAsia="Arial" w:hAnsi="Arial" w:cs="Arial"/>
          <w:sz w:val="20"/>
        </w:rPr>
        <w:t xml:space="preserve">(i) </w:t>
      </w:r>
      <w:r>
        <w:rPr>
          <w:sz w:val="20"/>
        </w:rPr>
        <w:t>如為個人投資者，則連同投資者的香港身份證或護照影印本或</w:t>
      </w:r>
      <w:r>
        <w:rPr>
          <w:sz w:val="20"/>
        </w:rPr>
        <w:t xml:space="preserve"> </w:t>
      </w:r>
      <w:r>
        <w:rPr>
          <w:rFonts w:ascii="Arial" w:eastAsia="Arial" w:hAnsi="Arial" w:cs="Arial"/>
          <w:sz w:val="20"/>
        </w:rPr>
        <w:t xml:space="preserve">(ii) </w:t>
      </w:r>
      <w:r>
        <w:rPr>
          <w:sz w:val="20"/>
        </w:rPr>
        <w:t>如為公司或其他機構投資者，則連同經核證的商業登記或公司登記摘錄，以及有關實益擁有人的組成文件資料。</w:t>
      </w:r>
      <w:r>
        <w:rPr>
          <w:sz w:val="20"/>
        </w:rPr>
        <w:t xml:space="preserve"> </w:t>
      </w:r>
    </w:p>
    <w:p w:rsidR="004D6F0E" w:rsidRDefault="00490F21">
      <w:pPr>
        <w:spacing w:after="124" w:line="270" w:lineRule="auto"/>
      </w:pPr>
      <w:r>
        <w:rPr>
          <w:sz w:val="20"/>
        </w:rPr>
        <w:t>其申請表格獲得接納的投資者將在管理公司於盧森堡從認可交易商收到該申請的交易日獲分配股份。股份分配</w:t>
      </w:r>
      <w:r>
        <w:rPr>
          <w:sz w:val="20"/>
        </w:rPr>
        <w:t>的價格將以每一類別股份的有關基金貨幣和任何其他發售貨幣在有關交易日確定的資產淨值為基礎，另加上有關的銷售費（見認購章程和下文「費用和開支」一節之補充資料的規定）。購買價須調整至小數點後兩位數字（例如：</w:t>
      </w:r>
      <w:r>
        <w:rPr>
          <w:rFonts w:ascii="Arial" w:eastAsia="Arial" w:hAnsi="Arial" w:cs="Arial"/>
          <w:sz w:val="20"/>
        </w:rPr>
        <w:t>10.125</w:t>
      </w:r>
      <w:r>
        <w:rPr>
          <w:sz w:val="20"/>
        </w:rPr>
        <w:t>港元須向上調整至</w:t>
      </w:r>
      <w:r>
        <w:rPr>
          <w:rFonts w:ascii="Arial" w:eastAsia="Arial" w:hAnsi="Arial" w:cs="Arial"/>
          <w:sz w:val="20"/>
        </w:rPr>
        <w:t>10.13</w:t>
      </w:r>
      <w:r>
        <w:rPr>
          <w:sz w:val="20"/>
        </w:rPr>
        <w:t>港元，而</w:t>
      </w:r>
      <w:r>
        <w:rPr>
          <w:rFonts w:ascii="Arial" w:eastAsia="Arial" w:hAnsi="Arial" w:cs="Arial"/>
          <w:sz w:val="20"/>
        </w:rPr>
        <w:t>10.124</w:t>
      </w:r>
      <w:r>
        <w:rPr>
          <w:sz w:val="20"/>
        </w:rPr>
        <w:t>港元須向下調整至</w:t>
      </w:r>
      <w:r>
        <w:rPr>
          <w:rFonts w:ascii="Arial" w:eastAsia="Arial" w:hAnsi="Arial" w:cs="Arial"/>
          <w:sz w:val="20"/>
        </w:rPr>
        <w:t>10.12</w:t>
      </w:r>
      <w:r>
        <w:rPr>
          <w:sz w:val="20"/>
        </w:rPr>
        <w:t>港元）。對應有關調整的任何金額將累計至相關基金。管理公司保留發售基金的其他類別股份的權利。</w:t>
      </w:r>
      <w:r>
        <w:rPr>
          <w:sz w:val="20"/>
        </w:rPr>
        <w:t xml:space="preserve"> </w:t>
      </w:r>
    </w:p>
    <w:p w:rsidR="004D6F0E" w:rsidRDefault="00490F21">
      <w:pPr>
        <w:spacing w:after="0" w:line="259" w:lineRule="auto"/>
        <w:ind w:left="2" w:firstLine="0"/>
      </w:pPr>
      <w:r>
        <w:rPr>
          <w:sz w:val="21"/>
        </w:rPr>
        <w:lastRenderedPageBreak/>
        <w:t xml:space="preserve"> </w:t>
      </w:r>
      <w:r>
        <w:rPr>
          <w:sz w:val="21"/>
        </w:rPr>
        <w:tab/>
        <w:t xml:space="preserve"> </w:t>
      </w:r>
    </w:p>
    <w:p w:rsidR="004D6F0E" w:rsidRDefault="00490F21">
      <w:pPr>
        <w:spacing w:after="119" w:line="258" w:lineRule="auto"/>
        <w:ind w:left="-13" w:firstLine="3"/>
      </w:pPr>
      <w:r>
        <w:rPr>
          <w:sz w:val="21"/>
        </w:rPr>
        <w:t>股份分配方式的數字範例</w:t>
      </w:r>
      <w:r>
        <w:rPr>
          <w:sz w:val="21"/>
        </w:rPr>
        <w:t xml:space="preserve"> </w:t>
      </w:r>
    </w:p>
    <w:p w:rsidR="004D6F0E" w:rsidRDefault="00490F21">
      <w:pPr>
        <w:spacing w:after="124" w:line="270" w:lineRule="auto"/>
      </w:pPr>
      <w:r>
        <w:rPr>
          <w:sz w:val="20"/>
        </w:rPr>
        <w:t>根據投資金額</w:t>
      </w:r>
      <w:r>
        <w:rPr>
          <w:rFonts w:ascii="Arial" w:eastAsia="Arial" w:hAnsi="Arial" w:cs="Arial"/>
          <w:sz w:val="20"/>
        </w:rPr>
        <w:t>10,000</w:t>
      </w:r>
      <w:r>
        <w:rPr>
          <w:sz w:val="20"/>
        </w:rPr>
        <w:t>美元按每股股份的名義資產淨值</w:t>
      </w:r>
      <w:r>
        <w:rPr>
          <w:rFonts w:ascii="Arial" w:eastAsia="Arial" w:hAnsi="Arial" w:cs="Arial"/>
          <w:sz w:val="20"/>
        </w:rPr>
        <w:t>10.00</w:t>
      </w:r>
      <w:r>
        <w:rPr>
          <w:sz w:val="20"/>
        </w:rPr>
        <w:t>美元計算，獲分配的股份數目將計算如下：</w:t>
      </w:r>
      <w:r>
        <w:rPr>
          <w:sz w:val="20"/>
        </w:rPr>
        <w:t xml:space="preserve"> </w:t>
      </w:r>
    </w:p>
    <w:p w:rsidR="004D6F0E" w:rsidRDefault="00490F21">
      <w:pPr>
        <w:spacing w:after="0" w:line="259" w:lineRule="auto"/>
        <w:ind w:left="16" w:firstLine="0"/>
      </w:pPr>
      <w:r>
        <w:rPr>
          <w:sz w:val="20"/>
          <w:u w:val="single" w:color="000000"/>
        </w:rPr>
        <w:t>首次銷售費適用的類別（即倘銷售費須於認購時支付）</w:t>
      </w:r>
      <w:r>
        <w:rPr>
          <w:sz w:val="20"/>
        </w:rPr>
        <w:t xml:space="preserve"> </w:t>
      </w:r>
    </w:p>
    <w:tbl>
      <w:tblPr>
        <w:tblStyle w:val="TableGrid"/>
        <w:tblW w:w="9094" w:type="dxa"/>
        <w:tblInd w:w="128" w:type="dxa"/>
        <w:tblCellMar>
          <w:top w:w="31" w:type="dxa"/>
          <w:left w:w="0" w:type="dxa"/>
          <w:bottom w:w="0" w:type="dxa"/>
          <w:right w:w="115" w:type="dxa"/>
        </w:tblCellMar>
        <w:tblLook w:val="04A0" w:firstRow="1" w:lastRow="0" w:firstColumn="1" w:lastColumn="0" w:noHBand="0" w:noVBand="1"/>
      </w:tblPr>
      <w:tblGrid>
        <w:gridCol w:w="1223"/>
        <w:gridCol w:w="7871"/>
      </w:tblGrid>
      <w:tr w:rsidR="004D6F0E">
        <w:trPr>
          <w:trHeight w:val="3869"/>
        </w:trPr>
        <w:tc>
          <w:tcPr>
            <w:tcW w:w="1223" w:type="dxa"/>
            <w:tcBorders>
              <w:top w:val="single" w:sz="4" w:space="0" w:color="000000"/>
              <w:left w:val="single" w:sz="4" w:space="0" w:color="000000"/>
              <w:bottom w:val="single" w:sz="4" w:space="0" w:color="000000"/>
              <w:right w:val="nil"/>
            </w:tcBorders>
          </w:tcPr>
          <w:p w:rsidR="004D6F0E" w:rsidRDefault="00490F21">
            <w:pPr>
              <w:spacing w:after="0" w:line="259" w:lineRule="auto"/>
              <w:ind w:left="108" w:firstLine="0"/>
            </w:pPr>
            <w:r>
              <w:t>舉例</w:t>
            </w:r>
            <w:r>
              <w:rPr>
                <w:rFonts w:ascii="Arial" w:eastAsia="Arial" w:hAnsi="Arial" w:cs="Arial"/>
              </w:rPr>
              <w:t>1</w:t>
            </w:r>
            <w:r>
              <w:t>：</w:t>
            </w:r>
            <w:r>
              <w:rPr>
                <w:rFonts w:ascii="Arial" w:eastAsia="Arial" w:hAnsi="Arial" w:cs="Arial"/>
              </w:rPr>
              <w:t xml:space="preserve"> </w:t>
            </w:r>
          </w:p>
        </w:tc>
        <w:tc>
          <w:tcPr>
            <w:tcW w:w="7870" w:type="dxa"/>
            <w:tcBorders>
              <w:top w:val="single" w:sz="4" w:space="0" w:color="000000"/>
              <w:left w:val="nil"/>
              <w:bottom w:val="single" w:sz="4" w:space="0" w:color="000000"/>
              <w:right w:val="single" w:sz="4" w:space="0" w:color="000000"/>
            </w:tcBorders>
          </w:tcPr>
          <w:p w:rsidR="004D6F0E" w:rsidRDefault="00490F21">
            <w:pPr>
              <w:spacing w:after="0" w:line="263" w:lineRule="auto"/>
              <w:ind w:left="0" w:right="6112" w:firstLine="0"/>
            </w:pPr>
            <w:r>
              <w:rPr>
                <w:sz w:val="20"/>
              </w:rPr>
              <w:t>假設：首次銷售費</w:t>
            </w:r>
            <w:r>
              <w:rPr>
                <w:rFonts w:ascii="Arial" w:eastAsia="Arial" w:hAnsi="Arial" w:cs="Arial"/>
                <w:i/>
              </w:rPr>
              <w:t xml:space="preserve"> = 4% </w:t>
            </w:r>
          </w:p>
          <w:p w:rsidR="004D6F0E" w:rsidRDefault="00490F21">
            <w:pPr>
              <w:spacing w:after="113" w:line="259" w:lineRule="auto"/>
              <w:ind w:left="0" w:firstLine="0"/>
            </w:pPr>
            <w:r>
              <w:rPr>
                <w:sz w:val="20"/>
              </w:rPr>
              <w:t>毋須對購買價作出調整</w:t>
            </w:r>
            <w:r>
              <w:rPr>
                <w:rFonts w:ascii="Arial" w:eastAsia="Arial" w:hAnsi="Arial" w:cs="Arial"/>
                <w:i/>
              </w:rPr>
              <w:t xml:space="preserve"> </w:t>
            </w:r>
          </w:p>
          <w:p w:rsidR="004D6F0E" w:rsidRDefault="00490F21">
            <w:pPr>
              <w:spacing w:after="0" w:line="259" w:lineRule="auto"/>
              <w:ind w:left="833" w:firstLine="0"/>
            </w:pPr>
            <w:r>
              <w:rPr>
                <w:sz w:val="13"/>
              </w:rPr>
              <w:t>資產淨值</w:t>
            </w:r>
            <w:r>
              <w:rPr>
                <w:rFonts w:ascii="Cambria Math" w:eastAsia="Cambria Math" w:hAnsi="Cambria Math" w:cs="Cambria Math"/>
                <w:sz w:val="13"/>
              </w:rPr>
              <w:t>−</w:t>
            </w:r>
            <w:r>
              <w:rPr>
                <w:rFonts w:ascii="Cambria Math" w:eastAsia="Cambria Math" w:hAnsi="Cambria Math" w:cs="Cambria Math"/>
                <w:sz w:val="13"/>
              </w:rPr>
              <w:t xml:space="preserve"> </w:t>
            </w:r>
            <w:r>
              <w:rPr>
                <w:sz w:val="13"/>
              </w:rPr>
              <w:t>調整</w:t>
            </w:r>
            <w:r>
              <w:rPr>
                <w:rFonts w:ascii="Cambria Math" w:eastAsia="Cambria Math" w:hAnsi="Cambria Math" w:cs="Cambria Math"/>
                <w:sz w:val="13"/>
              </w:rPr>
              <w:t>∗</w:t>
            </w:r>
            <w:r>
              <w:rPr>
                <w:rFonts w:ascii="Cambria Math" w:eastAsia="Cambria Math" w:hAnsi="Cambria Math" w:cs="Cambria Math"/>
                <w:sz w:val="13"/>
              </w:rPr>
              <w:t xml:space="preserve"> </w:t>
            </w:r>
          </w:p>
          <w:p w:rsidR="004D6F0E" w:rsidRDefault="00490F21">
            <w:pPr>
              <w:tabs>
                <w:tab w:val="center" w:pos="1947"/>
              </w:tabs>
              <w:spacing w:after="0" w:line="259" w:lineRule="auto"/>
              <w:ind w:left="0" w:firstLine="0"/>
            </w:pPr>
            <w:r>
              <w:t>購買價</w:t>
            </w:r>
            <w:r>
              <w:rPr>
                <w:rFonts w:ascii="Arial" w:eastAsia="Arial" w:hAnsi="Arial" w:cs="Arial"/>
              </w:rPr>
              <w:t xml:space="preserve">= </w:t>
            </w:r>
            <w:r>
              <w:rPr>
                <w:rFonts w:ascii="Arial" w:eastAsia="Arial" w:hAnsi="Arial" w:cs="Arial"/>
              </w:rPr>
              <w:tab/>
              <w:t xml:space="preserve"> </w:t>
            </w:r>
          </w:p>
          <w:p w:rsidR="004D6F0E" w:rsidRDefault="00490F21">
            <w:pPr>
              <w:spacing w:after="202" w:line="259" w:lineRule="auto"/>
              <w:ind w:left="716" w:firstLine="0"/>
            </w:pPr>
            <w:r>
              <w:rPr>
                <w:rFonts w:ascii="Cambria Math" w:eastAsia="Cambria Math" w:hAnsi="Cambria Math" w:cs="Cambria Math"/>
                <w:sz w:val="13"/>
              </w:rPr>
              <w:t xml:space="preserve">100%− </w:t>
            </w:r>
            <w:r>
              <w:rPr>
                <w:sz w:val="13"/>
              </w:rPr>
              <w:t>首次銷售費</w:t>
            </w:r>
            <w:r>
              <w:rPr>
                <w:rFonts w:ascii="Cambria Math" w:eastAsia="Cambria Math" w:hAnsi="Cambria Math" w:cs="Cambria Math"/>
                <w:sz w:val="13"/>
              </w:rPr>
              <w:t>%</w:t>
            </w:r>
          </w:p>
          <w:p w:rsidR="004D6F0E" w:rsidRDefault="00490F21">
            <w:pPr>
              <w:spacing w:after="113" w:line="259" w:lineRule="auto"/>
              <w:ind w:left="0" w:firstLine="0"/>
            </w:pPr>
            <w:r>
              <w:rPr>
                <w:sz w:val="20"/>
              </w:rPr>
              <w:t>因此，</w:t>
            </w:r>
            <w:r>
              <w:rPr>
                <w:rFonts w:ascii="Arial" w:eastAsia="Arial" w:hAnsi="Arial" w:cs="Arial"/>
                <w:i/>
              </w:rPr>
              <w:t xml:space="preserve"> </w:t>
            </w:r>
          </w:p>
          <w:p w:rsidR="004D6F0E" w:rsidRDefault="00490F21">
            <w:pPr>
              <w:spacing w:after="329" w:line="216" w:lineRule="auto"/>
              <w:ind w:left="13" w:right="4829" w:firstLine="703"/>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454527</wp:posOffset>
                      </wp:positionH>
                      <wp:positionV relativeFrom="paragraph">
                        <wp:posOffset>51754</wp:posOffset>
                      </wp:positionV>
                      <wp:extent cx="986028" cy="492654"/>
                      <wp:effectExtent l="0" t="0" r="0" b="0"/>
                      <wp:wrapSquare wrapText="bothSides"/>
                      <wp:docPr id="414095" name="Group 414095"/>
                      <wp:cNvGraphicFramePr/>
                      <a:graphic xmlns:a="http://schemas.openxmlformats.org/drawingml/2006/main">
                        <a:graphicData uri="http://schemas.microsoft.com/office/word/2010/wordprocessingGroup">
                          <wpg:wgp>
                            <wpg:cNvGrpSpPr/>
                            <wpg:grpSpPr>
                              <a:xfrm>
                                <a:off x="0" y="0"/>
                                <a:ext cx="986028" cy="492654"/>
                                <a:chOff x="0" y="0"/>
                                <a:chExt cx="986028" cy="492654"/>
                              </a:xfrm>
                            </wpg:grpSpPr>
                            <wps:wsp>
                              <wps:cNvPr id="413003" name="Rectangle 413003"/>
                              <wps:cNvSpPr/>
                              <wps:spPr>
                                <a:xfrm>
                                  <a:off x="41151" y="84586"/>
                                  <a:ext cx="189037"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100</w:t>
                                    </w:r>
                                  </w:p>
                                </w:txbxContent>
                              </wps:txbx>
                              <wps:bodyPr horzOverflow="overflow" vert="horz" lIns="0" tIns="0" rIns="0" bIns="0" rtlCol="0">
                                <a:noAutofit/>
                              </wps:bodyPr>
                            </wps:wsp>
                            <wps:wsp>
                              <wps:cNvPr id="413004" name="Rectangle 413004"/>
                              <wps:cNvSpPr/>
                              <wps:spPr>
                                <a:xfrm>
                                  <a:off x="184404" y="84586"/>
                                  <a:ext cx="97414"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w:t>
                                    </w:r>
                                  </w:p>
                                </w:txbxContent>
                              </wps:txbx>
                              <wps:bodyPr horzOverflow="overflow" vert="horz" lIns="0" tIns="0" rIns="0" bIns="0" rtlCol="0">
                                <a:noAutofit/>
                              </wps:bodyPr>
                            </wps:wsp>
                            <wps:wsp>
                              <wps:cNvPr id="2859" name="Rectangle 2859"/>
                              <wps:cNvSpPr/>
                              <wps:spPr>
                                <a:xfrm>
                                  <a:off x="259071" y="84586"/>
                                  <a:ext cx="24080"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 xml:space="preserve"> </w:t>
                                    </w:r>
                                  </w:p>
                                </w:txbxContent>
                              </wps:txbx>
                              <wps:bodyPr horzOverflow="overflow" vert="horz" lIns="0" tIns="0" rIns="0" bIns="0" rtlCol="0">
                                <a:noAutofit/>
                              </wps:bodyPr>
                            </wps:wsp>
                            <wps:wsp>
                              <wps:cNvPr id="413005" name="Rectangle 413005"/>
                              <wps:cNvSpPr/>
                              <wps:spPr>
                                <a:xfrm>
                                  <a:off x="277340" y="84586"/>
                                  <a:ext cx="142399"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w:t>
                                    </w:r>
                                    <w:r>
                                      <w:rPr>
                                        <w:rFonts w:ascii="Cambria Math" w:eastAsia="Cambria Math" w:hAnsi="Cambria Math" w:cs="Cambria Math"/>
                                        <w:sz w:val="13"/>
                                      </w:rPr>
                                      <w:t>4</w:t>
                                    </w:r>
                                  </w:p>
                                </w:txbxContent>
                              </wps:txbx>
                              <wps:bodyPr horzOverflow="overflow" vert="horz" lIns="0" tIns="0" rIns="0" bIns="0" rtlCol="0">
                                <a:noAutofit/>
                              </wps:bodyPr>
                            </wps:wsp>
                            <wps:wsp>
                              <wps:cNvPr id="413007" name="Rectangle 413007"/>
                              <wps:cNvSpPr/>
                              <wps:spPr>
                                <a:xfrm>
                                  <a:off x="384004" y="84586"/>
                                  <a:ext cx="97414"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w:t>
                                    </w:r>
                                  </w:p>
                                </w:txbxContent>
                              </wps:txbx>
                              <wps:bodyPr horzOverflow="overflow" vert="horz" lIns="0" tIns="0" rIns="0" bIns="0" rtlCol="0">
                                <a:noAutofit/>
                              </wps:bodyPr>
                            </wps:wsp>
                            <wps:wsp>
                              <wps:cNvPr id="657673" name="Shape 657673"/>
                              <wps:cNvSpPr/>
                              <wps:spPr>
                                <a:xfrm>
                                  <a:off x="0" y="49551"/>
                                  <a:ext cx="498348" cy="9144"/>
                                </a:xfrm>
                                <a:custGeom>
                                  <a:avLst/>
                                  <a:gdLst/>
                                  <a:ahLst/>
                                  <a:cxnLst/>
                                  <a:rect l="0" t="0" r="0" b="0"/>
                                  <a:pathLst>
                                    <a:path w="498348" h="9144">
                                      <a:moveTo>
                                        <a:pt x="0" y="0"/>
                                      </a:moveTo>
                                      <a:lnTo>
                                        <a:pt x="498348" y="0"/>
                                      </a:lnTo>
                                      <a:lnTo>
                                        <a:pt x="498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2" name="Rectangle 2862"/>
                              <wps:cNvSpPr/>
                              <wps:spPr>
                                <a:xfrm>
                                  <a:off x="498348" y="0"/>
                                  <a:ext cx="150039" cy="150275"/>
                                </a:xfrm>
                                <a:prstGeom prst="rect">
                                  <a:avLst/>
                                </a:prstGeom>
                                <a:ln>
                                  <a:noFill/>
                                </a:ln>
                              </wps:spPr>
                              <wps:txbx>
                                <w:txbxContent>
                                  <w:p w:rsidR="004D6F0E" w:rsidRDefault="00490F21">
                                    <w:pPr>
                                      <w:spacing w:after="160" w:line="259" w:lineRule="auto"/>
                                      <w:ind w:left="0" w:firstLine="0"/>
                                    </w:pPr>
                                    <w:r>
                                      <w:rPr>
                                        <w:rFonts w:ascii="Arial" w:eastAsia="Arial" w:hAnsi="Arial" w:cs="Arial"/>
                                      </w:rPr>
                                      <w:t xml:space="preserve"> = </w:t>
                                    </w:r>
                                  </w:p>
                                </w:txbxContent>
                              </wps:txbx>
                              <wps:bodyPr horzOverflow="overflow" vert="horz" lIns="0" tIns="0" rIns="0" bIns="0" rtlCol="0">
                                <a:noAutofit/>
                              </wps:bodyPr>
                            </wps:wsp>
                            <wps:wsp>
                              <wps:cNvPr id="2867" name="Rectangle 2867"/>
                              <wps:cNvSpPr/>
                              <wps:spPr>
                                <a:xfrm>
                                  <a:off x="719328" y="84599"/>
                                  <a:ext cx="63374"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0</w:t>
                                    </w:r>
                                  </w:p>
                                </w:txbxContent>
                              </wps:txbx>
                              <wps:bodyPr horzOverflow="overflow" vert="horz" lIns="0" tIns="0" rIns="0" bIns="0" rtlCol="0">
                                <a:noAutofit/>
                              </wps:bodyPr>
                            </wps:wsp>
                            <wps:wsp>
                              <wps:cNvPr id="2868" name="Rectangle 2868"/>
                              <wps:cNvSpPr/>
                              <wps:spPr>
                                <a:xfrm>
                                  <a:off x="768130" y="84599"/>
                                  <a:ext cx="22438"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w:t>
                                    </w:r>
                                  </w:p>
                                </w:txbxContent>
                              </wps:txbx>
                              <wps:bodyPr horzOverflow="overflow" vert="horz" lIns="0" tIns="0" rIns="0" bIns="0" rtlCol="0">
                                <a:noAutofit/>
                              </wps:bodyPr>
                            </wps:wsp>
                            <wps:wsp>
                              <wps:cNvPr id="2869" name="Rectangle 2869"/>
                              <wps:cNvSpPr/>
                              <wps:spPr>
                                <a:xfrm>
                                  <a:off x="784918" y="84599"/>
                                  <a:ext cx="124120" cy="109453"/>
                                </a:xfrm>
                                <a:prstGeom prst="rect">
                                  <a:avLst/>
                                </a:prstGeom>
                                <a:ln>
                                  <a:noFill/>
                                </a:ln>
                              </wps:spPr>
                              <wps:txbx>
                                <w:txbxContent>
                                  <w:p w:rsidR="004D6F0E" w:rsidRDefault="00490F21">
                                    <w:pPr>
                                      <w:spacing w:after="160" w:line="259" w:lineRule="auto"/>
                                      <w:ind w:left="0" w:firstLine="0"/>
                                    </w:pPr>
                                    <w:r>
                                      <w:rPr>
                                        <w:rFonts w:ascii="Cambria Math" w:eastAsia="Cambria Math" w:hAnsi="Cambria Math" w:cs="Cambria Math"/>
                                        <w:sz w:val="13"/>
                                      </w:rPr>
                                      <w:t>96</w:t>
                                    </w:r>
                                  </w:p>
                                </w:txbxContent>
                              </wps:txbx>
                              <wps:bodyPr horzOverflow="overflow" vert="horz" lIns="0" tIns="0" rIns="0" bIns="0" rtlCol="0">
                                <a:noAutofit/>
                              </wps:bodyPr>
                            </wps:wsp>
                            <wps:wsp>
                              <wps:cNvPr id="657674" name="Shape 657674"/>
                              <wps:cNvSpPr/>
                              <wps:spPr>
                                <a:xfrm>
                                  <a:off x="612648" y="49551"/>
                                  <a:ext cx="373380" cy="9144"/>
                                </a:xfrm>
                                <a:custGeom>
                                  <a:avLst/>
                                  <a:gdLst/>
                                  <a:ahLst/>
                                  <a:cxnLst/>
                                  <a:rect l="0" t="0" r="0" b="0"/>
                                  <a:pathLst>
                                    <a:path w="373380" h="9144">
                                      <a:moveTo>
                                        <a:pt x="0" y="0"/>
                                      </a:moveTo>
                                      <a:lnTo>
                                        <a:pt x="373380" y="0"/>
                                      </a:lnTo>
                                      <a:lnTo>
                                        <a:pt x="3733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 name="Rectangle 2875"/>
                              <wps:cNvSpPr/>
                              <wps:spPr>
                                <a:xfrm>
                                  <a:off x="195072" y="274734"/>
                                  <a:ext cx="437815" cy="109454"/>
                                </a:xfrm>
                                <a:prstGeom prst="rect">
                                  <a:avLst/>
                                </a:prstGeom>
                                <a:ln>
                                  <a:noFill/>
                                </a:ln>
                              </wps:spPr>
                              <wps:txbx>
                                <w:txbxContent>
                                  <w:p w:rsidR="004D6F0E" w:rsidRDefault="00490F21">
                                    <w:pPr>
                                      <w:spacing w:after="160" w:line="259" w:lineRule="auto"/>
                                      <w:ind w:left="0" w:firstLine="0"/>
                                    </w:pPr>
                                    <w:r>
                                      <w:rPr>
                                        <w:w w:val="99"/>
                                        <w:sz w:val="13"/>
                                      </w:rPr>
                                      <w:t>投資金額</w:t>
                                    </w:r>
                                  </w:p>
                                </w:txbxContent>
                              </wps:txbx>
                              <wps:bodyPr horzOverflow="overflow" vert="horz" lIns="0" tIns="0" rIns="0" bIns="0" rtlCol="0">
                                <a:noAutofit/>
                              </wps:bodyPr>
                            </wps:wsp>
                            <wps:wsp>
                              <wps:cNvPr id="2876" name="Rectangle 2876"/>
                              <wps:cNvSpPr/>
                              <wps:spPr>
                                <a:xfrm>
                                  <a:off x="236220" y="410357"/>
                                  <a:ext cx="328361" cy="109454"/>
                                </a:xfrm>
                                <a:prstGeom prst="rect">
                                  <a:avLst/>
                                </a:prstGeom>
                                <a:ln>
                                  <a:noFill/>
                                </a:ln>
                              </wps:spPr>
                              <wps:txbx>
                                <w:txbxContent>
                                  <w:p w:rsidR="004D6F0E" w:rsidRDefault="00490F21">
                                    <w:pPr>
                                      <w:spacing w:after="160" w:line="259" w:lineRule="auto"/>
                                      <w:ind w:left="0" w:firstLine="0"/>
                                    </w:pPr>
                                    <w:r>
                                      <w:rPr>
                                        <w:sz w:val="13"/>
                                      </w:rPr>
                                      <w:t>購買價</w:t>
                                    </w:r>
                                  </w:p>
                                </w:txbxContent>
                              </wps:txbx>
                              <wps:bodyPr horzOverflow="overflow" vert="horz" lIns="0" tIns="0" rIns="0" bIns="0" rtlCol="0">
                                <a:noAutofit/>
                              </wps:bodyPr>
                            </wps:wsp>
                            <wps:wsp>
                              <wps:cNvPr id="657679" name="Shape 657679"/>
                              <wps:cNvSpPr/>
                              <wps:spPr>
                                <a:xfrm>
                                  <a:off x="195072" y="377211"/>
                                  <a:ext cx="330708" cy="9144"/>
                                </a:xfrm>
                                <a:custGeom>
                                  <a:avLst/>
                                  <a:gdLst/>
                                  <a:ahLst/>
                                  <a:cxnLst/>
                                  <a:rect l="0" t="0" r="0" b="0"/>
                                  <a:pathLst>
                                    <a:path w="330708" h="9144">
                                      <a:moveTo>
                                        <a:pt x="0" y="0"/>
                                      </a:moveTo>
                                      <a:lnTo>
                                        <a:pt x="330708" y="0"/>
                                      </a:lnTo>
                                      <a:lnTo>
                                        <a:pt x="3307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 name="Rectangle 2878"/>
                              <wps:cNvSpPr/>
                              <wps:spPr>
                                <a:xfrm>
                                  <a:off x="525780" y="321663"/>
                                  <a:ext cx="60688" cy="160126"/>
                                </a:xfrm>
                                <a:prstGeom prst="rect">
                                  <a:avLst/>
                                </a:prstGeom>
                                <a:ln>
                                  <a:noFill/>
                                </a:ln>
                              </wps:spPr>
                              <wps:txbx>
                                <w:txbxContent>
                                  <w:p w:rsidR="004D6F0E" w:rsidRDefault="004D6F0E">
                                    <w:pPr>
                                      <w:spacing w:after="160" w:line="259" w:lineRule="auto"/>
                                      <w:ind w:left="0" w:firstLine="0"/>
                                    </w:pPr>
                                  </w:p>
                                </w:txbxContent>
                              </wps:txbx>
                              <wps:bodyPr horzOverflow="overflow" vert="horz" lIns="0" tIns="0" rIns="0" bIns="0" rtlCol="0">
                                <a:noAutofit/>
                              </wps:bodyPr>
                            </wps:wsp>
                            <wps:wsp>
                              <wps:cNvPr id="2879" name="Rectangle 2879"/>
                              <wps:cNvSpPr/>
                              <wps:spPr>
                                <a:xfrm>
                                  <a:off x="571531" y="327660"/>
                                  <a:ext cx="36509" cy="150275"/>
                                </a:xfrm>
                                <a:prstGeom prst="rect">
                                  <a:avLst/>
                                </a:prstGeom>
                                <a:ln>
                                  <a:noFill/>
                                </a:ln>
                              </wps:spPr>
                              <wps:txbx>
                                <w:txbxContent>
                                  <w:p w:rsidR="004D6F0E" w:rsidRDefault="00490F21">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g:wgp>
                        </a:graphicData>
                      </a:graphic>
                    </wp:anchor>
                  </w:drawing>
                </mc:Choice>
                <mc:Fallback>
                  <w:pict>
                    <v:group id="Group 414095" o:spid="_x0000_s1026" style="position:absolute;left:0;text-align:left;margin-left:35.8pt;margin-top:4.1pt;width:77.65pt;height:38.8pt;z-index:251658240" coordsize="9860,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">
                      <v:rect id="Rectangle 413003" o:spid="_x0000_s1027" style="position:absolute;left:411;top:845;width:1890;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100</w:t>
                              </w:r>
                            </w:p>
                          </w:txbxContent>
                        </v:textbox>
                      </v:rect>
                      <v:rect id="Rectangle 413004" o:spid="_x0000_s1028" style="position:absolute;left:1844;top:845;width:97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w:t>
                              </w:r>
                            </w:p>
                          </w:txbxContent>
                        </v:textbox>
                      </v:rect>
                      <v:rect id="Rectangle 2859" o:spid="_x0000_s1029" style="position:absolute;left:2590;top:845;width:241;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 xml:space="preserve"> </w:t>
                              </w:r>
                            </w:p>
                          </w:txbxContent>
                        </v:textbox>
                      </v:rect>
                      <v:rect id="Rectangle 413005" o:spid="_x0000_s1030" style="position:absolute;left:2773;top:845;width:142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w:t>
                              </w:r>
                              <w:r>
                                <w:rPr>
                                  <w:rFonts w:ascii="Cambria Math" w:eastAsia="Cambria Math" w:hAnsi="Cambria Math" w:cs="Cambria Math"/>
                                  <w:sz w:val="13"/>
                                </w:rPr>
                                <w:t>4</w:t>
                              </w:r>
                            </w:p>
                          </w:txbxContent>
                        </v:textbox>
                      </v:rect>
                      <v:rect id="Rectangle 413007" o:spid="_x0000_s1031" style="position:absolute;left:3840;top:845;width:97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w:t>
                              </w:r>
                            </w:p>
                          </w:txbxContent>
                        </v:textbox>
                      </v:rect>
                      <v:shape id="Shape 657673" o:spid="_x0000_s1032" style="position:absolute;top:495;width:4983;height:91;visibility:visible;mso-wrap-style:square;v-text-anchor:top" coordsize="4983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" path="m,l498348,r,9144l,9144,,e" fillcolor="black" stroked="f" strokeweight="0">
                        <v:stroke miterlimit="83231f" joinstyle="miter"/>
                        <v:path arrowok="t" textboxrect="0,0,498348,9144"/>
                      </v:shape>
                      <v:rect id="Rectangle 2862" o:spid="_x0000_s1033" style="position:absolute;left:4983;width:150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rPr>
                                <w:t xml:space="preserve"> = </w:t>
                              </w:r>
                            </w:p>
                          </w:txbxContent>
                        </v:textbox>
                      </v:rect>
                      <v:rect id="Rectangle 2867" o:spid="_x0000_s1034" style="position:absolute;left:7193;top:845;width:63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0</w:t>
                              </w:r>
                            </w:p>
                          </w:txbxContent>
                        </v:textbox>
                      </v:rect>
                      <v:rect id="Rectangle 2868" o:spid="_x0000_s1035" style="position:absolute;left:7681;top:845;width:22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w:t>
                              </w:r>
                            </w:p>
                          </w:txbxContent>
                        </v:textbox>
                      </v:rect>
                      <v:rect id="Rectangle 2869" o:spid="_x0000_s1036" style="position:absolute;left:7849;top:845;width:1241;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rsidR="004D6F0E" w:rsidRDefault="00490F21">
                              <w:pPr>
                                <w:spacing w:after="160" w:line="259" w:lineRule="auto"/>
                                <w:ind w:left="0" w:firstLine="0"/>
                              </w:pPr>
                              <w:r>
                                <w:rPr>
                                  <w:rFonts w:ascii="Cambria Math" w:eastAsia="Cambria Math" w:hAnsi="Cambria Math" w:cs="Cambria Math"/>
                                  <w:sz w:val="13"/>
                                </w:rPr>
                                <w:t>96</w:t>
                              </w:r>
                            </w:p>
                          </w:txbxContent>
                        </v:textbox>
                      </v:rect>
                      <v:shape id="Shape 657674" o:spid="_x0000_s1037" style="position:absolute;left:6126;top:495;width:3734;height:91;visibility:visible;mso-wrap-style:square;v-text-anchor:top" coordsize="3733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" path="m,l373380,r,9144l,9144,,e" fillcolor="black" stroked="f" strokeweight="0">
                        <v:stroke miterlimit="83231f" joinstyle="miter"/>
                        <v:path arrowok="t" textboxrect="0,0,373380,9144"/>
                      </v:shape>
                      <v:rect id="Rectangle 2875" o:spid="_x0000_s1038" style="position:absolute;left:1950;top:2747;width:4378;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rsidR="004D6F0E" w:rsidRDefault="00490F21">
                              <w:pPr>
                                <w:spacing w:after="160" w:line="259" w:lineRule="auto"/>
                                <w:ind w:left="0" w:firstLine="0"/>
                              </w:pPr>
                              <w:r>
                                <w:rPr>
                                  <w:w w:val="99"/>
                                  <w:sz w:val="13"/>
                                </w:rPr>
                                <w:t>投資金額</w:t>
                              </w:r>
                            </w:p>
                          </w:txbxContent>
                        </v:textbox>
                      </v:rect>
                      <v:rect id="Rectangle 2876" o:spid="_x0000_s1039" style="position:absolute;left:2362;top:4103;width:3283;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rsidR="004D6F0E" w:rsidRDefault="00490F21">
                              <w:pPr>
                                <w:spacing w:after="160" w:line="259" w:lineRule="auto"/>
                                <w:ind w:left="0" w:firstLine="0"/>
                              </w:pPr>
                              <w:r>
                                <w:rPr>
                                  <w:sz w:val="13"/>
                                </w:rPr>
                                <w:t>購買價</w:t>
                              </w:r>
                            </w:p>
                          </w:txbxContent>
                        </v:textbox>
                      </v:rect>
                      <v:shape id="Shape 657679" o:spid="_x0000_s1040" style="position:absolute;left:1950;top:3772;width:3307;height:91;visibility:visible;mso-wrap-style:square;v-text-anchor:top" coordsize="3307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" path="m,l330708,r,9144l,9144,,e" fillcolor="black" stroked="f" strokeweight="0">
                        <v:stroke miterlimit="83231f" joinstyle="miter"/>
                        <v:path arrowok="t" textboxrect="0,0,330708,9144"/>
                      </v:shape>
                      <v:rect id="Rectangle 2878" o:spid="_x0000_s1041" style="position:absolute;left:5257;top:3216;width:607;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rsidR="004D6F0E" w:rsidRDefault="004D6F0E">
                              <w:pPr>
                                <w:spacing w:after="160" w:line="259" w:lineRule="auto"/>
                                <w:ind w:left="0" w:firstLine="0"/>
                              </w:pPr>
                            </w:p>
                          </w:txbxContent>
                        </v:textbox>
                      </v:rect>
                      <v:rect id="Rectangle 2879" o:spid="_x0000_s1042" style="position:absolute;left:5715;top:3276;width:36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rPr>
                                <w:t xml:space="preserve"> </w:t>
                              </w:r>
                            </w:p>
                          </w:txbxContent>
                        </v:textbox>
                      </v:rect>
                      <w10:wrap type="square"/>
                    </v:group>
                  </w:pict>
                </mc:Fallback>
              </mc:AlternateContent>
            </w:r>
            <w:r>
              <w:rPr>
                <w:rFonts w:ascii="Cambria Math" w:eastAsia="Cambria Math" w:hAnsi="Cambria Math" w:cs="Cambria Math"/>
                <w:sz w:val="13"/>
              </w:rPr>
              <w:t>10.00</w:t>
            </w:r>
            <w:r>
              <w:rPr>
                <w:sz w:val="13"/>
              </w:rPr>
              <w:t>美元</w:t>
            </w:r>
            <w:r>
              <w:rPr>
                <w:rFonts w:ascii="Cambria Math" w:eastAsia="Cambria Math" w:hAnsi="Cambria Math" w:cs="Cambria Math"/>
                <w:sz w:val="13"/>
              </w:rPr>
              <w:t>−</w:t>
            </w:r>
            <w:r>
              <w:rPr>
                <w:rFonts w:ascii="Cambria Math" w:eastAsia="Cambria Math" w:hAnsi="Cambria Math" w:cs="Cambria Math"/>
                <w:sz w:val="13"/>
              </w:rPr>
              <w:t xml:space="preserve"> 0 10.00</w:t>
            </w:r>
            <w:r>
              <w:rPr>
                <w:sz w:val="13"/>
              </w:rPr>
              <w:t>美元</w:t>
            </w:r>
            <w:r>
              <w:t>購買價</w:t>
            </w:r>
            <w:r>
              <w:rPr>
                <w:rFonts w:ascii="Arial" w:eastAsia="Arial" w:hAnsi="Arial" w:cs="Arial"/>
              </w:rPr>
              <w:t xml:space="preserve">= </w:t>
            </w:r>
            <w:r>
              <w:rPr>
                <w:rFonts w:ascii="Arial" w:eastAsia="Arial" w:hAnsi="Arial" w:cs="Arial"/>
              </w:rPr>
              <w:tab/>
              <w:t xml:space="preserve"> </w:t>
            </w:r>
          </w:p>
          <w:p w:rsidR="004D6F0E" w:rsidRDefault="00490F21">
            <w:pPr>
              <w:spacing w:after="534" w:line="259" w:lineRule="auto"/>
              <w:ind w:left="13" w:firstLine="0"/>
            </w:pPr>
            <w:r>
              <w:t>分配股份</w:t>
            </w:r>
            <w:r>
              <w:rPr>
                <w:rFonts w:ascii="Arial" w:eastAsia="Arial" w:hAnsi="Arial" w:cs="Arial"/>
              </w:rPr>
              <w:t xml:space="preserve"> = </w:t>
            </w:r>
          </w:p>
          <w:p w:rsidR="004D6F0E" w:rsidRDefault="00490F21">
            <w:pPr>
              <w:spacing w:after="13" w:line="259" w:lineRule="auto"/>
              <w:ind w:left="903" w:firstLine="0"/>
            </w:pPr>
            <w:r>
              <w:rPr>
                <w:rFonts w:ascii="Cambria Math" w:eastAsia="Cambria Math" w:hAnsi="Cambria Math" w:cs="Cambria Math"/>
                <w:sz w:val="13"/>
              </w:rPr>
              <w:t>10,000</w:t>
            </w:r>
            <w:r>
              <w:rPr>
                <w:sz w:val="13"/>
              </w:rPr>
              <w:t>美元</w:t>
            </w:r>
          </w:p>
          <w:p w:rsidR="004D6F0E" w:rsidRDefault="00490F21">
            <w:pPr>
              <w:spacing w:after="0" w:line="259" w:lineRule="auto"/>
              <w:ind w:left="13"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561207</wp:posOffset>
                      </wp:positionH>
                      <wp:positionV relativeFrom="paragraph">
                        <wp:posOffset>32991</wp:posOffset>
                      </wp:positionV>
                      <wp:extent cx="445008" cy="115823"/>
                      <wp:effectExtent l="0" t="0" r="0" b="0"/>
                      <wp:wrapNone/>
                      <wp:docPr id="414096" name="Group 414096"/>
                      <wp:cNvGraphicFramePr/>
                      <a:graphic xmlns:a="http://schemas.openxmlformats.org/drawingml/2006/main">
                        <a:graphicData uri="http://schemas.microsoft.com/office/word/2010/wordprocessingGroup">
                          <wpg:wgp>
                            <wpg:cNvGrpSpPr/>
                            <wpg:grpSpPr>
                              <a:xfrm>
                                <a:off x="0" y="0"/>
                                <a:ext cx="445008" cy="115823"/>
                                <a:chOff x="0" y="0"/>
                                <a:chExt cx="445008" cy="115823"/>
                              </a:xfrm>
                            </wpg:grpSpPr>
                            <wps:wsp>
                              <wps:cNvPr id="657687" name="Shape 657687"/>
                              <wps:cNvSpPr/>
                              <wps:spPr>
                                <a:xfrm>
                                  <a:off x="62484" y="109714"/>
                                  <a:ext cx="320040" cy="9144"/>
                                </a:xfrm>
                                <a:custGeom>
                                  <a:avLst/>
                                  <a:gdLst/>
                                  <a:ahLst/>
                                  <a:cxnLst/>
                                  <a:rect l="0" t="0" r="0" b="0"/>
                                  <a:pathLst>
                                    <a:path w="320040" h="9144">
                                      <a:moveTo>
                                        <a:pt x="0" y="0"/>
                                      </a:moveTo>
                                      <a:lnTo>
                                        <a:pt x="320040" y="0"/>
                                      </a:lnTo>
                                      <a:lnTo>
                                        <a:pt x="3200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88" name="Shape 657688"/>
                              <wps:cNvSpPr/>
                              <wps:spPr>
                                <a:xfrm>
                                  <a:off x="0"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096" style="width:35.04pt;height:9.11993pt;position:absolute;z-index:-2147483562;mso-position-horizontal-relative:text;mso-position-horizontal:absolute;margin-left:44.1895pt;mso-position-vertical-relative:text;margin-top:2.59769pt;" coordsize="4450,1158">
                      <v:shape id="Shape 657689" style="position:absolute;width:3200;height:91;left:624;top:1097;" coordsize="320040,9144" path="m0,0l320040,0l320040,9144l0,9144l0,0">
                        <v:stroke weight="0pt" endcap="flat" joinstyle="miter" miterlimit="10" on="false" color="#000000" opacity="0"/>
                        <v:fill on="true" color="#000000"/>
                      </v:shape>
                      <v:shape id="Shape 657690" style="position:absolute;width:4450;height:91;left:0;top:0;" coordsize="445008,9144" path="m0,0l445008,0l445008,9144l0,9144l0,0">
                        <v:stroke weight="0pt" endcap="flat" joinstyle="miter" miterlimit="10" on="false" color="#000000" opacity="0"/>
                        <v:fill on="true" color="#000000"/>
                      </v:shape>
                    </v:group>
                  </w:pict>
                </mc:Fallback>
              </mc:AlternateContent>
            </w:r>
            <w:r>
              <w:rPr>
                <w:rFonts w:ascii="Arial" w:eastAsia="Arial" w:hAnsi="Arial" w:cs="Arial"/>
              </w:rPr>
              <w:t xml:space="preserve">                 = </w:t>
            </w:r>
            <w:r>
              <w:rPr>
                <w:rFonts w:ascii="Cambria Math" w:eastAsia="Cambria Math" w:hAnsi="Cambria Math" w:cs="Cambria Math"/>
                <w:sz w:val="17"/>
                <w:vertAlign w:val="subscript"/>
              </w:rPr>
              <w:t>10.00</w:t>
            </w:r>
            <w:r>
              <w:rPr>
                <w:sz w:val="17"/>
                <w:vertAlign w:val="subscript"/>
              </w:rPr>
              <w:t>美元</w:t>
            </w:r>
            <w:r>
              <w:rPr>
                <w:rFonts w:ascii="Arial" w:eastAsia="Arial" w:hAnsi="Arial" w:cs="Arial"/>
              </w:rPr>
              <w:t xml:space="preserve"> = 959.693 </w:t>
            </w:r>
          </w:p>
          <w:p w:rsidR="004D6F0E" w:rsidRDefault="00490F21">
            <w:pPr>
              <w:spacing w:after="0" w:line="259" w:lineRule="auto"/>
              <w:ind w:left="1124" w:firstLine="0"/>
            </w:pPr>
            <w:r>
              <w:rPr>
                <w:rFonts w:ascii="Cambria Math" w:eastAsia="Cambria Math" w:hAnsi="Cambria Math" w:cs="Cambria Math"/>
                <w:sz w:val="11"/>
              </w:rPr>
              <w:t>0.96</w:t>
            </w:r>
          </w:p>
        </w:tc>
      </w:tr>
      <w:tr w:rsidR="004D6F0E">
        <w:trPr>
          <w:trHeight w:val="3586"/>
        </w:trPr>
        <w:tc>
          <w:tcPr>
            <w:tcW w:w="1223" w:type="dxa"/>
            <w:tcBorders>
              <w:top w:val="single" w:sz="4" w:space="0" w:color="000000"/>
              <w:left w:val="single" w:sz="4" w:space="0" w:color="000000"/>
              <w:bottom w:val="single" w:sz="4" w:space="0" w:color="000000"/>
              <w:right w:val="nil"/>
            </w:tcBorders>
          </w:tcPr>
          <w:p w:rsidR="004D6F0E" w:rsidRDefault="00490F21">
            <w:pPr>
              <w:spacing w:after="0" w:line="259" w:lineRule="auto"/>
              <w:ind w:left="108" w:firstLine="0"/>
            </w:pPr>
            <w:r>
              <w:t>舉例</w:t>
            </w:r>
            <w:r>
              <w:rPr>
                <w:rFonts w:ascii="Arial" w:eastAsia="Arial" w:hAnsi="Arial" w:cs="Arial"/>
              </w:rPr>
              <w:t>2</w:t>
            </w:r>
            <w:r>
              <w:t>：</w:t>
            </w:r>
            <w:r>
              <w:rPr>
                <w:rFonts w:ascii="Arial" w:eastAsia="Arial" w:hAnsi="Arial" w:cs="Arial"/>
              </w:rPr>
              <w:t xml:space="preserve"> </w:t>
            </w:r>
          </w:p>
        </w:tc>
        <w:tc>
          <w:tcPr>
            <w:tcW w:w="7870" w:type="dxa"/>
            <w:tcBorders>
              <w:top w:val="single" w:sz="4" w:space="0" w:color="000000"/>
              <w:left w:val="nil"/>
              <w:bottom w:val="single" w:sz="4" w:space="0" w:color="000000"/>
              <w:right w:val="single" w:sz="4" w:space="0" w:color="000000"/>
            </w:tcBorders>
          </w:tcPr>
          <w:p w:rsidR="004D6F0E" w:rsidRDefault="00490F21">
            <w:pPr>
              <w:spacing w:after="3" w:line="259" w:lineRule="auto"/>
              <w:ind w:left="0" w:firstLine="0"/>
            </w:pPr>
            <w:r>
              <w:rPr>
                <w:sz w:val="20"/>
              </w:rPr>
              <w:t>假設：</w:t>
            </w:r>
            <w:r>
              <w:rPr>
                <w:rFonts w:ascii="Arial" w:eastAsia="Arial" w:hAnsi="Arial" w:cs="Arial"/>
                <w:i/>
              </w:rPr>
              <w:t xml:space="preserve"> </w:t>
            </w:r>
          </w:p>
          <w:p w:rsidR="004D6F0E" w:rsidRDefault="00490F21">
            <w:pPr>
              <w:spacing w:after="1" w:line="259" w:lineRule="auto"/>
              <w:ind w:left="0" w:firstLine="0"/>
            </w:pPr>
            <w:r>
              <w:rPr>
                <w:sz w:val="20"/>
              </w:rPr>
              <w:t>首次銷售費</w:t>
            </w:r>
            <w:r>
              <w:rPr>
                <w:rFonts w:ascii="Arial" w:eastAsia="Arial" w:hAnsi="Arial" w:cs="Arial"/>
                <w:i/>
              </w:rPr>
              <w:t xml:space="preserve"> = 1% </w:t>
            </w:r>
          </w:p>
          <w:p w:rsidR="004D6F0E" w:rsidRDefault="00490F21">
            <w:pPr>
              <w:spacing w:after="110" w:line="259" w:lineRule="auto"/>
              <w:ind w:left="0" w:firstLine="0"/>
            </w:pPr>
            <w:r>
              <w:rPr>
                <w:sz w:val="20"/>
              </w:rPr>
              <w:t>毋須對購買價作出調整</w:t>
            </w:r>
            <w:r>
              <w:rPr>
                <w:rFonts w:ascii="Arial" w:eastAsia="Arial" w:hAnsi="Arial" w:cs="Arial"/>
                <w:i/>
              </w:rPr>
              <w:t xml:space="preserve"> </w:t>
            </w:r>
          </w:p>
          <w:p w:rsidR="004D6F0E" w:rsidRDefault="00490F21">
            <w:pPr>
              <w:spacing w:after="0" w:line="259" w:lineRule="auto"/>
              <w:ind w:left="862" w:firstLine="0"/>
            </w:pPr>
            <w:r>
              <w:rPr>
                <w:sz w:val="13"/>
              </w:rPr>
              <w:t>資產淨值</w:t>
            </w:r>
            <w:r>
              <w:rPr>
                <w:rFonts w:ascii="Cambria Math" w:eastAsia="Cambria Math" w:hAnsi="Cambria Math" w:cs="Cambria Math"/>
                <w:sz w:val="13"/>
              </w:rPr>
              <w:t xml:space="preserve"> –</w:t>
            </w:r>
            <w:r>
              <w:rPr>
                <w:sz w:val="13"/>
              </w:rPr>
              <w:t>調整</w:t>
            </w:r>
            <w:r>
              <w:rPr>
                <w:rFonts w:ascii="Cambria Math" w:eastAsia="Cambria Math" w:hAnsi="Cambria Math" w:cs="Cambria Math"/>
                <w:sz w:val="13"/>
              </w:rPr>
              <w:t>∗</w:t>
            </w:r>
          </w:p>
          <w:p w:rsidR="004D6F0E" w:rsidRDefault="00490F21">
            <w:pPr>
              <w:tabs>
                <w:tab w:val="center" w:pos="1947"/>
              </w:tabs>
              <w:spacing w:after="0" w:line="259" w:lineRule="auto"/>
              <w:ind w:left="0" w:firstLine="0"/>
            </w:pPr>
            <w:r>
              <w:t>購買價</w:t>
            </w:r>
            <w:r>
              <w:rPr>
                <w:rFonts w:ascii="Arial" w:eastAsia="Arial" w:hAnsi="Arial" w:cs="Arial"/>
              </w:rPr>
              <w:t xml:space="preserve">= </w:t>
            </w:r>
            <w:r>
              <w:rPr>
                <w:rFonts w:ascii="Arial" w:eastAsia="Arial" w:hAnsi="Arial" w:cs="Arial"/>
              </w:rPr>
              <w:tab/>
              <w:t xml:space="preserve"> </w:t>
            </w:r>
          </w:p>
          <w:p w:rsidR="004D6F0E" w:rsidRDefault="00490F21">
            <w:pPr>
              <w:spacing w:after="202" w:line="259" w:lineRule="auto"/>
              <w:ind w:left="716" w:firstLine="0"/>
            </w:pPr>
            <w:r>
              <w:rPr>
                <w:rFonts w:ascii="Cambria Math" w:eastAsia="Cambria Math" w:hAnsi="Cambria Math" w:cs="Cambria Math"/>
                <w:sz w:val="13"/>
              </w:rPr>
              <w:t>100% −</w:t>
            </w:r>
            <w:r>
              <w:rPr>
                <w:sz w:val="13"/>
              </w:rPr>
              <w:t>首次銷售費</w:t>
            </w:r>
            <w:r>
              <w:rPr>
                <w:rFonts w:ascii="Cambria Math" w:eastAsia="Cambria Math" w:hAnsi="Cambria Math" w:cs="Cambria Math"/>
                <w:sz w:val="13"/>
              </w:rPr>
              <w:t>%</w:t>
            </w:r>
          </w:p>
          <w:p w:rsidR="004D6F0E" w:rsidRDefault="00490F21">
            <w:pPr>
              <w:spacing w:after="116" w:line="259" w:lineRule="auto"/>
              <w:ind w:left="0" w:firstLine="0"/>
            </w:pPr>
            <w:r>
              <w:rPr>
                <w:sz w:val="20"/>
              </w:rPr>
              <w:t>因此，</w:t>
            </w:r>
            <w:r>
              <w:rPr>
                <w:rFonts w:ascii="Arial" w:eastAsia="Arial" w:hAnsi="Arial" w:cs="Arial"/>
                <w:i/>
              </w:rPr>
              <w:t xml:space="preserve"> </w:t>
            </w:r>
          </w:p>
          <w:p w:rsidR="004D6F0E" w:rsidRDefault="00490F21">
            <w:pPr>
              <w:spacing w:after="0" w:line="216" w:lineRule="auto"/>
              <w:ind w:left="13" w:right="4800" w:firstLine="703"/>
            </w:pPr>
            <w:r>
              <w:rPr>
                <w:rFonts w:ascii="Cambria Math" w:eastAsia="Cambria Math" w:hAnsi="Cambria Math" w:cs="Cambria Math"/>
                <w:sz w:val="13"/>
              </w:rPr>
              <w:t>10.00</w:t>
            </w:r>
            <w:r>
              <w:rPr>
                <w:sz w:val="13"/>
              </w:rPr>
              <w:t>美元</w:t>
            </w:r>
            <w:r>
              <w:rPr>
                <w:rFonts w:ascii="Cambria Math" w:eastAsia="Cambria Math" w:hAnsi="Cambria Math" w:cs="Cambria Math"/>
                <w:sz w:val="13"/>
              </w:rPr>
              <w:t xml:space="preserve"> − 0 10.00</w:t>
            </w:r>
            <w:r>
              <w:rPr>
                <w:sz w:val="13"/>
              </w:rPr>
              <w:t>美元</w:t>
            </w:r>
            <w:r>
              <w:t>購買價</w:t>
            </w:r>
            <w:r>
              <w:rPr>
                <w:rFonts w:ascii="Arial" w:eastAsia="Arial" w:hAnsi="Arial" w:cs="Arial"/>
              </w:rPr>
              <w:t xml:space="preserve">= </w:t>
            </w:r>
            <w:r>
              <w:rPr>
                <w:rFonts w:ascii="Arial" w:eastAsia="Arial" w:hAnsi="Arial" w:cs="Arial"/>
              </w:rPr>
              <w:tab/>
              <w:t xml:space="preserve"> = </w:t>
            </w:r>
            <w:r>
              <w:rPr>
                <w:rFonts w:ascii="Arial" w:eastAsia="Arial" w:hAnsi="Arial" w:cs="Arial"/>
              </w:rPr>
              <w:tab/>
              <w:t xml:space="preserve"> </w:t>
            </w:r>
          </w:p>
          <w:p w:rsidR="004D6F0E" w:rsidRDefault="00490F21">
            <w:pPr>
              <w:spacing w:after="0" w:line="484" w:lineRule="auto"/>
              <w:ind w:left="1023" w:right="5110" w:hanging="242"/>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454527</wp:posOffset>
                      </wp:positionH>
                      <wp:positionV relativeFrom="paragraph">
                        <wp:posOffset>-35024</wp:posOffset>
                      </wp:positionV>
                      <wp:extent cx="1004316" cy="827519"/>
                      <wp:effectExtent l="0" t="0" r="0" b="0"/>
                      <wp:wrapNone/>
                      <wp:docPr id="414409" name="Group 414409"/>
                      <wp:cNvGraphicFramePr/>
                      <a:graphic xmlns:a="http://schemas.openxmlformats.org/drawingml/2006/main">
                        <a:graphicData uri="http://schemas.microsoft.com/office/word/2010/wordprocessingGroup">
                          <wpg:wgp>
                            <wpg:cNvGrpSpPr/>
                            <wpg:grpSpPr>
                              <a:xfrm>
                                <a:off x="0" y="0"/>
                                <a:ext cx="1004316" cy="827519"/>
                                <a:chOff x="0" y="0"/>
                                <a:chExt cx="1004316" cy="827519"/>
                              </a:xfrm>
                            </wpg:grpSpPr>
                            <wps:wsp>
                              <wps:cNvPr id="657691" name="Shape 657691"/>
                              <wps:cNvSpPr/>
                              <wps:spPr>
                                <a:xfrm>
                                  <a:off x="0" y="0"/>
                                  <a:ext cx="516636" cy="9144"/>
                                </a:xfrm>
                                <a:custGeom>
                                  <a:avLst/>
                                  <a:gdLst/>
                                  <a:ahLst/>
                                  <a:cxnLst/>
                                  <a:rect l="0" t="0" r="0" b="0"/>
                                  <a:pathLst>
                                    <a:path w="516636" h="9144">
                                      <a:moveTo>
                                        <a:pt x="0" y="0"/>
                                      </a:moveTo>
                                      <a:lnTo>
                                        <a:pt x="516636" y="0"/>
                                      </a:lnTo>
                                      <a:lnTo>
                                        <a:pt x="5166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92" name="Shape 657692"/>
                              <wps:cNvSpPr/>
                              <wps:spPr>
                                <a:xfrm>
                                  <a:off x="630936" y="0"/>
                                  <a:ext cx="373380" cy="9144"/>
                                </a:xfrm>
                                <a:custGeom>
                                  <a:avLst/>
                                  <a:gdLst/>
                                  <a:ahLst/>
                                  <a:cxnLst/>
                                  <a:rect l="0" t="0" r="0" b="0"/>
                                  <a:pathLst>
                                    <a:path w="373380" h="9144">
                                      <a:moveTo>
                                        <a:pt x="0" y="0"/>
                                      </a:moveTo>
                                      <a:lnTo>
                                        <a:pt x="373380" y="0"/>
                                      </a:lnTo>
                                      <a:lnTo>
                                        <a:pt x="3733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93" name="Shape 657693"/>
                              <wps:cNvSpPr/>
                              <wps:spPr>
                                <a:xfrm>
                                  <a:off x="195072" y="326123"/>
                                  <a:ext cx="330708" cy="9144"/>
                                </a:xfrm>
                                <a:custGeom>
                                  <a:avLst/>
                                  <a:gdLst/>
                                  <a:ahLst/>
                                  <a:cxnLst/>
                                  <a:rect l="0" t="0" r="0" b="0"/>
                                  <a:pathLst>
                                    <a:path w="330708" h="9144">
                                      <a:moveTo>
                                        <a:pt x="0" y="0"/>
                                      </a:moveTo>
                                      <a:lnTo>
                                        <a:pt x="330708" y="0"/>
                                      </a:lnTo>
                                      <a:lnTo>
                                        <a:pt x="3307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94" name="Shape 657694"/>
                              <wps:cNvSpPr/>
                              <wps:spPr>
                                <a:xfrm>
                                  <a:off x="169164" y="821411"/>
                                  <a:ext cx="320040" cy="9144"/>
                                </a:xfrm>
                                <a:custGeom>
                                  <a:avLst/>
                                  <a:gdLst/>
                                  <a:ahLst/>
                                  <a:cxnLst/>
                                  <a:rect l="0" t="0" r="0" b="0"/>
                                  <a:pathLst>
                                    <a:path w="320040" h="9144">
                                      <a:moveTo>
                                        <a:pt x="0" y="0"/>
                                      </a:moveTo>
                                      <a:lnTo>
                                        <a:pt x="320040" y="0"/>
                                      </a:lnTo>
                                      <a:lnTo>
                                        <a:pt x="3200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95" name="Shape 657695"/>
                              <wps:cNvSpPr/>
                              <wps:spPr>
                                <a:xfrm>
                                  <a:off x="106680" y="711695"/>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409" style="width:79.08pt;height:65.159pt;position:absolute;z-index:-2147483490;mso-position-horizontal-relative:text;mso-position-horizontal:absolute;margin-left:35.7895pt;mso-position-vertical-relative:text;margin-top:-2.7579pt;" coordsize="10043,8275">
                      <v:shape id="Shape 657696" style="position:absolute;width:5166;height:91;left:0;top:0;" coordsize="516636,9144" path="m0,0l516636,0l516636,9144l0,9144l0,0">
                        <v:stroke weight="0pt" endcap="flat" joinstyle="miter" miterlimit="10" on="false" color="#000000" opacity="0"/>
                        <v:fill on="true" color="#000000"/>
                      </v:shape>
                      <v:shape id="Shape 657697" style="position:absolute;width:3733;height:91;left:6309;top:0;" coordsize="373380,9144" path="m0,0l373380,0l373380,9144l0,9144l0,0">
                        <v:stroke weight="0pt" endcap="flat" joinstyle="miter" miterlimit="10" on="false" color="#000000" opacity="0"/>
                        <v:fill on="true" color="#000000"/>
                      </v:shape>
                      <v:shape id="Shape 657698" style="position:absolute;width:3307;height:91;left:1950;top:3261;" coordsize="330708,9144" path="m0,0l330708,0l330708,9144l0,9144l0,0">
                        <v:stroke weight="0pt" endcap="flat" joinstyle="miter" miterlimit="10" on="false" color="#000000" opacity="0"/>
                        <v:fill on="true" color="#000000"/>
                      </v:shape>
                      <v:shape id="Shape 657699" style="position:absolute;width:3200;height:91;left:1691;top:8214;" coordsize="320040,9144" path="m0,0l320040,0l320040,9144l0,9144l0,0">
                        <v:stroke weight="0pt" endcap="flat" joinstyle="miter" miterlimit="10" on="false" color="#000000" opacity="0"/>
                        <v:fill on="true" color="#000000"/>
                      </v:shape>
                      <v:shape id="Shape 657700" style="position:absolute;width:4450;height:91;left:1066;top:7116;" coordsize="445008,9144" path="m0,0l445008,0l445008,9144l0,9144l0,0">
                        <v:stroke weight="0pt" endcap="flat" joinstyle="miter" miterlimit="10" on="false" color="#000000" opacity="0"/>
                        <v:fill on="true" color="#000000"/>
                      </v:shape>
                    </v:group>
                  </w:pict>
                </mc:Fallback>
              </mc:AlternateContent>
            </w:r>
            <w:r>
              <w:rPr>
                <w:rFonts w:ascii="Cambria Math" w:eastAsia="Cambria Math" w:hAnsi="Cambria Math" w:cs="Cambria Math"/>
                <w:sz w:val="13"/>
              </w:rPr>
              <w:t>100% − 1%</w:t>
            </w:r>
            <w:r>
              <w:rPr>
                <w:rFonts w:ascii="Cambria Math" w:eastAsia="Cambria Math" w:hAnsi="Cambria Math" w:cs="Cambria Math"/>
                <w:sz w:val="13"/>
              </w:rPr>
              <w:tab/>
              <w:t xml:space="preserve">0.99 </w:t>
            </w:r>
            <w:r>
              <w:rPr>
                <w:sz w:val="13"/>
              </w:rPr>
              <w:t>投資金額</w:t>
            </w:r>
          </w:p>
          <w:p w:rsidR="004D6F0E" w:rsidRDefault="00490F21">
            <w:pPr>
              <w:tabs>
                <w:tab w:val="center" w:pos="1580"/>
              </w:tabs>
              <w:spacing w:after="0" w:line="259" w:lineRule="auto"/>
              <w:ind w:left="0" w:firstLine="0"/>
            </w:pPr>
            <w:r>
              <w:t>分配股份</w:t>
            </w:r>
            <w:r>
              <w:rPr>
                <w:rFonts w:ascii="Arial" w:eastAsia="Arial" w:hAnsi="Arial" w:cs="Arial"/>
              </w:rPr>
              <w:t xml:space="preserve"> = </w:t>
            </w:r>
            <w:r>
              <w:rPr>
                <w:rFonts w:ascii="Cambria Math" w:eastAsia="Cambria Math" w:hAnsi="Cambria Math" w:cs="Cambria Math"/>
              </w:rPr>
              <w:tab/>
            </w:r>
            <w:r>
              <w:rPr>
                <w:rFonts w:ascii="Arial" w:eastAsia="Arial" w:hAnsi="Arial" w:cs="Arial"/>
              </w:rPr>
              <w:t xml:space="preserve"> </w:t>
            </w:r>
          </w:p>
          <w:p w:rsidR="004D6F0E" w:rsidRDefault="00490F21">
            <w:pPr>
              <w:spacing w:after="233" w:line="259" w:lineRule="auto"/>
              <w:ind w:left="1088" w:firstLine="0"/>
            </w:pPr>
            <w:r>
              <w:rPr>
                <w:sz w:val="13"/>
              </w:rPr>
              <w:t>購買價</w:t>
            </w:r>
          </w:p>
          <w:p w:rsidR="004D6F0E" w:rsidRDefault="00490F21">
            <w:pPr>
              <w:spacing w:after="13" w:line="259" w:lineRule="auto"/>
              <w:ind w:left="903" w:firstLine="0"/>
            </w:pPr>
            <w:r>
              <w:rPr>
                <w:rFonts w:ascii="Cambria Math" w:eastAsia="Cambria Math" w:hAnsi="Cambria Math" w:cs="Cambria Math"/>
                <w:sz w:val="13"/>
              </w:rPr>
              <w:t>10,000</w:t>
            </w:r>
            <w:r>
              <w:rPr>
                <w:sz w:val="13"/>
              </w:rPr>
              <w:t>美元</w:t>
            </w:r>
          </w:p>
          <w:p w:rsidR="004D6F0E" w:rsidRDefault="00490F21">
            <w:pPr>
              <w:spacing w:after="0" w:line="259" w:lineRule="auto"/>
              <w:ind w:left="13" w:firstLine="0"/>
            </w:pPr>
            <w:r>
              <w:rPr>
                <w:rFonts w:ascii="Arial" w:eastAsia="Arial" w:hAnsi="Arial" w:cs="Arial"/>
              </w:rPr>
              <w:t xml:space="preserve">                 = </w:t>
            </w:r>
            <w:r>
              <w:rPr>
                <w:rFonts w:ascii="Cambria Math" w:eastAsia="Cambria Math" w:hAnsi="Cambria Math" w:cs="Cambria Math"/>
                <w:sz w:val="17"/>
                <w:vertAlign w:val="subscript"/>
              </w:rPr>
              <w:t>10.00</w:t>
            </w:r>
            <w:r>
              <w:rPr>
                <w:sz w:val="17"/>
                <w:vertAlign w:val="subscript"/>
              </w:rPr>
              <w:t>美元</w:t>
            </w:r>
            <w:r>
              <w:rPr>
                <w:rFonts w:ascii="Arial" w:eastAsia="Arial" w:hAnsi="Arial" w:cs="Arial"/>
              </w:rPr>
              <w:t xml:space="preserve"> = 990.099 </w:t>
            </w:r>
          </w:p>
          <w:p w:rsidR="004D6F0E" w:rsidRDefault="00490F21">
            <w:pPr>
              <w:spacing w:after="0" w:line="259" w:lineRule="auto"/>
              <w:ind w:left="1124" w:firstLine="0"/>
            </w:pPr>
            <w:r>
              <w:rPr>
                <w:rFonts w:ascii="Cambria Math" w:eastAsia="Cambria Math" w:hAnsi="Cambria Math" w:cs="Cambria Math"/>
                <w:sz w:val="11"/>
              </w:rPr>
              <w:t>0.99</w:t>
            </w:r>
          </w:p>
        </w:tc>
      </w:tr>
    </w:tbl>
    <w:p w:rsidR="004D6F0E" w:rsidRDefault="00490F21">
      <w:pPr>
        <w:spacing w:after="119" w:line="258" w:lineRule="auto"/>
        <w:ind w:left="-13" w:firstLine="3"/>
      </w:pPr>
      <w:r>
        <w:rPr>
          <w:sz w:val="21"/>
        </w:rPr>
        <w:t>以上舉例僅供參考，並非預測或反映任何表現預期。</w:t>
      </w:r>
      <w:r>
        <w:rPr>
          <w:sz w:val="20"/>
        </w:rPr>
        <w:t xml:space="preserve"> </w:t>
      </w:r>
    </w:p>
    <w:p w:rsidR="004D6F0E" w:rsidRDefault="00490F21">
      <w:pPr>
        <w:spacing w:after="119" w:line="258" w:lineRule="auto"/>
        <w:ind w:left="-13" w:firstLine="3"/>
      </w:pPr>
      <w:r>
        <w:rPr>
          <w:sz w:val="21"/>
        </w:rPr>
        <w:lastRenderedPageBreak/>
        <w:t>購買股份的付款</w:t>
      </w:r>
      <w:r>
        <w:rPr>
          <w:sz w:val="20"/>
        </w:rPr>
        <w:t xml:space="preserve"> </w:t>
      </w:r>
    </w:p>
    <w:p w:rsidR="004D6F0E" w:rsidRDefault="00490F21">
      <w:pPr>
        <w:spacing w:after="124" w:line="270" w:lineRule="auto"/>
      </w:pPr>
      <w:r>
        <w:rPr>
          <w:sz w:val="20"/>
        </w:rPr>
        <w:t>付款得以認購章程指定的股份發售貨幣作出，亦可以通過電匯（或銀行轉帳系統）作出。</w:t>
      </w:r>
      <w:r>
        <w:rPr>
          <w:sz w:val="20"/>
        </w:rPr>
        <w:t xml:space="preserve"> </w:t>
      </w:r>
    </w:p>
    <w:p w:rsidR="004D6F0E" w:rsidRDefault="00490F21">
      <w:pPr>
        <w:spacing w:after="124" w:line="270" w:lineRule="auto"/>
      </w:pPr>
      <w:r>
        <w:rPr>
          <w:sz w:val="20"/>
        </w:rPr>
        <w:t>如果投資者以電匯付款，投資者的申請應隨附匯款通知的影印本。如因傳送或轉賬資料不足而出現問題，本傘子基金概無責任核對投資者的匯款。付款應全額作出，並應加上任何電匯費或其他銀行收費。</w:t>
      </w:r>
      <w:r>
        <w:rPr>
          <w:sz w:val="20"/>
        </w:rPr>
        <w:t xml:space="preserve"> </w:t>
      </w:r>
    </w:p>
    <w:p w:rsidR="004D6F0E" w:rsidRDefault="00490F21">
      <w:pPr>
        <w:spacing w:after="124" w:line="270" w:lineRule="auto"/>
      </w:pPr>
      <w:r>
        <w:rPr>
          <w:sz w:val="20"/>
        </w:rPr>
        <w:t>首次購買股份時，付款資料應註明確認號碼、投資者姓名、本傘子基金的有關基金名稱以及投資者認購的具體股份類別（例如「聯博</w:t>
      </w:r>
      <w:r>
        <w:rPr>
          <w:sz w:val="20"/>
        </w:rPr>
        <w:t>—</w:t>
      </w:r>
      <w:r>
        <w:rPr>
          <w:sz w:val="20"/>
        </w:rPr>
        <w:t>全方位領航基金</w:t>
      </w:r>
      <w:r>
        <w:rPr>
          <w:sz w:val="20"/>
        </w:rPr>
        <w:t xml:space="preserve"> </w:t>
      </w:r>
      <w:r>
        <w:rPr>
          <w:rFonts w:ascii="Arial" w:eastAsia="Arial" w:hAnsi="Arial" w:cs="Arial"/>
          <w:sz w:val="20"/>
        </w:rPr>
        <w:t xml:space="preserve">A </w:t>
      </w:r>
      <w:r>
        <w:rPr>
          <w:sz w:val="20"/>
        </w:rPr>
        <w:t>類」）。此外，以後購買股份時，付款資料應註明投資者首次購買股份時獲發給的聯博基金賬戶號碼。為易於識別，電匯指示應寫明盡可能詳盡的資料。</w:t>
      </w:r>
      <w:r>
        <w:rPr>
          <w:sz w:val="20"/>
        </w:rPr>
        <w:t xml:space="preserve"> </w:t>
      </w:r>
    </w:p>
    <w:p w:rsidR="004D6F0E" w:rsidRDefault="00490F21">
      <w:pPr>
        <w:spacing w:after="124" w:line="270" w:lineRule="auto"/>
      </w:pPr>
      <w:r>
        <w:rPr>
          <w:sz w:val="20"/>
        </w:rPr>
        <w:t>投資者不應向未獲認可或註冊從事《證券及期貨條例》第</w:t>
      </w:r>
      <w:r>
        <w:rPr>
          <w:sz w:val="20"/>
        </w:rPr>
        <w:t xml:space="preserve"> </w:t>
      </w:r>
      <w:r>
        <w:rPr>
          <w:rFonts w:ascii="Arial" w:eastAsia="Arial" w:hAnsi="Arial" w:cs="Arial"/>
          <w:sz w:val="20"/>
        </w:rPr>
        <w:t xml:space="preserve">V </w:t>
      </w:r>
      <w:r>
        <w:rPr>
          <w:sz w:val="20"/>
        </w:rPr>
        <w:t>部份項下的第一類受規管活動的任何香港中介機構付款。</w:t>
      </w:r>
      <w:r>
        <w:rPr>
          <w:sz w:val="20"/>
        </w:rPr>
        <w:t xml:space="preserve"> </w:t>
      </w:r>
    </w:p>
    <w:p w:rsidR="004D6F0E" w:rsidRDefault="00490F21">
      <w:pPr>
        <w:spacing w:after="119" w:line="258" w:lineRule="auto"/>
        <w:ind w:left="-13" w:firstLine="3"/>
      </w:pPr>
      <w:r>
        <w:rPr>
          <w:sz w:val="21"/>
        </w:rPr>
        <w:t>購買股份的確認</w:t>
      </w:r>
      <w:r>
        <w:rPr>
          <w:sz w:val="20"/>
        </w:rPr>
        <w:t xml:space="preserve"> </w:t>
      </w:r>
    </w:p>
    <w:p w:rsidR="004D6F0E" w:rsidRDefault="00490F21">
      <w:pPr>
        <w:spacing w:after="192" w:line="270" w:lineRule="auto"/>
      </w:pPr>
      <w:r>
        <w:rPr>
          <w:sz w:val="20"/>
        </w:rPr>
        <w:t>本傘子基金通常在發行股份後的五個交易日內向投資者發出確認書以提供交易的全部詳情。投資者如通過認可交易商發出交</w:t>
      </w:r>
      <w:r>
        <w:rPr>
          <w:sz w:val="20"/>
        </w:rPr>
        <w:t>易指示，應向有關交易商查明其提供購入確認書的時間。</w:t>
      </w:r>
      <w:r>
        <w:rPr>
          <w:sz w:val="20"/>
        </w:rPr>
        <w:t xml:space="preserve"> </w:t>
      </w:r>
    </w:p>
    <w:p w:rsidR="004D6F0E" w:rsidRDefault="00490F21">
      <w:pPr>
        <w:spacing w:after="0" w:line="259" w:lineRule="auto"/>
        <w:ind w:left="16" w:firstLine="0"/>
      </w:pPr>
      <w:r>
        <w:rPr>
          <w:rFonts w:ascii="Calibri" w:eastAsia="Calibri" w:hAnsi="Calibri" w:cs="Calibri"/>
          <w:strike/>
          <w:sz w:val="22"/>
        </w:rPr>
        <w:t xml:space="preserve">                                                         </w:t>
      </w:r>
      <w:r>
        <w:rPr>
          <w:rFonts w:ascii="Calibri" w:eastAsia="Calibri" w:hAnsi="Calibri" w:cs="Calibri"/>
          <w:sz w:val="22"/>
        </w:rPr>
        <w:t xml:space="preserve"> </w:t>
      </w:r>
    </w:p>
    <w:p w:rsidR="004D6F0E" w:rsidRDefault="00490F21">
      <w:pPr>
        <w:spacing w:after="256" w:line="259" w:lineRule="auto"/>
        <w:ind w:left="16" w:firstLine="0"/>
      </w:pPr>
      <w:r>
        <w:rPr>
          <w:rFonts w:ascii="Calibri" w:eastAsia="Calibri" w:hAnsi="Calibri" w:cs="Calibri"/>
          <w:sz w:val="18"/>
          <w:vertAlign w:val="superscript"/>
        </w:rPr>
        <w:t>*</w:t>
      </w:r>
      <w:r>
        <w:rPr>
          <w:sz w:val="18"/>
        </w:rPr>
        <w:t>如有，根據認購章程第</w:t>
      </w:r>
      <w:r>
        <w:rPr>
          <w:sz w:val="18"/>
        </w:rPr>
        <w:t xml:space="preserve"> </w:t>
      </w:r>
      <w:r>
        <w:rPr>
          <w:rFonts w:ascii="Arial" w:eastAsia="Arial" w:hAnsi="Arial" w:cs="Arial"/>
          <w:sz w:val="18"/>
        </w:rPr>
        <w:t xml:space="preserve">II </w:t>
      </w:r>
      <w:r>
        <w:rPr>
          <w:sz w:val="18"/>
        </w:rPr>
        <w:t>部分釐定。</w:t>
      </w:r>
      <w:r>
        <w:rPr>
          <w:rFonts w:ascii="Calibri" w:eastAsia="Calibri" w:hAnsi="Calibri" w:cs="Calibri"/>
          <w:sz w:val="20"/>
        </w:rPr>
        <w:t xml:space="preserve"> </w:t>
      </w:r>
    </w:p>
    <w:p w:rsidR="004D6F0E" w:rsidRDefault="00490F21">
      <w:pPr>
        <w:spacing w:after="0" w:line="259" w:lineRule="auto"/>
        <w:ind w:left="16" w:firstLine="0"/>
      </w:pPr>
      <w:r>
        <w:rPr>
          <w:rFonts w:ascii="Calibri" w:eastAsia="Calibri" w:hAnsi="Calibri" w:cs="Calibri"/>
          <w:sz w:val="20"/>
        </w:rPr>
        <w:t xml:space="preserve"> </w:t>
      </w:r>
    </w:p>
    <w:p w:rsidR="004D6F0E" w:rsidRDefault="00490F21">
      <w:pPr>
        <w:spacing w:after="124" w:line="270" w:lineRule="auto"/>
      </w:pPr>
      <w:r>
        <w:rPr>
          <w:sz w:val="20"/>
        </w:rPr>
        <w:t>零碎股份（調整至小數點後三位數字（例如：</w:t>
      </w:r>
      <w:r>
        <w:rPr>
          <w:rFonts w:ascii="Arial" w:eastAsia="Arial" w:hAnsi="Arial" w:cs="Arial"/>
          <w:sz w:val="20"/>
        </w:rPr>
        <w:t>10.1225</w:t>
      </w:r>
      <w:r>
        <w:rPr>
          <w:sz w:val="20"/>
        </w:rPr>
        <w:t>股股份須向上調整至</w:t>
      </w:r>
      <w:r>
        <w:rPr>
          <w:rFonts w:ascii="Arial" w:eastAsia="Arial" w:hAnsi="Arial" w:cs="Arial"/>
          <w:sz w:val="20"/>
        </w:rPr>
        <w:t>10.123</w:t>
      </w:r>
      <w:r>
        <w:rPr>
          <w:sz w:val="20"/>
        </w:rPr>
        <w:t>股股份，而</w:t>
      </w:r>
      <w:r>
        <w:rPr>
          <w:rFonts w:ascii="Arial" w:eastAsia="Arial" w:hAnsi="Arial" w:cs="Arial"/>
          <w:sz w:val="20"/>
        </w:rPr>
        <w:t>10.1224</w:t>
      </w:r>
      <w:r>
        <w:rPr>
          <w:sz w:val="20"/>
        </w:rPr>
        <w:t>股股份須向下調整至</w:t>
      </w:r>
      <w:r>
        <w:rPr>
          <w:rFonts w:ascii="Arial" w:eastAsia="Arial" w:hAnsi="Arial" w:cs="Arial"/>
          <w:sz w:val="20"/>
        </w:rPr>
        <w:t>10.122</w:t>
      </w:r>
      <w:r>
        <w:rPr>
          <w:sz w:val="20"/>
        </w:rPr>
        <w:t>股股份））可予發行。對應有關調整的任何金額將累計至相關基金。</w:t>
      </w:r>
      <w:r>
        <w:rPr>
          <w:sz w:val="20"/>
        </w:rPr>
        <w:t xml:space="preserve"> </w:t>
      </w:r>
    </w:p>
    <w:p w:rsidR="004D6F0E" w:rsidRDefault="00490F21">
      <w:pPr>
        <w:spacing w:after="124" w:line="270" w:lineRule="auto"/>
      </w:pPr>
      <w:r>
        <w:rPr>
          <w:sz w:val="20"/>
        </w:rPr>
        <w:t>股份的贖回</w:t>
      </w:r>
      <w:r>
        <w:rPr>
          <w:sz w:val="20"/>
        </w:rPr>
        <w:t xml:space="preserve"> </w:t>
      </w:r>
    </w:p>
    <w:p w:rsidR="004D6F0E" w:rsidRDefault="00490F21">
      <w:pPr>
        <w:spacing w:after="124" w:line="270" w:lineRule="auto"/>
      </w:pPr>
      <w:r>
        <w:rPr>
          <w:sz w:val="20"/>
        </w:rPr>
        <w:t>股東可向認可交易商發出贖回指示以贖回其股份。有關認可交易商會將在任何香港營業</w:t>
      </w:r>
      <w:r>
        <w:rPr>
          <w:sz w:val="20"/>
        </w:rPr>
        <w:t>日其指定的每日處理指示截止時間之前收到的贖回指示轉交給過戶代理審核。過戶代理將審核該等贖回指示，並在接納後於同一日（如該日為交易日）處理該等指示。如果該日並不是一個交易日，則獲接納的贖回指示將會在下一個交易日進行處理。認可交易商在其指定的每日處理指示截止時間之後接獲的贖回指示，可由有關認可交易商決定在下一香港營業日轉交給過戶代理。投資者應向其交易商查詢其處理指示的截止時間。贖回指示必須寫明將贖回的本傘子基金有關基金名稱、股份類別和將贖回的股份數量或股份總值（以股東原來購買股份的發售貨幣表示），以及股東的姓名</w:t>
      </w:r>
      <w:r>
        <w:rPr>
          <w:sz w:val="20"/>
        </w:rPr>
        <w:t>和（該種發售貨幣的）聯博基金賬戶號碼。資料不完整的贖回指示將不能獲得處理，並將被退回。</w:t>
      </w:r>
      <w:r>
        <w:rPr>
          <w:sz w:val="20"/>
        </w:rPr>
        <w:t xml:space="preserve"> </w:t>
      </w:r>
    </w:p>
    <w:p w:rsidR="004D6F0E" w:rsidRDefault="00490F21">
      <w:pPr>
        <w:spacing w:after="124" w:line="270" w:lineRule="auto"/>
      </w:pPr>
      <w:r>
        <w:rPr>
          <w:sz w:val="20"/>
        </w:rPr>
        <w:t>贖回價格將等於有關股份類別截至有關交易日估值時間（即該交易日美國東部時間下午四時正或認購章程第</w:t>
      </w:r>
      <w:r>
        <w:rPr>
          <w:sz w:val="20"/>
        </w:rPr>
        <w:t xml:space="preserve"> </w:t>
      </w:r>
      <w:r>
        <w:rPr>
          <w:rFonts w:ascii="Arial" w:eastAsia="Arial" w:hAnsi="Arial" w:cs="Arial"/>
          <w:sz w:val="20"/>
        </w:rPr>
        <w:t xml:space="preserve"> I</w:t>
      </w:r>
      <w:r>
        <w:rPr>
          <w:sz w:val="20"/>
        </w:rPr>
        <w:t xml:space="preserve"> </w:t>
      </w:r>
      <w:r>
        <w:rPr>
          <w:sz w:val="20"/>
        </w:rPr>
        <w:t>部分相關部分所界定的時間）以有關發售貨幣計的每股資產淨值。贖回價格須調整至小數點後兩位數字（例如：</w:t>
      </w:r>
      <w:r>
        <w:rPr>
          <w:rFonts w:ascii="Arial" w:eastAsia="Arial" w:hAnsi="Arial" w:cs="Arial"/>
          <w:sz w:val="20"/>
        </w:rPr>
        <w:t>10.125</w:t>
      </w:r>
      <w:r>
        <w:rPr>
          <w:sz w:val="20"/>
        </w:rPr>
        <w:t>港元須向上調整至</w:t>
      </w:r>
      <w:r>
        <w:rPr>
          <w:rFonts w:ascii="Arial" w:eastAsia="Arial" w:hAnsi="Arial" w:cs="Arial"/>
          <w:sz w:val="20"/>
        </w:rPr>
        <w:t>10.13</w:t>
      </w:r>
      <w:r>
        <w:rPr>
          <w:sz w:val="20"/>
        </w:rPr>
        <w:t>港元，而</w:t>
      </w:r>
      <w:r>
        <w:rPr>
          <w:rFonts w:ascii="Arial" w:eastAsia="Arial" w:hAnsi="Arial" w:cs="Arial"/>
          <w:sz w:val="20"/>
        </w:rPr>
        <w:t>10.124</w:t>
      </w:r>
      <w:r>
        <w:rPr>
          <w:sz w:val="20"/>
        </w:rPr>
        <w:t>港元須向下調整至</w:t>
      </w:r>
      <w:r>
        <w:rPr>
          <w:rFonts w:ascii="Arial" w:eastAsia="Arial" w:hAnsi="Arial" w:cs="Arial"/>
          <w:sz w:val="20"/>
        </w:rPr>
        <w:t>10.12</w:t>
      </w:r>
      <w:r>
        <w:rPr>
          <w:sz w:val="20"/>
        </w:rPr>
        <w:t>港元）。對應有關調整的任何金額將累計至相關基金。</w:t>
      </w:r>
      <w:r>
        <w:rPr>
          <w:sz w:val="20"/>
        </w:rPr>
        <w:t xml:space="preserve"> </w:t>
      </w:r>
    </w:p>
    <w:p w:rsidR="004D6F0E" w:rsidRDefault="00490F21">
      <w:pPr>
        <w:spacing w:after="124" w:line="270" w:lineRule="auto"/>
      </w:pPr>
      <w:r>
        <w:rPr>
          <w:sz w:val="20"/>
        </w:rPr>
        <w:lastRenderedPageBreak/>
        <w:t>贖回所得款項將以股東的聯博基金賬戶所屬的發售貨幣支付。在通常情況下，預計贖回所得款項將由存管人或其代理人在有關贖回日後的五個交易日內支付。儘管前文有所規定，倘若在例外情況下本傘子基金的流動性不足以在此期間內作出付款或贖回，有關付款將於合理可行情況下盡快作出，無論如何不得遲於在收到以符合要求的文件方式發出的贖回指示後的一個曆月內支付。</w:t>
      </w:r>
      <w:r>
        <w:rPr>
          <w:sz w:val="20"/>
        </w:rPr>
        <w:t xml:space="preserve"> </w:t>
      </w:r>
    </w:p>
    <w:p w:rsidR="004D6F0E" w:rsidRDefault="00490F21">
      <w:pPr>
        <w:spacing w:after="124" w:line="270" w:lineRule="auto"/>
      </w:pPr>
      <w:r>
        <w:rPr>
          <w:sz w:val="20"/>
        </w:rPr>
        <w:t>股份的轉換</w:t>
      </w:r>
      <w:r>
        <w:rPr>
          <w:sz w:val="20"/>
        </w:rPr>
        <w:t xml:space="preserve"> </w:t>
      </w:r>
    </w:p>
    <w:p w:rsidR="004D6F0E" w:rsidRDefault="00490F21">
      <w:pPr>
        <w:spacing w:after="124" w:line="270" w:lineRule="auto"/>
      </w:pPr>
      <w:r>
        <w:rPr>
          <w:sz w:val="20"/>
        </w:rPr>
        <w:t>股東可選擇將其股份轉換為本傘子基金屬下另一基金的同類股份，或轉換為經證監會不時認可的若干其他聯博基金的同類股份。股東應在轉換之前，查明有關基金或傘子基金是否具有</w:t>
      </w:r>
      <w:r>
        <w:rPr>
          <w:sz w:val="20"/>
        </w:rPr>
        <w:t>認可地位。任何此類轉換均須遵守認購章程所載有關透過轉換可取得的本傘子基金之基金或其他聯博基金股份的最低投資額規定及任何其他適用條款。管理公司保留權利酌情豁免任何適用最低投資額的規定。</w:t>
      </w:r>
      <w:r>
        <w:rPr>
          <w:sz w:val="20"/>
        </w:rPr>
        <w:t xml:space="preserve"> </w:t>
      </w:r>
    </w:p>
    <w:p w:rsidR="004D6F0E" w:rsidRDefault="00490F21">
      <w:pPr>
        <w:spacing w:after="124" w:line="270" w:lineRule="auto"/>
      </w:pPr>
      <w:r>
        <w:rPr>
          <w:sz w:val="20"/>
        </w:rPr>
        <w:t>管理公司從認可交易商處接獲且本傘子基金接納有效及完整的轉換指示後，在各種情況下，有關轉換將按認購章程列載的條款依下一次釐定的資產淨值進行。涉及其他聯博基金的轉換將透過贖回原有股份而認購及購買透過轉換所取得的有關股份進行。</w:t>
      </w:r>
      <w:r>
        <w:rPr>
          <w:sz w:val="20"/>
        </w:rPr>
        <w:t xml:space="preserve"> </w:t>
      </w:r>
    </w:p>
    <w:p w:rsidR="004D6F0E" w:rsidRDefault="00490F21">
      <w:pPr>
        <w:spacing w:after="124" w:line="270" w:lineRule="auto"/>
      </w:pPr>
      <w:r>
        <w:rPr>
          <w:sz w:val="20"/>
        </w:rPr>
        <w:t>如轉換指示涉及徵收或有遞延銷售費的股份類別，在計算贖回原來因轉換而獲得的股份所應支付的或有遞延銷售費（</w:t>
      </w:r>
      <w:r>
        <w:rPr>
          <w:sz w:val="20"/>
        </w:rPr>
        <w:t>如適用）的持有期間時，將以原有股份的購買日期為開始，而且有關的或有遞延銷售費之款額將按原有股份的有關收費率計算。在某些情況下，管理公司可代表本傘子基金酌情豁免該等限制。</w:t>
      </w:r>
      <w:r>
        <w:rPr>
          <w:sz w:val="20"/>
        </w:rPr>
        <w:t xml:space="preserve"> </w:t>
      </w:r>
    </w:p>
    <w:p w:rsidR="004D6F0E" w:rsidRDefault="00490F21">
      <w:pPr>
        <w:spacing w:after="124" w:line="270" w:lineRule="auto"/>
      </w:pPr>
      <w:r>
        <w:rPr>
          <w:sz w:val="20"/>
        </w:rPr>
        <w:t>有意轉換股份的投資者應聯絡其財務顧問或香港代表，以獲取有關轉換方法的更多資料。本傘子基金及管理公司目前概無就轉換收取任何行政管理或其他費用。然而，透過在交易商開立的賬戶持有股份的股東，應聯絡有關交易商，以確定有關交易商會否徵收轉換費用。</w:t>
      </w:r>
      <w:r>
        <w:rPr>
          <w:sz w:val="20"/>
        </w:rPr>
        <w:t xml:space="preserve"> </w:t>
      </w:r>
    </w:p>
    <w:p w:rsidR="004D6F0E" w:rsidRDefault="00490F21">
      <w:pPr>
        <w:spacing w:after="124" w:line="270" w:lineRule="auto"/>
      </w:pPr>
      <w:r>
        <w:rPr>
          <w:sz w:val="20"/>
        </w:rPr>
        <w:t>費用和開支</w:t>
      </w:r>
      <w:r>
        <w:rPr>
          <w:sz w:val="20"/>
        </w:rPr>
        <w:t xml:space="preserve"> </w:t>
      </w:r>
    </w:p>
    <w:p w:rsidR="004D6F0E" w:rsidRDefault="00490F21">
      <w:pPr>
        <w:spacing w:after="115" w:line="278" w:lineRule="auto"/>
        <w:ind w:left="11" w:right="47" w:hanging="10"/>
        <w:jc w:val="both"/>
      </w:pPr>
      <w:r>
        <w:rPr>
          <w:sz w:val="20"/>
        </w:rPr>
        <w:t>本傘子基金須支付認購章程第</w:t>
      </w:r>
      <w:r>
        <w:rPr>
          <w:rFonts w:ascii="Arial" w:eastAsia="Arial" w:hAnsi="Arial" w:cs="Arial"/>
          <w:sz w:val="20"/>
        </w:rPr>
        <w:t xml:space="preserve"> I </w:t>
      </w:r>
      <w:r>
        <w:rPr>
          <w:sz w:val="20"/>
        </w:rPr>
        <w:t>部份關於每一基金的「摘要資料</w:t>
      </w:r>
      <w:r>
        <w:rPr>
          <w:sz w:val="20"/>
        </w:rPr>
        <w:t xml:space="preserve"> - </w:t>
      </w:r>
      <w:r>
        <w:rPr>
          <w:sz w:val="20"/>
        </w:rPr>
        <w:t>股份類別費用及收費」和「其他基金資料</w:t>
      </w:r>
      <w:r>
        <w:rPr>
          <w:sz w:val="20"/>
        </w:rPr>
        <w:t xml:space="preserve"> - </w:t>
      </w:r>
      <w:r>
        <w:rPr>
          <w:sz w:val="20"/>
        </w:rPr>
        <w:t>管理公司、行政管理人、存管人及過戶代理費用」以及第</w:t>
      </w:r>
      <w:r>
        <w:rPr>
          <w:rFonts w:ascii="Arial" w:eastAsia="Arial" w:hAnsi="Arial" w:cs="Arial"/>
          <w:sz w:val="20"/>
        </w:rPr>
        <w:t xml:space="preserve"> II </w:t>
      </w:r>
      <w:r>
        <w:rPr>
          <w:sz w:val="20"/>
        </w:rPr>
        <w:t>部份「附加資料</w:t>
      </w:r>
      <w:r>
        <w:rPr>
          <w:sz w:val="20"/>
        </w:rPr>
        <w:t xml:space="preserve"> - </w:t>
      </w:r>
      <w:r>
        <w:rPr>
          <w:sz w:val="20"/>
        </w:rPr>
        <w:t>費用及開支」所規定的費用和開支。</w:t>
      </w:r>
      <w:r>
        <w:rPr>
          <w:sz w:val="20"/>
        </w:rPr>
        <w:t xml:space="preserve"> </w:t>
      </w:r>
    </w:p>
    <w:p w:rsidR="004D6F0E" w:rsidRDefault="00490F21">
      <w:pPr>
        <w:spacing w:after="124" w:line="270" w:lineRule="auto"/>
      </w:pPr>
      <w:r>
        <w:rPr>
          <w:sz w:val="20"/>
        </w:rPr>
        <w:t>請參閱認購章程，瞭解由各基金承擔的費用和開支。</w:t>
      </w:r>
      <w:r>
        <w:rPr>
          <w:sz w:val="20"/>
        </w:rPr>
        <w:t xml:space="preserve"> </w:t>
      </w:r>
    </w:p>
    <w:p w:rsidR="004D6F0E" w:rsidRDefault="00490F21">
      <w:pPr>
        <w:spacing w:after="59" w:line="333" w:lineRule="auto"/>
        <w:ind w:right="124"/>
      </w:pPr>
      <w:r>
        <w:rPr>
          <w:sz w:val="20"/>
        </w:rPr>
        <w:t>此外，亦可能會徵收首次銷售費或者或有遞延銷售費。敬請聯絡</w:t>
      </w:r>
      <w:r>
        <w:rPr>
          <w:sz w:val="20"/>
        </w:rPr>
        <w:t xml:space="preserve">  </w:t>
      </w:r>
      <w:r>
        <w:rPr>
          <w:sz w:val="20"/>
        </w:rPr>
        <w:t>閣下的財務顧問或香港代表，以獲取更多資料。香港稅項</w:t>
      </w:r>
      <w:r>
        <w:rPr>
          <w:sz w:val="20"/>
        </w:rPr>
        <w:t xml:space="preserve"> </w:t>
      </w:r>
    </w:p>
    <w:p w:rsidR="004D6F0E" w:rsidRDefault="00490F21">
      <w:pPr>
        <w:spacing w:after="124" w:line="270" w:lineRule="auto"/>
      </w:pPr>
      <w:r>
        <w:rPr>
          <w:sz w:val="20"/>
        </w:rPr>
        <w:t>只要本傘子基金仍具有證監會根據《證券及期貨條例》授予的認可地位，本傘子基金將是香港《稅務條例》（第</w:t>
      </w:r>
      <w:r>
        <w:rPr>
          <w:sz w:val="20"/>
        </w:rPr>
        <w:t xml:space="preserve"> </w:t>
      </w:r>
      <w:r>
        <w:rPr>
          <w:rFonts w:ascii="Arial" w:eastAsia="Arial" w:hAnsi="Arial" w:cs="Arial"/>
          <w:sz w:val="20"/>
        </w:rPr>
        <w:t xml:space="preserve">112 </w:t>
      </w:r>
      <w:r>
        <w:rPr>
          <w:sz w:val="20"/>
        </w:rPr>
        <w:t>章）第</w:t>
      </w:r>
      <w:r>
        <w:rPr>
          <w:sz w:val="20"/>
        </w:rPr>
        <w:t xml:space="preserve"> </w:t>
      </w:r>
      <w:r>
        <w:rPr>
          <w:rFonts w:ascii="Arial" w:eastAsia="Arial" w:hAnsi="Arial" w:cs="Arial"/>
          <w:sz w:val="20"/>
        </w:rPr>
        <w:t>26A(1A)</w:t>
      </w:r>
      <w:r>
        <w:rPr>
          <w:sz w:val="20"/>
        </w:rPr>
        <w:t xml:space="preserve"> </w:t>
      </w:r>
      <w:r>
        <w:rPr>
          <w:sz w:val="20"/>
        </w:rPr>
        <w:t>條項下的指明投資計劃。指明</w:t>
      </w:r>
      <w:r>
        <w:rPr>
          <w:sz w:val="20"/>
        </w:rPr>
        <w:t>投資計劃收取或應累算的任何款項（不論是否源自香港）均不必支付香港的利得稅。</w:t>
      </w:r>
      <w:r>
        <w:rPr>
          <w:sz w:val="20"/>
        </w:rPr>
        <w:t xml:space="preserve"> </w:t>
      </w:r>
    </w:p>
    <w:p w:rsidR="004D6F0E" w:rsidRDefault="00490F21">
      <w:pPr>
        <w:spacing w:after="115" w:line="278" w:lineRule="auto"/>
        <w:ind w:left="11" w:right="47" w:hanging="10"/>
        <w:jc w:val="both"/>
      </w:pPr>
      <w:r>
        <w:rPr>
          <w:sz w:val="20"/>
        </w:rPr>
        <w:t>在香港居住的股東不必就任何基金的分派或就贖回本傘子基金的任何股份時所實現的資本收益繳納任何香港稅項，除非購買和變現本傘子基金股份屬於或構成在香港從事的行業、職業或業務的一部份而且有關收</w:t>
      </w:r>
      <w:r>
        <w:rPr>
          <w:sz w:val="20"/>
        </w:rPr>
        <w:lastRenderedPageBreak/>
        <w:t>益乃於香港獲得或源自香港。股份將不必繳納香港遺產稅，且不必就股份的發行、贖回或轉換繳納香港印花稅。</w:t>
      </w:r>
      <w:r>
        <w:rPr>
          <w:sz w:val="20"/>
        </w:rPr>
        <w:t xml:space="preserve"> </w:t>
      </w:r>
    </w:p>
    <w:p w:rsidR="004D6F0E" w:rsidRDefault="00490F21">
      <w:pPr>
        <w:spacing w:after="124" w:line="270" w:lineRule="auto"/>
      </w:pPr>
      <w:r>
        <w:rPr>
          <w:sz w:val="20"/>
        </w:rPr>
        <w:t>上述資料是基於香港的制定法例和現行慣例提供。該等資料並不全面，且會發生變化。準投資者應聯絡其專業顧問，以瞭解購買、持有或出售股份的影響以及其須納稅的</w:t>
      </w:r>
      <w:r>
        <w:rPr>
          <w:sz w:val="20"/>
        </w:rPr>
        <w:t>司法管轄區的法律規定。</w:t>
      </w:r>
      <w:r>
        <w:rPr>
          <w:sz w:val="20"/>
        </w:rPr>
        <w:t xml:space="preserve"> </w:t>
      </w:r>
    </w:p>
    <w:p w:rsidR="004D6F0E" w:rsidRDefault="00490F21">
      <w:pPr>
        <w:spacing w:after="124" w:line="270" w:lineRule="auto"/>
      </w:pPr>
      <w:r>
        <w:rPr>
          <w:sz w:val="20"/>
        </w:rPr>
        <w:t>《海外賬戶稅收遵從法案》及識別實益擁有權及若干付款的預扣稅</w:t>
      </w:r>
      <w:r>
        <w:rPr>
          <w:sz w:val="20"/>
        </w:rPr>
        <w:t xml:space="preserve"> </w:t>
      </w:r>
    </w:p>
    <w:p w:rsidR="004D6F0E" w:rsidRDefault="00490F21">
      <w:pPr>
        <w:spacing w:after="124" w:line="270" w:lineRule="auto"/>
      </w:pPr>
      <w:r>
        <w:rPr>
          <w:sz w:val="20"/>
        </w:rPr>
        <w:t>海外賬戶稅收遵從法案（「</w:t>
      </w:r>
      <w:r>
        <w:rPr>
          <w:rFonts w:ascii="Arial" w:eastAsia="Arial" w:hAnsi="Arial" w:cs="Arial"/>
          <w:b/>
          <w:sz w:val="20"/>
        </w:rPr>
        <w:t>FATCA</w:t>
      </w:r>
      <w:r>
        <w:rPr>
          <w:sz w:val="20"/>
        </w:rPr>
        <w:t>」，《獎勵聘僱恢復就業法案》的一部分）於</w:t>
      </w:r>
      <w:r>
        <w:rPr>
          <w:sz w:val="20"/>
        </w:rPr>
        <w:t xml:space="preserve"> </w:t>
      </w:r>
      <w:r>
        <w:rPr>
          <w:rFonts w:ascii="Arial" w:eastAsia="Arial" w:hAnsi="Arial" w:cs="Arial"/>
          <w:sz w:val="20"/>
        </w:rPr>
        <w:t>2010</w:t>
      </w:r>
      <w:r>
        <w:rPr>
          <w:sz w:val="20"/>
        </w:rPr>
        <w:t xml:space="preserve"> </w:t>
      </w:r>
      <w:r>
        <w:rPr>
          <w:sz w:val="20"/>
        </w:rPr>
        <w:t>年頒佈成為美國法律。為避免就若干實際及視作美國投資作出的若干付款（包括所得款項總額付款）被徵收</w:t>
      </w:r>
      <w:r>
        <w:rPr>
          <w:rFonts w:ascii="Arial" w:eastAsia="Arial" w:hAnsi="Arial" w:cs="Arial"/>
          <w:sz w:val="20"/>
        </w:rPr>
        <w:t>30%</w:t>
      </w:r>
      <w:r>
        <w:rPr>
          <w:sz w:val="20"/>
        </w:rPr>
        <w:t>的美國預扣稅，本傘子基金一般需要及時在美國國稅局（「國稅局」）進行登記，並同意識別若干直接及間接美國賬戶持有人（包括債務持有人及股權持有人）。倘本傘子基金未能遵守該等規定，本傘子基金或須繳納</w:t>
      </w:r>
      <w:r>
        <w:rPr>
          <w:rFonts w:ascii="Arial" w:eastAsia="Arial" w:hAnsi="Arial" w:cs="Arial"/>
          <w:sz w:val="20"/>
        </w:rPr>
        <w:t xml:space="preserve">30% </w:t>
      </w:r>
      <w:r>
        <w:rPr>
          <w:sz w:val="20"/>
        </w:rPr>
        <w:t>以上預扣稅。一般而言，預扣稅將使本傘子基</w:t>
      </w:r>
      <w:r>
        <w:rPr>
          <w:sz w:val="20"/>
        </w:rPr>
        <w:t>金的資產淨值減少所預扣的數額，並可能令投資者蒙受重大損失及影響本傘子基金繼續執行其投資策略的能力。</w:t>
      </w:r>
      <w:r>
        <w:rPr>
          <w:sz w:val="20"/>
        </w:rPr>
        <w:t xml:space="preserve"> </w:t>
      </w:r>
    </w:p>
    <w:p w:rsidR="004D6F0E" w:rsidRDefault="00490F21">
      <w:pPr>
        <w:spacing w:after="124" w:line="270" w:lineRule="auto"/>
      </w:pPr>
      <w:r>
        <w:rPr>
          <w:sz w:val="20"/>
        </w:rPr>
        <w:t>盧森堡已與美國簽訂第</w:t>
      </w:r>
      <w:r>
        <w:rPr>
          <w:sz w:val="20"/>
        </w:rPr>
        <w:t xml:space="preserve"> </w:t>
      </w:r>
      <w:r>
        <w:rPr>
          <w:rFonts w:ascii="Arial" w:eastAsia="Arial" w:hAnsi="Arial" w:cs="Arial"/>
          <w:sz w:val="20"/>
        </w:rPr>
        <w:t>1A</w:t>
      </w:r>
      <w:r>
        <w:rPr>
          <w:sz w:val="20"/>
        </w:rPr>
        <w:t xml:space="preserve"> </w:t>
      </w:r>
      <w:r>
        <w:rPr>
          <w:sz w:val="20"/>
        </w:rPr>
        <w:t>類（互惠）跨政府協議（「美國跨政府協議」），以使前述預扣及申報規則生效。只要本傘子基金符合美國政府間協議及賦權法，投資管理人預期本傘子基金將毋須繳納有關美國預扣稅。本傘子基金為受保薦外國金融機構，而管理公司作為保薦人已代表本傘子基金取得全球中介人識別碼。</w:t>
      </w:r>
      <w:r>
        <w:rPr>
          <w:sz w:val="20"/>
        </w:rPr>
        <w:t xml:space="preserve"> </w:t>
      </w:r>
    </w:p>
    <w:p w:rsidR="004D6F0E" w:rsidRDefault="00490F21">
      <w:pPr>
        <w:spacing w:after="4" w:line="278" w:lineRule="auto"/>
        <w:ind w:left="11" w:right="47" w:hanging="10"/>
        <w:jc w:val="both"/>
      </w:pPr>
      <w:r>
        <w:rPr>
          <w:sz w:val="20"/>
        </w:rPr>
        <w:t>本傘子基金的非美國投資者一般需要向本傘子基金（或在若干情況下，分銷商、中介人或非美國投資者藉以進行投資的若干其他實體（各為「</w:t>
      </w:r>
      <w:r>
        <w:rPr>
          <w:sz w:val="20"/>
        </w:rPr>
        <w:t>中介機構」））提供可識別其直接及間接美國擁有權的資料。根據美國跨政府協議，提供予本傘子基金的該等任何資料將與盧森堡財政部長或其委託人士（「盧森堡財政部長」）共享，除非有關美國所有權身份獲豁免遵守申報規則。盧森堡財政部長每年將自動向國稅局提供其所獲申報的資料。屬於</w:t>
      </w:r>
      <w:r>
        <w:rPr>
          <w:sz w:val="20"/>
        </w:rPr>
        <w:t xml:space="preserve"> </w:t>
      </w:r>
      <w:r>
        <w:rPr>
          <w:rFonts w:ascii="Arial" w:eastAsia="Arial" w:hAnsi="Arial" w:cs="Arial"/>
          <w:sz w:val="20"/>
        </w:rPr>
        <w:t>1986</w:t>
      </w:r>
      <w:r>
        <w:rPr>
          <w:sz w:val="20"/>
        </w:rPr>
        <w:t xml:space="preserve"> </w:t>
      </w:r>
      <w:r>
        <w:rPr>
          <w:sz w:val="20"/>
        </w:rPr>
        <w:t>年美國《國內收入法》（經修訂）第</w:t>
      </w:r>
      <w:r>
        <w:rPr>
          <w:sz w:val="20"/>
        </w:rPr>
        <w:t xml:space="preserve"> </w:t>
      </w:r>
      <w:r>
        <w:rPr>
          <w:rFonts w:ascii="Arial" w:eastAsia="Arial" w:hAnsi="Arial" w:cs="Arial"/>
          <w:sz w:val="20"/>
        </w:rPr>
        <w:t>1471(d)(4)</w:t>
      </w:r>
      <w:r>
        <w:rPr>
          <w:sz w:val="20"/>
        </w:rPr>
        <w:t xml:space="preserve"> </w:t>
      </w:r>
      <w:r>
        <w:rPr>
          <w:sz w:val="20"/>
        </w:rPr>
        <w:t>條界定的「外國金融機構」的非美國投資者，一般須在國稅局進行登記，並同意識別其本身若干直接及間接美國賬戶持有人（包括債務持有人及股權持有人）。在適用的法律及法規許可之範圍內及管理公司以</w:t>
      </w:r>
      <w:r>
        <w:rPr>
          <w:sz w:val="20"/>
        </w:rPr>
        <w:t>誠信和在合理的理由下，未能向本傘子基金（或中介機構，如適用）提供有關資料或進行登記並同意識別或匯報有關賬戶持有人的資料</w:t>
      </w:r>
    </w:p>
    <w:p w:rsidR="004D6F0E" w:rsidRDefault="00490F21">
      <w:pPr>
        <w:spacing w:after="124" w:line="270" w:lineRule="auto"/>
      </w:pPr>
      <w:r>
        <w:rPr>
          <w:sz w:val="20"/>
        </w:rPr>
        <w:t>（如適用）的非美國投資者，可能需要就其應佔本傘子基金實際及視作美國投資的任何有關付款部分繳納</w:t>
      </w:r>
      <w:r>
        <w:rPr>
          <w:sz w:val="20"/>
        </w:rPr>
        <w:t xml:space="preserve"> </w:t>
      </w:r>
      <w:r>
        <w:rPr>
          <w:rFonts w:ascii="Arial" w:eastAsia="Arial" w:hAnsi="Arial" w:cs="Arial"/>
          <w:sz w:val="20"/>
        </w:rPr>
        <w:t>30%</w:t>
      </w:r>
      <w:r>
        <w:rPr>
          <w:sz w:val="20"/>
        </w:rPr>
        <w:t>的預扣稅，而管理公司可就投資者的股份或贖回所得款項採取任何行動，以確保有關預扣稅由未能提供所需資料或遵守該等規定而導致須繳納預扣稅的有關投資者承擔。股東應諮詢其本身的稅務顧問，瞭解該等規則對其於本傘子基金的投資可能產生的影響。</w:t>
      </w:r>
      <w:r>
        <w:rPr>
          <w:sz w:val="20"/>
        </w:rPr>
        <w:t xml:space="preserve"> </w:t>
      </w:r>
    </w:p>
    <w:p w:rsidR="004D6F0E" w:rsidRDefault="00490F21">
      <w:pPr>
        <w:spacing w:after="124" w:line="270" w:lineRule="auto"/>
      </w:pPr>
      <w:r>
        <w:rPr>
          <w:sz w:val="20"/>
        </w:rPr>
        <w:t>法律顧問</w:t>
      </w:r>
      <w:r>
        <w:rPr>
          <w:sz w:val="20"/>
        </w:rPr>
        <w:t xml:space="preserve"> </w:t>
      </w:r>
    </w:p>
    <w:p w:rsidR="004D6F0E" w:rsidRDefault="00490F21">
      <w:pPr>
        <w:spacing w:after="124" w:line="270" w:lineRule="auto"/>
      </w:pPr>
      <w:r>
        <w:rPr>
          <w:sz w:val="20"/>
        </w:rPr>
        <w:t>本傘子基金的香港法律顧問是的近律師行，其地址是香港</w:t>
      </w:r>
      <w:r>
        <w:rPr>
          <w:sz w:val="20"/>
        </w:rPr>
        <w:t>中環遮打道</w:t>
      </w:r>
      <w:r>
        <w:rPr>
          <w:rFonts w:ascii="Arial" w:eastAsia="Arial" w:hAnsi="Arial" w:cs="Arial"/>
          <w:sz w:val="20"/>
        </w:rPr>
        <w:t>18</w:t>
      </w:r>
      <w:r>
        <w:rPr>
          <w:sz w:val="20"/>
        </w:rPr>
        <w:t>號歷山大廈</w:t>
      </w:r>
      <w:r>
        <w:rPr>
          <w:rFonts w:ascii="Arial" w:eastAsia="Arial" w:hAnsi="Arial" w:cs="Arial"/>
          <w:sz w:val="20"/>
        </w:rPr>
        <w:t>5</w:t>
      </w:r>
      <w:r>
        <w:rPr>
          <w:sz w:val="20"/>
        </w:rPr>
        <w:t>樓。</w:t>
      </w:r>
      <w:r>
        <w:rPr>
          <w:sz w:val="20"/>
        </w:rPr>
        <w:t xml:space="preserve"> </w:t>
      </w:r>
    </w:p>
    <w:p w:rsidR="004D6F0E" w:rsidRDefault="00490F21">
      <w:pPr>
        <w:spacing w:after="124" w:line="270" w:lineRule="auto"/>
      </w:pPr>
      <w:r>
        <w:rPr>
          <w:sz w:val="20"/>
        </w:rPr>
        <w:t>現金回佣</w:t>
      </w:r>
      <w:r>
        <w:rPr>
          <w:sz w:val="20"/>
        </w:rPr>
        <w:t xml:space="preserve"> </w:t>
      </w:r>
    </w:p>
    <w:p w:rsidR="004D6F0E" w:rsidRDefault="00490F21">
      <w:pPr>
        <w:spacing w:after="124" w:line="270" w:lineRule="auto"/>
      </w:pPr>
      <w:r>
        <w:rPr>
          <w:sz w:val="20"/>
        </w:rPr>
        <w:lastRenderedPageBreak/>
        <w:t>投資管理人或其任何關聯人士均沒有從任何經紀或交易商保留或有權保留任何現金回佣，以作為其代表基金向該經紀或交易商發出交易指示的代價。任何如此收取的現金回佣應為有關基金而持有。</w:t>
      </w:r>
      <w:r>
        <w:rPr>
          <w:sz w:val="20"/>
        </w:rPr>
        <w:t xml:space="preserve"> </w:t>
      </w:r>
    </w:p>
    <w:p w:rsidR="004D6F0E" w:rsidRDefault="00490F21">
      <w:pPr>
        <w:spacing w:after="124" w:line="270" w:lineRule="auto"/>
      </w:pPr>
      <w:r>
        <w:rPr>
          <w:sz w:val="20"/>
        </w:rPr>
        <w:t>廣告和推廣開支</w:t>
      </w:r>
      <w:r>
        <w:rPr>
          <w:sz w:val="20"/>
        </w:rPr>
        <w:t xml:space="preserve"> </w:t>
      </w:r>
    </w:p>
    <w:p w:rsidR="004D6F0E" w:rsidRDefault="00490F21">
      <w:pPr>
        <w:spacing w:after="124" w:line="270" w:lineRule="auto"/>
      </w:pPr>
      <w:r>
        <w:rPr>
          <w:sz w:val="20"/>
        </w:rPr>
        <w:t>只要本傘子基金仍在香港根據《證券及期貨條例》第</w:t>
      </w:r>
      <w:r>
        <w:rPr>
          <w:rFonts w:ascii="Arial" w:eastAsia="Arial" w:hAnsi="Arial" w:cs="Arial"/>
          <w:sz w:val="20"/>
        </w:rPr>
        <w:t xml:space="preserve"> 104 </w:t>
      </w:r>
      <w:r>
        <w:rPr>
          <w:sz w:val="20"/>
        </w:rPr>
        <w:t>條獲得認可，廣告和推廣開支將不會自本傘子基金資產中支付。</w:t>
      </w:r>
      <w:r>
        <w:rPr>
          <w:sz w:val="20"/>
        </w:rPr>
        <w:t xml:space="preserve"> </w:t>
      </w:r>
    </w:p>
    <w:p w:rsidR="004D6F0E" w:rsidRDefault="00490F21">
      <w:pPr>
        <w:spacing w:after="124" w:line="270" w:lineRule="auto"/>
      </w:pPr>
      <w:r>
        <w:rPr>
          <w:sz w:val="20"/>
        </w:rPr>
        <w:t>費用增加</w:t>
      </w:r>
      <w:r>
        <w:rPr>
          <w:sz w:val="20"/>
        </w:rPr>
        <w:t xml:space="preserve"> </w:t>
      </w:r>
    </w:p>
    <w:p w:rsidR="004D6F0E" w:rsidRDefault="00490F21">
      <w:pPr>
        <w:spacing w:after="124" w:line="270" w:lineRule="auto"/>
      </w:pPr>
      <w:r>
        <w:rPr>
          <w:sz w:val="20"/>
        </w:rPr>
        <w:t>如需提高認購章程和本香港補充資料所述的每一類別股份的現有水平管理費，證監會可能要求須提前最多三個月向香港投資者發出通知。</w:t>
      </w:r>
      <w:r>
        <w:rPr>
          <w:sz w:val="20"/>
        </w:rPr>
        <w:t xml:space="preserve"> </w:t>
      </w:r>
    </w:p>
    <w:p w:rsidR="004D6F0E" w:rsidRDefault="00490F21">
      <w:pPr>
        <w:spacing w:after="124" w:line="270" w:lineRule="auto"/>
      </w:pPr>
      <w:r>
        <w:rPr>
          <w:sz w:val="20"/>
        </w:rPr>
        <w:t>報告和賬目</w:t>
      </w:r>
      <w:r>
        <w:rPr>
          <w:sz w:val="20"/>
        </w:rPr>
        <w:t xml:space="preserve"> </w:t>
      </w:r>
    </w:p>
    <w:p w:rsidR="004D6F0E" w:rsidRDefault="00490F21">
      <w:pPr>
        <w:spacing w:after="124" w:line="270" w:lineRule="auto"/>
      </w:pPr>
      <w:r>
        <w:rPr>
          <w:sz w:val="20"/>
        </w:rPr>
        <w:t>本傘子基金和每一基金的財政年結日為每年的</w:t>
      </w:r>
      <w:r>
        <w:rPr>
          <w:sz w:val="20"/>
        </w:rPr>
        <w:t xml:space="preserve"> </w:t>
      </w:r>
      <w:r>
        <w:rPr>
          <w:rFonts w:ascii="Arial" w:eastAsia="Arial" w:hAnsi="Arial" w:cs="Arial"/>
          <w:sz w:val="20"/>
        </w:rPr>
        <w:t xml:space="preserve">8 </w:t>
      </w:r>
      <w:r>
        <w:rPr>
          <w:sz w:val="20"/>
        </w:rPr>
        <w:t>月</w:t>
      </w:r>
      <w:r>
        <w:rPr>
          <w:rFonts w:ascii="Arial" w:eastAsia="Arial" w:hAnsi="Arial" w:cs="Arial"/>
          <w:sz w:val="20"/>
        </w:rPr>
        <w:t xml:space="preserve"> 31</w:t>
      </w:r>
      <w:r>
        <w:rPr>
          <w:sz w:val="20"/>
        </w:rPr>
        <w:t xml:space="preserve"> </w:t>
      </w:r>
      <w:r>
        <w:rPr>
          <w:sz w:val="20"/>
        </w:rPr>
        <w:t>日。包含經審計財務報表的本傘子基金年報將在財政年度結束後的四個月內發表。本傘子基金將在半年度期結束後的兩個月內發表半年度未經審計財務報告。該等報告可瀏覽</w:t>
      </w:r>
      <w:hyperlink r:id="rId8">
        <w:r>
          <w:rPr>
            <w:rFonts w:ascii="Arial" w:eastAsia="Arial" w:hAnsi="Arial" w:cs="Arial"/>
            <w:sz w:val="20"/>
            <w:u w:val="single" w:color="000000"/>
          </w:rPr>
          <w:t>www.alliancebernstein.com.hk</w:t>
        </w:r>
      </w:hyperlink>
      <w:hyperlink r:id="rId9">
        <w:r>
          <w:rPr>
            <w:sz w:val="20"/>
          </w:rPr>
          <w:t>查</w:t>
        </w:r>
      </w:hyperlink>
      <w:r>
        <w:rPr>
          <w:sz w:val="20"/>
        </w:rPr>
        <w:t>閱。此外，年報及中期報告的印刷本可於香港代表主要辦事處免費索取。財務報告可供查閱時將知會香港投資者。本傘子基金的經審核年報及未經審核中期報告將僅以英文發出。</w:t>
      </w:r>
      <w:r>
        <w:rPr>
          <w:sz w:val="20"/>
        </w:rPr>
        <w:t xml:space="preserve"> </w:t>
      </w:r>
    </w:p>
    <w:p w:rsidR="004D6F0E" w:rsidRDefault="00490F21">
      <w:pPr>
        <w:spacing w:after="124" w:line="270" w:lineRule="auto"/>
      </w:pPr>
      <w:r>
        <w:rPr>
          <w:sz w:val="20"/>
        </w:rPr>
        <w:t>清盤和合併</w:t>
      </w:r>
      <w:r>
        <w:rPr>
          <w:sz w:val="20"/>
        </w:rPr>
        <w:t xml:space="preserve"> </w:t>
      </w:r>
    </w:p>
    <w:p w:rsidR="004D6F0E" w:rsidRDefault="00490F21">
      <w:pPr>
        <w:spacing w:after="114" w:line="278" w:lineRule="auto"/>
        <w:ind w:left="11" w:right="47" w:hanging="10"/>
        <w:jc w:val="both"/>
      </w:pPr>
      <w:r>
        <w:rPr>
          <w:sz w:val="20"/>
        </w:rPr>
        <w:t>如果任何基金清盤和／或合併，則需事先取得證監會的批准，且通常需提前一個月向香港投資者發出通知。基金清盤時，清盤收益將按認購章程「附加資料」一節「本傘子基金的期限、清盤及合併」一段項下指明的方式支付予股東。清盤結束時未能派付予有權享有有關清盤收益的人士的清盤收益將存入盧森堡的信託機構</w:t>
      </w:r>
      <w:r>
        <w:rPr>
          <w:rFonts w:ascii="Arial" w:eastAsia="Arial" w:hAnsi="Arial" w:cs="Arial"/>
          <w:i/>
          <w:sz w:val="20"/>
        </w:rPr>
        <w:t>Caisse de Consignation</w:t>
      </w:r>
      <w:r>
        <w:rPr>
          <w:sz w:val="20"/>
        </w:rPr>
        <w:t>。該等存款原則上應於清盤過程後最遲九個月作出。股東領取彼等有權享有的清盤收益應僅於此等收益存入盧森堡的信託機構</w:t>
      </w:r>
      <w:r>
        <w:rPr>
          <w:rFonts w:ascii="Arial" w:eastAsia="Arial" w:hAnsi="Arial" w:cs="Arial"/>
          <w:i/>
          <w:sz w:val="20"/>
        </w:rPr>
        <w:t>Caisse de Consignation</w:t>
      </w:r>
      <w:r>
        <w:rPr>
          <w:sz w:val="20"/>
        </w:rPr>
        <w:t>三十年後失效。</w:t>
      </w:r>
      <w:r>
        <w:rPr>
          <w:sz w:val="20"/>
        </w:rPr>
        <w:t xml:space="preserve"> </w:t>
      </w:r>
    </w:p>
    <w:p w:rsidR="004D6F0E" w:rsidRDefault="00490F21">
      <w:pPr>
        <w:spacing w:after="124" w:line="270" w:lineRule="auto"/>
      </w:pPr>
      <w:r>
        <w:rPr>
          <w:sz w:val="20"/>
        </w:rPr>
        <w:t>投訴／查詢政策</w:t>
      </w:r>
      <w:r>
        <w:rPr>
          <w:sz w:val="20"/>
        </w:rPr>
        <w:t xml:space="preserve"> </w:t>
      </w:r>
    </w:p>
    <w:p w:rsidR="004D6F0E" w:rsidRDefault="00490F21">
      <w:pPr>
        <w:spacing w:after="124" w:line="270" w:lineRule="auto"/>
      </w:pPr>
      <w:r>
        <w:rPr>
          <w:sz w:val="20"/>
        </w:rPr>
        <w:t>投資者應將所有投訴及／或查詢首先轉交其財務顧問。香港代表已設立投訴程序，可致電</w:t>
      </w:r>
      <w:r>
        <w:rPr>
          <w:sz w:val="20"/>
        </w:rPr>
        <w:t xml:space="preserve"> </w:t>
      </w:r>
      <w:r>
        <w:rPr>
          <w:rFonts w:ascii="Arial" w:eastAsia="Arial" w:hAnsi="Arial" w:cs="Arial"/>
          <w:sz w:val="20"/>
        </w:rPr>
        <w:t xml:space="preserve">+852 2918 7878 </w:t>
      </w:r>
      <w:r>
        <w:rPr>
          <w:sz w:val="20"/>
        </w:rPr>
        <w:t>聯絡。香港代表將於獲知會後</w:t>
      </w:r>
      <w:r>
        <w:rPr>
          <w:sz w:val="20"/>
        </w:rPr>
        <w:t xml:space="preserve"> </w:t>
      </w:r>
      <w:r>
        <w:rPr>
          <w:rFonts w:ascii="Arial" w:eastAsia="Arial" w:hAnsi="Arial" w:cs="Arial"/>
          <w:sz w:val="20"/>
        </w:rPr>
        <w:t>30</w:t>
      </w:r>
      <w:r>
        <w:rPr>
          <w:sz w:val="20"/>
        </w:rPr>
        <w:t xml:space="preserve"> </w:t>
      </w:r>
      <w:r>
        <w:rPr>
          <w:sz w:val="20"/>
        </w:rPr>
        <w:t>個曆日內向財務顧問提供有關投訴或查詢的書面回覆。</w:t>
      </w:r>
      <w:r>
        <w:rPr>
          <w:sz w:val="20"/>
        </w:rPr>
        <w:t xml:space="preserve"> </w:t>
      </w:r>
    </w:p>
    <w:p w:rsidR="004D6F0E" w:rsidRDefault="00490F21">
      <w:pPr>
        <w:spacing w:after="124" w:line="270" w:lineRule="auto"/>
      </w:pPr>
      <w:r>
        <w:rPr>
          <w:sz w:val="20"/>
        </w:rPr>
        <w:t>備案文件</w:t>
      </w:r>
      <w:r>
        <w:rPr>
          <w:sz w:val="20"/>
        </w:rPr>
        <w:t xml:space="preserve"> </w:t>
      </w:r>
    </w:p>
    <w:p w:rsidR="004D6F0E" w:rsidRDefault="00490F21">
      <w:pPr>
        <w:spacing w:after="124" w:line="270" w:lineRule="auto"/>
      </w:pPr>
      <w:r>
        <w:rPr>
          <w:sz w:val="20"/>
        </w:rPr>
        <w:t>只要本傘子基金仍具有證監會根據《證券及期貨條例》第</w:t>
      </w:r>
      <w:r>
        <w:rPr>
          <w:sz w:val="20"/>
        </w:rPr>
        <w:t xml:space="preserve"> </w:t>
      </w:r>
      <w:r>
        <w:rPr>
          <w:rFonts w:ascii="Arial" w:eastAsia="Arial" w:hAnsi="Arial" w:cs="Arial"/>
          <w:sz w:val="20"/>
        </w:rPr>
        <w:t>104</w:t>
      </w:r>
      <w:r>
        <w:rPr>
          <w:sz w:val="20"/>
        </w:rPr>
        <w:t xml:space="preserve"> </w:t>
      </w:r>
      <w:r>
        <w:rPr>
          <w:sz w:val="20"/>
        </w:rPr>
        <w:t>條授予的認可地位，下列與本傘子基金和各基金有關的文件影印本可於正常營業時間在香港代表主要辦事處（其地址請見上文）免費查閱，並在支付合理收費後可索取該等影印本（本傘子基金的年報和半年度報告以及經審計賬目除外，該等影印本可免費索取）︰</w:t>
      </w:r>
      <w:r>
        <w:rPr>
          <w:sz w:val="20"/>
        </w:rPr>
        <w:t xml:space="preserve"> </w:t>
      </w:r>
    </w:p>
    <w:p w:rsidR="004D6F0E" w:rsidRDefault="00490F21">
      <w:pPr>
        <w:numPr>
          <w:ilvl w:val="0"/>
          <w:numId w:val="8"/>
        </w:numPr>
        <w:spacing w:after="124" w:line="270" w:lineRule="auto"/>
        <w:ind w:hanging="600"/>
      </w:pPr>
      <w:r>
        <w:rPr>
          <w:sz w:val="20"/>
        </w:rPr>
        <w:t>管理公</w:t>
      </w:r>
      <w:r>
        <w:rPr>
          <w:sz w:val="20"/>
        </w:rPr>
        <w:t>司組織章程；</w:t>
      </w:r>
      <w:r>
        <w:rPr>
          <w:sz w:val="20"/>
        </w:rPr>
        <w:t xml:space="preserve"> </w:t>
      </w:r>
    </w:p>
    <w:p w:rsidR="004D6F0E" w:rsidRDefault="00490F21">
      <w:pPr>
        <w:numPr>
          <w:ilvl w:val="0"/>
          <w:numId w:val="8"/>
        </w:numPr>
        <w:spacing w:after="124" w:line="270" w:lineRule="auto"/>
        <w:ind w:hanging="600"/>
      </w:pPr>
      <w:r>
        <w:rPr>
          <w:sz w:val="20"/>
        </w:rPr>
        <w:t>投資管理協議；</w:t>
      </w:r>
      <w:r>
        <w:rPr>
          <w:sz w:val="20"/>
        </w:rPr>
        <w:t xml:space="preserve"> </w:t>
      </w:r>
    </w:p>
    <w:p w:rsidR="004D6F0E" w:rsidRDefault="00490F21">
      <w:pPr>
        <w:numPr>
          <w:ilvl w:val="0"/>
          <w:numId w:val="8"/>
        </w:numPr>
        <w:spacing w:after="124" w:line="270" w:lineRule="auto"/>
        <w:ind w:hanging="600"/>
      </w:pPr>
      <w:r>
        <w:rPr>
          <w:sz w:val="20"/>
        </w:rPr>
        <w:lastRenderedPageBreak/>
        <w:t>存管人協議；</w:t>
      </w:r>
      <w:r>
        <w:rPr>
          <w:sz w:val="20"/>
        </w:rPr>
        <w:t xml:space="preserve">  </w:t>
      </w:r>
    </w:p>
    <w:p w:rsidR="004D6F0E" w:rsidRDefault="00490F21">
      <w:pPr>
        <w:numPr>
          <w:ilvl w:val="0"/>
          <w:numId w:val="8"/>
        </w:numPr>
        <w:spacing w:after="124" w:line="270" w:lineRule="auto"/>
        <w:ind w:hanging="600"/>
      </w:pPr>
      <w:r>
        <w:rPr>
          <w:sz w:val="20"/>
        </w:rPr>
        <w:t>本傘子基金管理規例；</w:t>
      </w:r>
      <w:r>
        <w:rPr>
          <w:sz w:val="20"/>
        </w:rPr>
        <w:t xml:space="preserve">  </w:t>
      </w:r>
    </w:p>
    <w:p w:rsidR="004D6F0E" w:rsidRDefault="00490F21">
      <w:pPr>
        <w:numPr>
          <w:ilvl w:val="0"/>
          <w:numId w:val="8"/>
        </w:numPr>
        <w:spacing w:after="124" w:line="270" w:lineRule="auto"/>
        <w:ind w:hanging="600"/>
      </w:pPr>
      <w:r>
        <w:rPr>
          <w:sz w:val="20"/>
        </w:rPr>
        <w:t>行政管理協議；</w:t>
      </w:r>
      <w:r>
        <w:rPr>
          <w:sz w:val="20"/>
        </w:rPr>
        <w:t xml:space="preserve">  </w:t>
      </w:r>
    </w:p>
    <w:p w:rsidR="004D6F0E" w:rsidRDefault="00490F21">
      <w:pPr>
        <w:numPr>
          <w:ilvl w:val="0"/>
          <w:numId w:val="8"/>
        </w:numPr>
        <w:spacing w:after="124" w:line="270" w:lineRule="auto"/>
        <w:ind w:hanging="600"/>
      </w:pPr>
      <w:r>
        <w:rPr>
          <w:sz w:val="20"/>
        </w:rPr>
        <w:t>分銷協議；</w:t>
      </w:r>
      <w:r>
        <w:rPr>
          <w:sz w:val="20"/>
        </w:rPr>
        <w:t xml:space="preserve">  </w:t>
      </w:r>
    </w:p>
    <w:p w:rsidR="004D6F0E" w:rsidRDefault="00490F21">
      <w:pPr>
        <w:numPr>
          <w:ilvl w:val="0"/>
          <w:numId w:val="8"/>
        </w:numPr>
        <w:spacing w:after="124" w:line="270" w:lineRule="auto"/>
        <w:ind w:hanging="600"/>
      </w:pPr>
      <w:r>
        <w:rPr>
          <w:sz w:val="20"/>
        </w:rPr>
        <w:t>管理公司與過戶代理之間就每一基金簽訂的過戶代理協議；</w:t>
      </w:r>
      <w:r>
        <w:rPr>
          <w:sz w:val="20"/>
        </w:rPr>
        <w:t xml:space="preserve">  </w:t>
      </w:r>
    </w:p>
    <w:p w:rsidR="004D6F0E" w:rsidRDefault="00490F21">
      <w:pPr>
        <w:numPr>
          <w:ilvl w:val="0"/>
          <w:numId w:val="8"/>
        </w:numPr>
        <w:spacing w:after="124" w:line="270" w:lineRule="auto"/>
        <w:ind w:hanging="600"/>
      </w:pPr>
      <w:r>
        <w:rPr>
          <w:sz w:val="20"/>
        </w:rPr>
        <w:t>本傘子基金最近發表的年報和半年度報告以及經審計賬目；</w:t>
      </w:r>
      <w:r>
        <w:rPr>
          <w:sz w:val="20"/>
        </w:rPr>
        <w:t xml:space="preserve">  </w:t>
      </w:r>
    </w:p>
    <w:p w:rsidR="004D6F0E" w:rsidRDefault="00490F21">
      <w:pPr>
        <w:numPr>
          <w:ilvl w:val="0"/>
          <w:numId w:val="8"/>
        </w:numPr>
        <w:spacing w:after="124" w:line="270" w:lineRule="auto"/>
        <w:ind w:hanging="600"/>
      </w:pPr>
      <w:r>
        <w:rPr>
          <w:sz w:val="20"/>
        </w:rPr>
        <w:t>香港代表的委任協議；</w:t>
      </w:r>
      <w:r>
        <w:rPr>
          <w:sz w:val="20"/>
        </w:rPr>
        <w:t xml:space="preserve">  </w:t>
      </w:r>
    </w:p>
    <w:p w:rsidR="004D6F0E" w:rsidRDefault="00490F21">
      <w:pPr>
        <w:numPr>
          <w:ilvl w:val="0"/>
          <w:numId w:val="8"/>
        </w:numPr>
        <w:spacing w:after="124" w:line="270" w:lineRule="auto"/>
        <w:ind w:hanging="600"/>
      </w:pPr>
      <w:r>
        <w:rPr>
          <w:sz w:val="20"/>
        </w:rPr>
        <w:t>本傘子基金目前管理工作所依據的</w:t>
      </w:r>
      <w:r>
        <w:rPr>
          <w:sz w:val="20"/>
        </w:rPr>
        <w:t xml:space="preserve"> </w:t>
      </w:r>
      <w:r>
        <w:rPr>
          <w:rFonts w:ascii="Arial" w:eastAsia="Arial" w:hAnsi="Arial" w:cs="Arial"/>
          <w:sz w:val="20"/>
        </w:rPr>
        <w:t xml:space="preserve">UCITS </w:t>
      </w:r>
      <w:r>
        <w:rPr>
          <w:sz w:val="20"/>
        </w:rPr>
        <w:t>條例項下的投資限制；</w:t>
      </w:r>
      <w:r>
        <w:rPr>
          <w:sz w:val="20"/>
        </w:rPr>
        <w:t xml:space="preserve">  </w:t>
      </w:r>
    </w:p>
    <w:p w:rsidR="004D6F0E" w:rsidRDefault="00490F21">
      <w:pPr>
        <w:numPr>
          <w:ilvl w:val="0"/>
          <w:numId w:val="8"/>
        </w:numPr>
        <w:spacing w:after="124" w:line="270" w:lineRule="auto"/>
        <w:ind w:hanging="600"/>
      </w:pPr>
      <w:r>
        <w:rPr>
          <w:sz w:val="20"/>
        </w:rPr>
        <w:t>有關使用金融衍生工具的</w:t>
      </w:r>
      <w:r>
        <w:rPr>
          <w:sz w:val="20"/>
        </w:rPr>
        <w:t xml:space="preserve"> </w:t>
      </w:r>
      <w:r>
        <w:rPr>
          <w:rFonts w:ascii="Arial" w:eastAsia="Arial" w:hAnsi="Arial" w:cs="Arial"/>
          <w:sz w:val="20"/>
        </w:rPr>
        <w:t>UCITS</w:t>
      </w:r>
      <w:r>
        <w:rPr>
          <w:sz w:val="20"/>
        </w:rPr>
        <w:t xml:space="preserve"> </w:t>
      </w:r>
      <w:r>
        <w:rPr>
          <w:sz w:val="20"/>
        </w:rPr>
        <w:t>風險管理聲明；及</w:t>
      </w:r>
      <w:r>
        <w:rPr>
          <w:sz w:val="20"/>
        </w:rPr>
        <w:t xml:space="preserve">  </w:t>
      </w:r>
    </w:p>
    <w:p w:rsidR="004D6F0E" w:rsidRDefault="00490F21">
      <w:pPr>
        <w:numPr>
          <w:ilvl w:val="0"/>
          <w:numId w:val="8"/>
        </w:numPr>
        <w:spacing w:after="124" w:line="270" w:lineRule="auto"/>
        <w:ind w:hanging="600"/>
      </w:pPr>
      <w:r>
        <w:rPr>
          <w:sz w:val="20"/>
        </w:rPr>
        <w:t>本傘子基金認可交易商名單。</w:t>
      </w:r>
      <w:r>
        <w:rPr>
          <w:sz w:val="20"/>
        </w:rPr>
        <w:t xml:space="preserve"> </w:t>
      </w:r>
    </w:p>
    <w:p w:rsidR="004D6F0E" w:rsidRDefault="004D6F0E">
      <w:pPr>
        <w:sectPr w:rsidR="004D6F0E">
          <w:headerReference w:type="even" r:id="rId10"/>
          <w:headerReference w:type="default" r:id="rId11"/>
          <w:footerReference w:type="even" r:id="rId12"/>
          <w:footerReference w:type="default" r:id="rId13"/>
          <w:headerReference w:type="first" r:id="rId14"/>
          <w:footerReference w:type="first" r:id="rId15"/>
          <w:pgSz w:w="11899" w:h="16841"/>
          <w:pgMar w:top="720" w:right="1143" w:bottom="663" w:left="1384" w:header="720" w:footer="720" w:gutter="0"/>
          <w:cols w:space="720"/>
          <w:titlePg/>
        </w:sectPr>
      </w:pPr>
    </w:p>
    <w:p w:rsidR="004D6F0E" w:rsidRDefault="00490F21">
      <w:pPr>
        <w:spacing w:after="0" w:line="259" w:lineRule="auto"/>
        <w:ind w:left="1" w:firstLine="0"/>
      </w:pPr>
      <w:r>
        <w:rPr>
          <w:noProof/>
        </w:rPr>
        <w:lastRenderedPageBreak/>
        <w:drawing>
          <wp:inline distT="0" distB="0" distL="0" distR="0">
            <wp:extent cx="1496224" cy="862330"/>
            <wp:effectExtent l="0" t="0" r="0" b="0"/>
            <wp:docPr id="3424" name="Picture 3424"/>
            <wp:cNvGraphicFramePr/>
            <a:graphic xmlns:a="http://schemas.openxmlformats.org/drawingml/2006/main">
              <a:graphicData uri="http://schemas.openxmlformats.org/drawingml/2006/picture">
                <pic:pic xmlns:pic="http://schemas.openxmlformats.org/drawingml/2006/picture">
                  <pic:nvPicPr>
                    <pic:cNvPr id="3424" name="Picture 3424"/>
                    <pic:cNvPicPr/>
                  </pic:nvPicPr>
                  <pic:blipFill>
                    <a:blip r:embed="rId16"/>
                    <a:stretch>
                      <a:fillRect/>
                    </a:stretch>
                  </pic:blipFill>
                  <pic:spPr>
                    <a:xfrm>
                      <a:off x="0" y="0"/>
                      <a:ext cx="1496224" cy="862330"/>
                    </a:xfrm>
                    <a:prstGeom prst="rect">
                      <a:avLst/>
                    </a:prstGeom>
                  </pic:spPr>
                </pic:pic>
              </a:graphicData>
            </a:graphic>
          </wp:inline>
        </w:drawing>
      </w:r>
      <w:r>
        <w:rPr>
          <w:rFonts w:ascii="SimSun" w:eastAsia="SimSun" w:hAnsi="SimSun" w:cs="SimSun"/>
          <w:sz w:val="20"/>
        </w:rPr>
        <w:t xml:space="preserve"> </w:t>
      </w:r>
    </w:p>
    <w:p w:rsidR="004D6F0E" w:rsidRDefault="00490F21">
      <w:pPr>
        <w:spacing w:after="181" w:line="259" w:lineRule="auto"/>
        <w:ind w:left="1" w:firstLine="0"/>
      </w:pPr>
      <w:r>
        <w:rPr>
          <w:rFonts w:ascii="Arial" w:eastAsia="Arial" w:hAnsi="Arial" w:cs="Arial"/>
          <w:sz w:val="24"/>
        </w:rPr>
        <w:t xml:space="preserve"> </w:t>
      </w:r>
    </w:p>
    <w:p w:rsidR="004D6F0E" w:rsidRDefault="00490F21">
      <w:pPr>
        <w:pStyle w:val="Heading1"/>
      </w:pPr>
      <w:r>
        <w:t>聯博</w:t>
      </w:r>
      <w:r>
        <w:rPr>
          <w:rFonts w:ascii="Arial" w:eastAsia="Arial" w:hAnsi="Arial" w:cs="Arial"/>
          <w:b/>
        </w:rPr>
        <w:t xml:space="preserve"> </w:t>
      </w:r>
    </w:p>
    <w:p w:rsidR="004D6F0E" w:rsidRDefault="00490F21">
      <w:pPr>
        <w:spacing w:after="14" w:line="259" w:lineRule="auto"/>
        <w:ind w:left="109" w:firstLine="0"/>
      </w:pPr>
      <w:r>
        <w:rPr>
          <w:rFonts w:ascii="Arial" w:eastAsia="Arial" w:hAnsi="Arial" w:cs="Arial"/>
          <w:sz w:val="18"/>
        </w:rPr>
        <w:t xml:space="preserve"> </w:t>
      </w:r>
    </w:p>
    <w:p w:rsidR="004D6F0E" w:rsidRDefault="00490F21">
      <w:pPr>
        <w:spacing w:after="0" w:line="259" w:lineRule="auto"/>
        <w:ind w:left="109" w:firstLine="0"/>
      </w:pPr>
      <w:r>
        <w:rPr>
          <w:sz w:val="21"/>
        </w:rPr>
        <w:t>二零二三年三月三十一日</w:t>
      </w:r>
      <w:r>
        <w:rPr>
          <w:rFonts w:ascii="Arial" w:eastAsia="Arial" w:hAnsi="Arial" w:cs="Arial"/>
          <w:b/>
          <w:sz w:val="21"/>
        </w:rPr>
        <w:t xml:space="preserve"> </w:t>
      </w:r>
    </w:p>
    <w:p w:rsidR="004D6F0E" w:rsidRDefault="00490F21">
      <w:pPr>
        <w:spacing w:after="0" w:line="259" w:lineRule="auto"/>
        <w:ind w:left="109" w:firstLine="0"/>
      </w:pPr>
      <w:r>
        <w:rPr>
          <w:rFonts w:ascii="Arial" w:eastAsia="Arial" w:hAnsi="Arial" w:cs="Arial"/>
          <w:sz w:val="18"/>
        </w:rPr>
        <w:t xml:space="preserve"> </w:t>
      </w:r>
    </w:p>
    <w:p w:rsidR="004D6F0E" w:rsidRDefault="00490F21">
      <w:pPr>
        <w:spacing w:after="0" w:line="259" w:lineRule="auto"/>
        <w:ind w:left="109" w:firstLine="0"/>
      </w:pPr>
      <w:r>
        <w:rPr>
          <w:rFonts w:ascii="Arial" w:eastAsia="Arial" w:hAnsi="Arial" w:cs="Arial"/>
          <w:sz w:val="18"/>
        </w:rPr>
        <w:t xml:space="preserve"> </w:t>
      </w:r>
    </w:p>
    <w:p w:rsidR="004D6F0E" w:rsidRDefault="00490F21">
      <w:pPr>
        <w:spacing w:after="1" w:line="259" w:lineRule="auto"/>
        <w:ind w:left="109" w:firstLine="0"/>
      </w:pPr>
      <w:r>
        <w:rPr>
          <w:rFonts w:ascii="Arial" w:eastAsia="Arial" w:hAnsi="Arial" w:cs="Arial"/>
          <w:sz w:val="18"/>
        </w:rPr>
        <w:t xml:space="preserve"> </w:t>
      </w:r>
    </w:p>
    <w:p w:rsidR="004D6F0E" w:rsidRDefault="00490F21">
      <w:pPr>
        <w:spacing w:after="0" w:line="259" w:lineRule="auto"/>
        <w:ind w:left="217"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450" w:line="259" w:lineRule="auto"/>
        <w:ind w:left="217" w:firstLine="0"/>
      </w:pPr>
      <w:r>
        <w:rPr>
          <w:rFonts w:ascii="Arial" w:eastAsia="Arial" w:hAnsi="Arial" w:cs="Arial"/>
          <w:sz w:val="18"/>
        </w:rPr>
        <w:t xml:space="preserve"> </w:t>
      </w:r>
    </w:p>
    <w:p w:rsidR="004D6F0E" w:rsidRDefault="00490F21">
      <w:pPr>
        <w:spacing w:after="149" w:line="259" w:lineRule="auto"/>
        <w:ind w:left="217"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tabs>
          <w:tab w:val="center" w:pos="3343"/>
        </w:tabs>
        <w:spacing w:after="219"/>
        <w:ind w:left="0" w:firstLine="0"/>
      </w:pPr>
      <w:r>
        <w:rPr>
          <w:sz w:val="18"/>
        </w:rPr>
        <w:t>多元資產／資產配置</w:t>
      </w:r>
      <w:r>
        <w:rPr>
          <w:rFonts w:ascii="Arial" w:eastAsia="Arial" w:hAnsi="Arial" w:cs="Arial"/>
          <w:sz w:val="24"/>
        </w:rPr>
        <w:t xml:space="preserve"> </w:t>
      </w:r>
      <w:r>
        <w:rPr>
          <w:rFonts w:ascii="Arial" w:eastAsia="Arial" w:hAnsi="Arial" w:cs="Arial"/>
          <w:sz w:val="24"/>
        </w:rPr>
        <w:tab/>
      </w:r>
      <w:r>
        <w:rPr>
          <w:sz w:val="18"/>
        </w:rPr>
        <w:t>股票</w:t>
      </w:r>
      <w:r>
        <w:rPr>
          <w:rFonts w:ascii="Arial" w:eastAsia="Arial" w:hAnsi="Arial" w:cs="Arial"/>
          <w:b/>
          <w:sz w:val="18"/>
        </w:rPr>
        <w:t xml:space="preserve"> </w:t>
      </w:r>
    </w:p>
    <w:p w:rsidR="004D6F0E" w:rsidRDefault="00490F21">
      <w:pPr>
        <w:tabs>
          <w:tab w:val="center" w:pos="4124"/>
        </w:tabs>
        <w:spacing w:after="138"/>
        <w:ind w:left="0" w:firstLine="0"/>
      </w:pPr>
      <w:r>
        <w:rPr>
          <w:rFonts w:ascii="Arial" w:eastAsia="Arial" w:hAnsi="Arial" w:cs="Arial"/>
          <w:sz w:val="21"/>
        </w:rPr>
        <w:t>&gt;</w:t>
      </w:r>
      <w:r>
        <w:rPr>
          <w:rFonts w:ascii="Arial" w:eastAsia="Arial" w:hAnsi="Arial" w:cs="Arial"/>
          <w:sz w:val="18"/>
        </w:rPr>
        <w:t xml:space="preserve"> </w:t>
      </w:r>
      <w:r>
        <w:rPr>
          <w:sz w:val="18"/>
        </w:rPr>
        <w:t>全方位領航基金</w:t>
      </w:r>
      <w:r>
        <w:rPr>
          <w:rFonts w:ascii="Arial" w:eastAsia="Arial" w:hAnsi="Arial" w:cs="Arial"/>
          <w:sz w:val="18"/>
        </w:rPr>
        <w:t xml:space="preserve"> </w:t>
      </w:r>
      <w:r>
        <w:rPr>
          <w:rFonts w:ascii="Arial" w:eastAsia="Arial" w:hAnsi="Arial" w:cs="Arial"/>
          <w:sz w:val="18"/>
        </w:rPr>
        <w:tab/>
      </w:r>
      <w:r>
        <w:rPr>
          <w:rFonts w:ascii="Arial" w:eastAsia="Arial" w:hAnsi="Arial" w:cs="Arial"/>
          <w:sz w:val="21"/>
        </w:rPr>
        <w:t>&gt;</w:t>
      </w:r>
      <w:r>
        <w:rPr>
          <w:rFonts w:ascii="Arial" w:eastAsia="Arial" w:hAnsi="Arial" w:cs="Arial"/>
          <w:sz w:val="18"/>
        </w:rPr>
        <w:t xml:space="preserve"> </w:t>
      </w:r>
      <w:r>
        <w:rPr>
          <w:sz w:val="18"/>
        </w:rPr>
        <w:t>環球股票策略基金</w:t>
      </w:r>
      <w:r>
        <w:rPr>
          <w:rFonts w:ascii="Arial" w:eastAsia="Arial" w:hAnsi="Arial" w:cs="Arial"/>
          <w:sz w:val="21"/>
        </w:rPr>
        <w:t xml:space="preserve"> </w:t>
      </w:r>
    </w:p>
    <w:p w:rsidR="004D6F0E" w:rsidRDefault="00490F21">
      <w:pPr>
        <w:tabs>
          <w:tab w:val="center" w:pos="4124"/>
        </w:tabs>
        <w:spacing w:after="126"/>
        <w:ind w:left="0" w:firstLine="0"/>
      </w:pPr>
      <w:r>
        <w:rPr>
          <w:rFonts w:ascii="Arial" w:eastAsia="Arial" w:hAnsi="Arial" w:cs="Arial"/>
          <w:sz w:val="18"/>
        </w:rPr>
        <w:t xml:space="preserve"> </w:t>
      </w:r>
      <w:r>
        <w:rPr>
          <w:rFonts w:ascii="Arial" w:eastAsia="Arial" w:hAnsi="Arial" w:cs="Arial"/>
          <w:sz w:val="18"/>
        </w:rPr>
        <w:tab/>
      </w:r>
      <w:r>
        <w:rPr>
          <w:rFonts w:ascii="Arial" w:eastAsia="Arial" w:hAnsi="Arial" w:cs="Arial"/>
          <w:sz w:val="21"/>
        </w:rPr>
        <w:t xml:space="preserve">&gt; </w:t>
      </w:r>
      <w:r>
        <w:rPr>
          <w:sz w:val="18"/>
        </w:rPr>
        <w:t>新興市場增長基金</w:t>
      </w:r>
      <w:r>
        <w:rPr>
          <w:rFonts w:ascii="Arial" w:eastAsia="Arial" w:hAnsi="Arial" w:cs="Arial"/>
          <w:sz w:val="24"/>
        </w:rPr>
        <w:t xml:space="preserve"> </w:t>
      </w:r>
    </w:p>
    <w:p w:rsidR="004D6F0E" w:rsidRDefault="00490F21">
      <w:pPr>
        <w:spacing w:after="121" w:line="265" w:lineRule="auto"/>
        <w:ind w:right="63" w:hanging="10"/>
        <w:jc w:val="right"/>
      </w:pPr>
      <w:r>
        <w:rPr>
          <w:rFonts w:ascii="Arial" w:eastAsia="Arial" w:hAnsi="Arial" w:cs="Arial"/>
          <w:sz w:val="21"/>
        </w:rPr>
        <w:t>&gt;</w:t>
      </w:r>
      <w:r>
        <w:rPr>
          <w:rFonts w:ascii="Arial" w:eastAsia="Arial" w:hAnsi="Arial" w:cs="Arial"/>
          <w:sz w:val="18"/>
        </w:rPr>
        <w:t xml:space="preserve"> </w:t>
      </w:r>
      <w:r>
        <w:rPr>
          <w:sz w:val="18"/>
        </w:rPr>
        <w:t>亞洲（日本以外）股票基金</w:t>
      </w:r>
      <w:r>
        <w:rPr>
          <w:rFonts w:ascii="Arial" w:eastAsia="Arial" w:hAnsi="Arial" w:cs="Arial"/>
          <w:sz w:val="24"/>
        </w:rPr>
        <w:t xml:space="preserve"> </w:t>
      </w:r>
    </w:p>
    <w:p w:rsidR="004D6F0E" w:rsidRDefault="00490F21">
      <w:pPr>
        <w:spacing w:after="117"/>
        <w:ind w:left="3174" w:right="13" w:hanging="10"/>
      </w:pPr>
      <w:r>
        <w:rPr>
          <w:rFonts w:ascii="Arial" w:eastAsia="Arial" w:hAnsi="Arial" w:cs="Arial"/>
          <w:sz w:val="21"/>
        </w:rPr>
        <w:t xml:space="preserve">&gt; </w:t>
      </w:r>
      <w:r>
        <w:rPr>
          <w:sz w:val="18"/>
        </w:rPr>
        <w:t>日本策略價值基金</w:t>
      </w:r>
      <w:r>
        <w:rPr>
          <w:rFonts w:ascii="Arial" w:eastAsia="Arial" w:hAnsi="Arial" w:cs="Arial"/>
          <w:sz w:val="24"/>
        </w:rPr>
        <w:t xml:space="preserve"> </w:t>
      </w:r>
    </w:p>
    <w:p w:rsidR="004D6F0E" w:rsidRDefault="00490F21">
      <w:pPr>
        <w:spacing w:after="2438" w:line="265" w:lineRule="auto"/>
        <w:ind w:right="247" w:hanging="10"/>
        <w:jc w:val="right"/>
      </w:pPr>
      <w:r>
        <w:rPr>
          <w:rFonts w:ascii="Arial" w:eastAsia="Arial" w:hAnsi="Arial" w:cs="Arial"/>
          <w:sz w:val="21"/>
        </w:rPr>
        <w:t xml:space="preserve">&gt; </w:t>
      </w:r>
      <w:r>
        <w:rPr>
          <w:sz w:val="18"/>
        </w:rPr>
        <w:t>中國低波幅策略股票基金</w:t>
      </w:r>
      <w:r>
        <w:rPr>
          <w:rFonts w:ascii="Arial" w:eastAsia="Arial" w:hAnsi="Arial" w:cs="Arial"/>
          <w:sz w:val="24"/>
        </w:rPr>
        <w:t xml:space="preserve"> </w:t>
      </w:r>
    </w:p>
    <w:p w:rsidR="004D6F0E" w:rsidRDefault="00490F21">
      <w:pPr>
        <w:spacing w:after="182" w:line="259" w:lineRule="auto"/>
        <w:ind w:left="1" w:firstLine="0"/>
      </w:pPr>
      <w:r>
        <w:rPr>
          <w:rFonts w:ascii="Arial" w:eastAsia="Arial" w:hAnsi="Arial" w:cs="Arial"/>
          <w:sz w:val="20"/>
        </w:rPr>
        <w:t xml:space="preserve"> </w:t>
      </w:r>
    </w:p>
    <w:p w:rsidR="004D6F0E" w:rsidRDefault="00490F21">
      <w:pPr>
        <w:spacing w:after="182" w:line="259" w:lineRule="auto"/>
        <w:ind w:left="1" w:firstLine="0"/>
      </w:pPr>
      <w:r>
        <w:rPr>
          <w:rFonts w:ascii="Arial" w:eastAsia="Arial" w:hAnsi="Arial" w:cs="Arial"/>
          <w:sz w:val="20"/>
        </w:rPr>
        <w:t xml:space="preserve"> </w:t>
      </w:r>
    </w:p>
    <w:p w:rsidR="004D6F0E" w:rsidRDefault="00490F21">
      <w:pPr>
        <w:spacing w:after="165" w:line="259" w:lineRule="auto"/>
        <w:ind w:left="1" w:firstLine="0"/>
      </w:pPr>
      <w:r>
        <w:rPr>
          <w:rFonts w:ascii="Arial" w:eastAsia="Arial" w:hAnsi="Arial" w:cs="Arial"/>
          <w:sz w:val="20"/>
        </w:rPr>
        <w:t xml:space="preserve"> </w:t>
      </w:r>
    </w:p>
    <w:p w:rsidR="004D6F0E" w:rsidRDefault="00490F21">
      <w:pPr>
        <w:spacing w:after="182" w:line="259" w:lineRule="auto"/>
        <w:ind w:left="1" w:firstLine="0"/>
      </w:pPr>
      <w:r>
        <w:rPr>
          <w:rFonts w:ascii="Arial" w:eastAsia="Arial" w:hAnsi="Arial" w:cs="Arial"/>
          <w:sz w:val="18"/>
        </w:rPr>
        <w:t xml:space="preserve"> </w:t>
      </w:r>
    </w:p>
    <w:p w:rsidR="004D6F0E" w:rsidRDefault="00490F21">
      <w:pPr>
        <w:spacing w:after="204" w:line="259" w:lineRule="auto"/>
        <w:ind w:left="1" w:firstLine="0"/>
      </w:pPr>
      <w:r>
        <w:rPr>
          <w:rFonts w:ascii="Arial" w:eastAsia="Arial" w:hAnsi="Arial" w:cs="Arial"/>
          <w:sz w:val="18"/>
        </w:rPr>
        <w:t xml:space="preserve"> </w:t>
      </w:r>
    </w:p>
    <w:p w:rsidR="004D6F0E" w:rsidRDefault="00490F21">
      <w:pPr>
        <w:spacing w:after="1298" w:line="259" w:lineRule="auto"/>
        <w:ind w:left="1" w:firstLine="0"/>
      </w:pPr>
      <w:r>
        <w:rPr>
          <w:rFonts w:ascii="Arial" w:eastAsia="Arial" w:hAnsi="Arial" w:cs="Arial"/>
          <w:sz w:val="20"/>
        </w:rPr>
        <w:t xml:space="preserve"> </w:t>
      </w:r>
    </w:p>
    <w:p w:rsidR="004D6F0E" w:rsidRDefault="00490F21">
      <w:pPr>
        <w:spacing w:after="17" w:line="259" w:lineRule="auto"/>
        <w:ind w:left="0" w:right="248" w:firstLine="0"/>
        <w:jc w:val="right"/>
      </w:pPr>
      <w:r>
        <w:rPr>
          <w:sz w:val="16"/>
        </w:rPr>
        <w:t xml:space="preserve"> </w:t>
      </w:r>
    </w:p>
    <w:p w:rsidR="004D6F0E" w:rsidRDefault="00490F21">
      <w:pPr>
        <w:spacing w:after="0" w:line="259" w:lineRule="auto"/>
        <w:ind w:left="0" w:right="248" w:firstLine="0"/>
        <w:jc w:val="right"/>
      </w:pPr>
      <w:r>
        <w:rPr>
          <w:rFonts w:ascii="SimSun" w:eastAsia="SimSun" w:hAnsi="SimSun" w:cs="SimSun"/>
          <w:sz w:val="16"/>
        </w:rPr>
        <w:t xml:space="preserve"> </w:t>
      </w:r>
    </w:p>
    <w:p w:rsidR="004D6F0E" w:rsidRDefault="00490F21">
      <w:pPr>
        <w:pStyle w:val="Heading2"/>
        <w:spacing w:after="3017"/>
        <w:ind w:left="0" w:right="152" w:firstLine="0"/>
        <w:jc w:val="right"/>
      </w:pPr>
      <w:r>
        <w:rPr>
          <w:sz w:val="21"/>
        </w:rPr>
        <w:t>認購章程</w:t>
      </w:r>
      <w:r>
        <w:rPr>
          <w:sz w:val="24"/>
        </w:rPr>
        <w:t xml:space="preserve"> </w:t>
      </w:r>
    </w:p>
    <w:p w:rsidR="004D6F0E" w:rsidRDefault="00490F21">
      <w:pPr>
        <w:spacing w:after="199" w:line="259" w:lineRule="auto"/>
        <w:ind w:left="1603" w:firstLine="0"/>
      </w:pPr>
      <w:r>
        <w:rPr>
          <w:rFonts w:ascii="Arial" w:eastAsia="Arial" w:hAnsi="Arial" w:cs="Arial"/>
          <w:sz w:val="18"/>
        </w:rPr>
        <w:t xml:space="preserve"> </w:t>
      </w:r>
    </w:p>
    <w:p w:rsidR="004D6F0E" w:rsidRDefault="00490F21">
      <w:pPr>
        <w:spacing w:after="119" w:line="259" w:lineRule="auto"/>
        <w:ind w:left="0" w:firstLine="0"/>
      </w:pPr>
      <w:r>
        <w:rPr>
          <w:rFonts w:ascii="Arial" w:eastAsia="Arial" w:hAnsi="Arial" w:cs="Arial"/>
          <w:sz w:val="24"/>
        </w:rPr>
        <w:t xml:space="preserve"> </w:t>
      </w:r>
    </w:p>
    <w:p w:rsidR="004D6F0E" w:rsidRDefault="00490F21">
      <w:pPr>
        <w:ind w:left="8" w:right="13" w:hanging="10"/>
      </w:pPr>
      <w:r>
        <w:rPr>
          <w:sz w:val="18"/>
        </w:rPr>
        <w:t>固定收益</w:t>
      </w:r>
      <w:r>
        <w:rPr>
          <w:rFonts w:ascii="Arial" w:eastAsia="Arial" w:hAnsi="Arial" w:cs="Arial"/>
          <w:sz w:val="24"/>
        </w:rPr>
        <w:t xml:space="preserve"> </w:t>
      </w:r>
    </w:p>
    <w:tbl>
      <w:tblPr>
        <w:tblStyle w:val="TableGrid"/>
        <w:tblW w:w="1989" w:type="dxa"/>
        <w:tblInd w:w="0" w:type="dxa"/>
        <w:tblCellMar>
          <w:top w:w="21" w:type="dxa"/>
          <w:left w:w="0" w:type="dxa"/>
          <w:bottom w:w="0" w:type="dxa"/>
          <w:right w:w="0" w:type="dxa"/>
        </w:tblCellMar>
        <w:tblLook w:val="04A0" w:firstRow="1" w:lastRow="0" w:firstColumn="1" w:lastColumn="0" w:noHBand="0" w:noVBand="1"/>
      </w:tblPr>
      <w:tblGrid>
        <w:gridCol w:w="482"/>
        <w:gridCol w:w="1507"/>
      </w:tblGrid>
      <w:tr w:rsidR="004D6F0E">
        <w:trPr>
          <w:trHeight w:val="314"/>
        </w:trPr>
        <w:tc>
          <w:tcPr>
            <w:tcW w:w="48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1"/>
              </w:rPr>
              <w:t xml:space="preserve">&gt; </w:t>
            </w:r>
          </w:p>
        </w:tc>
        <w:tc>
          <w:tcPr>
            <w:tcW w:w="1507" w:type="dxa"/>
            <w:tcBorders>
              <w:top w:val="nil"/>
              <w:left w:val="nil"/>
              <w:bottom w:val="nil"/>
              <w:right w:val="nil"/>
            </w:tcBorders>
          </w:tcPr>
          <w:p w:rsidR="004D6F0E" w:rsidRDefault="00490F21">
            <w:pPr>
              <w:spacing w:after="0" w:line="259" w:lineRule="auto"/>
              <w:ind w:left="0" w:firstLine="0"/>
            </w:pPr>
            <w:r>
              <w:rPr>
                <w:sz w:val="18"/>
              </w:rPr>
              <w:t>短期債券基金</w:t>
            </w:r>
            <w:r>
              <w:rPr>
                <w:rFonts w:ascii="Arial" w:eastAsia="Arial" w:hAnsi="Arial" w:cs="Arial"/>
                <w:sz w:val="24"/>
              </w:rPr>
              <w:t xml:space="preserve"> </w:t>
            </w:r>
          </w:p>
        </w:tc>
      </w:tr>
      <w:tr w:rsidR="004D6F0E">
        <w:trPr>
          <w:trHeight w:val="367"/>
        </w:trPr>
        <w:tc>
          <w:tcPr>
            <w:tcW w:w="48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1"/>
              </w:rPr>
              <w:t xml:space="preserve">&gt; </w:t>
            </w:r>
          </w:p>
        </w:tc>
        <w:tc>
          <w:tcPr>
            <w:tcW w:w="1507" w:type="dxa"/>
            <w:tcBorders>
              <w:top w:val="nil"/>
              <w:left w:val="nil"/>
              <w:bottom w:val="nil"/>
              <w:right w:val="nil"/>
            </w:tcBorders>
          </w:tcPr>
          <w:p w:rsidR="004D6F0E" w:rsidRDefault="00490F21">
            <w:pPr>
              <w:spacing w:after="0" w:line="259" w:lineRule="auto"/>
              <w:ind w:left="0" w:firstLine="0"/>
            </w:pPr>
            <w:r>
              <w:rPr>
                <w:sz w:val="18"/>
              </w:rPr>
              <w:t>環球高收益基金</w:t>
            </w:r>
            <w:r>
              <w:rPr>
                <w:rFonts w:ascii="Arial" w:eastAsia="Arial" w:hAnsi="Arial" w:cs="Arial"/>
                <w:sz w:val="18"/>
              </w:rPr>
              <w:t xml:space="preserve"> </w:t>
            </w:r>
          </w:p>
        </w:tc>
      </w:tr>
      <w:tr w:rsidR="004D6F0E">
        <w:trPr>
          <w:trHeight w:val="383"/>
        </w:trPr>
        <w:tc>
          <w:tcPr>
            <w:tcW w:w="48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1"/>
              </w:rPr>
              <w:t xml:space="preserve">&gt; </w:t>
            </w:r>
          </w:p>
        </w:tc>
        <w:tc>
          <w:tcPr>
            <w:tcW w:w="1507" w:type="dxa"/>
            <w:tcBorders>
              <w:top w:val="nil"/>
              <w:left w:val="nil"/>
              <w:bottom w:val="nil"/>
              <w:right w:val="nil"/>
            </w:tcBorders>
          </w:tcPr>
          <w:p w:rsidR="004D6F0E" w:rsidRDefault="00490F21">
            <w:pPr>
              <w:spacing w:after="0" w:line="259" w:lineRule="auto"/>
              <w:ind w:left="0" w:firstLine="0"/>
            </w:pPr>
            <w:r>
              <w:rPr>
                <w:sz w:val="18"/>
              </w:rPr>
              <w:t>美元收益基金</w:t>
            </w:r>
            <w:r>
              <w:rPr>
                <w:rFonts w:ascii="Arial" w:eastAsia="Arial" w:hAnsi="Arial" w:cs="Arial"/>
                <w:sz w:val="24"/>
              </w:rPr>
              <w:t xml:space="preserve"> </w:t>
            </w:r>
          </w:p>
        </w:tc>
      </w:tr>
      <w:tr w:rsidR="004D6F0E">
        <w:trPr>
          <w:trHeight w:val="382"/>
        </w:trPr>
        <w:tc>
          <w:tcPr>
            <w:tcW w:w="48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1"/>
              </w:rPr>
              <w:t xml:space="preserve">&gt; </w:t>
            </w:r>
          </w:p>
        </w:tc>
        <w:tc>
          <w:tcPr>
            <w:tcW w:w="1507" w:type="dxa"/>
            <w:tcBorders>
              <w:top w:val="nil"/>
              <w:left w:val="nil"/>
              <w:bottom w:val="nil"/>
              <w:right w:val="nil"/>
            </w:tcBorders>
          </w:tcPr>
          <w:p w:rsidR="004D6F0E" w:rsidRDefault="00490F21">
            <w:pPr>
              <w:spacing w:after="0" w:line="259" w:lineRule="auto"/>
              <w:ind w:left="0" w:firstLine="0"/>
            </w:pPr>
            <w:r>
              <w:rPr>
                <w:sz w:val="18"/>
              </w:rPr>
              <w:t>歐洲收益基金</w:t>
            </w:r>
            <w:r>
              <w:rPr>
                <w:rFonts w:ascii="Arial" w:eastAsia="Arial" w:hAnsi="Arial" w:cs="Arial"/>
                <w:sz w:val="24"/>
              </w:rPr>
              <w:t xml:space="preserve"> </w:t>
            </w:r>
          </w:p>
        </w:tc>
      </w:tr>
      <w:tr w:rsidR="004D6F0E">
        <w:trPr>
          <w:trHeight w:val="380"/>
        </w:trPr>
        <w:tc>
          <w:tcPr>
            <w:tcW w:w="48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1"/>
              </w:rPr>
              <w:t xml:space="preserve">&gt; </w:t>
            </w:r>
          </w:p>
        </w:tc>
        <w:tc>
          <w:tcPr>
            <w:tcW w:w="1507" w:type="dxa"/>
            <w:tcBorders>
              <w:top w:val="nil"/>
              <w:left w:val="nil"/>
              <w:bottom w:val="nil"/>
              <w:right w:val="nil"/>
            </w:tcBorders>
          </w:tcPr>
          <w:p w:rsidR="004D6F0E" w:rsidRDefault="00490F21">
            <w:pPr>
              <w:spacing w:after="0" w:line="259" w:lineRule="auto"/>
              <w:ind w:left="0" w:firstLine="0"/>
              <w:jc w:val="both"/>
            </w:pPr>
            <w:r>
              <w:rPr>
                <w:sz w:val="18"/>
              </w:rPr>
              <w:t>新興市場債券基金</w:t>
            </w:r>
            <w:r>
              <w:rPr>
                <w:rFonts w:ascii="Arial" w:eastAsia="Arial" w:hAnsi="Arial" w:cs="Arial"/>
                <w:sz w:val="24"/>
              </w:rPr>
              <w:t xml:space="preserve"> </w:t>
            </w:r>
          </w:p>
        </w:tc>
      </w:tr>
      <w:tr w:rsidR="004D6F0E">
        <w:trPr>
          <w:trHeight w:val="302"/>
        </w:trPr>
        <w:tc>
          <w:tcPr>
            <w:tcW w:w="48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1"/>
              </w:rPr>
              <w:t xml:space="preserve">&gt; </w:t>
            </w:r>
          </w:p>
        </w:tc>
        <w:tc>
          <w:tcPr>
            <w:tcW w:w="1507" w:type="dxa"/>
            <w:tcBorders>
              <w:top w:val="nil"/>
              <w:left w:val="nil"/>
              <w:bottom w:val="nil"/>
              <w:right w:val="nil"/>
            </w:tcBorders>
          </w:tcPr>
          <w:p w:rsidR="004D6F0E" w:rsidRDefault="00490F21">
            <w:pPr>
              <w:spacing w:after="0" w:line="259" w:lineRule="auto"/>
              <w:ind w:left="0" w:firstLine="0"/>
            </w:pPr>
            <w:r>
              <w:rPr>
                <w:sz w:val="18"/>
              </w:rPr>
              <w:t>按揭收益基金</w:t>
            </w:r>
            <w:r>
              <w:rPr>
                <w:rFonts w:ascii="Arial" w:eastAsia="Arial" w:hAnsi="Arial" w:cs="Arial"/>
                <w:sz w:val="24"/>
              </w:rPr>
              <w:t xml:space="preserve"> </w:t>
            </w:r>
          </w:p>
        </w:tc>
      </w:tr>
    </w:tbl>
    <w:tbl>
      <w:tblPr>
        <w:tblStyle w:val="TableGrid"/>
        <w:tblpPr w:vertAnchor="text" w:horzAnchor="margin" w:tblpY="6051"/>
        <w:tblOverlap w:val="never"/>
        <w:tblW w:w="11092" w:type="dxa"/>
        <w:tblInd w:w="0" w:type="dxa"/>
        <w:tblCellMar>
          <w:top w:w="0" w:type="dxa"/>
          <w:left w:w="2084" w:type="dxa"/>
          <w:bottom w:w="0" w:type="dxa"/>
          <w:right w:w="2046" w:type="dxa"/>
        </w:tblCellMar>
        <w:tblLook w:val="04A0" w:firstRow="1" w:lastRow="0" w:firstColumn="1" w:lastColumn="0" w:noHBand="0" w:noVBand="1"/>
      </w:tblPr>
      <w:tblGrid>
        <w:gridCol w:w="11092"/>
      </w:tblGrid>
      <w:tr w:rsidR="004D6F0E">
        <w:trPr>
          <w:trHeight w:val="1359"/>
        </w:trPr>
        <w:tc>
          <w:tcPr>
            <w:tcW w:w="6962" w:type="dxa"/>
            <w:tcBorders>
              <w:top w:val="nil"/>
              <w:left w:val="nil"/>
              <w:bottom w:val="nil"/>
              <w:right w:val="nil"/>
            </w:tcBorders>
          </w:tcPr>
          <w:p w:rsidR="004D6F0E" w:rsidRDefault="00490F21">
            <w:pPr>
              <w:spacing w:after="18" w:line="259" w:lineRule="auto"/>
              <w:ind w:left="0" w:right="40" w:firstLine="0"/>
              <w:jc w:val="center"/>
            </w:pPr>
            <w:r>
              <w:rPr>
                <w:sz w:val="16"/>
              </w:rPr>
              <w:t>本傘子基金是根據盧森堡大公國法律設立的互惠投資基金。</w:t>
            </w:r>
            <w:r>
              <w:rPr>
                <w:rFonts w:ascii="Times New Roman" w:eastAsia="Times New Roman" w:hAnsi="Times New Roman" w:cs="Times New Roman"/>
                <w:sz w:val="16"/>
              </w:rPr>
              <w:t xml:space="preserve"> </w:t>
            </w:r>
          </w:p>
          <w:p w:rsidR="004D6F0E" w:rsidRDefault="00490F21">
            <w:pPr>
              <w:spacing w:after="0" w:line="259" w:lineRule="auto"/>
              <w:ind w:left="0" w:firstLine="0"/>
              <w:jc w:val="both"/>
            </w:pPr>
            <w:r>
              <w:rPr>
                <w:rFonts w:ascii="Times New Roman" w:eastAsia="Times New Roman" w:hAnsi="Times New Roman" w:cs="Times New Roman"/>
                <w:sz w:val="16"/>
              </w:rPr>
              <w:t>AllianceBernstein</w:t>
            </w:r>
            <w:r>
              <w:rPr>
                <w:sz w:val="16"/>
              </w:rPr>
              <w:t>及</w:t>
            </w:r>
            <w:r>
              <w:rPr>
                <w:rFonts w:ascii="Times New Roman" w:eastAsia="Times New Roman" w:hAnsi="Times New Roman" w:cs="Times New Roman"/>
                <w:sz w:val="16"/>
              </w:rPr>
              <w:t>AB</w:t>
            </w:r>
            <w:r>
              <w:rPr>
                <w:sz w:val="16"/>
              </w:rPr>
              <w:t>的商標是註冊商標和服務標識，乃經擁有人</w:t>
            </w:r>
            <w:r>
              <w:rPr>
                <w:rFonts w:ascii="Times New Roman" w:eastAsia="Times New Roman" w:hAnsi="Times New Roman" w:cs="Times New Roman"/>
                <w:sz w:val="16"/>
              </w:rPr>
              <w:t xml:space="preserve">AllianceBernstein L.P. </w:t>
            </w:r>
            <w:r>
              <w:rPr>
                <w:sz w:val="16"/>
              </w:rPr>
              <w:t>許可使用。</w:t>
            </w:r>
            <w:r>
              <w:rPr>
                <w:rFonts w:ascii="Times New Roman" w:eastAsia="Times New Roman" w:hAnsi="Times New Roman" w:cs="Times New Roman"/>
                <w:sz w:val="16"/>
              </w:rPr>
              <w:t xml:space="preserve"> </w:t>
            </w:r>
          </w:p>
          <w:p w:rsidR="004D6F0E" w:rsidRDefault="00490F21">
            <w:pPr>
              <w:spacing w:after="0" w:line="259" w:lineRule="auto"/>
              <w:ind w:left="0" w:right="7" w:firstLine="0"/>
              <w:jc w:val="center"/>
            </w:pPr>
            <w:r>
              <w:rPr>
                <w:rFonts w:ascii="Arial" w:eastAsia="Arial" w:hAnsi="Arial" w:cs="Arial"/>
                <w:sz w:val="12"/>
              </w:rPr>
              <w:t xml:space="preserve"> </w:t>
            </w:r>
          </w:p>
          <w:p w:rsidR="004D6F0E" w:rsidRDefault="00490F21">
            <w:pPr>
              <w:spacing w:after="0" w:line="259" w:lineRule="auto"/>
              <w:ind w:left="0" w:right="7" w:firstLine="0"/>
              <w:jc w:val="center"/>
            </w:pPr>
            <w:r>
              <w:rPr>
                <w:rFonts w:ascii="Arial" w:eastAsia="Arial" w:hAnsi="Arial" w:cs="Arial"/>
                <w:sz w:val="12"/>
              </w:rPr>
              <w:t xml:space="preserve"> </w:t>
            </w:r>
          </w:p>
          <w:p w:rsidR="004D6F0E" w:rsidRDefault="00490F21">
            <w:pPr>
              <w:spacing w:after="0" w:line="259" w:lineRule="auto"/>
              <w:ind w:left="0" w:right="7" w:firstLine="0"/>
              <w:jc w:val="center"/>
            </w:pPr>
            <w:r>
              <w:rPr>
                <w:rFonts w:ascii="Arial" w:eastAsia="Arial" w:hAnsi="Arial" w:cs="Arial"/>
                <w:sz w:val="12"/>
              </w:rPr>
              <w:t xml:space="preserve"> </w:t>
            </w:r>
          </w:p>
          <w:p w:rsidR="004D6F0E" w:rsidRDefault="00490F21">
            <w:pPr>
              <w:spacing w:after="0" w:line="259" w:lineRule="auto"/>
              <w:ind w:left="0" w:right="7" w:firstLine="0"/>
              <w:jc w:val="center"/>
            </w:pPr>
            <w:r>
              <w:rPr>
                <w:rFonts w:ascii="Arial" w:eastAsia="Arial" w:hAnsi="Arial" w:cs="Arial"/>
                <w:sz w:val="12"/>
              </w:rPr>
              <w:t xml:space="preserve"> </w:t>
            </w:r>
          </w:p>
          <w:p w:rsidR="004D6F0E" w:rsidRDefault="00490F21">
            <w:pPr>
              <w:spacing w:after="0" w:line="259" w:lineRule="auto"/>
              <w:ind w:left="0" w:right="7" w:firstLine="0"/>
              <w:jc w:val="center"/>
            </w:pPr>
            <w:r>
              <w:rPr>
                <w:rFonts w:ascii="Arial" w:eastAsia="Arial" w:hAnsi="Arial" w:cs="Arial"/>
                <w:sz w:val="12"/>
              </w:rPr>
              <w:t xml:space="preserve"> </w:t>
            </w:r>
          </w:p>
          <w:p w:rsidR="004D6F0E" w:rsidRDefault="00490F21">
            <w:pPr>
              <w:spacing w:after="0" w:line="259" w:lineRule="auto"/>
              <w:ind w:left="3461" w:right="3348" w:firstLine="0"/>
            </w:pPr>
            <w:r>
              <w:rPr>
                <w:rFonts w:ascii="Arial" w:eastAsia="Arial" w:hAnsi="Arial" w:cs="Arial"/>
                <w:sz w:val="12"/>
              </w:rPr>
              <w:t xml:space="preserve">    </w:t>
            </w:r>
          </w:p>
        </w:tc>
      </w:tr>
    </w:tbl>
    <w:p w:rsidR="004D6F0E" w:rsidRDefault="00490F21">
      <w:pPr>
        <w:spacing w:after="0" w:line="259" w:lineRule="auto"/>
        <w:ind w:left="0" w:firstLine="0"/>
      </w:pPr>
      <w:r>
        <w:rPr>
          <w:rFonts w:ascii="Arial" w:eastAsia="Arial" w:hAnsi="Arial" w:cs="Arial"/>
          <w:sz w:val="24"/>
        </w:rPr>
        <w:lastRenderedPageBreak/>
        <w:t xml:space="preserve"> </w:t>
      </w:r>
    </w:p>
    <w:p w:rsidR="004D6F0E" w:rsidRDefault="00490F21">
      <w:pPr>
        <w:spacing w:after="27" w:line="259" w:lineRule="auto"/>
        <w:ind w:left="1" w:firstLine="0"/>
      </w:pPr>
      <w:r>
        <w:rPr>
          <w:rFonts w:ascii="Arial" w:eastAsia="Arial" w:hAnsi="Arial" w:cs="Arial"/>
          <w:sz w:val="20"/>
        </w:rPr>
        <w:t xml:space="preserve"> </w:t>
      </w:r>
    </w:p>
    <w:p w:rsidR="004D6F0E" w:rsidRDefault="00490F21">
      <w:pPr>
        <w:pStyle w:val="Heading2"/>
        <w:spacing w:after="166" w:line="257" w:lineRule="auto"/>
        <w:ind w:left="8" w:right="0"/>
      </w:pPr>
      <w:r>
        <w:rPr>
          <w:sz w:val="24"/>
        </w:rPr>
        <w:t>重要提示</w:t>
      </w:r>
      <w:r>
        <w:rPr>
          <w:rFonts w:ascii="Arial" w:eastAsia="Arial" w:hAnsi="Arial" w:cs="Arial"/>
          <w:b/>
          <w:sz w:val="24"/>
        </w:rPr>
        <w:t xml:space="preserve"> </w:t>
      </w:r>
    </w:p>
    <w:p w:rsidR="004D6F0E" w:rsidRDefault="00490F21">
      <w:pPr>
        <w:spacing w:after="198"/>
        <w:ind w:left="11" w:right="2"/>
      </w:pPr>
      <w:r>
        <w:t>閣下對本發售文件的內容如有任何疑問，</w:t>
      </w:r>
      <w:r>
        <w:t>應徵詢獨立專業財務意見。有意投資者應自行了解在其居住及註冊常駐國家有關購買、持有或出售股份的相關法律規定、匯兌管制條例及稅務影響，以及可能與其有關的任何外匯限制。根據管理條例無權持有股份的人士購買的股份，可由管理公司代表本傘子基金按現行資產淨值贖回。</w:t>
      </w:r>
      <w:r>
        <w:rPr>
          <w:rFonts w:ascii="Arial" w:eastAsia="Arial" w:hAnsi="Arial" w:cs="Arial"/>
        </w:rPr>
        <w:t xml:space="preserve"> </w:t>
      </w:r>
    </w:p>
    <w:p w:rsidR="004D6F0E" w:rsidRDefault="00490F21">
      <w:pPr>
        <w:spacing w:after="103"/>
        <w:ind w:left="11" w:right="2"/>
      </w:pPr>
      <w:r>
        <w:t>投資者可根據本文件及重要資訊文件作出認購，惟本文件須根據本傘子基金的最新年報（載列其經審核帳目）及中期報告（倘遲於有關年報）更新資料。投資者可向獲授權的財務顧問或於管理公司的註冊辦事處索取該等報告的副本。</w:t>
      </w:r>
      <w:r>
        <w:rPr>
          <w:rFonts w:ascii="Arial" w:eastAsia="Arial" w:hAnsi="Arial" w:cs="Arial"/>
        </w:rPr>
        <w:t xml:space="preserve"> </w:t>
      </w:r>
    </w:p>
    <w:p w:rsidR="004D6F0E" w:rsidRDefault="00490F21">
      <w:pPr>
        <w:spacing w:after="102"/>
        <w:ind w:left="11" w:right="2"/>
      </w:pPr>
      <w:r>
        <w:t>本文件所述的股份僅基於本文件及其所述報告及文件所載</w:t>
      </w:r>
      <w:r>
        <w:t>的資料提呈發售。就根據本文件作出的發售而言，概無任何人士獲授權提供本文件或其所述文件所載資料或所作聲明以外的任何資料或聲明。即使獲提供或作出該等資料或聲明，亦不得將其視為獲本傘子基金、管理公司或分銷商授權而加以倚賴。任何人士基於並非本文件所載資料或與本文件所載或本文所述文件所載資料不一致的陳述或聲明而買入任何股份，須由購買者自行承擔所有風險。</w:t>
      </w:r>
      <w:r>
        <w:rPr>
          <w:rFonts w:ascii="Arial" w:eastAsia="Arial" w:hAnsi="Arial" w:cs="Arial"/>
        </w:rPr>
        <w:t xml:space="preserve"> </w:t>
      </w:r>
    </w:p>
    <w:p w:rsidR="004D6F0E" w:rsidRDefault="00490F21">
      <w:pPr>
        <w:spacing w:after="99"/>
        <w:ind w:left="11" w:right="2"/>
      </w:pPr>
      <w:r>
        <w:t>本文所述的</w:t>
      </w:r>
      <w:r>
        <w:rPr>
          <w:rFonts w:ascii="Arial" w:eastAsia="Arial" w:hAnsi="Arial" w:cs="Arial"/>
        </w:rPr>
        <w:t>(i)</w:t>
      </w:r>
      <w:r>
        <w:t>「美元」及「</w:t>
      </w:r>
      <w:r>
        <w:rPr>
          <w:rFonts w:ascii="Arial" w:eastAsia="Arial" w:hAnsi="Arial" w:cs="Arial"/>
        </w:rPr>
        <w:t>$</w:t>
      </w:r>
      <w:r>
        <w:t>」均指美元，</w:t>
      </w:r>
      <w:r>
        <w:rPr>
          <w:rFonts w:ascii="Arial" w:eastAsia="Arial" w:hAnsi="Arial" w:cs="Arial"/>
        </w:rPr>
        <w:t>(ii)</w:t>
      </w:r>
      <w:r>
        <w:t>「歐元」及「</w:t>
      </w:r>
      <w:r>
        <w:rPr>
          <w:rFonts w:ascii="Arial" w:eastAsia="Arial" w:hAnsi="Arial" w:cs="Arial"/>
        </w:rPr>
        <w:t>€</w:t>
      </w:r>
      <w:r>
        <w:t>」指歐元，</w:t>
      </w:r>
      <w:r>
        <w:rPr>
          <w:rFonts w:ascii="Arial" w:eastAsia="Arial" w:hAnsi="Arial" w:cs="Arial"/>
        </w:rPr>
        <w:t>(iii)</w:t>
      </w:r>
      <w:r>
        <w:t>「英鎊」及「</w:t>
      </w:r>
      <w:r>
        <w:rPr>
          <w:rFonts w:ascii="Arial" w:eastAsia="Arial" w:hAnsi="Arial" w:cs="Arial"/>
        </w:rPr>
        <w:t>£</w:t>
      </w:r>
      <w:r>
        <w:t>」指英鎊，</w:t>
      </w:r>
      <w:r>
        <w:rPr>
          <w:rFonts w:ascii="Arial" w:eastAsia="Arial" w:hAnsi="Arial" w:cs="Arial"/>
        </w:rPr>
        <w:t>(iv)</w:t>
      </w:r>
      <w:r>
        <w:t>「新加坡元」或「</w:t>
      </w:r>
      <w:r>
        <w:rPr>
          <w:rFonts w:ascii="Arial" w:eastAsia="Arial" w:hAnsi="Arial" w:cs="Arial"/>
        </w:rPr>
        <w:t>S$</w:t>
      </w:r>
      <w:r>
        <w:t>」指新加坡元，</w:t>
      </w:r>
      <w:r>
        <w:rPr>
          <w:rFonts w:ascii="Arial" w:eastAsia="Arial" w:hAnsi="Arial" w:cs="Arial"/>
        </w:rPr>
        <w:t>(v)</w:t>
      </w:r>
      <w:r>
        <w:t>「港元」或「</w:t>
      </w:r>
      <w:r>
        <w:rPr>
          <w:rFonts w:ascii="Arial" w:eastAsia="Arial" w:hAnsi="Arial" w:cs="Arial"/>
        </w:rPr>
        <w:t>HK$</w:t>
      </w:r>
      <w:r>
        <w:t>」指港元，</w:t>
      </w:r>
      <w:r>
        <w:rPr>
          <w:rFonts w:ascii="Arial" w:eastAsia="Arial" w:hAnsi="Arial" w:cs="Arial"/>
        </w:rPr>
        <w:t>(vi)</w:t>
      </w:r>
      <w:r>
        <w:t>「澳元」或「</w:t>
      </w:r>
      <w:r>
        <w:t xml:space="preserve"> </w:t>
      </w:r>
      <w:r>
        <w:rPr>
          <w:rFonts w:ascii="Arial" w:eastAsia="Arial" w:hAnsi="Arial" w:cs="Arial"/>
        </w:rPr>
        <w:t>A$</w:t>
      </w:r>
      <w:r>
        <w:t>」指澳元，</w:t>
      </w:r>
      <w:r>
        <w:rPr>
          <w:rFonts w:ascii="Arial" w:eastAsia="Arial" w:hAnsi="Arial" w:cs="Arial"/>
        </w:rPr>
        <w:t>(vii)</w:t>
      </w:r>
      <w:r>
        <w:t>「日圓」或「</w:t>
      </w:r>
      <w:r>
        <w:rPr>
          <w:rFonts w:ascii="Arial" w:eastAsia="Arial" w:hAnsi="Arial" w:cs="Arial"/>
        </w:rPr>
        <w:t>¥</w:t>
      </w:r>
      <w:r>
        <w:t>」指日圓，</w:t>
      </w:r>
      <w:r>
        <w:rPr>
          <w:rFonts w:ascii="Arial" w:eastAsia="Arial" w:hAnsi="Arial" w:cs="Arial"/>
        </w:rPr>
        <w:t>(viii)</w:t>
      </w:r>
      <w:r>
        <w:t>「加元」或「</w:t>
      </w:r>
      <w:r>
        <w:t xml:space="preserve"> </w:t>
      </w:r>
      <w:r>
        <w:rPr>
          <w:rFonts w:ascii="Arial" w:eastAsia="Arial" w:hAnsi="Arial" w:cs="Arial"/>
        </w:rPr>
        <w:t>C$</w:t>
      </w:r>
      <w:r>
        <w:t>」指加拿大元，</w:t>
      </w:r>
      <w:r>
        <w:rPr>
          <w:rFonts w:ascii="Arial" w:eastAsia="Arial" w:hAnsi="Arial" w:cs="Arial"/>
        </w:rPr>
        <w:t>(ix)</w:t>
      </w:r>
      <w:r>
        <w:t>「紐西蘭元」或「</w:t>
      </w:r>
      <w:r>
        <w:rPr>
          <w:rFonts w:ascii="Arial" w:eastAsia="Arial" w:hAnsi="Arial" w:cs="Arial"/>
        </w:rPr>
        <w:t>NZ$</w:t>
      </w:r>
      <w:r>
        <w:t>」指紐西蘭元，</w:t>
      </w:r>
      <w:r>
        <w:rPr>
          <w:rFonts w:ascii="Arial" w:eastAsia="Arial" w:hAnsi="Arial" w:cs="Arial"/>
        </w:rPr>
        <w:t xml:space="preserve">(x) </w:t>
      </w:r>
      <w:r>
        <w:t>「瑞士法郎」指瑞士法郎，</w:t>
      </w:r>
      <w:r>
        <w:rPr>
          <w:rFonts w:ascii="Arial" w:eastAsia="Arial" w:hAnsi="Arial" w:cs="Arial"/>
        </w:rPr>
        <w:t>(xi)</w:t>
      </w:r>
      <w:r>
        <w:t>「南非蘭特」或「</w:t>
      </w:r>
      <w:r>
        <w:rPr>
          <w:rFonts w:ascii="Arial" w:eastAsia="Arial" w:hAnsi="Arial" w:cs="Arial"/>
        </w:rPr>
        <w:t>ZAR</w:t>
      </w:r>
      <w:r>
        <w:t>」指南非蘭特，</w:t>
      </w:r>
      <w:r>
        <w:rPr>
          <w:rFonts w:ascii="Arial" w:eastAsia="Arial" w:hAnsi="Arial" w:cs="Arial"/>
        </w:rPr>
        <w:t>(xii)</w:t>
      </w:r>
      <w:r>
        <w:t>「人民幣」指離岸人民幣（「</w:t>
      </w:r>
      <w:r>
        <w:rPr>
          <w:rFonts w:ascii="Arial" w:eastAsia="Arial" w:hAnsi="Arial" w:cs="Arial"/>
        </w:rPr>
        <w:t>CNH</w:t>
      </w:r>
      <w:r>
        <w:t>」），而非稱為</w:t>
      </w:r>
      <w:r>
        <w:t xml:space="preserve"> </w:t>
      </w:r>
      <w:r>
        <w:rPr>
          <w:rFonts w:ascii="Arial" w:eastAsia="Arial" w:hAnsi="Arial" w:cs="Arial"/>
        </w:rPr>
        <w:t xml:space="preserve">CNY </w:t>
      </w:r>
      <w:r>
        <w:t>的在岸人民幣，</w:t>
      </w:r>
      <w:r>
        <w:rPr>
          <w:rFonts w:ascii="Arial" w:eastAsia="Arial" w:hAnsi="Arial" w:cs="Arial"/>
        </w:rPr>
        <w:t>(xiii)</w:t>
      </w:r>
      <w:r>
        <w:rPr>
          <w:sz w:val="20"/>
        </w:rPr>
        <w:t>「</w:t>
      </w:r>
      <w:r>
        <w:t>捷克克朗」指捷克克朗，</w:t>
      </w:r>
      <w:r>
        <w:rPr>
          <w:rFonts w:ascii="Arial" w:eastAsia="Arial" w:hAnsi="Arial" w:cs="Arial"/>
        </w:rPr>
        <w:t>(xiv)</w:t>
      </w:r>
      <w:r>
        <w:t>「波蘭茲羅提」指波蘭茲羅提及</w:t>
      </w:r>
      <w:r>
        <w:rPr>
          <w:rFonts w:ascii="Arial" w:eastAsia="Arial" w:hAnsi="Arial" w:cs="Arial"/>
        </w:rPr>
        <w:t>(xv)</w:t>
      </w:r>
      <w:r>
        <w:t>「</w:t>
      </w:r>
      <w:r>
        <w:rPr>
          <w:rFonts w:ascii="Arial" w:eastAsia="Arial" w:hAnsi="Arial" w:cs="Arial"/>
        </w:rPr>
        <w:t>BRL</w:t>
      </w:r>
      <w:r>
        <w:t>」指巴西雷阿爾。</w:t>
      </w:r>
      <w:r>
        <w:rPr>
          <w:rFonts w:ascii="Arial" w:eastAsia="Arial" w:hAnsi="Arial" w:cs="Arial"/>
        </w:rPr>
        <w:t xml:space="preserve"> </w:t>
      </w:r>
    </w:p>
    <w:p w:rsidR="004D6F0E" w:rsidRDefault="00490F21">
      <w:pPr>
        <w:spacing w:after="109"/>
        <w:ind w:left="11" w:right="2"/>
      </w:pPr>
      <w:r>
        <w:t>股份並無亦不會根據一九三三年美國證券法（經修訂）登記。股份不</w:t>
      </w:r>
      <w:r>
        <w:t>得在美國（定義見詞彙定義表）境內直接或間接發售、出售、轉讓或交付，或直接或間接發售、出售、轉讓或交付予任何美國人士（定義見詞彙定義表）。本傘子基金並無根據一九四零年美國投資公司法（經修訂）登記。</w:t>
      </w:r>
      <w:r>
        <w:rPr>
          <w:rFonts w:ascii="Arial" w:eastAsia="Arial" w:hAnsi="Arial" w:cs="Arial"/>
          <w:b/>
        </w:rPr>
        <w:t xml:space="preserve"> </w:t>
      </w:r>
    </w:p>
    <w:p w:rsidR="004D6F0E" w:rsidRDefault="00490F21">
      <w:pPr>
        <w:spacing w:after="33" w:line="250" w:lineRule="auto"/>
        <w:ind w:left="11" w:hanging="10"/>
      </w:pPr>
      <w:r>
        <w:rPr>
          <w:rFonts w:ascii="Arial" w:eastAsia="Arial" w:hAnsi="Arial" w:cs="Arial"/>
        </w:rPr>
        <w:t>AllianceBernstein Investments</w:t>
      </w:r>
      <w:r>
        <w:t>（管理公司旗下的一個單位）及</w:t>
      </w:r>
    </w:p>
    <w:p w:rsidR="004D6F0E" w:rsidRDefault="00490F21">
      <w:pPr>
        <w:spacing w:after="118" w:line="250" w:lineRule="auto"/>
        <w:ind w:left="11" w:hanging="10"/>
      </w:pPr>
      <w:r>
        <w:t>／</w:t>
      </w:r>
      <w:r>
        <w:t xml:space="preserve"> </w:t>
      </w:r>
      <w:r>
        <w:t>或</w:t>
      </w:r>
      <w:r>
        <w:t xml:space="preserve"> </w:t>
      </w:r>
      <w:r>
        <w:rPr>
          <w:rFonts w:ascii="Arial" w:eastAsia="Arial" w:hAnsi="Arial" w:cs="Arial"/>
        </w:rPr>
        <w:t xml:space="preserve">AllianceBernstein Investments </w:t>
      </w:r>
      <w:r>
        <w:t>（</w:t>
      </w:r>
      <w:r>
        <w:t xml:space="preserve"> </w:t>
      </w:r>
      <w:r>
        <w:rPr>
          <w:rFonts w:ascii="Arial" w:eastAsia="Arial" w:hAnsi="Arial" w:cs="Arial"/>
        </w:rPr>
        <w:t xml:space="preserve">AllianceBernstein Investments, Inc </w:t>
      </w:r>
      <w:r>
        <w:t>旗下的一個單位</w:t>
      </w:r>
      <w:r>
        <w:rPr>
          <w:sz w:val="20"/>
        </w:rPr>
        <w:t>）</w:t>
      </w:r>
      <w:r>
        <w:t>將作為本文件所述股份發售的分銷商。股份的申請表格須獲分銷商及管理公司</w:t>
      </w:r>
      <w:r>
        <w:t>（代表本傘子基金）接納。</w:t>
      </w:r>
      <w:r>
        <w:rPr>
          <w:rFonts w:ascii="Arial" w:eastAsia="Arial" w:hAnsi="Arial" w:cs="Arial"/>
        </w:rPr>
        <w:t xml:space="preserve"> </w:t>
      </w:r>
    </w:p>
    <w:p w:rsidR="004D6F0E" w:rsidRDefault="00490F21">
      <w:pPr>
        <w:spacing w:after="1088"/>
        <w:ind w:left="11" w:right="96"/>
      </w:pPr>
      <w:r>
        <w:t>本文件所載資料或本傘子基金任何其他銷售文件或聯博基金網址</w:t>
      </w:r>
      <w:r>
        <w:t xml:space="preserve"> </w:t>
      </w:r>
      <w:hyperlink r:id="rId17">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18">
        <w:r>
          <w:t>所</w:t>
        </w:r>
      </w:hyperlink>
      <w:r>
        <w:t>載資料，於向任何人士提出要約或招售屬非法或作出該等要約或招售的任何人士不合資格作該等行事的司法管轄區，或向任何人士作出該等要約或招售即屬非法的情況下，不構成任何</w:t>
      </w:r>
      <w:r>
        <w:t>人士作出的要約或招售。尤其是聯博基金網址所載的資料不作為在美國分發或向美國人士分發用途，惟符合美國法律規定者則作別論。倘有意投資者從其他網址登入聯博基金網址，本傘子基金、管理公司及分銷商對該等連結到聯博基金網址中任何網頁的其他供應商網站上面所載資料的準確性概不負責。</w:t>
      </w: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ii </w:t>
      </w:r>
    </w:p>
    <w:p w:rsidR="004D6F0E" w:rsidRDefault="00490F21">
      <w:pPr>
        <w:spacing w:after="0" w:line="259" w:lineRule="auto"/>
        <w:ind w:left="1" w:firstLine="0"/>
      </w:pPr>
      <w:r>
        <w:rPr>
          <w:rFonts w:ascii="Arial" w:eastAsia="Arial" w:hAnsi="Arial" w:cs="Arial"/>
          <w:sz w:val="12"/>
        </w:rPr>
        <w:t xml:space="preserve"> </w:t>
      </w:r>
    </w:p>
    <w:p w:rsidR="004D6F0E" w:rsidRDefault="00490F21">
      <w:pPr>
        <w:spacing w:after="100"/>
        <w:ind w:left="11" w:right="2"/>
      </w:pPr>
      <w:r>
        <w:t>本傘子基金的認購章程、管理條例、最新年報及（此後如有刊發）最新中期報告的副本，以及本傘子基金重要資訊文件的副本，可於管理公司及分銷商的辦事處免費索取。</w:t>
      </w:r>
      <w:r>
        <w:rPr>
          <w:rFonts w:ascii="Arial" w:eastAsia="Arial" w:hAnsi="Arial" w:cs="Arial"/>
        </w:rPr>
        <w:t xml:space="preserve"> </w:t>
      </w:r>
    </w:p>
    <w:p w:rsidR="004D6F0E" w:rsidRDefault="00490F21">
      <w:pPr>
        <w:spacing w:after="84" w:line="259" w:lineRule="auto"/>
        <w:ind w:left="13" w:firstLine="0"/>
      </w:pPr>
      <w:r>
        <w:rPr>
          <w:rFonts w:ascii="Arial" w:eastAsia="Arial" w:hAnsi="Arial" w:cs="Arial"/>
        </w:rPr>
        <w:t xml:space="preserve"> </w:t>
      </w:r>
    </w:p>
    <w:p w:rsidR="004D6F0E" w:rsidRDefault="00490F21">
      <w:pPr>
        <w:spacing w:after="104"/>
        <w:ind w:left="11" w:right="2"/>
      </w:pPr>
      <w:r>
        <w:t>資料保護。</w:t>
      </w:r>
      <w:r>
        <w:rPr>
          <w:rFonts w:ascii="Arial" w:eastAsia="Arial" w:hAnsi="Arial" w:cs="Arial"/>
          <w:b/>
        </w:rPr>
        <w:t xml:space="preserve"> </w:t>
      </w:r>
    </w:p>
    <w:p w:rsidR="004D6F0E" w:rsidRDefault="00490F21">
      <w:pPr>
        <w:pStyle w:val="Heading3"/>
        <w:spacing w:after="102" w:line="259" w:lineRule="auto"/>
        <w:ind w:left="3" w:firstLine="3"/>
      </w:pPr>
      <w:r>
        <w:rPr>
          <w:sz w:val="20"/>
        </w:rPr>
        <w:t>個人資料處理</w:t>
      </w:r>
      <w:r>
        <w:rPr>
          <w:rFonts w:ascii="Arial" w:eastAsia="Arial" w:hAnsi="Arial" w:cs="Arial"/>
          <w:i/>
          <w:sz w:val="19"/>
        </w:rPr>
        <w:t xml:space="preserve"> </w:t>
      </w:r>
    </w:p>
    <w:p w:rsidR="004D6F0E" w:rsidRDefault="00490F21">
      <w:pPr>
        <w:spacing w:after="102"/>
        <w:ind w:left="11" w:right="2"/>
      </w:pPr>
      <w:r>
        <w:t>茲通知股東，本傘子基金及／或代表本傘子基金行事的管理公司（作為共同資料控制者）及／或過戶代理</w:t>
      </w:r>
      <w:r>
        <w:rPr>
          <w:rFonts w:ascii="Arial" w:eastAsia="Arial" w:hAnsi="Arial" w:cs="Arial"/>
        </w:rPr>
        <w:t xml:space="preserve"> </w:t>
      </w:r>
      <w:r>
        <w:t>、存管人、付款代理人（如有）及／或聯博</w:t>
      </w:r>
      <w:r>
        <w:lastRenderedPageBreak/>
        <w:t>集團旗下管理公司及／或過戶代理的若干聯營公司及其獲授權代理（作為資料處理者）（｢相關方｣）將收集、儲存及／或處理與其作為自然人或與其他已識別或可識別自然人</w:t>
      </w:r>
      <w:r>
        <w:rPr>
          <w:rFonts w:ascii="Arial" w:eastAsia="Arial" w:hAnsi="Arial" w:cs="Arial"/>
        </w:rPr>
        <w:t>—</w:t>
      </w:r>
      <w:r>
        <w:t>例如（但不限於）其代表及最終受益擁有人</w:t>
      </w:r>
      <w:r>
        <w:rPr>
          <w:rFonts w:ascii="Arial" w:eastAsia="Arial" w:hAnsi="Arial" w:cs="Arial"/>
        </w:rPr>
        <w:t>—</w:t>
      </w:r>
      <w:r>
        <w:t>（於本文件統稱為｢資料當事人｣）及其所持有股份有關的若干資料（｢個人資料｣）。個人資料將</w:t>
      </w:r>
      <w:r>
        <w:rPr>
          <w:rFonts w:ascii="Arial" w:eastAsia="Arial" w:hAnsi="Arial" w:cs="Arial"/>
        </w:rPr>
        <w:t>(i)</w:t>
      </w:r>
      <w:r>
        <w:t>基於股東與本傘子基金之間的合約關係處理個人資料及為了向股東提供有關服務及／或</w:t>
      </w:r>
      <w:r>
        <w:rPr>
          <w:rFonts w:ascii="Arial" w:eastAsia="Arial" w:hAnsi="Arial" w:cs="Arial"/>
        </w:rPr>
        <w:t>(ii)</w:t>
      </w:r>
      <w:r>
        <w:t>為了遵守適用法例及規例（包括在股東與本傘子基金並無直接合約關係的情況下）而予以處理。</w:t>
      </w:r>
      <w:r>
        <w:rPr>
          <w:rFonts w:ascii="Arial" w:eastAsia="Arial" w:hAnsi="Arial" w:cs="Arial"/>
        </w:rPr>
        <w:t xml:space="preserve"> </w:t>
      </w:r>
    </w:p>
    <w:p w:rsidR="004D6F0E" w:rsidRDefault="00490F21">
      <w:pPr>
        <w:spacing w:after="242"/>
        <w:ind w:left="11" w:right="2"/>
      </w:pPr>
      <w:r>
        <w:t>個人資料將僅</w:t>
      </w:r>
      <w:r>
        <w:t>用於收集資料時所指之目的，除非股東事先已獲通知資料乃用於其他目的。</w:t>
      </w:r>
      <w:r>
        <w:rPr>
          <w:rFonts w:ascii="Arial" w:eastAsia="Arial" w:hAnsi="Arial" w:cs="Arial"/>
        </w:rPr>
        <w:t xml:space="preserve"> </w:t>
      </w:r>
    </w:p>
    <w:p w:rsidR="004D6F0E" w:rsidRDefault="00490F21">
      <w:pPr>
        <w:spacing w:after="242"/>
        <w:ind w:left="11" w:right="2"/>
      </w:pPr>
      <w:r>
        <w:rPr>
          <w:sz w:val="20"/>
        </w:rPr>
        <w:t>個人資料轉移</w:t>
      </w:r>
      <w:r>
        <w:t>在適用法律法規的規限下，個人資料或將轉移至作為資料處理者或資料控制者的相關方，彼等或位於歐洲經濟區（｢歐洲經濟區｣）境內或境外。因此，個人資料或被轉移至位於未獲歐盟委員會充分決定保障的國家的實體（例如但不限於：新加坡、台灣、印度、加拿大及美利堅合眾國）或可能並無資料保護法或其資料保護法的標準低於歐洲經濟區的國家的實體。將個人資料轉移至歐盟境外可</w:t>
      </w:r>
      <w:r>
        <w:rPr>
          <w:rFonts w:ascii="Arial" w:eastAsia="Arial" w:hAnsi="Arial" w:cs="Arial"/>
        </w:rPr>
        <w:t>(i)</w:t>
      </w:r>
      <w:r>
        <w:t>基於聯博集團旗下達成具約束力的企業規則及／或</w:t>
      </w:r>
      <w:r>
        <w:rPr>
          <w:rFonts w:ascii="Arial" w:eastAsia="Arial" w:hAnsi="Arial" w:cs="Arial"/>
        </w:rPr>
        <w:t>(ii)</w:t>
      </w:r>
      <w:r>
        <w:t>基於歐盟委員會採納的標準資</w:t>
      </w:r>
      <w:r>
        <w:t>料保護條款及／或</w:t>
      </w:r>
      <w:r>
        <w:rPr>
          <w:rFonts w:ascii="Arial" w:eastAsia="Arial" w:hAnsi="Arial" w:cs="Arial"/>
        </w:rPr>
        <w:t xml:space="preserve">(iii) </w:t>
      </w:r>
      <w:r>
        <w:t>在有關轉移為履行向本傘子基金及／或股東提供的服務而言屬必要的情況下，及／或</w:t>
      </w:r>
      <w:r>
        <w:rPr>
          <w:rFonts w:ascii="Arial" w:eastAsia="Arial" w:hAnsi="Arial" w:cs="Arial"/>
        </w:rPr>
        <w:t>(iv)</w:t>
      </w:r>
      <w:r>
        <w:t>在有關轉移為按照本傘子基金及／或管理公司與某第三方訂立一項股東間接參與並且符合股東利益的合約履行有關服務而言屬必要的情況下而進行。</w:t>
      </w:r>
      <w:r>
        <w:rPr>
          <w:rFonts w:ascii="Arial" w:eastAsia="Arial" w:hAnsi="Arial" w:cs="Arial"/>
        </w:rPr>
        <w:t xml:space="preserve"> </w:t>
      </w:r>
    </w:p>
    <w:p w:rsidR="004D6F0E" w:rsidRDefault="00490F21">
      <w:pPr>
        <w:spacing w:after="242"/>
        <w:ind w:left="11" w:right="2"/>
      </w:pPr>
      <w:r>
        <w:rPr>
          <w:sz w:val="20"/>
        </w:rPr>
        <w:t>強制披露個人資料</w:t>
      </w:r>
      <w:r>
        <w:t>此外，茲通知資料當事人，只要提出要求的第三方國家與歐洲經濟區或盧森堡之間簽訂的國際協議（例如：互助法律協助條約）仍屬有效，為遵守適用法律法規，相關方可向法庭及／或法律、政府或監管機構等第三方，包括盧森堡及其他司法管轄區的稅務機關、核數師及會計師披露及轉</w:t>
      </w:r>
      <w:r>
        <w:t>移個人資料。</w:t>
      </w:r>
      <w:r>
        <w:rPr>
          <w:rFonts w:ascii="Arial" w:eastAsia="Arial" w:hAnsi="Arial" w:cs="Arial"/>
        </w:rPr>
        <w:t xml:space="preserve">  </w:t>
      </w:r>
    </w:p>
    <w:p w:rsidR="004D6F0E" w:rsidRDefault="00490F21">
      <w:pPr>
        <w:spacing w:after="242"/>
        <w:ind w:left="11" w:right="2"/>
      </w:pPr>
      <w:r>
        <w:rPr>
          <w:sz w:val="20"/>
        </w:rPr>
        <w:t>個人資料保留</w:t>
      </w:r>
      <w:r>
        <w:t>個人資料將僅於為履行股東要求的服務或遵守適用法律法規而言屬必要的情況下保留。</w:t>
      </w:r>
      <w:r>
        <w:rPr>
          <w:rFonts w:ascii="Arial" w:eastAsia="Arial" w:hAnsi="Arial" w:cs="Arial"/>
        </w:rPr>
        <w:t xml:space="preserve"> </w:t>
      </w:r>
    </w:p>
    <w:p w:rsidR="004D6F0E" w:rsidRDefault="00490F21">
      <w:pPr>
        <w:ind w:left="11" w:right="2"/>
      </w:pPr>
      <w:r>
        <w:rPr>
          <w:sz w:val="20"/>
        </w:rPr>
        <w:t>股東的申述</w:t>
      </w:r>
      <w:r>
        <w:t>藉向相關方提交個人資料，股東申述彼等有權向相關方提供該個人資料。管理公司及本傘子基金可假設（如適用）資料當事人已（如必要）作出有關同意及已獲通知對其個人資料的處理及本文件所述彼等的權利。</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i/>
        </w:rPr>
        <w:t xml:space="preserve"> </w:t>
      </w:r>
    </w:p>
    <w:p w:rsidR="004D6F0E" w:rsidRDefault="004D6F0E">
      <w:pPr>
        <w:sectPr w:rsidR="004D6F0E">
          <w:headerReference w:type="even" r:id="rId19"/>
          <w:headerReference w:type="default" r:id="rId20"/>
          <w:footerReference w:type="even" r:id="rId21"/>
          <w:footerReference w:type="default" r:id="rId22"/>
          <w:headerReference w:type="first" r:id="rId23"/>
          <w:footerReference w:type="first" r:id="rId24"/>
          <w:pgSz w:w="12240" w:h="15840"/>
          <w:pgMar w:top="720" w:right="717" w:bottom="354" w:left="431" w:header="720" w:footer="720" w:gutter="0"/>
          <w:cols w:num="2" w:space="720" w:equalWidth="0">
            <w:col w:w="5871" w:space="1413"/>
            <w:col w:w="3808"/>
          </w:cols>
          <w:titlePg/>
        </w:sectPr>
      </w:pPr>
    </w:p>
    <w:p w:rsidR="004D6F0E" w:rsidRDefault="00490F21">
      <w:pPr>
        <w:spacing w:after="241"/>
        <w:ind w:left="2" w:right="2" w:firstLine="11101"/>
      </w:pPr>
      <w:r>
        <w:rPr>
          <w:rFonts w:ascii="Arial" w:eastAsia="Arial" w:hAnsi="Arial" w:cs="Arial"/>
          <w:sz w:val="20"/>
        </w:rPr>
        <w:t xml:space="preserve"> </w:t>
      </w:r>
      <w:r>
        <w:rPr>
          <w:sz w:val="20"/>
        </w:rPr>
        <w:t>股東的權利</w:t>
      </w:r>
      <w:r>
        <w:t>股東（及如適用，彼等的資料當事人）有權以適用法律法規所訂明的方式及按照其所訂明的限制下，要求</w:t>
      </w:r>
      <w:r>
        <w:rPr>
          <w:rFonts w:ascii="Arial" w:eastAsia="Arial" w:hAnsi="Arial" w:cs="Arial"/>
        </w:rPr>
        <w:t>(i)</w:t>
      </w:r>
      <w:r>
        <w:t>查閱、</w:t>
      </w:r>
      <w:r>
        <w:rPr>
          <w:rFonts w:ascii="Arial" w:eastAsia="Arial" w:hAnsi="Arial" w:cs="Arial"/>
        </w:rPr>
        <w:t>(ii)</w:t>
      </w:r>
      <w:r>
        <w:t>更正或完善、</w:t>
      </w:r>
      <w:r>
        <w:rPr>
          <w:rFonts w:ascii="Arial" w:eastAsia="Arial" w:hAnsi="Arial" w:cs="Arial"/>
        </w:rPr>
        <w:t>(iii)</w:t>
      </w:r>
      <w:r>
        <w:t>刪除、</w:t>
      </w:r>
      <w:r>
        <w:rPr>
          <w:rFonts w:ascii="Arial" w:eastAsia="Arial" w:hAnsi="Arial" w:cs="Arial"/>
        </w:rPr>
        <w:t>(iv)</w:t>
      </w:r>
      <w:r>
        <w:t>限制處理本傘子基金及／或管理公司處理的任何個人資料，以及</w:t>
      </w:r>
      <w:r>
        <w:rPr>
          <w:rFonts w:ascii="Arial" w:eastAsia="Arial" w:hAnsi="Arial" w:cs="Arial"/>
        </w:rPr>
        <w:t>(v)</w:t>
      </w:r>
      <w:r>
        <w:t>任何個人資料的可攜性。有關要求必須透過郵寄或電子郵件的方式發送至管理公司的資料保護主任。</w:t>
      </w:r>
      <w:r>
        <w:rPr>
          <w:rFonts w:ascii="Arial" w:eastAsia="Arial" w:hAnsi="Arial" w:cs="Arial"/>
        </w:rPr>
        <w:t xml:space="preserve"> </w:t>
      </w:r>
    </w:p>
    <w:p w:rsidR="004D6F0E" w:rsidRDefault="00490F21">
      <w:pPr>
        <w:spacing w:after="88" w:line="254" w:lineRule="auto"/>
        <w:ind w:left="8" w:right="5761" w:hanging="10"/>
      </w:pPr>
      <w:r>
        <w:rPr>
          <w:sz w:val="20"/>
        </w:rPr>
        <w:t>其他資料</w:t>
      </w:r>
      <w:r>
        <w:t>如欲了解有關處理或轉移個人資料及管理公司資料保護主任的聯</w:t>
      </w:r>
      <w:r>
        <w:t xml:space="preserve"> </w:t>
      </w:r>
      <w:r>
        <w:t>絡</w:t>
      </w:r>
      <w:r>
        <w:t xml:space="preserve"> </w:t>
      </w:r>
      <w:r>
        <w:t>詳</w:t>
      </w:r>
      <w:r>
        <w:t xml:space="preserve"> </w:t>
      </w:r>
      <w:r>
        <w:t>情</w:t>
      </w:r>
      <w:r>
        <w:t xml:space="preserve"> </w:t>
      </w:r>
      <w:r>
        <w:t>的</w:t>
      </w:r>
      <w:r>
        <w:t xml:space="preserve"> </w:t>
      </w:r>
      <w:r>
        <w:t>其</w:t>
      </w:r>
      <w:r>
        <w:t xml:space="preserve"> </w:t>
      </w:r>
      <w:r>
        <w:t>他</w:t>
      </w:r>
      <w:r>
        <w:t xml:space="preserve"> </w:t>
      </w:r>
      <w:r>
        <w:t>資</w:t>
      </w:r>
      <w:r>
        <w:t xml:space="preserve"> </w:t>
      </w:r>
      <w:r>
        <w:t>料</w:t>
      </w:r>
      <w:r>
        <w:t xml:space="preserve"> </w:t>
      </w:r>
      <w:r>
        <w:t>，</w:t>
      </w:r>
      <w:r>
        <w:t xml:space="preserve"> </w:t>
      </w:r>
      <w:r>
        <w:t>可</w:t>
      </w:r>
      <w:r>
        <w:t xml:space="preserve"> </w:t>
      </w:r>
      <w:r>
        <w:t>於</w:t>
      </w:r>
      <w:r>
        <w:t xml:space="preserve"> </w:t>
      </w:r>
      <w:r>
        <w:t>以</w:t>
      </w:r>
      <w:r>
        <w:t xml:space="preserve"> </w:t>
      </w:r>
      <w:r>
        <w:t>下</w:t>
      </w:r>
      <w:r>
        <w:t xml:space="preserve"> </w:t>
      </w:r>
      <w:r>
        <w:t>網</w:t>
      </w:r>
      <w:r>
        <w:t xml:space="preserve"> </w:t>
      </w:r>
      <w:r>
        <w:t>頁</w:t>
      </w:r>
      <w:r>
        <w:t xml:space="preserve"> </w:t>
      </w:r>
      <w:r>
        <w:t>查</w:t>
      </w:r>
      <w:r>
        <w:t xml:space="preserve"> </w:t>
      </w:r>
      <w:r>
        <w:t>閱</w:t>
      </w:r>
      <w:r>
        <w:t xml:space="preserve"> </w:t>
      </w:r>
      <w:hyperlink r:id="rId25">
        <w:r>
          <w:rPr>
            <w:rFonts w:ascii="Arial" w:eastAsia="Arial" w:hAnsi="Arial" w:cs="Arial"/>
            <w:color w:val="0000FF"/>
            <w:u w:val="single" w:color="0000FF"/>
          </w:rPr>
          <w:t xml:space="preserve">https://www.alliancebernstein.com/funds/abii/documents/ann </w:t>
        </w:r>
      </w:hyperlink>
      <w:hyperlink r:id="rId26">
        <w:r>
          <w:rPr>
            <w:rFonts w:ascii="Arial" w:eastAsia="Arial" w:hAnsi="Arial" w:cs="Arial"/>
            <w:color w:val="0000FF"/>
            <w:u w:val="single" w:color="0000FF"/>
          </w:rPr>
          <w:t>oucement/ab-lux-data-protection-disclosure-to-investors.pdf</w:t>
        </w:r>
      </w:hyperlink>
    </w:p>
    <w:p w:rsidR="004D6F0E" w:rsidRDefault="00490F21">
      <w:pPr>
        <w:spacing w:after="86" w:line="259" w:lineRule="auto"/>
        <w:ind w:left="13" w:firstLine="0"/>
      </w:pPr>
      <w:r>
        <w:rPr>
          <w:rFonts w:ascii="Arial" w:eastAsia="Arial" w:hAnsi="Arial" w:cs="Arial"/>
        </w:rPr>
        <w:t xml:space="preserve"> </w:t>
      </w:r>
    </w:p>
    <w:p w:rsidR="004D6F0E" w:rsidRDefault="00490F21">
      <w:pPr>
        <w:spacing w:after="26" w:line="259" w:lineRule="auto"/>
        <w:ind w:left="13" w:firstLine="0"/>
      </w:pP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lastRenderedPageBreak/>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5896" w:line="259" w:lineRule="auto"/>
        <w:ind w:left="34" w:firstLine="0"/>
        <w:jc w:val="center"/>
      </w:pPr>
      <w:r>
        <w:rPr>
          <w:rFonts w:ascii="Arial" w:eastAsia="Arial" w:hAnsi="Arial" w:cs="Arial"/>
          <w:sz w:val="24"/>
        </w:rPr>
        <w:t xml:space="preserve"> </w:t>
      </w:r>
    </w:p>
    <w:p w:rsidR="004D6F0E" w:rsidRDefault="00490F21">
      <w:pPr>
        <w:spacing w:after="3" w:line="259" w:lineRule="auto"/>
        <w:ind w:right="390" w:hanging="10"/>
        <w:jc w:val="center"/>
      </w:pPr>
      <w:r>
        <w:rPr>
          <w:rFonts w:ascii="Times New Roman" w:eastAsia="Times New Roman" w:hAnsi="Times New Roman" w:cs="Times New Roman"/>
          <w:sz w:val="20"/>
        </w:rPr>
        <w:t xml:space="preserve">iii </w:t>
      </w:r>
    </w:p>
    <w:p w:rsidR="004D6F0E" w:rsidRDefault="00490F21">
      <w:pPr>
        <w:spacing w:after="0" w:line="259" w:lineRule="auto"/>
        <w:ind w:left="13" w:firstLine="0"/>
      </w:pPr>
      <w:r>
        <w:rPr>
          <w:sz w:val="22"/>
        </w:rPr>
        <w:t>目錄</w:t>
      </w:r>
      <w:r>
        <w:rPr>
          <w:rFonts w:ascii="Arial" w:eastAsia="Arial" w:hAnsi="Arial" w:cs="Arial"/>
          <w:sz w:val="22"/>
        </w:rPr>
        <w:t xml:space="preserve"> </w:t>
      </w:r>
    </w:p>
    <w:p w:rsidR="004D6F0E" w:rsidRDefault="00490F21">
      <w:pPr>
        <w:spacing w:after="2" w:line="259" w:lineRule="auto"/>
        <w:ind w:left="13" w:firstLine="0"/>
      </w:pPr>
      <w:r>
        <w:rPr>
          <w:rFonts w:ascii="Arial" w:eastAsia="Arial" w:hAnsi="Arial" w:cs="Arial"/>
          <w:b/>
          <w:sz w:val="18"/>
        </w:rPr>
        <w:t xml:space="preserve"> </w:t>
      </w:r>
    </w:p>
    <w:p w:rsidR="004D6F0E" w:rsidRDefault="00490F21">
      <w:pPr>
        <w:ind w:left="11" w:right="1483"/>
      </w:pPr>
      <w:r>
        <w:rPr>
          <w:sz w:val="18"/>
        </w:rPr>
        <w:t>第</w:t>
      </w:r>
      <w:r>
        <w:rPr>
          <w:sz w:val="18"/>
        </w:rPr>
        <w:t xml:space="preserve"> </w:t>
      </w:r>
      <w:r>
        <w:rPr>
          <w:rFonts w:ascii="Arial" w:eastAsia="Arial" w:hAnsi="Arial" w:cs="Arial"/>
          <w:b/>
          <w:sz w:val="18"/>
        </w:rPr>
        <w:t xml:space="preserve">I </w:t>
      </w:r>
      <w:r>
        <w:rPr>
          <w:sz w:val="18"/>
        </w:rPr>
        <w:t>部分：</w:t>
      </w:r>
      <w:r>
        <w:t>基金詳情</w:t>
      </w:r>
      <w:r>
        <w:t>本傘子基金下各基金及其股份類別的特定資料，包括投資目標及政策、摘要資料及其他基金資料</w:t>
      </w:r>
      <w:r>
        <w:rPr>
          <w:rFonts w:ascii="Arial" w:eastAsia="Arial" w:hAnsi="Arial" w:cs="Arial"/>
        </w:rPr>
        <w:t xml:space="preserve"> </w:t>
      </w:r>
    </w:p>
    <w:p w:rsidR="004D6F0E" w:rsidRDefault="00490F21">
      <w:pPr>
        <w:spacing w:after="0" w:line="259" w:lineRule="auto"/>
        <w:ind w:left="733" w:firstLine="0"/>
      </w:pPr>
      <w:r>
        <w:rPr>
          <w:rFonts w:ascii="Arial" w:eastAsia="Arial" w:hAnsi="Arial" w:cs="Arial"/>
        </w:rPr>
        <w:t xml:space="preserve"> </w:t>
      </w:r>
    </w:p>
    <w:p w:rsidR="004D6F0E" w:rsidRDefault="00490F21">
      <w:pPr>
        <w:ind w:left="743" w:right="13" w:hanging="10"/>
      </w:pPr>
      <w:r>
        <w:rPr>
          <w:sz w:val="18"/>
        </w:rPr>
        <w:lastRenderedPageBreak/>
        <w:t>多元資產／資產配置</w:t>
      </w:r>
      <w:r>
        <w:rPr>
          <w:rFonts w:ascii="Arial" w:eastAsia="Arial" w:hAnsi="Arial" w:cs="Arial"/>
          <w:b/>
          <w:sz w:val="18"/>
        </w:rPr>
        <w:t xml:space="preserve"> </w:t>
      </w:r>
    </w:p>
    <w:p w:rsidR="004D6F0E" w:rsidRDefault="00490F21">
      <w:pPr>
        <w:spacing w:after="20"/>
        <w:ind w:left="743" w:hanging="10"/>
        <w:jc w:val="both"/>
      </w:pPr>
      <w:r>
        <w:rPr>
          <w:sz w:val="18"/>
        </w:rPr>
        <w:t>全方位領航基金</w:t>
      </w:r>
      <w:r>
        <w:rPr>
          <w:rFonts w:ascii="Arial" w:eastAsia="Arial" w:hAnsi="Arial" w:cs="Arial"/>
          <w:sz w:val="18"/>
        </w:rPr>
        <w:t xml:space="preserve"> ..................................................................................I-1 </w:t>
      </w:r>
    </w:p>
    <w:p w:rsidR="004D6F0E" w:rsidRDefault="00490F21">
      <w:pPr>
        <w:ind w:left="743" w:right="13" w:hanging="10"/>
      </w:pPr>
      <w:r>
        <w:rPr>
          <w:sz w:val="18"/>
        </w:rPr>
        <w:t>股票</w:t>
      </w:r>
      <w:r>
        <w:rPr>
          <w:rFonts w:ascii="Arial" w:eastAsia="Arial" w:hAnsi="Arial" w:cs="Arial"/>
          <w:b/>
          <w:sz w:val="18"/>
        </w:rPr>
        <w:t xml:space="preserve"> </w:t>
      </w:r>
    </w:p>
    <w:p w:rsidR="004D6F0E" w:rsidRDefault="00490F21">
      <w:pPr>
        <w:spacing w:after="20"/>
        <w:ind w:left="743" w:right="4702" w:hanging="10"/>
        <w:jc w:val="both"/>
      </w:pPr>
      <w:r>
        <w:rPr>
          <w:sz w:val="18"/>
        </w:rPr>
        <w:t>環球股票策略基金</w:t>
      </w:r>
      <w:r>
        <w:rPr>
          <w:rFonts w:ascii="Arial" w:eastAsia="Arial" w:hAnsi="Arial" w:cs="Arial"/>
          <w:sz w:val="18"/>
        </w:rPr>
        <w:t xml:space="preserve"> ..............................................................................I-7 </w:t>
      </w:r>
      <w:r>
        <w:rPr>
          <w:sz w:val="18"/>
        </w:rPr>
        <w:t>新興市場增長基金</w:t>
      </w:r>
      <w:r>
        <w:rPr>
          <w:rFonts w:ascii="Arial" w:eastAsia="Arial" w:hAnsi="Arial" w:cs="Arial"/>
          <w:sz w:val="18"/>
        </w:rPr>
        <w:t xml:space="preserve"> ..............................................................................I-13 </w:t>
      </w:r>
      <w:r>
        <w:rPr>
          <w:sz w:val="18"/>
        </w:rPr>
        <w:t>亞洲（日本以外）股票基金</w:t>
      </w:r>
      <w:r>
        <w:rPr>
          <w:rFonts w:ascii="Arial" w:eastAsia="Arial" w:hAnsi="Arial" w:cs="Arial"/>
          <w:sz w:val="18"/>
        </w:rPr>
        <w:t xml:space="preserve"> ................................................................I-19</w:t>
      </w:r>
      <w:r>
        <w:rPr>
          <w:rFonts w:ascii="Arial" w:eastAsia="Arial" w:hAnsi="Arial" w:cs="Arial"/>
          <w:sz w:val="18"/>
        </w:rPr>
        <w:t xml:space="preserve"> </w:t>
      </w:r>
    </w:p>
    <w:p w:rsidR="004D6F0E" w:rsidRDefault="00490F21">
      <w:pPr>
        <w:spacing w:after="20"/>
        <w:ind w:left="743" w:right="4702" w:hanging="10"/>
        <w:jc w:val="both"/>
      </w:pPr>
      <w:r>
        <w:rPr>
          <w:sz w:val="18"/>
        </w:rPr>
        <w:t>日本策略價值基金</w:t>
      </w:r>
      <w:r>
        <w:rPr>
          <w:rFonts w:ascii="Arial" w:eastAsia="Arial" w:hAnsi="Arial" w:cs="Arial"/>
          <w:sz w:val="18"/>
        </w:rPr>
        <w:t xml:space="preserve"> ..............................................................................I-27 </w:t>
      </w:r>
      <w:r>
        <w:rPr>
          <w:sz w:val="18"/>
        </w:rPr>
        <w:t>中國低波幅策略股票基金</w:t>
      </w:r>
      <w:r>
        <w:rPr>
          <w:rFonts w:ascii="Arial" w:eastAsia="Arial" w:hAnsi="Arial" w:cs="Arial"/>
          <w:sz w:val="18"/>
        </w:rPr>
        <w:t xml:space="preserve"> ...................................................................I-33 </w:t>
      </w:r>
    </w:p>
    <w:p w:rsidR="004D6F0E" w:rsidRDefault="00490F21">
      <w:pPr>
        <w:ind w:left="743" w:right="13" w:hanging="10"/>
      </w:pPr>
      <w:r>
        <w:rPr>
          <w:sz w:val="18"/>
        </w:rPr>
        <w:t>固定收益</w:t>
      </w:r>
      <w:r>
        <w:rPr>
          <w:rFonts w:ascii="Arial" w:eastAsia="Arial" w:hAnsi="Arial" w:cs="Arial"/>
          <w:b/>
          <w:sz w:val="18"/>
        </w:rPr>
        <w:t xml:space="preserve"> </w:t>
      </w:r>
    </w:p>
    <w:p w:rsidR="004D6F0E" w:rsidRDefault="00490F21">
      <w:pPr>
        <w:spacing w:after="20"/>
        <w:ind w:left="743" w:right="4702" w:hanging="10"/>
        <w:jc w:val="both"/>
      </w:pPr>
      <w:r>
        <w:rPr>
          <w:sz w:val="18"/>
        </w:rPr>
        <w:t>短期債券基金</w:t>
      </w:r>
      <w:r>
        <w:rPr>
          <w:rFonts w:ascii="Arial" w:eastAsia="Arial" w:hAnsi="Arial" w:cs="Arial"/>
          <w:sz w:val="18"/>
        </w:rPr>
        <w:t xml:space="preserve"> ................................................................</w:t>
      </w:r>
      <w:r>
        <w:rPr>
          <w:rFonts w:ascii="Arial" w:eastAsia="Arial" w:hAnsi="Arial" w:cs="Arial"/>
          <w:sz w:val="18"/>
        </w:rPr>
        <w:t xml:space="preserve">.....................I-39 </w:t>
      </w:r>
      <w:r>
        <w:rPr>
          <w:sz w:val="18"/>
        </w:rPr>
        <w:t>環球高收益基金</w:t>
      </w:r>
      <w:r>
        <w:rPr>
          <w:rFonts w:ascii="Arial" w:eastAsia="Arial" w:hAnsi="Arial" w:cs="Arial"/>
          <w:sz w:val="18"/>
        </w:rPr>
        <w:t xml:space="preserve"> ..................................................................................I-46 </w:t>
      </w:r>
      <w:r>
        <w:rPr>
          <w:sz w:val="18"/>
        </w:rPr>
        <w:t>美元收益基金</w:t>
      </w:r>
      <w:r>
        <w:rPr>
          <w:rFonts w:ascii="Arial" w:eastAsia="Arial" w:hAnsi="Arial" w:cs="Arial"/>
          <w:sz w:val="18"/>
        </w:rPr>
        <w:t xml:space="preserve"> .....................................................................................I-57 </w:t>
      </w:r>
      <w:r>
        <w:rPr>
          <w:sz w:val="18"/>
        </w:rPr>
        <w:t>歐洲收益基金</w:t>
      </w:r>
      <w:r>
        <w:rPr>
          <w:rFonts w:ascii="Arial" w:eastAsia="Arial" w:hAnsi="Arial" w:cs="Arial"/>
          <w:sz w:val="18"/>
        </w:rPr>
        <w:t xml:space="preserve"> ...............................</w:t>
      </w:r>
      <w:r>
        <w:rPr>
          <w:rFonts w:ascii="Arial" w:eastAsia="Arial" w:hAnsi="Arial" w:cs="Arial"/>
          <w:sz w:val="18"/>
        </w:rPr>
        <w:t xml:space="preserve">......................................................I-67 </w:t>
      </w:r>
      <w:r>
        <w:rPr>
          <w:sz w:val="18"/>
        </w:rPr>
        <w:t>新興市場債券基金</w:t>
      </w:r>
      <w:r>
        <w:rPr>
          <w:rFonts w:ascii="Arial" w:eastAsia="Arial" w:hAnsi="Arial" w:cs="Arial"/>
          <w:sz w:val="18"/>
        </w:rPr>
        <w:t xml:space="preserve"> ..............................................................................I-75 </w:t>
      </w:r>
      <w:r>
        <w:rPr>
          <w:sz w:val="18"/>
        </w:rPr>
        <w:t>按揭收益基金</w:t>
      </w:r>
      <w:r>
        <w:rPr>
          <w:rFonts w:ascii="Arial" w:eastAsia="Arial" w:hAnsi="Arial" w:cs="Arial"/>
          <w:sz w:val="18"/>
        </w:rPr>
        <w:t xml:space="preserve"> .....................................................................................I-83 </w:t>
      </w:r>
    </w:p>
    <w:p w:rsidR="004D6F0E" w:rsidRDefault="00490F21">
      <w:pPr>
        <w:spacing w:after="0" w:line="259" w:lineRule="auto"/>
        <w:ind w:left="733" w:firstLine="0"/>
      </w:pPr>
      <w:r>
        <w:rPr>
          <w:rFonts w:ascii="Arial" w:eastAsia="Arial" w:hAnsi="Arial" w:cs="Arial"/>
          <w:sz w:val="18"/>
        </w:rPr>
        <w:t xml:space="preserve"> </w:t>
      </w:r>
    </w:p>
    <w:p w:rsidR="004D6F0E" w:rsidRDefault="00490F21">
      <w:pPr>
        <w:spacing w:after="0" w:line="259" w:lineRule="auto"/>
        <w:ind w:left="733" w:firstLine="0"/>
      </w:pPr>
      <w:r>
        <w:rPr>
          <w:rFonts w:ascii="Arial" w:eastAsia="Arial" w:hAnsi="Arial" w:cs="Arial"/>
          <w:sz w:val="18"/>
        </w:rPr>
        <w:t xml:space="preserve"> </w:t>
      </w:r>
    </w:p>
    <w:p w:rsidR="004D6F0E" w:rsidRDefault="00490F21">
      <w:pPr>
        <w:ind w:left="8" w:right="6569" w:hanging="10"/>
      </w:pPr>
      <w:r>
        <w:rPr>
          <w:sz w:val="18"/>
        </w:rPr>
        <w:t>第</w:t>
      </w:r>
      <w:r>
        <w:rPr>
          <w:sz w:val="18"/>
        </w:rPr>
        <w:t xml:space="preserve"> </w:t>
      </w:r>
      <w:r>
        <w:rPr>
          <w:rFonts w:ascii="Arial" w:eastAsia="Arial" w:hAnsi="Arial" w:cs="Arial"/>
          <w:b/>
          <w:sz w:val="18"/>
        </w:rPr>
        <w:t xml:space="preserve">II </w:t>
      </w:r>
      <w:r>
        <w:rPr>
          <w:sz w:val="18"/>
        </w:rPr>
        <w:t>部分：核心資料有關本傘子基金及各基金的一般資料</w:t>
      </w:r>
      <w:r>
        <w:rPr>
          <w:rFonts w:ascii="Arial" w:eastAsia="Arial" w:hAnsi="Arial" w:cs="Arial"/>
          <w:b/>
          <w:sz w:val="18"/>
        </w:rPr>
        <w:t xml:space="preserve"> </w:t>
      </w:r>
    </w:p>
    <w:p w:rsidR="004D6F0E" w:rsidRDefault="00490F21">
      <w:pPr>
        <w:spacing w:after="20"/>
        <w:ind w:left="731" w:right="4652" w:hanging="10"/>
        <w:jc w:val="both"/>
      </w:pPr>
      <w:r>
        <w:rPr>
          <w:sz w:val="18"/>
        </w:rPr>
        <w:t>本傘子基金</w:t>
      </w:r>
      <w:r>
        <w:rPr>
          <w:rFonts w:ascii="Arial" w:eastAsia="Arial" w:hAnsi="Arial" w:cs="Arial"/>
          <w:sz w:val="18"/>
        </w:rPr>
        <w:t xml:space="preserve"> .........................................................................................II-1 </w:t>
      </w:r>
      <w:r>
        <w:rPr>
          <w:sz w:val="18"/>
        </w:rPr>
        <w:t>如何購買股份</w:t>
      </w:r>
      <w:r>
        <w:rPr>
          <w:rFonts w:ascii="Arial" w:eastAsia="Arial" w:hAnsi="Arial" w:cs="Arial"/>
          <w:sz w:val="18"/>
        </w:rPr>
        <w:t xml:space="preserve"> .....................................................................................II-2 </w:t>
      </w:r>
      <w:r>
        <w:rPr>
          <w:sz w:val="18"/>
        </w:rPr>
        <w:t>如何贖回股份</w:t>
      </w:r>
      <w:r>
        <w:rPr>
          <w:rFonts w:ascii="Arial" w:eastAsia="Arial" w:hAnsi="Arial" w:cs="Arial"/>
          <w:sz w:val="18"/>
        </w:rPr>
        <w:t xml:space="preserve"> ......................</w:t>
      </w:r>
      <w:r>
        <w:rPr>
          <w:rFonts w:ascii="Arial" w:eastAsia="Arial" w:hAnsi="Arial" w:cs="Arial"/>
          <w:sz w:val="18"/>
        </w:rPr>
        <w:t xml:space="preserve">...............................................................II-6 </w:t>
      </w:r>
      <w:r>
        <w:rPr>
          <w:sz w:val="18"/>
        </w:rPr>
        <w:t>如何交換或轉換股份</w:t>
      </w:r>
      <w:r>
        <w:rPr>
          <w:rFonts w:ascii="Arial" w:eastAsia="Arial" w:hAnsi="Arial" w:cs="Arial"/>
          <w:sz w:val="18"/>
        </w:rPr>
        <w:t xml:space="preserve">...........................................................................II-7 </w:t>
      </w:r>
      <w:r>
        <w:rPr>
          <w:sz w:val="18"/>
        </w:rPr>
        <w:t>資產淨值的釐定</w:t>
      </w:r>
      <w:r>
        <w:rPr>
          <w:rFonts w:ascii="Arial" w:eastAsia="Arial" w:hAnsi="Arial" w:cs="Arial"/>
          <w:sz w:val="18"/>
        </w:rPr>
        <w:t xml:space="preserve"> ..................................................................................II-8 </w:t>
      </w:r>
      <w:r>
        <w:rPr>
          <w:sz w:val="18"/>
        </w:rPr>
        <w:t>投資類別</w:t>
      </w:r>
      <w:r>
        <w:rPr>
          <w:rFonts w:ascii="Arial" w:eastAsia="Arial" w:hAnsi="Arial" w:cs="Arial"/>
          <w:sz w:val="18"/>
        </w:rPr>
        <w:t xml:space="preserve"> ............................................................................................II-10 </w:t>
      </w:r>
      <w:r>
        <w:rPr>
          <w:sz w:val="18"/>
        </w:rPr>
        <w:t>風險因素</w:t>
      </w:r>
      <w:r>
        <w:rPr>
          <w:rFonts w:ascii="Arial" w:eastAsia="Arial" w:hAnsi="Arial" w:cs="Arial"/>
          <w:sz w:val="18"/>
        </w:rPr>
        <w:t xml:space="preserve"> ............................................................................................II-20 </w:t>
      </w:r>
      <w:r>
        <w:rPr>
          <w:sz w:val="18"/>
        </w:rPr>
        <w:t>股東大會及致股東的報告</w:t>
      </w:r>
      <w:r>
        <w:rPr>
          <w:rFonts w:ascii="Arial" w:eastAsia="Arial" w:hAnsi="Arial" w:cs="Arial"/>
          <w:sz w:val="18"/>
        </w:rPr>
        <w:t xml:space="preserve"> ..........................................</w:t>
      </w:r>
      <w:r>
        <w:rPr>
          <w:rFonts w:ascii="Arial" w:eastAsia="Arial" w:hAnsi="Arial" w:cs="Arial"/>
          <w:sz w:val="18"/>
        </w:rPr>
        <w:t xml:space="preserve">.........................II-34 </w:t>
      </w:r>
      <w:r>
        <w:rPr>
          <w:sz w:val="18"/>
        </w:rPr>
        <w:t>管理與行政</w:t>
      </w:r>
      <w:r>
        <w:rPr>
          <w:rFonts w:ascii="Arial" w:eastAsia="Arial" w:hAnsi="Arial" w:cs="Arial"/>
          <w:sz w:val="18"/>
        </w:rPr>
        <w:t xml:space="preserve"> .........................................................................................II-35 </w:t>
      </w:r>
      <w:r>
        <w:rPr>
          <w:sz w:val="18"/>
        </w:rPr>
        <w:t>附加資料</w:t>
      </w:r>
      <w:r>
        <w:rPr>
          <w:rFonts w:ascii="Arial" w:eastAsia="Arial" w:hAnsi="Arial" w:cs="Arial"/>
          <w:sz w:val="18"/>
        </w:rPr>
        <w:t xml:space="preserve"> ............................................................................................II-38 </w:t>
      </w:r>
      <w:r>
        <w:rPr>
          <w:sz w:val="18"/>
        </w:rPr>
        <w:t>當地資料</w:t>
      </w:r>
      <w:r>
        <w:rPr>
          <w:rFonts w:ascii="Arial" w:eastAsia="Arial" w:hAnsi="Arial" w:cs="Arial"/>
          <w:sz w:val="18"/>
        </w:rPr>
        <w:t xml:space="preserve"> ................</w:t>
      </w:r>
      <w:r>
        <w:rPr>
          <w:rFonts w:ascii="Arial" w:eastAsia="Arial" w:hAnsi="Arial" w:cs="Arial"/>
          <w:sz w:val="18"/>
        </w:rPr>
        <w:t xml:space="preserve">............................................................................II-47 </w:t>
      </w:r>
      <w:r>
        <w:rPr>
          <w:sz w:val="18"/>
        </w:rPr>
        <w:t>附錄</w:t>
      </w:r>
      <w:r>
        <w:rPr>
          <w:sz w:val="18"/>
        </w:rPr>
        <w:t xml:space="preserve"> </w:t>
      </w:r>
      <w:r>
        <w:rPr>
          <w:rFonts w:ascii="Arial" w:eastAsia="Arial" w:hAnsi="Arial" w:cs="Arial"/>
          <w:sz w:val="18"/>
        </w:rPr>
        <w:t>A</w:t>
      </w:r>
      <w:r>
        <w:rPr>
          <w:sz w:val="18"/>
        </w:rPr>
        <w:t>：投資限制</w:t>
      </w:r>
      <w:r>
        <w:rPr>
          <w:rFonts w:ascii="Arial" w:eastAsia="Arial" w:hAnsi="Arial" w:cs="Arial"/>
          <w:sz w:val="18"/>
        </w:rPr>
        <w:t xml:space="preserve"> ..............................................................................II-53 </w:t>
      </w:r>
      <w:r>
        <w:rPr>
          <w:sz w:val="18"/>
        </w:rPr>
        <w:t>附錄</w:t>
      </w:r>
      <w:r>
        <w:rPr>
          <w:sz w:val="18"/>
        </w:rPr>
        <w:t xml:space="preserve"> </w:t>
      </w:r>
      <w:r>
        <w:rPr>
          <w:rFonts w:ascii="Arial" w:eastAsia="Arial" w:hAnsi="Arial" w:cs="Arial"/>
          <w:sz w:val="18"/>
        </w:rPr>
        <w:t>B</w:t>
      </w:r>
      <w:r>
        <w:rPr>
          <w:sz w:val="18"/>
        </w:rPr>
        <w:t>：過度及短線交易的政策及程序</w:t>
      </w:r>
      <w:r>
        <w:rPr>
          <w:rFonts w:ascii="Arial" w:eastAsia="Arial" w:hAnsi="Arial" w:cs="Arial"/>
          <w:sz w:val="18"/>
        </w:rPr>
        <w:t xml:space="preserve"> ..............................................II-58 </w:t>
      </w:r>
      <w:r>
        <w:rPr>
          <w:sz w:val="18"/>
        </w:rPr>
        <w:t>附錄</w:t>
      </w:r>
      <w:r>
        <w:rPr>
          <w:sz w:val="18"/>
        </w:rPr>
        <w:t xml:space="preserve"> </w:t>
      </w:r>
      <w:r>
        <w:rPr>
          <w:rFonts w:ascii="Arial" w:eastAsia="Arial" w:hAnsi="Arial" w:cs="Arial"/>
          <w:sz w:val="18"/>
        </w:rPr>
        <w:t>C</w:t>
      </w:r>
      <w:r>
        <w:rPr>
          <w:sz w:val="18"/>
        </w:rPr>
        <w:t>：有關金融</w:t>
      </w:r>
      <w:r>
        <w:rPr>
          <w:sz w:val="18"/>
        </w:rPr>
        <w:t>衍生工具、金融技術及工具以及抵押品管理的</w:t>
      </w:r>
      <w:r>
        <w:rPr>
          <w:rFonts w:ascii="Arial" w:eastAsia="Arial" w:hAnsi="Arial" w:cs="Arial"/>
          <w:sz w:val="18"/>
        </w:rPr>
        <w:t xml:space="preserve"> </w:t>
      </w:r>
    </w:p>
    <w:p w:rsidR="004D6F0E" w:rsidRDefault="00490F21">
      <w:pPr>
        <w:spacing w:after="20"/>
        <w:ind w:left="731" w:right="4652" w:hanging="10"/>
        <w:jc w:val="both"/>
      </w:pPr>
      <w:r>
        <w:rPr>
          <w:rFonts w:ascii="Arial" w:eastAsia="Arial" w:hAnsi="Arial" w:cs="Arial"/>
          <w:sz w:val="18"/>
        </w:rPr>
        <w:t xml:space="preserve">        </w:t>
      </w:r>
      <w:r>
        <w:rPr>
          <w:sz w:val="18"/>
        </w:rPr>
        <w:t>額外資料</w:t>
      </w:r>
      <w:r>
        <w:rPr>
          <w:rFonts w:ascii="Arial" w:eastAsia="Arial" w:hAnsi="Arial" w:cs="Arial"/>
          <w:sz w:val="18"/>
        </w:rPr>
        <w:t xml:space="preserve"> ..............................................................................II-59 </w:t>
      </w:r>
      <w:r>
        <w:rPr>
          <w:sz w:val="18"/>
        </w:rPr>
        <w:t>附錄</w:t>
      </w:r>
      <w:r>
        <w:rPr>
          <w:sz w:val="18"/>
        </w:rPr>
        <w:t xml:space="preserve"> </w:t>
      </w:r>
      <w:r>
        <w:rPr>
          <w:rFonts w:ascii="Arial" w:eastAsia="Arial" w:hAnsi="Arial" w:cs="Arial"/>
          <w:sz w:val="18"/>
        </w:rPr>
        <w:t>D</w:t>
      </w:r>
      <w:r>
        <w:rPr>
          <w:sz w:val="18"/>
        </w:rPr>
        <w:t>：英國投資者附加資料</w:t>
      </w:r>
      <w:r>
        <w:rPr>
          <w:rFonts w:ascii="Arial" w:eastAsia="Arial" w:hAnsi="Arial" w:cs="Arial"/>
          <w:sz w:val="18"/>
        </w:rPr>
        <w:t xml:space="preserve"> ............................................................II-63 </w:t>
      </w:r>
      <w:r>
        <w:rPr>
          <w:sz w:val="18"/>
        </w:rPr>
        <w:t>附錄</w:t>
      </w:r>
      <w:r>
        <w:rPr>
          <w:sz w:val="18"/>
        </w:rPr>
        <w:t xml:space="preserve"> </w:t>
      </w:r>
      <w:r>
        <w:rPr>
          <w:rFonts w:ascii="Arial" w:eastAsia="Arial" w:hAnsi="Arial" w:cs="Arial"/>
          <w:sz w:val="18"/>
        </w:rPr>
        <w:t>E</w:t>
      </w:r>
      <w:r>
        <w:rPr>
          <w:sz w:val="18"/>
        </w:rPr>
        <w:t>：</w:t>
      </w:r>
      <w:r>
        <w:rPr>
          <w:rFonts w:ascii="Arial" w:eastAsia="Arial" w:hAnsi="Arial" w:cs="Arial"/>
          <w:sz w:val="18"/>
        </w:rPr>
        <w:t xml:space="preserve">SFDR </w:t>
      </w:r>
      <w:r>
        <w:rPr>
          <w:sz w:val="18"/>
        </w:rPr>
        <w:t>訂約前披露</w:t>
      </w:r>
      <w:r>
        <w:rPr>
          <w:rFonts w:ascii="Arial" w:eastAsia="Arial" w:hAnsi="Arial" w:cs="Arial"/>
          <w:sz w:val="18"/>
        </w:rPr>
        <w:t xml:space="preserve"> ........................................</w:t>
      </w:r>
      <w:r>
        <w:rPr>
          <w:rFonts w:ascii="Arial" w:eastAsia="Arial" w:hAnsi="Arial" w:cs="Arial"/>
          <w:sz w:val="18"/>
        </w:rPr>
        <w:t xml:space="preserve">........................II-65 </w:t>
      </w:r>
    </w:p>
    <w:p w:rsidR="004D6F0E" w:rsidRDefault="00490F21">
      <w:pPr>
        <w:spacing w:after="0" w:line="259" w:lineRule="auto"/>
        <w:ind w:left="733" w:firstLine="0"/>
      </w:pPr>
      <w:r>
        <w:rPr>
          <w:rFonts w:ascii="Arial" w:eastAsia="Arial" w:hAnsi="Arial" w:cs="Arial"/>
          <w:b/>
          <w:sz w:val="18"/>
        </w:rPr>
        <w:t xml:space="preserve"> </w:t>
      </w:r>
    </w:p>
    <w:p w:rsidR="004D6F0E" w:rsidRDefault="00490F21">
      <w:pPr>
        <w:ind w:left="743" w:right="13" w:hanging="10"/>
      </w:pPr>
      <w:r>
        <w:rPr>
          <w:sz w:val="18"/>
        </w:rPr>
        <w:lastRenderedPageBreak/>
        <w:t>名錄</w:t>
      </w:r>
      <w:r>
        <w:rPr>
          <w:rFonts w:ascii="Arial" w:eastAsia="Arial" w:hAnsi="Arial" w:cs="Arial"/>
          <w:sz w:val="18"/>
        </w:rPr>
        <w:t xml:space="preserve"> </w:t>
      </w:r>
    </w:p>
    <w:p w:rsidR="004D6F0E" w:rsidRDefault="00490F21">
      <w:pPr>
        <w:spacing w:after="19" w:line="259" w:lineRule="auto"/>
        <w:ind w:left="733" w:firstLine="0"/>
      </w:pPr>
      <w:r>
        <w:rPr>
          <w:rFonts w:ascii="Arial" w:eastAsia="Arial" w:hAnsi="Arial" w:cs="Arial"/>
          <w:sz w:val="18"/>
        </w:rPr>
        <w:t xml:space="preserve"> </w:t>
      </w:r>
    </w:p>
    <w:p w:rsidR="004D6F0E" w:rsidRDefault="00490F21">
      <w:pPr>
        <w:spacing w:after="0" w:line="259" w:lineRule="auto"/>
        <w:ind w:left="733" w:firstLine="0"/>
      </w:pPr>
      <w:r>
        <w:rPr>
          <w:rFonts w:ascii="Arial" w:eastAsia="Arial" w:hAnsi="Arial" w:cs="Arial"/>
          <w:sz w:val="22"/>
        </w:rPr>
        <w:t xml:space="preserve"> </w:t>
      </w:r>
    </w:p>
    <w:p w:rsidR="004D6F0E" w:rsidRDefault="00490F21">
      <w:pPr>
        <w:spacing w:after="3444" w:line="259" w:lineRule="auto"/>
        <w:ind w:left="733" w:firstLine="0"/>
      </w:pPr>
      <w:r>
        <w:rPr>
          <w:rFonts w:ascii="Arial" w:eastAsia="Arial" w:hAnsi="Arial" w:cs="Arial"/>
          <w:sz w:val="18"/>
        </w:rPr>
        <w:t xml:space="preserve"> </w:t>
      </w:r>
    </w:p>
    <w:p w:rsidR="004D6F0E" w:rsidRDefault="00490F21">
      <w:pPr>
        <w:spacing w:after="3" w:line="259" w:lineRule="auto"/>
        <w:ind w:right="36" w:hanging="10"/>
        <w:jc w:val="center"/>
      </w:pPr>
      <w:r>
        <w:rPr>
          <w:rFonts w:ascii="Times New Roman" w:eastAsia="Times New Roman" w:hAnsi="Times New Roman" w:cs="Times New Roman"/>
          <w:sz w:val="20"/>
        </w:rPr>
        <w:t xml:space="preserve">iv </w:t>
      </w:r>
    </w:p>
    <w:p w:rsidR="004D6F0E" w:rsidRDefault="00490F21">
      <w:pPr>
        <w:spacing w:after="0" w:line="259" w:lineRule="auto"/>
        <w:ind w:left="1" w:firstLine="0"/>
        <w:jc w:val="center"/>
      </w:pPr>
      <w:r>
        <w:rPr>
          <w:rFonts w:ascii="Arial" w:eastAsia="Arial" w:hAnsi="Arial" w:cs="Arial"/>
          <w:sz w:val="12"/>
        </w:rPr>
        <w:t xml:space="preserve"> </w:t>
      </w:r>
    </w:p>
    <w:p w:rsidR="004D6F0E" w:rsidRDefault="004D6F0E">
      <w:pPr>
        <w:sectPr w:rsidR="004D6F0E">
          <w:type w:val="continuous"/>
          <w:pgSz w:w="12240" w:h="15840"/>
          <w:pgMar w:top="757" w:right="675" w:bottom="303" w:left="419" w:header="720" w:footer="720" w:gutter="0"/>
          <w:cols w:space="720"/>
        </w:sectPr>
      </w:pPr>
    </w:p>
    <w:p w:rsidR="004D6F0E" w:rsidRDefault="00490F21">
      <w:pPr>
        <w:pStyle w:val="Heading3"/>
        <w:ind w:left="14"/>
      </w:pPr>
      <w:r>
        <w:t>重要考慮因素</w:t>
      </w:r>
      <w:r>
        <w:rPr>
          <w:rFonts w:ascii="Arial" w:eastAsia="Arial" w:hAnsi="Arial" w:cs="Arial"/>
        </w:rPr>
        <w:t xml:space="preserve"> </w:t>
      </w:r>
    </w:p>
    <w:p w:rsidR="004D6F0E" w:rsidRDefault="00490F21">
      <w:pPr>
        <w:spacing w:after="102" w:line="273" w:lineRule="auto"/>
        <w:ind w:left="14" w:right="316"/>
        <w:jc w:val="both"/>
      </w:pPr>
      <w:r>
        <w:t>本傘子基金的結構形式為「傘子基金」，由獨立的資產組別（每一組即為一個「基金」）構成。投資者應參照第</w:t>
      </w:r>
      <w:r>
        <w:t xml:space="preserve"> </w:t>
      </w:r>
      <w:r>
        <w:rPr>
          <w:rFonts w:ascii="Arial" w:eastAsia="Arial" w:hAnsi="Arial" w:cs="Arial"/>
        </w:rPr>
        <w:t xml:space="preserve">I </w:t>
      </w:r>
      <w:r>
        <w:t>部分，以確定與本認購章程相關的特定基金，並閱讀本「重要考慮因素」，尤其應注意與各基金的基礎投資有關的重要考慮因素。此外，投資者應細閱載於第</w:t>
      </w:r>
      <w:r>
        <w:t xml:space="preserve"> </w:t>
      </w:r>
      <w:r>
        <w:rPr>
          <w:rFonts w:ascii="Arial" w:eastAsia="Arial" w:hAnsi="Arial" w:cs="Arial"/>
        </w:rPr>
        <w:t xml:space="preserve">I </w:t>
      </w:r>
      <w:r>
        <w:t>部分所載有關各基金的「風險資料」及第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100"/>
        <w:ind w:left="11" w:right="2"/>
      </w:pPr>
      <w:r>
        <w:t>本認購章程所涉及各基金的股份價值會隨有關基金的基礎投資的價值而變動。因此，股份價值及其產生的任何收入將會波動且並無保證。因此，投資者可能無法通過贖回全數收回其投資款額。就投資股份的任何基金而言，基礎投資的價值可能因應個別公司的活動及業績，或整體市況及經濟狀況而波動，有時甚至會大幅波動。就投資固定收益</w:t>
      </w:r>
      <w:r>
        <w:t>證券的任何基金而言，基礎投資的價值一般取決於利率，發行人的信用及整體市況或經濟狀況。就投資固定收益證券的任何基金而言，各基金的股份價值及其產生的任何收益會隨著利率及匯率的波動而變動。基金可能投資於高收益證券，而該等所持證券的貶值風險及資本實現虧損是無法避免的。此外，中等及較低評級證券及相若質素的無評級證券可能較高評級證券承受更大的收益及市值波動風險。</w:t>
      </w:r>
      <w:r>
        <w:rPr>
          <w:rFonts w:ascii="Arial" w:eastAsia="Arial" w:hAnsi="Arial" w:cs="Arial"/>
        </w:rPr>
        <w:t xml:space="preserve"> </w:t>
      </w:r>
    </w:p>
    <w:p w:rsidR="004D6F0E" w:rsidRDefault="00490F21">
      <w:pPr>
        <w:spacing w:after="69"/>
        <w:ind w:left="11" w:right="2"/>
      </w:pPr>
      <w:r>
        <w:t>集中投資單一國家的基金須承受相關國家較高的市場、政治及經濟風險。投資多個國家的基金將較少承受集中於某一個國家的風險，但將承受多個國家的風險。</w:t>
      </w:r>
      <w:r>
        <w:rPr>
          <w:rFonts w:ascii="Arial" w:eastAsia="Arial" w:hAnsi="Arial" w:cs="Arial"/>
        </w:rPr>
        <w:t xml:space="preserve"> </w:t>
      </w:r>
    </w:p>
    <w:p w:rsidR="004D6F0E" w:rsidRDefault="00490F21">
      <w:pPr>
        <w:spacing w:after="7826" w:line="259" w:lineRule="auto"/>
        <w:ind w:left="0" w:firstLine="0"/>
      </w:pPr>
      <w:r>
        <w:rPr>
          <w:rFonts w:ascii="Arial" w:eastAsia="Arial" w:hAnsi="Arial" w:cs="Arial"/>
          <w:sz w:val="16"/>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lastRenderedPageBreak/>
        <w:t xml:space="preserve">v </w:t>
      </w:r>
    </w:p>
    <w:p w:rsidR="004D6F0E" w:rsidRDefault="00490F21">
      <w:pPr>
        <w:spacing w:after="0" w:line="259" w:lineRule="auto"/>
        <w:ind w:left="0" w:right="67" w:firstLine="0"/>
        <w:jc w:val="right"/>
      </w:pPr>
      <w:r>
        <w:rPr>
          <w:rFonts w:ascii="Arial" w:eastAsia="Arial" w:hAnsi="Arial" w:cs="Arial"/>
          <w:sz w:val="12"/>
        </w:rPr>
        <w:t xml:space="preserve"> </w:t>
      </w:r>
    </w:p>
    <w:p w:rsidR="004D6F0E" w:rsidRDefault="00490F21">
      <w:pPr>
        <w:spacing w:after="102"/>
        <w:ind w:left="11" w:right="2"/>
      </w:pPr>
      <w:r>
        <w:t>某個基金内的多項基礎投資的計價貨幣種類可能與該特定基金的計價貨幣不同。這意味著基礎投資的貨幣變動可能嚴重影響該等基金的股份價值。</w:t>
      </w:r>
      <w:r>
        <w:rPr>
          <w:rFonts w:ascii="Arial" w:eastAsia="Arial" w:hAnsi="Arial" w:cs="Arial"/>
        </w:rPr>
        <w:t xml:space="preserve"> </w:t>
      </w:r>
    </w:p>
    <w:p w:rsidR="004D6F0E" w:rsidRDefault="00490F21">
      <w:pPr>
        <w:spacing w:after="100"/>
        <w:ind w:left="11" w:right="2"/>
      </w:pPr>
      <w:r>
        <w:t>此外，某個基金可能按照其既定投資目標及政策所許可的限度，全部或部分投資於新興市場證券。投資者應了解該等證券的波幅可能較已發展市場的證券為高。因此，與投資更成熟市場的基金相比，該等基金的價格波動風險及暫停贖回風險可能更高。這種波幅可能源於政治及經濟因素，並可能因法律、買賣流動性、證券交收及轉讓以及貨幣因素而惡化。部分新興市場國家的經濟相對繁榮，但可能對環球商品價格較為敏感。其他</w:t>
      </w:r>
      <w:r>
        <w:t>的市場則特別容易受到其他國家的經濟狀況的影響。儘管本傘子基金已採取審慎措施了解並管理該等風險，個別基金及股東最終仍須承受投資於該等市場的相關風險。</w:t>
      </w:r>
      <w:r>
        <w:rPr>
          <w:rFonts w:ascii="Arial" w:eastAsia="Arial" w:hAnsi="Arial" w:cs="Arial"/>
        </w:rPr>
        <w:t xml:space="preserve"> </w:t>
      </w:r>
    </w:p>
    <w:p w:rsidR="004D6F0E" w:rsidRDefault="00490F21">
      <w:pPr>
        <w:spacing w:after="102"/>
        <w:ind w:left="11" w:right="2"/>
      </w:pPr>
      <w:r>
        <w:t>某個基金可能採用多種技術對沖市場風險。所用技巧及工具載於第</w:t>
      </w:r>
      <w:r>
        <w:t xml:space="preserve"> </w:t>
      </w:r>
      <w:r>
        <w:rPr>
          <w:rFonts w:ascii="Arial" w:eastAsia="Arial" w:hAnsi="Arial" w:cs="Arial"/>
        </w:rPr>
        <w:t xml:space="preserve">II </w:t>
      </w:r>
      <w:r>
        <w:t>部分附錄</w:t>
      </w:r>
      <w:r>
        <w:t xml:space="preserve"> </w:t>
      </w:r>
      <w:r>
        <w:rPr>
          <w:rFonts w:ascii="Arial" w:eastAsia="Arial" w:hAnsi="Arial" w:cs="Arial"/>
        </w:rPr>
        <w:t>A</w:t>
      </w:r>
      <w:r>
        <w:t>。此外，某個基金可能附帶採用該等技術及工具以進行有效的基金管理。</w:t>
      </w:r>
      <w:r>
        <w:rPr>
          <w:rFonts w:ascii="Arial" w:eastAsia="Arial" w:hAnsi="Arial" w:cs="Arial"/>
        </w:rPr>
        <w:t xml:space="preserve"> </w:t>
      </w:r>
    </w:p>
    <w:p w:rsidR="004D6F0E" w:rsidRDefault="00490F21">
      <w:pPr>
        <w:ind w:left="11" w:right="2"/>
      </w:pPr>
      <w:r>
        <w:t>有關某個基金的股份是否適合其投資需要，投資者敬請諮詢其獨立財務顧問。</w:t>
      </w:r>
      <w:r>
        <w:rPr>
          <w:rFonts w:ascii="Arial" w:eastAsia="Arial" w:hAnsi="Arial" w:cs="Arial"/>
        </w:rPr>
        <w:t xml:space="preserve"> </w:t>
      </w:r>
      <w:r>
        <w:br w:type="page"/>
      </w:r>
    </w:p>
    <w:p w:rsidR="004D6F0E" w:rsidRDefault="00490F21">
      <w:pPr>
        <w:pStyle w:val="Heading3"/>
        <w:ind w:left="14"/>
      </w:pPr>
      <w:r>
        <w:lastRenderedPageBreak/>
        <w:t>詞彙定義表</w:t>
      </w:r>
    </w:p>
    <w:p w:rsidR="004D6F0E" w:rsidRDefault="00490F21">
      <w:pPr>
        <w:spacing w:after="20"/>
        <w:ind w:hanging="10"/>
        <w:jc w:val="both"/>
      </w:pPr>
      <w:r>
        <w:rPr>
          <w:sz w:val="18"/>
        </w:rPr>
        <w:t>聯博基金指使用「聯博」服務標識分銷，並由</w:t>
      </w:r>
      <w:r>
        <w:rPr>
          <w:sz w:val="18"/>
        </w:rPr>
        <w:t xml:space="preserve"> </w:t>
      </w:r>
      <w:r>
        <w:rPr>
          <w:rFonts w:ascii="Arial" w:eastAsia="Arial" w:hAnsi="Arial" w:cs="Arial"/>
          <w:sz w:val="18"/>
        </w:rPr>
        <w:t xml:space="preserve">AllianceBernstein L.P. </w:t>
      </w:r>
    </w:p>
    <w:p w:rsidR="004D6F0E" w:rsidRDefault="00490F21">
      <w:pPr>
        <w:spacing w:after="82"/>
        <w:ind w:left="8" w:right="13" w:hanging="10"/>
      </w:pPr>
      <w:r>
        <w:rPr>
          <w:sz w:val="18"/>
        </w:rPr>
        <w:t>及／或其聯屬公司保薦的任何集體投資企業</w:t>
      </w:r>
      <w:r>
        <w:rPr>
          <w:rFonts w:ascii="Arial" w:eastAsia="Arial" w:hAnsi="Arial" w:cs="Arial"/>
          <w:sz w:val="18"/>
        </w:rPr>
        <w:t xml:space="preserve"> </w:t>
      </w:r>
    </w:p>
    <w:p w:rsidR="004D6F0E" w:rsidRDefault="00490F21">
      <w:pPr>
        <w:spacing w:after="89"/>
        <w:ind w:left="8" w:right="13" w:hanging="10"/>
      </w:pPr>
      <w:r>
        <w:rPr>
          <w:sz w:val="18"/>
        </w:rPr>
        <w:t>聯博基金帳戶指管理公司或過戶代理為每位股東設立的名義戶口，用以反映股東於聯博基金的所有持股</w:t>
      </w:r>
      <w:r>
        <w:rPr>
          <w:rFonts w:ascii="Arial" w:eastAsia="Arial" w:hAnsi="Arial" w:cs="Arial"/>
          <w:sz w:val="18"/>
        </w:rPr>
        <w:t xml:space="preserve"> </w:t>
      </w:r>
    </w:p>
    <w:p w:rsidR="004D6F0E" w:rsidRDefault="00490F21">
      <w:pPr>
        <w:spacing w:line="370" w:lineRule="auto"/>
        <w:ind w:left="8" w:right="13" w:hanging="10"/>
      </w:pPr>
      <w:r>
        <w:rPr>
          <w:sz w:val="18"/>
        </w:rPr>
        <w:t>聯博集團指</w:t>
      </w:r>
      <w:r>
        <w:rPr>
          <w:sz w:val="18"/>
        </w:rPr>
        <w:t xml:space="preserve"> </w:t>
      </w:r>
      <w:r>
        <w:rPr>
          <w:rFonts w:ascii="Arial" w:eastAsia="Arial" w:hAnsi="Arial" w:cs="Arial"/>
          <w:sz w:val="18"/>
        </w:rPr>
        <w:t>AllianceBernstein L.P.</w:t>
      </w:r>
      <w:r>
        <w:rPr>
          <w:sz w:val="18"/>
        </w:rPr>
        <w:t>及其附屬公司及聯營公司行政管理協議指管理公司與行政管理人之間的協議</w:t>
      </w:r>
      <w:r>
        <w:rPr>
          <w:rFonts w:ascii="Arial" w:eastAsia="Arial" w:hAnsi="Arial" w:cs="Arial"/>
          <w:sz w:val="18"/>
        </w:rPr>
        <w:t xml:space="preserve"> </w:t>
      </w:r>
    </w:p>
    <w:p w:rsidR="004D6F0E" w:rsidRDefault="00490F21">
      <w:pPr>
        <w:spacing w:after="87"/>
        <w:ind w:hanging="10"/>
        <w:jc w:val="both"/>
      </w:pPr>
      <w:r>
        <w:rPr>
          <w:sz w:val="18"/>
        </w:rPr>
        <w:t>行政管理人指</w:t>
      </w:r>
      <w:r>
        <w:rPr>
          <w:sz w:val="18"/>
        </w:rPr>
        <w:t xml:space="preserve"> </w:t>
      </w:r>
      <w:r>
        <w:rPr>
          <w:rFonts w:ascii="Arial" w:eastAsia="Arial" w:hAnsi="Arial" w:cs="Arial"/>
          <w:sz w:val="18"/>
        </w:rPr>
        <w:t xml:space="preserve">Brown Brothers Harriman (Luxembourg) S.C.A. </w:t>
      </w:r>
    </w:p>
    <w:p w:rsidR="004D6F0E" w:rsidRDefault="00490F21">
      <w:pPr>
        <w:spacing w:after="82"/>
        <w:ind w:left="8" w:right="13" w:hanging="10"/>
      </w:pPr>
      <w:r>
        <w:rPr>
          <w:sz w:val="18"/>
        </w:rPr>
        <w:t>美國預託證券指美國預託證券</w:t>
      </w:r>
      <w:r>
        <w:rPr>
          <w:rFonts w:ascii="Arial" w:eastAsia="Arial" w:hAnsi="Arial" w:cs="Arial"/>
          <w:sz w:val="18"/>
        </w:rPr>
        <w:t xml:space="preserve"> </w:t>
      </w:r>
    </w:p>
    <w:p w:rsidR="004D6F0E" w:rsidRDefault="00490F21">
      <w:pPr>
        <w:spacing w:after="81"/>
        <w:ind w:left="8" w:right="13" w:hanging="10"/>
      </w:pPr>
      <w:r>
        <w:rPr>
          <w:sz w:val="18"/>
        </w:rPr>
        <w:t>營業日指紐約證券交易所及盧森堡的銀行均開放營業的每一日，惟於特定基金的摘要資料另有規定者除外</w:t>
      </w:r>
      <w:r>
        <w:rPr>
          <w:rFonts w:ascii="Arial" w:eastAsia="Arial" w:hAnsi="Arial" w:cs="Arial"/>
          <w:sz w:val="18"/>
        </w:rPr>
        <w:t xml:space="preserve"> </w:t>
      </w:r>
    </w:p>
    <w:p w:rsidR="004D6F0E" w:rsidRDefault="00490F21">
      <w:pPr>
        <w:spacing w:after="86"/>
        <w:ind w:left="8" w:right="13" w:hanging="10"/>
      </w:pPr>
      <w:r>
        <w:rPr>
          <w:sz w:val="18"/>
        </w:rPr>
        <w:t>現金等價物指易於轉換為現金的證券（國庫券或其他短期政府債券、銀行存款、貨幣市場工具或基金）</w:t>
      </w:r>
      <w:r>
        <w:rPr>
          <w:rFonts w:ascii="Arial" w:eastAsia="Arial" w:hAnsi="Arial" w:cs="Arial"/>
          <w:sz w:val="18"/>
        </w:rPr>
        <w:t xml:space="preserve"> </w:t>
      </w:r>
    </w:p>
    <w:p w:rsidR="004D6F0E" w:rsidRDefault="00490F21">
      <w:pPr>
        <w:spacing w:after="91"/>
        <w:ind w:left="8" w:right="13" w:hanging="10"/>
      </w:pPr>
      <w:r>
        <w:rPr>
          <w:rFonts w:ascii="Arial" w:eastAsia="Arial" w:hAnsi="Arial" w:cs="Arial"/>
          <w:b/>
          <w:sz w:val="18"/>
        </w:rPr>
        <w:t xml:space="preserve">CDSC </w:t>
      </w:r>
      <w:r>
        <w:rPr>
          <w:sz w:val="18"/>
        </w:rPr>
        <w:t>股份指含有或有遞延銷售費的股份</w:t>
      </w:r>
      <w:r>
        <w:rPr>
          <w:rFonts w:ascii="Arial" w:eastAsia="Arial" w:hAnsi="Arial" w:cs="Arial"/>
          <w:sz w:val="18"/>
        </w:rPr>
        <w:t xml:space="preserve"> </w:t>
      </w:r>
    </w:p>
    <w:p w:rsidR="004D6F0E" w:rsidRDefault="00490F21">
      <w:pPr>
        <w:spacing w:after="80"/>
        <w:ind w:left="8" w:right="13" w:hanging="10"/>
      </w:pPr>
      <w:r>
        <w:rPr>
          <w:sz w:val="18"/>
        </w:rPr>
        <w:t>基金貨幣指存置基金會計記錄的基準貨幣（如第</w:t>
      </w:r>
      <w:r>
        <w:rPr>
          <w:sz w:val="18"/>
        </w:rPr>
        <w:t xml:space="preserve"> </w:t>
      </w:r>
      <w:r>
        <w:rPr>
          <w:rFonts w:ascii="Arial" w:eastAsia="Arial" w:hAnsi="Arial" w:cs="Arial"/>
          <w:sz w:val="18"/>
        </w:rPr>
        <w:t xml:space="preserve">I </w:t>
      </w:r>
      <w:r>
        <w:rPr>
          <w:sz w:val="18"/>
        </w:rPr>
        <w:t>部分「摘要資料」所述）</w:t>
      </w:r>
      <w:r>
        <w:rPr>
          <w:rFonts w:ascii="Arial" w:eastAsia="Arial" w:hAnsi="Arial" w:cs="Arial"/>
          <w:sz w:val="18"/>
        </w:rPr>
        <w:t xml:space="preserve"> </w:t>
      </w:r>
    </w:p>
    <w:p w:rsidR="004D6F0E" w:rsidRDefault="00490F21">
      <w:pPr>
        <w:spacing w:after="92"/>
        <w:ind w:left="8" w:right="13" w:hanging="10"/>
      </w:pPr>
      <w:r>
        <w:rPr>
          <w:sz w:val="18"/>
        </w:rPr>
        <w:t>交易商指經紀／交易商、銀行、註冊投資顧問、獨立財務顧問及分銷商與其訂立協議的其他財務中介人（視文義而定）</w:t>
      </w:r>
      <w:r>
        <w:rPr>
          <w:rFonts w:ascii="Arial" w:eastAsia="Arial" w:hAnsi="Arial" w:cs="Arial"/>
          <w:sz w:val="18"/>
        </w:rPr>
        <w:t xml:space="preserve"> </w:t>
      </w:r>
    </w:p>
    <w:p w:rsidR="004D6F0E" w:rsidRDefault="00490F21">
      <w:pPr>
        <w:spacing w:after="86"/>
        <w:ind w:hanging="10"/>
        <w:jc w:val="both"/>
      </w:pPr>
      <w:r>
        <w:rPr>
          <w:sz w:val="18"/>
        </w:rPr>
        <w:t>存管人指</w:t>
      </w:r>
      <w:r>
        <w:rPr>
          <w:sz w:val="18"/>
        </w:rPr>
        <w:t xml:space="preserve"> </w:t>
      </w:r>
      <w:r>
        <w:rPr>
          <w:rFonts w:ascii="Arial" w:eastAsia="Arial" w:hAnsi="Arial" w:cs="Arial"/>
          <w:sz w:val="18"/>
        </w:rPr>
        <w:t>Brown Brothers Harriman (Luxembourg) S.C.A.</w:t>
      </w:r>
      <w:r>
        <w:rPr>
          <w:rFonts w:ascii="Arial" w:eastAsia="Arial" w:hAnsi="Arial" w:cs="Arial"/>
          <w:sz w:val="18"/>
        </w:rPr>
        <w:t xml:space="preserve"> </w:t>
      </w:r>
    </w:p>
    <w:p w:rsidR="004D6F0E" w:rsidRDefault="00490F21">
      <w:pPr>
        <w:spacing w:after="83"/>
        <w:ind w:left="8" w:right="13" w:hanging="10"/>
      </w:pPr>
      <w:r>
        <w:rPr>
          <w:sz w:val="18"/>
        </w:rPr>
        <w:t>存管人協議指管理公司與存管人之間的協議</w:t>
      </w:r>
      <w:r>
        <w:rPr>
          <w:rFonts w:ascii="Arial" w:eastAsia="Arial" w:hAnsi="Arial" w:cs="Arial"/>
          <w:sz w:val="18"/>
        </w:rPr>
        <w:t xml:space="preserve"> </w:t>
      </w:r>
    </w:p>
    <w:p w:rsidR="004D6F0E" w:rsidRDefault="00490F21">
      <w:pPr>
        <w:spacing w:after="91"/>
        <w:ind w:left="8" w:right="13" w:hanging="10"/>
      </w:pPr>
      <w:r>
        <w:rPr>
          <w:sz w:val="18"/>
        </w:rPr>
        <w:t>分銷協議指管理公司與分銷商之間關於各基金的相關協議</w:t>
      </w:r>
      <w:r>
        <w:rPr>
          <w:rFonts w:ascii="Arial" w:eastAsia="Arial" w:hAnsi="Arial" w:cs="Arial"/>
          <w:sz w:val="18"/>
        </w:rPr>
        <w:t xml:space="preserve"> </w:t>
      </w:r>
    </w:p>
    <w:p w:rsidR="004D6F0E" w:rsidRDefault="00490F21">
      <w:pPr>
        <w:spacing w:after="80"/>
        <w:ind w:hanging="10"/>
        <w:jc w:val="both"/>
      </w:pPr>
      <w:r>
        <w:rPr>
          <w:sz w:val="18"/>
        </w:rPr>
        <w:t>分銷商指</w:t>
      </w:r>
      <w:r>
        <w:rPr>
          <w:sz w:val="18"/>
        </w:rPr>
        <w:t xml:space="preserve"> </w:t>
      </w:r>
      <w:r>
        <w:rPr>
          <w:rFonts w:ascii="Arial" w:eastAsia="Arial" w:hAnsi="Arial" w:cs="Arial"/>
          <w:sz w:val="18"/>
        </w:rPr>
        <w:t>AllianceBernstein Investments</w:t>
      </w:r>
      <w:r>
        <w:rPr>
          <w:sz w:val="18"/>
        </w:rPr>
        <w:t>（管理公司旗下的一個單位）</w:t>
      </w:r>
      <w:r>
        <w:rPr>
          <w:rFonts w:ascii="Arial" w:eastAsia="Arial" w:hAnsi="Arial" w:cs="Arial"/>
          <w:sz w:val="18"/>
        </w:rPr>
        <w:t xml:space="preserve"> </w:t>
      </w:r>
    </w:p>
    <w:p w:rsidR="004D6F0E" w:rsidRDefault="00490F21">
      <w:pPr>
        <w:spacing w:after="80"/>
        <w:ind w:left="8" w:right="13" w:hanging="10"/>
      </w:pPr>
      <w:r>
        <w:rPr>
          <w:sz w:val="18"/>
        </w:rPr>
        <w:t>歐洲預託證券指歐洲預託證券</w:t>
      </w:r>
      <w:r>
        <w:rPr>
          <w:rFonts w:ascii="Arial" w:eastAsia="Arial" w:hAnsi="Arial" w:cs="Arial"/>
          <w:sz w:val="18"/>
        </w:rPr>
        <w:t xml:space="preserve"> </w:t>
      </w:r>
    </w:p>
    <w:p w:rsidR="004D6F0E" w:rsidRDefault="00490F21">
      <w:pPr>
        <w:spacing w:after="82"/>
        <w:ind w:left="8" w:right="13" w:hanging="10"/>
      </w:pPr>
      <w:r>
        <w:rPr>
          <w:sz w:val="18"/>
        </w:rPr>
        <w:t>歐洲經濟區指歐盟成員國及冰島、挪威以及列支敦士登</w:t>
      </w:r>
      <w:r>
        <w:rPr>
          <w:rFonts w:ascii="Arial" w:eastAsia="Arial" w:hAnsi="Arial" w:cs="Arial"/>
          <w:sz w:val="18"/>
        </w:rPr>
        <w:t xml:space="preserve"> </w:t>
      </w:r>
    </w:p>
    <w:p w:rsidR="004D6F0E" w:rsidRDefault="00490F21">
      <w:pPr>
        <w:spacing w:after="82"/>
        <w:ind w:left="8" w:right="13" w:hanging="10"/>
      </w:pPr>
      <w:r>
        <w:rPr>
          <w:sz w:val="18"/>
        </w:rPr>
        <w:t>合資格國家指任何成員國、任何經濟合作與發展組織（「經合組織」）成員國，及管理公司的管理會就各項基金的投資目標認為適當的任何其他國家</w:t>
      </w:r>
      <w:r>
        <w:rPr>
          <w:rFonts w:ascii="Arial" w:eastAsia="Arial" w:hAnsi="Arial" w:cs="Arial"/>
          <w:sz w:val="18"/>
        </w:rPr>
        <w:t xml:space="preserve"> </w:t>
      </w:r>
    </w:p>
    <w:p w:rsidR="004D6F0E" w:rsidRDefault="00490F21">
      <w:pPr>
        <w:spacing w:after="87"/>
        <w:ind w:left="8" w:right="13" w:hanging="10"/>
      </w:pPr>
      <w:r>
        <w:rPr>
          <w:sz w:val="18"/>
        </w:rPr>
        <w:t>歐盟指歐洲聯盟</w:t>
      </w:r>
      <w:r>
        <w:rPr>
          <w:rFonts w:ascii="Arial" w:eastAsia="Arial" w:hAnsi="Arial" w:cs="Arial"/>
          <w:sz w:val="18"/>
        </w:rPr>
        <w:t xml:space="preserve"> </w:t>
      </w:r>
    </w:p>
    <w:p w:rsidR="004D6F0E" w:rsidRDefault="00490F21">
      <w:pPr>
        <w:spacing w:after="80"/>
        <w:ind w:left="8" w:right="13" w:hanging="10"/>
      </w:pPr>
      <w:r>
        <w:rPr>
          <w:sz w:val="18"/>
        </w:rPr>
        <w:t>本傘子基金指</w:t>
      </w:r>
      <w:r>
        <w:rPr>
          <w:sz w:val="18"/>
        </w:rPr>
        <w:t xml:space="preserve"> </w:t>
      </w:r>
      <w:r>
        <w:rPr>
          <w:rFonts w:ascii="Arial" w:eastAsia="Arial" w:hAnsi="Arial" w:cs="Arial"/>
          <w:sz w:val="18"/>
        </w:rPr>
        <w:t>AB FCP I</w:t>
      </w:r>
      <w:r>
        <w:rPr>
          <w:sz w:val="18"/>
        </w:rPr>
        <w:t>，為根據盧森堡大公國法律設立的互惠投資基金</w:t>
      </w:r>
      <w:r>
        <w:rPr>
          <w:rFonts w:ascii="Arial" w:eastAsia="Arial" w:hAnsi="Arial" w:cs="Arial"/>
          <w:sz w:val="18"/>
        </w:rPr>
        <w:t xml:space="preserve"> </w:t>
      </w:r>
    </w:p>
    <w:p w:rsidR="004D6F0E" w:rsidRDefault="00490F21">
      <w:pPr>
        <w:spacing w:after="83"/>
        <w:ind w:left="8" w:right="13" w:hanging="10"/>
      </w:pPr>
      <w:r>
        <w:rPr>
          <w:sz w:val="18"/>
        </w:rPr>
        <w:t>環球預託證券指環球預託證券</w:t>
      </w:r>
      <w:r>
        <w:rPr>
          <w:rFonts w:ascii="Arial" w:eastAsia="Arial" w:hAnsi="Arial" w:cs="Arial"/>
          <w:sz w:val="18"/>
        </w:rPr>
        <w:t xml:space="preserve"> </w:t>
      </w:r>
    </w:p>
    <w:p w:rsidR="004D6F0E" w:rsidRDefault="00490F21">
      <w:pPr>
        <w:spacing w:after="87"/>
        <w:ind w:left="8" w:right="13" w:hanging="10"/>
      </w:pPr>
      <w:r>
        <w:rPr>
          <w:sz w:val="18"/>
        </w:rPr>
        <w:t>利益相關者指投資管理人或其聯營公司（包括管理公司）</w:t>
      </w:r>
      <w:r>
        <w:rPr>
          <w:rFonts w:ascii="Arial" w:eastAsia="Arial" w:hAnsi="Arial" w:cs="Arial"/>
          <w:sz w:val="18"/>
        </w:rPr>
        <w:t xml:space="preserve"> </w:t>
      </w:r>
    </w:p>
    <w:p w:rsidR="004D6F0E" w:rsidRDefault="00490F21">
      <w:pPr>
        <w:spacing w:after="84"/>
        <w:ind w:left="8" w:right="13" w:hanging="10"/>
      </w:pPr>
      <w:r>
        <w:rPr>
          <w:sz w:val="18"/>
        </w:rPr>
        <w:t>投資級別指獲穆迪評為</w:t>
      </w:r>
      <w:r>
        <w:rPr>
          <w:sz w:val="18"/>
        </w:rPr>
        <w:t xml:space="preserve"> </w:t>
      </w:r>
      <w:r>
        <w:rPr>
          <w:rFonts w:ascii="Arial" w:eastAsia="Arial" w:hAnsi="Arial" w:cs="Arial"/>
          <w:sz w:val="18"/>
        </w:rPr>
        <w:t>Baa</w:t>
      </w:r>
      <w:r>
        <w:rPr>
          <w:sz w:val="18"/>
        </w:rPr>
        <w:t>（包括</w:t>
      </w:r>
      <w:r>
        <w:rPr>
          <w:sz w:val="18"/>
        </w:rPr>
        <w:t xml:space="preserve"> </w:t>
      </w:r>
      <w:r>
        <w:rPr>
          <w:rFonts w:ascii="Arial" w:eastAsia="Arial" w:hAnsi="Arial" w:cs="Arial"/>
          <w:sz w:val="18"/>
        </w:rPr>
        <w:t>Baa1</w:t>
      </w:r>
      <w:r>
        <w:rPr>
          <w:sz w:val="18"/>
        </w:rPr>
        <w:t>、</w:t>
      </w:r>
      <w:r>
        <w:rPr>
          <w:rFonts w:ascii="Arial" w:eastAsia="Arial" w:hAnsi="Arial" w:cs="Arial"/>
          <w:sz w:val="18"/>
        </w:rPr>
        <w:t xml:space="preserve">Baa2 </w:t>
      </w:r>
      <w:r>
        <w:rPr>
          <w:sz w:val="18"/>
        </w:rPr>
        <w:t>及</w:t>
      </w:r>
      <w:r>
        <w:rPr>
          <w:sz w:val="18"/>
        </w:rPr>
        <w:t xml:space="preserve"> </w:t>
      </w:r>
      <w:r>
        <w:rPr>
          <w:rFonts w:ascii="Arial" w:eastAsia="Arial" w:hAnsi="Arial" w:cs="Arial"/>
          <w:sz w:val="18"/>
        </w:rPr>
        <w:t>Baa3</w:t>
      </w:r>
      <w:r>
        <w:rPr>
          <w:sz w:val="18"/>
        </w:rPr>
        <w:t>）或以上或獲標準普爾評為</w:t>
      </w:r>
      <w:r>
        <w:rPr>
          <w:sz w:val="18"/>
        </w:rPr>
        <w:t xml:space="preserve"> </w:t>
      </w:r>
      <w:r>
        <w:rPr>
          <w:rFonts w:ascii="Arial" w:eastAsia="Arial" w:hAnsi="Arial" w:cs="Arial"/>
          <w:sz w:val="18"/>
        </w:rPr>
        <w:t>BBB</w:t>
      </w:r>
      <w:r>
        <w:rPr>
          <w:sz w:val="18"/>
        </w:rPr>
        <w:t>（包括</w:t>
      </w:r>
      <w:r>
        <w:rPr>
          <w:sz w:val="18"/>
        </w:rPr>
        <w:t xml:space="preserve"> </w:t>
      </w:r>
      <w:r>
        <w:rPr>
          <w:rFonts w:ascii="Arial" w:eastAsia="Arial" w:hAnsi="Arial" w:cs="Arial"/>
          <w:sz w:val="18"/>
        </w:rPr>
        <w:t>BBB+</w:t>
      </w:r>
      <w:r>
        <w:rPr>
          <w:sz w:val="18"/>
        </w:rPr>
        <w:t>及</w:t>
      </w:r>
      <w:r>
        <w:rPr>
          <w:sz w:val="18"/>
        </w:rPr>
        <w:t xml:space="preserve"> </w:t>
      </w:r>
      <w:r>
        <w:rPr>
          <w:rFonts w:ascii="Arial" w:eastAsia="Arial" w:hAnsi="Arial" w:cs="Arial"/>
          <w:sz w:val="18"/>
        </w:rPr>
        <w:t>BBB-</w:t>
      </w:r>
      <w:r>
        <w:rPr>
          <w:sz w:val="18"/>
        </w:rPr>
        <w:t>）或以上，或獲至少一家國際認可統計評級機構給予相等評級的固定收益證券投資</w:t>
      </w:r>
      <w:r>
        <w:rPr>
          <w:sz w:val="18"/>
        </w:rPr>
        <w:t>管理協議指管理公司與投資管理人之間的協議</w:t>
      </w:r>
      <w:r>
        <w:rPr>
          <w:rFonts w:ascii="Arial" w:eastAsia="Arial" w:hAnsi="Arial" w:cs="Arial"/>
          <w:sz w:val="18"/>
        </w:rPr>
        <w:t xml:space="preserve"> </w:t>
      </w:r>
    </w:p>
    <w:p w:rsidR="004D6F0E" w:rsidRDefault="00490F21">
      <w:pPr>
        <w:spacing w:after="80"/>
        <w:ind w:left="8" w:right="13" w:hanging="10"/>
      </w:pPr>
      <w:r>
        <w:rPr>
          <w:sz w:val="18"/>
        </w:rPr>
        <w:t>投資管理人指</w:t>
      </w:r>
      <w:r>
        <w:rPr>
          <w:sz w:val="18"/>
        </w:rPr>
        <w:t xml:space="preserve"> </w:t>
      </w:r>
      <w:r>
        <w:rPr>
          <w:rFonts w:ascii="Arial" w:eastAsia="Arial" w:hAnsi="Arial" w:cs="Arial"/>
          <w:sz w:val="18"/>
        </w:rPr>
        <w:t>AllianceBernstein L.P.</w:t>
      </w:r>
      <w:r>
        <w:rPr>
          <w:sz w:val="18"/>
        </w:rPr>
        <w:t>，為在特拉華州註冊的有限合夥企業</w:t>
      </w:r>
      <w:r>
        <w:rPr>
          <w:rFonts w:ascii="Arial" w:eastAsia="Arial" w:hAnsi="Arial" w:cs="Arial"/>
          <w:sz w:val="18"/>
        </w:rPr>
        <w:t xml:space="preserve"> </w:t>
      </w:r>
    </w:p>
    <w:p w:rsidR="004D6F0E" w:rsidRDefault="00490F21">
      <w:pPr>
        <w:spacing w:line="365" w:lineRule="auto"/>
        <w:ind w:left="8" w:right="13" w:hanging="10"/>
      </w:pPr>
      <w:r>
        <w:rPr>
          <w:sz w:val="18"/>
        </w:rPr>
        <w:t>美國國內稅收法指一九八六年美國國內稅收法（經修訂）美國國稅局指美國國家稅務局</w:t>
      </w:r>
      <w:r>
        <w:rPr>
          <w:rFonts w:ascii="Arial" w:eastAsia="Arial" w:hAnsi="Arial" w:cs="Arial"/>
          <w:sz w:val="18"/>
        </w:rPr>
        <w:t xml:space="preserve"> </w:t>
      </w:r>
    </w:p>
    <w:p w:rsidR="004D6F0E" w:rsidRDefault="00490F21">
      <w:pPr>
        <w:spacing w:after="83"/>
        <w:ind w:left="8" w:right="13" w:hanging="10"/>
      </w:pPr>
      <w:r>
        <w:rPr>
          <w:sz w:val="18"/>
        </w:rPr>
        <w:t>國際認可統計評級機構指國際認可的統計評級機構</w:t>
      </w:r>
      <w:r>
        <w:rPr>
          <w:rFonts w:ascii="Arial" w:eastAsia="Arial" w:hAnsi="Arial" w:cs="Arial"/>
          <w:sz w:val="18"/>
        </w:rPr>
        <w:t xml:space="preserve"> </w:t>
      </w:r>
    </w:p>
    <w:p w:rsidR="004D6F0E" w:rsidRDefault="00490F21">
      <w:pPr>
        <w:spacing w:after="80"/>
        <w:ind w:left="8" w:right="13" w:hanging="10"/>
      </w:pPr>
      <w:r>
        <w:rPr>
          <w:sz w:val="18"/>
        </w:rPr>
        <w:t>重要資訊文件指有關特定基金股份類別的重要資訊文件</w:t>
      </w:r>
      <w:r>
        <w:rPr>
          <w:rFonts w:ascii="Arial" w:eastAsia="Arial" w:hAnsi="Arial" w:cs="Arial"/>
          <w:b/>
          <w:sz w:val="18"/>
        </w:rPr>
        <w:t xml:space="preserve"> </w:t>
      </w:r>
    </w:p>
    <w:p w:rsidR="004D6F0E" w:rsidRDefault="00490F21">
      <w:pPr>
        <w:spacing w:after="1084"/>
        <w:ind w:left="8" w:right="13" w:hanging="10"/>
      </w:pPr>
      <w:r>
        <w:rPr>
          <w:sz w:val="18"/>
        </w:rPr>
        <w:t>《二零一零年法律》指與集體投資企業有關的日期為二零一零年十二月十七日的法律（經修訂）</w:t>
      </w:r>
      <w:r>
        <w:rPr>
          <w:rFonts w:ascii="Arial" w:eastAsia="Arial" w:hAnsi="Arial" w:cs="Arial"/>
          <w:sz w:val="18"/>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vi</w:t>
      </w:r>
      <w:r>
        <w:rPr>
          <w:rFonts w:ascii="Arial" w:eastAsia="Arial" w:hAnsi="Arial" w:cs="Arial"/>
          <w:sz w:val="16"/>
        </w:rPr>
        <w:t xml:space="preserve"> </w:t>
      </w:r>
    </w:p>
    <w:p w:rsidR="004D6F0E" w:rsidRDefault="00490F21">
      <w:pPr>
        <w:spacing w:after="80"/>
        <w:ind w:hanging="10"/>
        <w:jc w:val="both"/>
      </w:pPr>
      <w:r>
        <w:rPr>
          <w:sz w:val="18"/>
        </w:rPr>
        <w:t>管理公司指</w:t>
      </w:r>
      <w:r>
        <w:rPr>
          <w:sz w:val="18"/>
        </w:rPr>
        <w:t xml:space="preserve"> </w:t>
      </w:r>
      <w:r>
        <w:rPr>
          <w:rFonts w:ascii="Arial" w:eastAsia="Arial" w:hAnsi="Arial" w:cs="Arial"/>
          <w:sz w:val="18"/>
        </w:rPr>
        <w:t>AllianceBernstein (Luxembourg) S</w:t>
      </w:r>
      <w:r>
        <w:rPr>
          <w:rFonts w:ascii="Arial" w:eastAsia="Arial" w:hAnsi="Arial" w:cs="Arial"/>
        </w:rPr>
        <w:t>.à r.l.</w:t>
      </w:r>
      <w:r>
        <w:rPr>
          <w:sz w:val="18"/>
        </w:rPr>
        <w:t>，根據盧森堡大公國法律成立的有限責任公司</w:t>
      </w:r>
      <w:r>
        <w:rPr>
          <w:rFonts w:ascii="Arial" w:eastAsia="Arial" w:hAnsi="Arial" w:cs="Arial"/>
          <w:sz w:val="18"/>
        </w:rPr>
        <w:t xml:space="preserve"> </w:t>
      </w:r>
    </w:p>
    <w:p w:rsidR="004D6F0E" w:rsidRDefault="00490F21">
      <w:pPr>
        <w:spacing w:after="97"/>
        <w:ind w:left="8" w:right="13" w:hanging="10"/>
      </w:pPr>
      <w:r>
        <w:rPr>
          <w:sz w:val="18"/>
        </w:rPr>
        <w:t>管理條例指本傘子基金最新版管理條例</w:t>
      </w:r>
      <w:r>
        <w:rPr>
          <w:rFonts w:ascii="Arial" w:eastAsia="Arial" w:hAnsi="Arial" w:cs="Arial"/>
          <w:sz w:val="18"/>
        </w:rPr>
        <w:t xml:space="preserve"> </w:t>
      </w:r>
    </w:p>
    <w:p w:rsidR="004D6F0E" w:rsidRDefault="00490F21">
      <w:pPr>
        <w:spacing w:after="1" w:line="381" w:lineRule="auto"/>
        <w:ind w:left="7" w:hanging="10"/>
      </w:pPr>
      <w:r>
        <w:rPr>
          <w:rFonts w:ascii="Arial" w:eastAsia="Arial" w:hAnsi="Arial" w:cs="Arial"/>
          <w:b/>
          <w:i/>
          <w:sz w:val="18"/>
        </w:rPr>
        <w:t xml:space="preserve">Mémorial </w:t>
      </w:r>
      <w:r>
        <w:rPr>
          <w:sz w:val="18"/>
        </w:rPr>
        <w:t>指</w:t>
      </w:r>
      <w:r>
        <w:rPr>
          <w:sz w:val="18"/>
        </w:rPr>
        <w:t xml:space="preserve"> </w:t>
      </w:r>
      <w:r>
        <w:rPr>
          <w:rFonts w:ascii="Arial" w:eastAsia="Arial" w:hAnsi="Arial" w:cs="Arial"/>
          <w:i/>
          <w:sz w:val="18"/>
        </w:rPr>
        <w:t>Mémorial C</w:t>
      </w:r>
      <w:r>
        <w:t>，</w:t>
      </w:r>
      <w:r>
        <w:rPr>
          <w:rFonts w:ascii="Arial" w:eastAsia="Arial" w:hAnsi="Arial" w:cs="Arial"/>
          <w:i/>
          <w:sz w:val="18"/>
        </w:rPr>
        <w:t>Recueil des Sociétés et Associations</w:t>
      </w:r>
      <w:r>
        <w:rPr>
          <w:rFonts w:ascii="Arial" w:eastAsia="Arial" w:hAnsi="Arial" w:cs="Arial"/>
          <w:sz w:val="18"/>
        </w:rPr>
        <w:t xml:space="preserve"> </w:t>
      </w:r>
      <w:r>
        <w:rPr>
          <w:sz w:val="18"/>
        </w:rPr>
        <w:t>穆迪指</w:t>
      </w:r>
      <w:r>
        <w:rPr>
          <w:sz w:val="18"/>
        </w:rPr>
        <w:t xml:space="preserve"> </w:t>
      </w:r>
      <w:r>
        <w:rPr>
          <w:rFonts w:ascii="Arial" w:eastAsia="Arial" w:hAnsi="Arial" w:cs="Arial"/>
          <w:sz w:val="18"/>
        </w:rPr>
        <w:t xml:space="preserve">Moody's Investors Services, Inc. </w:t>
      </w:r>
    </w:p>
    <w:p w:rsidR="004D6F0E" w:rsidRDefault="00490F21">
      <w:pPr>
        <w:ind w:left="8" w:right="13" w:hanging="10"/>
      </w:pPr>
      <w:r>
        <w:rPr>
          <w:sz w:val="18"/>
        </w:rPr>
        <w:t>資產淨值指一項基金資產總值減該基金的負債總值（如第</w:t>
      </w:r>
      <w:r>
        <w:rPr>
          <w:sz w:val="18"/>
        </w:rPr>
        <w:t xml:space="preserve"> </w:t>
      </w:r>
      <w:r>
        <w:rPr>
          <w:rFonts w:ascii="Arial" w:eastAsia="Arial" w:hAnsi="Arial" w:cs="Arial"/>
          <w:sz w:val="18"/>
        </w:rPr>
        <w:t xml:space="preserve">II </w:t>
      </w:r>
      <w:r>
        <w:rPr>
          <w:sz w:val="18"/>
        </w:rPr>
        <w:t>部分</w:t>
      </w:r>
    </w:p>
    <w:p w:rsidR="004D6F0E" w:rsidRDefault="00490F21">
      <w:pPr>
        <w:spacing w:line="365" w:lineRule="auto"/>
        <w:ind w:left="8" w:right="96" w:hanging="10"/>
      </w:pPr>
      <w:r>
        <w:rPr>
          <w:sz w:val="18"/>
        </w:rPr>
        <w:t>「股份資產淨值的釐定」所述）經合組織指經濟合作與發展組織</w:t>
      </w:r>
      <w:r>
        <w:rPr>
          <w:rFonts w:ascii="Arial" w:eastAsia="Arial" w:hAnsi="Arial" w:cs="Arial"/>
          <w:sz w:val="18"/>
        </w:rPr>
        <w:t xml:space="preserve"> </w:t>
      </w:r>
    </w:p>
    <w:p w:rsidR="004D6F0E" w:rsidRDefault="00490F21">
      <w:pPr>
        <w:spacing w:after="87"/>
        <w:ind w:left="8" w:right="13" w:hanging="10"/>
      </w:pPr>
      <w:r>
        <w:rPr>
          <w:sz w:val="18"/>
        </w:rPr>
        <w:t>發售貨幣指就一項基金而言，發售股份</w:t>
      </w:r>
      <w:r>
        <w:rPr>
          <w:sz w:val="18"/>
        </w:rPr>
        <w:t>所採用的每種貨幣（如就該項基金第</w:t>
      </w:r>
      <w:r>
        <w:rPr>
          <w:sz w:val="18"/>
        </w:rPr>
        <w:t xml:space="preserve"> </w:t>
      </w:r>
      <w:r>
        <w:rPr>
          <w:rFonts w:ascii="Arial" w:eastAsia="Arial" w:hAnsi="Arial" w:cs="Arial"/>
          <w:sz w:val="18"/>
        </w:rPr>
        <w:t xml:space="preserve">I </w:t>
      </w:r>
      <w:r>
        <w:rPr>
          <w:sz w:val="18"/>
        </w:rPr>
        <w:t>部分「摘要資料」所指）</w:t>
      </w:r>
      <w:r>
        <w:rPr>
          <w:rFonts w:ascii="Arial" w:eastAsia="Arial" w:hAnsi="Arial" w:cs="Arial"/>
          <w:sz w:val="18"/>
        </w:rPr>
        <w:t xml:space="preserve"> </w:t>
      </w:r>
    </w:p>
    <w:p w:rsidR="004D6F0E" w:rsidRDefault="00490F21">
      <w:pPr>
        <w:spacing w:after="81"/>
        <w:ind w:left="8" w:right="13" w:hanging="10"/>
      </w:pPr>
      <w:r>
        <w:rPr>
          <w:sz w:val="18"/>
        </w:rPr>
        <w:t>指示截止時間指購買、交換或贖回股份的指令必須於各營業日收到的截止時間，即美國東部時間下午</w:t>
      </w:r>
      <w:r>
        <w:rPr>
          <w:sz w:val="18"/>
        </w:rPr>
        <w:t xml:space="preserve"> </w:t>
      </w:r>
      <w:r>
        <w:rPr>
          <w:rFonts w:ascii="Arial" w:eastAsia="Arial" w:hAnsi="Arial" w:cs="Arial"/>
          <w:sz w:val="18"/>
        </w:rPr>
        <w:t>4:00</w:t>
      </w:r>
      <w:r>
        <w:rPr>
          <w:sz w:val="18"/>
        </w:rPr>
        <w:t>，或如認購章程第</w:t>
      </w:r>
      <w:r>
        <w:rPr>
          <w:sz w:val="18"/>
        </w:rPr>
        <w:t xml:space="preserve"> </w:t>
      </w:r>
      <w:r>
        <w:rPr>
          <w:rFonts w:ascii="Arial" w:eastAsia="Arial" w:hAnsi="Arial" w:cs="Arial"/>
          <w:sz w:val="18"/>
        </w:rPr>
        <w:t xml:space="preserve">I </w:t>
      </w:r>
      <w:r>
        <w:rPr>
          <w:sz w:val="18"/>
        </w:rPr>
        <w:t>部分各基金的「摘要資料」所述</w:t>
      </w:r>
      <w:r>
        <w:rPr>
          <w:rFonts w:ascii="Arial" w:eastAsia="Arial" w:hAnsi="Arial" w:cs="Arial"/>
          <w:b/>
          <w:sz w:val="18"/>
        </w:rPr>
        <w:t xml:space="preserve"> </w:t>
      </w:r>
    </w:p>
    <w:p w:rsidR="004D6F0E" w:rsidRDefault="00490F21">
      <w:pPr>
        <w:spacing w:after="88"/>
        <w:ind w:left="8" w:right="13" w:hanging="10"/>
      </w:pPr>
      <w:r>
        <w:rPr>
          <w:sz w:val="18"/>
        </w:rPr>
        <w:t>場外交易指場外交易</w:t>
      </w:r>
      <w:r>
        <w:rPr>
          <w:rFonts w:ascii="Arial" w:eastAsia="Arial" w:hAnsi="Arial" w:cs="Arial"/>
          <w:sz w:val="18"/>
        </w:rPr>
        <w:t xml:space="preserve"> </w:t>
      </w:r>
    </w:p>
    <w:p w:rsidR="004D6F0E" w:rsidRDefault="00490F21">
      <w:pPr>
        <w:spacing w:after="80"/>
        <w:ind w:left="8" w:right="13" w:hanging="10"/>
      </w:pPr>
      <w:r>
        <w:rPr>
          <w:sz w:val="18"/>
        </w:rPr>
        <w:lastRenderedPageBreak/>
        <w:t>基金</w:t>
      </w:r>
      <w:r>
        <w:rPr>
          <w:rFonts w:ascii="Arial" w:eastAsia="Arial" w:hAnsi="Arial" w:cs="Arial"/>
          <w:b/>
          <w:sz w:val="18"/>
        </w:rPr>
        <w:t>(Portfolio)</w:t>
      </w:r>
      <w:r>
        <w:rPr>
          <w:sz w:val="18"/>
        </w:rPr>
        <w:t>指本文件第</w:t>
      </w:r>
      <w:r>
        <w:rPr>
          <w:sz w:val="18"/>
        </w:rPr>
        <w:t xml:space="preserve"> </w:t>
      </w:r>
      <w:r>
        <w:rPr>
          <w:rFonts w:ascii="Arial" w:eastAsia="Arial" w:hAnsi="Arial" w:cs="Arial"/>
          <w:sz w:val="18"/>
        </w:rPr>
        <w:t xml:space="preserve">I </w:t>
      </w:r>
      <w:r>
        <w:rPr>
          <w:sz w:val="18"/>
        </w:rPr>
        <w:t>部分（或第</w:t>
      </w:r>
      <w:r>
        <w:rPr>
          <w:sz w:val="18"/>
        </w:rPr>
        <w:t xml:space="preserve"> </w:t>
      </w:r>
      <w:r>
        <w:rPr>
          <w:rFonts w:ascii="Arial" w:eastAsia="Arial" w:hAnsi="Arial" w:cs="Arial"/>
          <w:sz w:val="18"/>
        </w:rPr>
        <w:t xml:space="preserve">I </w:t>
      </w:r>
      <w:r>
        <w:rPr>
          <w:sz w:val="18"/>
        </w:rPr>
        <w:t>部分的分節，視文義而定）所指的本傘子基金下的各基金</w:t>
      </w:r>
      <w:r>
        <w:rPr>
          <w:rFonts w:ascii="Arial" w:eastAsia="Arial" w:hAnsi="Arial" w:cs="Arial"/>
          <w:sz w:val="18"/>
        </w:rPr>
        <w:t xml:space="preserve"> </w:t>
      </w:r>
    </w:p>
    <w:p w:rsidR="004D6F0E" w:rsidRDefault="00490F21">
      <w:pPr>
        <w:spacing w:line="364" w:lineRule="auto"/>
        <w:ind w:left="8" w:right="13" w:hanging="10"/>
      </w:pPr>
      <w:r>
        <w:rPr>
          <w:sz w:val="18"/>
        </w:rPr>
        <w:t>基金</w:t>
      </w:r>
      <w:r>
        <w:rPr>
          <w:rFonts w:ascii="Arial" w:eastAsia="Arial" w:hAnsi="Arial" w:cs="Arial"/>
          <w:b/>
          <w:sz w:val="18"/>
        </w:rPr>
        <w:t>(portfolio)</w:t>
      </w:r>
      <w:r>
        <w:rPr>
          <w:sz w:val="18"/>
        </w:rPr>
        <w:t>指本傘子基金下的一項或多項基金（視文義而定）認購章程指本傘子基金認購章程的此一版本</w:t>
      </w:r>
      <w:r>
        <w:rPr>
          <w:rFonts w:ascii="Arial" w:eastAsia="Arial" w:hAnsi="Arial" w:cs="Arial"/>
          <w:sz w:val="18"/>
        </w:rPr>
        <w:t xml:space="preserve"> </w:t>
      </w:r>
    </w:p>
    <w:p w:rsidR="004D6F0E" w:rsidRDefault="00490F21">
      <w:pPr>
        <w:spacing w:after="77" w:line="294" w:lineRule="auto"/>
        <w:ind w:left="-5" w:right="-13" w:hanging="10"/>
        <w:jc w:val="both"/>
      </w:pPr>
      <w:r>
        <w:rPr>
          <w:rFonts w:ascii="Arial" w:eastAsia="Arial" w:hAnsi="Arial" w:cs="Arial"/>
          <w:b/>
          <w:sz w:val="18"/>
        </w:rPr>
        <w:t xml:space="preserve">QFI </w:t>
      </w:r>
      <w:r>
        <w:rPr>
          <w:sz w:val="18"/>
        </w:rPr>
        <w:t>指根據中華人民共和國（「中國」）可能不時頒佈及／修訂的相關法律及法規批准的合格境外投資者（包括（如適用）合格境外機構投資者（</w:t>
      </w:r>
      <w:r>
        <w:rPr>
          <w:rFonts w:ascii="Arial" w:eastAsia="Arial" w:hAnsi="Arial" w:cs="Arial"/>
          <w:sz w:val="18"/>
        </w:rPr>
        <w:t>QFII</w:t>
      </w:r>
      <w:r>
        <w:rPr>
          <w:sz w:val="18"/>
        </w:rPr>
        <w:t>）及人民幣合格境外機構投資者（</w:t>
      </w:r>
      <w:r>
        <w:rPr>
          <w:rFonts w:ascii="Arial" w:eastAsia="Arial" w:hAnsi="Arial" w:cs="Arial"/>
          <w:sz w:val="18"/>
        </w:rPr>
        <w:t>RQFII</w:t>
      </w:r>
      <w:r>
        <w:rPr>
          <w:sz w:val="18"/>
        </w:rPr>
        <w:t>））受監管市場指歐洲議會和理事會二零一四年五月十五日指令</w:t>
      </w:r>
      <w:r>
        <w:rPr>
          <w:sz w:val="18"/>
        </w:rPr>
        <w:t xml:space="preserve"> </w:t>
      </w:r>
      <w:r>
        <w:rPr>
          <w:rFonts w:ascii="Arial" w:eastAsia="Arial" w:hAnsi="Arial" w:cs="Arial"/>
          <w:sz w:val="18"/>
        </w:rPr>
        <w:t xml:space="preserve">2014/65/EU </w:t>
      </w:r>
      <w:r>
        <w:rPr>
          <w:sz w:val="18"/>
        </w:rPr>
        <w:t>中有關金融工具市場方面所界定的受監管市場（經歐洲議會和理事會指令</w:t>
      </w:r>
      <w:r>
        <w:rPr>
          <w:sz w:val="18"/>
        </w:rPr>
        <w:t xml:space="preserve"> </w:t>
      </w:r>
      <w:r>
        <w:rPr>
          <w:rFonts w:ascii="Arial" w:eastAsia="Arial" w:hAnsi="Arial" w:cs="Arial"/>
          <w:sz w:val="18"/>
        </w:rPr>
        <w:t xml:space="preserve">2016/1034 </w:t>
      </w:r>
      <w:r>
        <w:rPr>
          <w:sz w:val="18"/>
        </w:rPr>
        <w:t>修訂），以及合資格國家內任何其他定期營運、獲認可且開放予公眾的受監管市場</w:t>
      </w:r>
      <w:r>
        <w:rPr>
          <w:rFonts w:ascii="Arial" w:eastAsia="Arial" w:hAnsi="Arial" w:cs="Arial"/>
          <w:sz w:val="18"/>
        </w:rPr>
        <w:t xml:space="preserve"> </w:t>
      </w:r>
    </w:p>
    <w:p w:rsidR="004D6F0E" w:rsidRDefault="00490F21">
      <w:pPr>
        <w:spacing w:after="1" w:line="380" w:lineRule="auto"/>
        <w:ind w:left="7" w:hanging="10"/>
      </w:pPr>
      <w:r>
        <w:rPr>
          <w:rFonts w:ascii="Arial" w:eastAsia="Arial" w:hAnsi="Arial" w:cs="Arial"/>
          <w:b/>
          <w:sz w:val="18"/>
        </w:rPr>
        <w:t xml:space="preserve">RESA </w:t>
      </w:r>
      <w:r>
        <w:rPr>
          <w:sz w:val="18"/>
        </w:rPr>
        <w:t>指</w:t>
      </w:r>
      <w:r>
        <w:rPr>
          <w:sz w:val="18"/>
        </w:rPr>
        <w:t xml:space="preserve"> </w:t>
      </w:r>
      <w:r>
        <w:rPr>
          <w:rFonts w:ascii="Arial" w:eastAsia="Arial" w:hAnsi="Arial" w:cs="Arial"/>
          <w:i/>
          <w:sz w:val="18"/>
        </w:rPr>
        <w:t>Recueil Electronique des Sociétés et Assoc</w:t>
      </w:r>
      <w:r>
        <w:rPr>
          <w:rFonts w:ascii="Arial" w:eastAsia="Arial" w:hAnsi="Arial" w:cs="Arial"/>
          <w:i/>
          <w:sz w:val="18"/>
        </w:rPr>
        <w:t>iations</w:t>
      </w:r>
      <w:r>
        <w:rPr>
          <w:rFonts w:ascii="Arial" w:eastAsia="Arial" w:hAnsi="Arial" w:cs="Arial"/>
          <w:sz w:val="18"/>
        </w:rPr>
        <w:t xml:space="preserve"> </w:t>
      </w:r>
      <w:r>
        <w:rPr>
          <w:sz w:val="18"/>
        </w:rPr>
        <w:t>標普指標普全球評級（</w:t>
      </w:r>
      <w:r>
        <w:rPr>
          <w:rFonts w:ascii="Arial" w:eastAsia="Arial" w:hAnsi="Arial" w:cs="Arial"/>
          <w:sz w:val="18"/>
        </w:rPr>
        <w:t>S&amp;P Global Ratings</w:t>
      </w:r>
      <w:r>
        <w:rPr>
          <w:sz w:val="18"/>
        </w:rPr>
        <w:t>），為</w:t>
      </w:r>
      <w:r>
        <w:rPr>
          <w:sz w:val="18"/>
        </w:rPr>
        <w:t xml:space="preserve"> </w:t>
      </w:r>
      <w:r>
        <w:rPr>
          <w:rFonts w:ascii="Arial" w:eastAsia="Arial" w:hAnsi="Arial" w:cs="Arial"/>
          <w:sz w:val="18"/>
        </w:rPr>
        <w:t>S&amp;P Global, Inc.</w:t>
      </w:r>
    </w:p>
    <w:p w:rsidR="004D6F0E" w:rsidRDefault="00490F21">
      <w:pPr>
        <w:spacing w:after="82"/>
        <w:ind w:left="8" w:right="13" w:hanging="10"/>
      </w:pPr>
      <w:r>
        <w:rPr>
          <w:sz w:val="18"/>
        </w:rPr>
        <w:t>旗下的一個部門</w:t>
      </w:r>
      <w:r>
        <w:rPr>
          <w:rFonts w:ascii="Arial" w:eastAsia="Arial" w:hAnsi="Arial" w:cs="Arial"/>
          <w:sz w:val="18"/>
        </w:rPr>
        <w:t xml:space="preserve"> </w:t>
      </w:r>
    </w:p>
    <w:p w:rsidR="004D6F0E" w:rsidRDefault="00490F21">
      <w:pPr>
        <w:spacing w:after="79"/>
        <w:ind w:left="8" w:right="13" w:hanging="10"/>
      </w:pPr>
      <w:r>
        <w:rPr>
          <w:sz w:val="18"/>
        </w:rPr>
        <w:t>證券融資交易規例指歐洲議會和理事會二零一五年十一月二十五日有關證券融資交易透明度和重用及修訂規例（歐盟）</w:t>
      </w:r>
      <w:r>
        <w:rPr>
          <w:rFonts w:ascii="Arial" w:eastAsia="Arial" w:hAnsi="Arial" w:cs="Arial"/>
          <w:sz w:val="18"/>
        </w:rPr>
        <w:t xml:space="preserve">648/2012 </w:t>
      </w:r>
      <w:r>
        <w:rPr>
          <w:sz w:val="18"/>
        </w:rPr>
        <w:t>的規例（歐盟）</w:t>
      </w:r>
      <w:r>
        <w:rPr>
          <w:rFonts w:ascii="Arial" w:eastAsia="Arial" w:hAnsi="Arial" w:cs="Arial"/>
          <w:sz w:val="18"/>
        </w:rPr>
        <w:t xml:space="preserve">2015/2365 </w:t>
      </w:r>
    </w:p>
    <w:p w:rsidR="004D6F0E" w:rsidRDefault="00490F21">
      <w:pPr>
        <w:spacing w:after="81"/>
        <w:ind w:left="8" w:right="13" w:hanging="10"/>
      </w:pPr>
      <w:r>
        <w:rPr>
          <w:sz w:val="18"/>
        </w:rPr>
        <w:t>股東指根據載於本傘子基金的股東名冊一項或多項基金（視文義而定）的股份擁有人</w:t>
      </w:r>
      <w:r>
        <w:rPr>
          <w:rFonts w:ascii="Arial" w:eastAsia="Arial" w:hAnsi="Arial" w:cs="Arial"/>
          <w:sz w:val="18"/>
        </w:rPr>
        <w:t xml:space="preserve"> </w:t>
      </w:r>
    </w:p>
    <w:p w:rsidR="004D6F0E" w:rsidRDefault="00490F21">
      <w:pPr>
        <w:spacing w:after="83"/>
        <w:ind w:left="8" w:right="13" w:hanging="10"/>
      </w:pPr>
      <w:r>
        <w:rPr>
          <w:sz w:val="18"/>
        </w:rPr>
        <w:t>股份指本傘子基金任何類別及任何基金的股份</w:t>
      </w:r>
      <w:r>
        <w:rPr>
          <w:rFonts w:ascii="Arial" w:eastAsia="Arial" w:hAnsi="Arial" w:cs="Arial"/>
          <w:sz w:val="18"/>
        </w:rPr>
        <w:t xml:space="preserve"> </w:t>
      </w:r>
    </w:p>
    <w:p w:rsidR="004D6F0E" w:rsidRDefault="00490F21">
      <w:pPr>
        <w:spacing w:after="80"/>
        <w:ind w:left="8" w:right="13" w:hanging="10"/>
      </w:pPr>
      <w:r>
        <w:rPr>
          <w:sz w:val="18"/>
        </w:rPr>
        <w:t>總資產指基金的總淨資產，具體含義視前後文而定</w:t>
      </w:r>
      <w:r>
        <w:rPr>
          <w:rFonts w:ascii="Arial" w:eastAsia="Arial" w:hAnsi="Arial" w:cs="Arial"/>
          <w:b/>
          <w:sz w:val="18"/>
        </w:rPr>
        <w:t xml:space="preserve"> </w:t>
      </w:r>
    </w:p>
    <w:p w:rsidR="004D6F0E" w:rsidRDefault="00490F21">
      <w:pPr>
        <w:spacing w:line="320" w:lineRule="auto"/>
        <w:ind w:left="8" w:right="13" w:hanging="10"/>
      </w:pPr>
      <w:r>
        <w:rPr>
          <w:sz w:val="18"/>
        </w:rPr>
        <w:t>交易日指就一項或多項基金（視文義而定）而言，股份的任</w:t>
      </w:r>
      <w:r>
        <w:rPr>
          <w:sz w:val="18"/>
        </w:rPr>
        <w:t>何交易（購買、贖回或轉換）獲接納並記入本傘子基金股東名冊的營業日過戶代理指管理公司或管理公司旗下的一個部門</w:t>
      </w:r>
      <w:r>
        <w:rPr>
          <w:rFonts w:ascii="Arial" w:eastAsia="Arial" w:hAnsi="Arial" w:cs="Arial"/>
          <w:sz w:val="18"/>
        </w:rPr>
        <w:t>AllianceBernstein</w:t>
      </w:r>
    </w:p>
    <w:p w:rsidR="004D6F0E" w:rsidRDefault="00490F21">
      <w:pPr>
        <w:spacing w:after="88"/>
        <w:ind w:hanging="10"/>
        <w:jc w:val="both"/>
      </w:pPr>
      <w:r>
        <w:rPr>
          <w:rFonts w:ascii="Arial" w:eastAsia="Arial" w:hAnsi="Arial" w:cs="Arial"/>
          <w:sz w:val="18"/>
        </w:rPr>
        <w:t xml:space="preserve"> Investor Services</w:t>
      </w:r>
      <w:r>
        <w:rPr>
          <w:sz w:val="18"/>
        </w:rPr>
        <w:t>，即本傘子基金的註冊處與過戶代理</w:t>
      </w:r>
      <w:r>
        <w:rPr>
          <w:rFonts w:ascii="Arial" w:eastAsia="Arial" w:hAnsi="Arial" w:cs="Arial"/>
          <w:sz w:val="18"/>
        </w:rPr>
        <w:t xml:space="preserve"> </w:t>
      </w:r>
    </w:p>
    <w:p w:rsidR="004D6F0E" w:rsidRDefault="00490F21">
      <w:pPr>
        <w:spacing w:after="92"/>
        <w:ind w:left="8" w:right="13" w:hanging="10"/>
      </w:pPr>
      <w:r>
        <w:rPr>
          <w:rFonts w:ascii="Arial" w:eastAsia="Arial" w:hAnsi="Arial" w:cs="Arial"/>
          <w:b/>
          <w:sz w:val="18"/>
        </w:rPr>
        <w:t xml:space="preserve">UCI </w:t>
      </w:r>
      <w:r>
        <w:rPr>
          <w:sz w:val="18"/>
        </w:rPr>
        <w:t>指集體投資企業</w:t>
      </w:r>
      <w:r>
        <w:rPr>
          <w:rFonts w:ascii="Arial" w:eastAsia="Arial" w:hAnsi="Arial" w:cs="Arial"/>
          <w:sz w:val="18"/>
        </w:rPr>
        <w:t xml:space="preserve"> </w:t>
      </w:r>
    </w:p>
    <w:p w:rsidR="004D6F0E" w:rsidRDefault="00490F21">
      <w:pPr>
        <w:spacing w:after="84"/>
        <w:ind w:left="8" w:right="13" w:hanging="10"/>
      </w:pPr>
      <w:r>
        <w:rPr>
          <w:rFonts w:ascii="Arial" w:eastAsia="Arial" w:hAnsi="Arial" w:cs="Arial"/>
          <w:b/>
          <w:sz w:val="18"/>
        </w:rPr>
        <w:t xml:space="preserve">UCITS </w:t>
      </w:r>
      <w:r>
        <w:rPr>
          <w:sz w:val="18"/>
        </w:rPr>
        <w:t>指合資格成為可轉讓證券集體投資企業的開放式互惠投資基金或投資公司</w:t>
      </w:r>
      <w:r>
        <w:rPr>
          <w:rFonts w:ascii="Arial" w:eastAsia="Arial" w:hAnsi="Arial" w:cs="Arial"/>
          <w:sz w:val="18"/>
        </w:rPr>
        <w:t xml:space="preserve"> </w:t>
      </w:r>
    </w:p>
    <w:p w:rsidR="004D6F0E" w:rsidRDefault="00490F21">
      <w:pPr>
        <w:ind w:left="8" w:right="13" w:hanging="10"/>
      </w:pPr>
      <w:r>
        <w:rPr>
          <w:rFonts w:ascii="Arial" w:eastAsia="Arial" w:hAnsi="Arial" w:cs="Arial"/>
          <w:b/>
          <w:sz w:val="18"/>
        </w:rPr>
        <w:t xml:space="preserve">UCITS </w:t>
      </w:r>
      <w:r>
        <w:rPr>
          <w:sz w:val="18"/>
        </w:rPr>
        <w:t>指令指歐洲議會和理事會二零零九年七月十三日指令</w:t>
      </w:r>
      <w:r>
        <w:rPr>
          <w:sz w:val="18"/>
        </w:rPr>
        <w:t xml:space="preserve"> </w:t>
      </w:r>
      <w:r>
        <w:rPr>
          <w:rFonts w:ascii="Arial" w:eastAsia="Arial" w:hAnsi="Arial" w:cs="Arial"/>
          <w:sz w:val="18"/>
        </w:rPr>
        <w:t>2009/65/EC</w:t>
      </w:r>
      <w:r>
        <w:rPr>
          <w:sz w:val="18"/>
        </w:rPr>
        <w:t>，內容有關協調可轉讓證券集體投資企業（</w:t>
      </w:r>
      <w:r>
        <w:rPr>
          <w:rFonts w:ascii="Arial" w:eastAsia="Arial" w:hAnsi="Arial" w:cs="Arial"/>
          <w:sz w:val="18"/>
        </w:rPr>
        <w:t>UCITS</w:t>
      </w:r>
      <w:r>
        <w:rPr>
          <w:sz w:val="18"/>
        </w:rPr>
        <w:t>）的法律、法規及行政條文（經修訂）</w:t>
      </w:r>
      <w:r>
        <w:rPr>
          <w:rFonts w:ascii="Arial" w:eastAsia="Arial" w:hAnsi="Arial" w:cs="Arial"/>
          <w:sz w:val="18"/>
        </w:rPr>
        <w:t xml:space="preserve"> </w:t>
      </w:r>
    </w:p>
    <w:p w:rsidR="004D6F0E" w:rsidRDefault="004D6F0E">
      <w:pPr>
        <w:sectPr w:rsidR="004D6F0E">
          <w:type w:val="continuous"/>
          <w:pgSz w:w="12240" w:h="15840"/>
          <w:pgMar w:top="984" w:right="716" w:bottom="303" w:left="432" w:header="720" w:footer="720" w:gutter="0"/>
          <w:cols w:num="2" w:space="720" w:equalWidth="0">
            <w:col w:w="5646" w:space="404"/>
            <w:col w:w="5042"/>
          </w:cols>
        </w:sectPr>
      </w:pPr>
    </w:p>
    <w:p w:rsidR="004D6F0E" w:rsidRDefault="00490F21">
      <w:pPr>
        <w:spacing w:line="323" w:lineRule="auto"/>
        <w:ind w:left="-2" w:right="13" w:firstLine="11477"/>
      </w:pPr>
      <w:r>
        <w:rPr>
          <w:rFonts w:ascii="Arial" w:eastAsia="Arial" w:hAnsi="Arial" w:cs="Arial"/>
          <w:sz w:val="20"/>
        </w:rPr>
        <w:t xml:space="preserve"> </w:t>
      </w:r>
      <w:r>
        <w:t>英國指大不列顛及北愛爾蘭聯合王國</w:t>
      </w:r>
      <w:r>
        <w:rPr>
          <w:rFonts w:ascii="Arial" w:eastAsia="Arial" w:hAnsi="Arial" w:cs="Arial"/>
          <w:sz w:val="18"/>
        </w:rPr>
        <w:t xml:space="preserve"> </w:t>
      </w:r>
      <w:r>
        <w:rPr>
          <w:rFonts w:ascii="Arial" w:eastAsia="Arial" w:hAnsi="Arial" w:cs="Arial"/>
          <w:sz w:val="18"/>
        </w:rPr>
        <w:tab/>
      </w:r>
      <w:r>
        <w:rPr>
          <w:sz w:val="18"/>
        </w:rPr>
        <w:t>公司或合夥企業；</w:t>
      </w:r>
      <w:r>
        <w:rPr>
          <w:rFonts w:ascii="Arial" w:eastAsia="Arial" w:hAnsi="Arial" w:cs="Arial"/>
          <w:sz w:val="18"/>
        </w:rPr>
        <w:t>(B)</w:t>
      </w:r>
      <w:r>
        <w:rPr>
          <w:sz w:val="18"/>
        </w:rPr>
        <w:t>屬以下情況的信託：</w:t>
      </w:r>
      <w:r>
        <w:rPr>
          <w:rFonts w:ascii="Arial" w:eastAsia="Arial" w:hAnsi="Arial" w:cs="Arial"/>
          <w:sz w:val="18"/>
        </w:rPr>
        <w:t>(I)</w:t>
      </w:r>
      <w:r>
        <w:rPr>
          <w:sz w:val="18"/>
        </w:rPr>
        <w:t>美國法院可對該信託的美國指美利堅合眾國或其任何領土或屬地或受其司法管轄的地區（包</w:t>
      </w:r>
      <w:r>
        <w:rPr>
          <w:sz w:val="18"/>
        </w:rPr>
        <w:tab/>
      </w:r>
      <w:r>
        <w:rPr>
          <w:sz w:val="18"/>
        </w:rPr>
        <w:t>管理行使主要監督及</w:t>
      </w:r>
      <w:r>
        <w:rPr>
          <w:rFonts w:ascii="Arial" w:eastAsia="Arial" w:hAnsi="Arial" w:cs="Arial"/>
          <w:sz w:val="18"/>
        </w:rPr>
        <w:t>(II)</w:t>
      </w:r>
      <w:r>
        <w:rPr>
          <w:sz w:val="18"/>
        </w:rPr>
        <w:t>一名或多名美國人士有權控制該信託的絕括波多黎各）</w:t>
      </w:r>
      <w:r>
        <w:rPr>
          <w:rFonts w:ascii="Arial" w:eastAsia="Arial" w:hAnsi="Arial" w:cs="Arial"/>
          <w:sz w:val="18"/>
        </w:rPr>
        <w:t xml:space="preserve"> </w:t>
      </w:r>
      <w:r>
        <w:rPr>
          <w:rFonts w:ascii="Arial" w:eastAsia="Arial" w:hAnsi="Arial" w:cs="Arial"/>
          <w:sz w:val="18"/>
        </w:rPr>
        <w:tab/>
      </w:r>
      <w:r>
        <w:rPr>
          <w:sz w:val="18"/>
        </w:rPr>
        <w:t>大部分決定；及</w:t>
      </w:r>
      <w:r>
        <w:rPr>
          <w:rFonts w:ascii="Arial" w:eastAsia="Arial" w:hAnsi="Arial" w:cs="Arial"/>
          <w:sz w:val="18"/>
        </w:rPr>
        <w:t>(C)</w:t>
      </w:r>
      <w:r>
        <w:rPr>
          <w:sz w:val="18"/>
        </w:rPr>
        <w:t>其所有來源的全球收入均受美國稅務規範的遺</w:t>
      </w:r>
    </w:p>
    <w:p w:rsidR="004D6F0E" w:rsidRDefault="00490F21">
      <w:pPr>
        <w:spacing w:line="259" w:lineRule="auto"/>
        <w:ind w:left="5895" w:right="5132" w:hanging="10"/>
        <w:jc w:val="center"/>
      </w:pPr>
      <w:r>
        <w:rPr>
          <w:sz w:val="18"/>
        </w:rPr>
        <w:t>產</w:t>
      </w:r>
      <w:r>
        <w:rPr>
          <w:rFonts w:ascii="Arial" w:eastAsia="Arial" w:hAnsi="Arial" w:cs="Arial"/>
          <w:sz w:val="18"/>
        </w:rPr>
        <w:t xml:space="preserve"> </w:t>
      </w:r>
    </w:p>
    <w:p w:rsidR="004D6F0E" w:rsidRDefault="00490F21">
      <w:pPr>
        <w:ind w:left="8" w:right="13" w:hanging="10"/>
      </w:pPr>
      <w:r>
        <w:rPr>
          <w:sz w:val="18"/>
        </w:rPr>
        <w:t>美國人士指</w:t>
      </w:r>
      <w:r>
        <w:rPr>
          <w:rFonts w:ascii="Arial" w:eastAsia="Arial" w:hAnsi="Arial" w:cs="Arial"/>
          <w:sz w:val="18"/>
        </w:rPr>
        <w:t>(i)</w:t>
      </w:r>
      <w:r>
        <w:rPr>
          <w:sz w:val="18"/>
        </w:rPr>
        <w:t>就任何人士、任何個人或實體而言，一九三三年美國證券</w:t>
      </w:r>
    </w:p>
    <w:p w:rsidR="004D6F0E" w:rsidRDefault="00490F21">
      <w:pPr>
        <w:spacing w:line="216" w:lineRule="auto"/>
        <w:ind w:left="-2" w:right="13" w:firstLine="6048"/>
      </w:pPr>
      <w:r>
        <w:rPr>
          <w:sz w:val="18"/>
        </w:rPr>
        <w:t>估值時間指就交易日而言計算每股資產淨值的時間，即每個營業日法（經修訂）的</w:t>
      </w:r>
      <w:r>
        <w:rPr>
          <w:sz w:val="18"/>
        </w:rPr>
        <w:t xml:space="preserve"> </w:t>
      </w:r>
      <w:r>
        <w:rPr>
          <w:rFonts w:ascii="Arial" w:eastAsia="Arial" w:hAnsi="Arial" w:cs="Arial"/>
          <w:sz w:val="18"/>
        </w:rPr>
        <w:t xml:space="preserve">S </w:t>
      </w:r>
      <w:r>
        <w:rPr>
          <w:sz w:val="18"/>
        </w:rPr>
        <w:t>規例所指的美國人士；</w:t>
      </w:r>
      <w:r>
        <w:rPr>
          <w:rFonts w:ascii="Arial" w:eastAsia="Arial" w:hAnsi="Arial" w:cs="Arial"/>
          <w:sz w:val="18"/>
        </w:rPr>
        <w:t>(2)</w:t>
      </w:r>
      <w:r>
        <w:rPr>
          <w:sz w:val="18"/>
        </w:rPr>
        <w:t>就個人而言，任何美國公</w:t>
      </w:r>
    </w:p>
    <w:p w:rsidR="004D6F0E" w:rsidRDefault="00490F21">
      <w:pPr>
        <w:spacing w:after="12314" w:line="216" w:lineRule="auto"/>
        <w:ind w:left="-2" w:right="583" w:firstLine="6048"/>
      </w:pPr>
      <w:r>
        <w:rPr>
          <w:sz w:val="18"/>
        </w:rPr>
        <w:t>美國東部時間下午</w:t>
      </w:r>
      <w:r>
        <w:rPr>
          <w:sz w:val="18"/>
        </w:rPr>
        <w:t xml:space="preserve"> </w:t>
      </w:r>
      <w:r>
        <w:rPr>
          <w:rFonts w:ascii="Arial" w:eastAsia="Arial" w:hAnsi="Arial" w:cs="Arial"/>
          <w:sz w:val="28"/>
          <w:vertAlign w:val="superscript"/>
        </w:rPr>
        <w:t xml:space="preserve">4:00 </w:t>
      </w:r>
      <w:r>
        <w:rPr>
          <w:sz w:val="18"/>
        </w:rPr>
        <w:t>民或不時生效的美國所得稅法所界定的「外僑」；或</w:t>
      </w:r>
      <w:r>
        <w:rPr>
          <w:rFonts w:ascii="Arial" w:eastAsia="Arial" w:hAnsi="Arial" w:cs="Arial"/>
          <w:sz w:val="18"/>
        </w:rPr>
        <w:t>(iii)</w:t>
      </w:r>
      <w:r>
        <w:rPr>
          <w:sz w:val="18"/>
        </w:rPr>
        <w:t>就除個人以外的人士而言，</w:t>
      </w:r>
      <w:r>
        <w:rPr>
          <w:rFonts w:ascii="Arial" w:eastAsia="Arial" w:hAnsi="Arial" w:cs="Arial"/>
          <w:sz w:val="18"/>
        </w:rPr>
        <w:t>(A)</w:t>
      </w:r>
      <w:r>
        <w:rPr>
          <w:sz w:val="18"/>
        </w:rPr>
        <w:t>在美國或根據美國法律或美國各州法律成立或組織的</w:t>
      </w:r>
    </w:p>
    <w:p w:rsidR="004D6F0E" w:rsidRDefault="00490F21">
      <w:pPr>
        <w:spacing w:after="3" w:line="259" w:lineRule="auto"/>
        <w:ind w:right="264" w:hanging="10"/>
        <w:jc w:val="center"/>
      </w:pPr>
      <w:r>
        <w:rPr>
          <w:rFonts w:ascii="Times New Roman" w:eastAsia="Times New Roman" w:hAnsi="Times New Roman" w:cs="Times New Roman"/>
          <w:sz w:val="20"/>
        </w:rPr>
        <w:lastRenderedPageBreak/>
        <w:t xml:space="preserve">vii </w:t>
      </w:r>
    </w:p>
    <w:p w:rsidR="004D6F0E" w:rsidRDefault="00490F21">
      <w:pPr>
        <w:spacing w:after="0" w:line="259" w:lineRule="auto"/>
        <w:ind w:left="142" w:firstLine="0"/>
      </w:pPr>
      <w:r>
        <w:rPr>
          <w:rFonts w:ascii="Arial" w:eastAsia="Arial" w:hAnsi="Arial" w:cs="Arial"/>
          <w:sz w:val="12"/>
        </w:rPr>
        <w:t xml:space="preserve"> </w:t>
      </w:r>
    </w:p>
    <w:p w:rsidR="004D6F0E" w:rsidRDefault="004D6F0E">
      <w:pPr>
        <w:sectPr w:rsidR="004D6F0E">
          <w:type w:val="continuous"/>
          <w:pgSz w:w="12240" w:h="15840"/>
          <w:pgMar w:top="1440" w:right="427" w:bottom="1440" w:left="290" w:header="720" w:footer="720" w:gutter="0"/>
          <w:cols w:space="720"/>
        </w:sectPr>
      </w:pPr>
    </w:p>
    <w:p w:rsidR="004D6F0E" w:rsidRDefault="00490F21">
      <w:pPr>
        <w:pStyle w:val="Heading2"/>
        <w:spacing w:line="388" w:lineRule="auto"/>
        <w:ind w:left="8"/>
      </w:pPr>
      <w:r>
        <w:ruby>
          <w:rubyPr>
            <w:rubyAlign w:val="distributeSpace"/>
            <w:hps w:val="18"/>
            <w:hpsRaise w:val="20"/>
            <w:hpsBaseText w:val="31"/>
            <w:lid w:val="ko-KR"/>
          </w:rubyPr>
          <w:rt>
            <w:r w:rsidR="00490F21">
              <w:rPr>
                <w:sz w:val="18"/>
              </w:rPr>
              <w:t>多元資產／資產配置</w:t>
            </w:r>
            <w:r w:rsidR="00490F21">
              <w:rPr>
                <w:sz w:val="18"/>
              </w:rPr>
              <w:t xml:space="preserve"> </w:t>
            </w:r>
          </w:rt>
          <w:rubyBase>
            <w:r w:rsidR="00490F21">
              <w:rPr>
                <w:rFonts w:ascii="Arial" w:eastAsia="Arial" w:hAnsi="Arial" w:cs="Arial"/>
              </w:rPr>
              <w:t>—</w:t>
            </w:r>
            <w:r w:rsidR="00490F21">
              <w:rPr>
                <w:rFonts w:ascii="Arial" w:eastAsia="Arial" w:hAnsi="Arial" w:cs="Arial"/>
              </w:rPr>
              <w:t>聯博全方</w:t>
            </w:r>
          </w:rubyBase>
        </w:ruby>
      </w:r>
      <w:r>
        <w:t>位領航基金</w:t>
      </w:r>
      <w:r>
        <w:rPr>
          <w:sz w:val="23"/>
        </w:rPr>
        <w:t>投資目標及政策</w:t>
      </w:r>
      <w:r>
        <w:rPr>
          <w:rFonts w:ascii="Arial" w:eastAsia="Arial" w:hAnsi="Arial" w:cs="Arial"/>
          <w:sz w:val="23"/>
        </w:rPr>
        <w:t xml:space="preserve"> </w:t>
      </w:r>
    </w:p>
    <w:p w:rsidR="004D6F0E" w:rsidRDefault="00490F21">
      <w:pPr>
        <w:spacing w:after="44"/>
        <w:ind w:left="11" w:right="2"/>
      </w:pPr>
      <w:r>
        <w:t>投資目標</w:t>
      </w:r>
      <w:r>
        <w:rPr>
          <w:rFonts w:ascii="Arial" w:eastAsia="Arial" w:hAnsi="Arial" w:cs="Arial"/>
          <w:b/>
        </w:rPr>
        <w:t xml:space="preserve"> </w:t>
      </w:r>
    </w:p>
    <w:p w:rsidR="004D6F0E" w:rsidRDefault="00490F21">
      <w:pPr>
        <w:spacing w:after="105"/>
        <w:ind w:left="11" w:right="2"/>
      </w:pPr>
      <w:r>
        <w:t>本基金尋求整體最高回報。</w:t>
      </w:r>
      <w:r>
        <w:rPr>
          <w:rFonts w:ascii="Arial" w:eastAsia="Arial" w:hAnsi="Arial" w:cs="Arial"/>
        </w:rPr>
        <w:t xml:space="preserve"> </w:t>
      </w:r>
    </w:p>
    <w:p w:rsidR="004D6F0E" w:rsidRDefault="00490F21">
      <w:pPr>
        <w:spacing w:after="41"/>
        <w:ind w:left="11" w:right="2"/>
      </w:pPr>
      <w:r>
        <w:t>投資政策</w:t>
      </w:r>
      <w:r>
        <w:rPr>
          <w:rFonts w:ascii="Arial" w:eastAsia="Arial" w:hAnsi="Arial" w:cs="Arial"/>
          <w:b/>
        </w:rPr>
        <w:t xml:space="preserve"> </w:t>
      </w:r>
    </w:p>
    <w:p w:rsidR="004D6F0E" w:rsidRDefault="00490F21">
      <w:pPr>
        <w:spacing w:after="99"/>
        <w:ind w:left="11" w:right="2"/>
      </w:pPr>
      <w:r>
        <w:rPr>
          <w:sz w:val="20"/>
        </w:rPr>
        <w:t>概覽</w:t>
      </w:r>
      <w:r>
        <w:t>。本基金乃動態調整各投資持倉的多資產基金，設計成為尋求長期資本增長及中等波幅的投資者而設的解決方案。本基金投資於環球多元化的證券及其他金融工具組合，包括金融衍生工具（「衍生工具」），提供多個資產類別的投資持倉。這些資產類別可能包括股本證券及固定收益工具，包括高收益證券、房地產相關證券、貨幣、商品相</w:t>
      </w:r>
      <w:r>
        <w:t>關證券及另類投資而無規定限制。在正常市況下，投資管理人預期本基金的大部分持倉將為股本持倉。本基金可能會投資於小市值以及大市值公司。本基金在任何單一國家或地區（包括任何已發展或新興市場國家）內所可能投資的淨資產部分並不受任何限制。</w:t>
      </w:r>
      <w:r>
        <w:rPr>
          <w:rFonts w:ascii="Arial" w:eastAsia="Arial" w:hAnsi="Arial" w:cs="Arial"/>
        </w:rPr>
        <w:t xml:space="preserve">  </w:t>
      </w:r>
    </w:p>
    <w:p w:rsidR="004D6F0E" w:rsidRDefault="00490F21">
      <w:pPr>
        <w:spacing w:after="102"/>
        <w:ind w:left="11" w:right="2"/>
      </w:pPr>
      <w:r>
        <w:t>投資管理人將使用其專屬「動態資產配置」策略來調整本基金在上述資產類別的各項投資持倉，以達致投資管理人於任何特定時刻所認為的本基金的最佳風險／回報平衡。</w:t>
      </w:r>
      <w:r>
        <w:rPr>
          <w:rFonts w:ascii="Arial" w:eastAsia="Arial" w:hAnsi="Arial" w:cs="Arial"/>
        </w:rPr>
        <w:t xml:space="preserve">     </w:t>
      </w:r>
    </w:p>
    <w:p w:rsidR="004D6F0E" w:rsidRDefault="00490F21">
      <w:pPr>
        <w:spacing w:after="87"/>
        <w:ind w:left="11" w:right="2"/>
      </w:pPr>
      <w:r>
        <w:t>本基金可透過投資個別證券或使用衍生工具或以其他方式，取得個別資產類別的主動或被動投資持倉，並於其後調整有關持倉。</w:t>
      </w:r>
      <w:r>
        <w:rPr>
          <w:sz w:val="20"/>
        </w:rPr>
        <w:t>股本</w:t>
      </w:r>
      <w:r>
        <w:t>。本基金可透過投資普通股取得股本持倉，但亦可投資於優先股、認股權證及全球發行人的可換股證券，包括有保薦及無保薦的美國預託證券（「</w:t>
      </w:r>
      <w:r>
        <w:rPr>
          <w:sz w:val="20"/>
        </w:rPr>
        <w:t>美國預託證券</w:t>
      </w:r>
      <w:r>
        <w:t>」）及環球預託證券（「</w:t>
      </w:r>
      <w:r>
        <w:rPr>
          <w:sz w:val="20"/>
        </w:rPr>
        <w:t>環球預託證券</w:t>
      </w:r>
      <w:r>
        <w:t>」），以及衍生工具。</w:t>
      </w:r>
      <w:r>
        <w:rPr>
          <w:rFonts w:ascii="Arial" w:eastAsia="Arial" w:hAnsi="Arial" w:cs="Arial"/>
        </w:rPr>
        <w:t xml:space="preserve"> </w:t>
      </w:r>
    </w:p>
    <w:p w:rsidR="004D6F0E" w:rsidRDefault="00490F21">
      <w:pPr>
        <w:spacing w:after="102"/>
        <w:ind w:left="11" w:right="2"/>
      </w:pPr>
      <w:r>
        <w:rPr>
          <w:sz w:val="20"/>
        </w:rPr>
        <w:t>固定收益</w:t>
      </w:r>
      <w:r>
        <w:t>。本基金可透過投資於固定收益工具及衍生工具取得固定收益持倉。本基金亦可投資於現金、現金等價物或短期固定收益債務（包括貨幣市場工具）。</w:t>
      </w:r>
      <w:r>
        <w:rPr>
          <w:rFonts w:ascii="Arial" w:eastAsia="Arial" w:hAnsi="Arial" w:cs="Arial"/>
        </w:rPr>
        <w:t xml:space="preserve"> </w:t>
      </w:r>
    </w:p>
    <w:p w:rsidR="004D6F0E" w:rsidRDefault="00490F21">
      <w:pPr>
        <w:spacing w:after="101"/>
        <w:ind w:left="11" w:right="2"/>
      </w:pPr>
      <w:r>
        <w:t>本基金可購買多種固定收益工具，包括但不限於由主權國家或其他政府或市級企業（包括但不限於政府機關及部門）（統稱「</w:t>
      </w:r>
      <w:r>
        <w:rPr>
          <w:sz w:val="20"/>
        </w:rPr>
        <w:t>政府機構</w:t>
      </w:r>
      <w:r>
        <w:t>」）發行的債務，以及由各類旨在促進環球、地區或特定國</w:t>
      </w:r>
      <w:r>
        <w:t>家經濟重建或發展的國際組織或機構（統稱「</w:t>
      </w:r>
      <w:r>
        <w:rPr>
          <w:sz w:val="20"/>
        </w:rPr>
        <w:t>超國家機構</w:t>
      </w:r>
      <w:r>
        <w:t>」）發行或擔保的債務、公司債券、多種資產擔保證券、多種按揭相</w:t>
      </w:r>
      <w:r>
        <w:t>關證券、優先股及抗通脹證券，以及按投資管理人的酌情權由其他實體發行的固定收益工具。本基金於按揭擔保證券及資產擔保證券的投資將不會超過其淨資產的</w:t>
      </w:r>
      <w:r>
        <w:t xml:space="preserve"> </w:t>
      </w:r>
      <w:r>
        <w:rPr>
          <w:rFonts w:ascii="Arial" w:eastAsia="Arial" w:hAnsi="Arial" w:cs="Arial"/>
        </w:rPr>
        <w:t>20%</w:t>
      </w:r>
      <w:r>
        <w:t>，惟有關限制將不適用於美國政府或任何其他合資格國家或美國或其他合資格國家政府所資助實體所發行或擔保的於此等證券的投資。</w:t>
      </w:r>
      <w:r>
        <w:rPr>
          <w:rFonts w:ascii="Arial" w:eastAsia="Arial" w:hAnsi="Arial" w:cs="Arial"/>
        </w:rPr>
        <w:t xml:space="preserve"> </w:t>
      </w:r>
    </w:p>
    <w:p w:rsidR="004D6F0E" w:rsidRDefault="00490F21">
      <w:pPr>
        <w:spacing w:after="102"/>
        <w:ind w:left="11" w:right="2"/>
      </w:pPr>
      <w:r>
        <w:t>本基金可購買獲評為投資級別或低於投資級別的固定收益工具，以及並無評級的工具。</w:t>
      </w:r>
      <w:r>
        <w:rPr>
          <w:rFonts w:ascii="Arial" w:eastAsia="Arial" w:hAnsi="Arial" w:cs="Arial"/>
        </w:rPr>
        <w:t xml:space="preserve"> </w:t>
      </w:r>
    </w:p>
    <w:p w:rsidR="004D6F0E" w:rsidRDefault="00490F21">
      <w:pPr>
        <w:ind w:left="11" w:right="2"/>
      </w:pPr>
      <w:r>
        <w:rPr>
          <w:sz w:val="20"/>
        </w:rPr>
        <w:t>房地產</w:t>
      </w:r>
      <w:r>
        <w:t>。本基金可透過若干獲准許投資（如環球房地產投資信託基金（「</w:t>
      </w:r>
      <w:r>
        <w:rPr>
          <w:sz w:val="20"/>
        </w:rPr>
        <w:t>房地產投資信託基金</w:t>
      </w:r>
      <w:r>
        <w:t>」）的股本證券）或透過環球抵押房地產投資信託基金或其他環球房地產行業相關公司（如房地產經營公司（「</w:t>
      </w:r>
      <w:r>
        <w:rPr>
          <w:sz w:val="20"/>
        </w:rPr>
        <w:t>房地產經營公司</w:t>
      </w:r>
      <w:r>
        <w:t>」））的股本證券，以及衍生工具</w:t>
      </w:r>
    </w:p>
    <w:p w:rsidR="004D6F0E" w:rsidRDefault="00490F21">
      <w:pPr>
        <w:spacing w:after="125"/>
        <w:ind w:left="11" w:right="2"/>
      </w:pPr>
      <w:r>
        <w:t>，取得環球房地產及／或環球房地產行業的間接持倉。</w:t>
      </w:r>
      <w:r>
        <w:rPr>
          <w:sz w:val="20"/>
        </w:rPr>
        <w:t>商品</w:t>
      </w:r>
      <w:r>
        <w:t>。本基金可透過獲准許投資，如商品指數的若干衍生工具及符合</w:t>
      </w:r>
      <w:r>
        <w:t xml:space="preserve"> </w:t>
      </w:r>
      <w:r>
        <w:rPr>
          <w:rFonts w:ascii="Arial" w:eastAsia="Arial" w:hAnsi="Arial" w:cs="Arial"/>
        </w:rPr>
        <w:t xml:space="preserve">UCITS </w:t>
      </w:r>
      <w:r>
        <w:t>資格或屬於《二零一零年法律》所界定的合資格</w:t>
      </w:r>
      <w:r>
        <w:t xml:space="preserve"> </w:t>
      </w:r>
      <w:r>
        <w:rPr>
          <w:rFonts w:ascii="Arial" w:eastAsia="Arial" w:hAnsi="Arial" w:cs="Arial"/>
        </w:rPr>
        <w:t xml:space="preserve">UCI </w:t>
      </w:r>
      <w:r>
        <w:t>的交易所買賣基金，取得商品的間接</w:t>
      </w:r>
      <w:r>
        <w:t>持倉。本基金亦可透過投資商品生產商或其他商品相關發行人的股本，尋求商品相關持倉。</w:t>
      </w:r>
      <w:r>
        <w:rPr>
          <w:rFonts w:ascii="Arial" w:eastAsia="Arial" w:hAnsi="Arial" w:cs="Arial"/>
        </w:rPr>
        <w:t xml:space="preserve">  </w:t>
      </w:r>
      <w:r>
        <w:rPr>
          <w:sz w:val="20"/>
        </w:rPr>
        <w:t>貨幣</w:t>
      </w:r>
      <w:r>
        <w:t>。本基金可不受限制地投資於以已發展及新興市場貨幣計值的證券。</w:t>
      </w:r>
      <w:r>
        <w:rPr>
          <w:rFonts w:ascii="Arial" w:eastAsia="Arial" w:hAnsi="Arial" w:cs="Arial"/>
        </w:rPr>
        <w:t xml:space="preserve"> </w:t>
      </w:r>
    </w:p>
    <w:p w:rsidR="004D6F0E" w:rsidRDefault="00490F21">
      <w:pPr>
        <w:spacing w:after="122"/>
        <w:ind w:left="11" w:right="2"/>
      </w:pPr>
      <w:r>
        <w:t>基於其貨幣研究及展望，投資管理人可於任何時刻調整本基金的多個貨幣持倉。投資管理人使用其為此專門開發的公司內部風險及回報模型，並考慮本基金的多個貨幣持倉。此外，本基金可投資於本基金或擁有或不擁有相關貨幣持倉的貨幣。本基金提供一個或以上本第</w:t>
      </w:r>
      <w:r>
        <w:t xml:space="preserve"> </w:t>
      </w:r>
      <w:r>
        <w:rPr>
          <w:rFonts w:ascii="Arial" w:eastAsia="Arial" w:hAnsi="Arial" w:cs="Arial"/>
        </w:rPr>
        <w:t xml:space="preserve">I </w:t>
      </w:r>
      <w:r>
        <w:t>部分摘要資料表所列的「貨幣對沖股份類別」（</w:t>
      </w:r>
      <w:r>
        <w:rPr>
          <w:sz w:val="20"/>
        </w:rPr>
        <w:t>見下文</w:t>
      </w:r>
      <w:r>
        <w:t>）。該等股份類別是為尋求減低基金基準貨幣與其投資貨幣的貨幣波動影響的非基準貨幣投資者而設。</w:t>
      </w:r>
      <w:r>
        <w:rPr>
          <w:rFonts w:ascii="Arial" w:eastAsia="Arial" w:hAnsi="Arial" w:cs="Arial"/>
        </w:rPr>
        <w:t xml:space="preserve"> </w:t>
      </w:r>
    </w:p>
    <w:p w:rsidR="004D6F0E" w:rsidRDefault="00490F21">
      <w:pPr>
        <w:spacing w:after="102" w:line="273" w:lineRule="auto"/>
        <w:ind w:left="14" w:right="41"/>
        <w:jc w:val="both"/>
      </w:pPr>
      <w:r>
        <w:t>有關貨幣對沖股份類別的進一步詳情，請參閱本第</w:t>
      </w:r>
      <w:r>
        <w:t xml:space="preserve"> </w:t>
      </w:r>
      <w:r>
        <w:rPr>
          <w:rFonts w:ascii="Arial" w:eastAsia="Arial" w:hAnsi="Arial" w:cs="Arial"/>
        </w:rPr>
        <w:t xml:space="preserve">I </w:t>
      </w:r>
      <w:r>
        <w:t>部分「貨幣對沖股份類別」（</w:t>
      </w:r>
      <w:r>
        <w:rPr>
          <w:sz w:val="20"/>
        </w:rPr>
        <w:t>見下文</w:t>
      </w:r>
      <w:r>
        <w:t>）及第</w:t>
      </w:r>
      <w:r>
        <w:t xml:space="preserve"> </w:t>
      </w:r>
      <w:r>
        <w:rPr>
          <w:rFonts w:ascii="Arial" w:eastAsia="Arial" w:hAnsi="Arial" w:cs="Arial"/>
        </w:rPr>
        <w:t xml:space="preserve">II </w:t>
      </w:r>
      <w:r>
        <w:t>部分「如何購買股份</w:t>
      </w:r>
      <w:r>
        <w:rPr>
          <w:rFonts w:ascii="Arial" w:eastAsia="Arial" w:hAnsi="Arial" w:cs="Arial"/>
        </w:rPr>
        <w:t xml:space="preserve"> – </w:t>
      </w:r>
      <w:r>
        <w:t>貨幣對沖</w:t>
      </w:r>
      <w:r>
        <w:t>股份類別」。</w:t>
      </w:r>
      <w:r>
        <w:rPr>
          <w:rFonts w:ascii="Arial" w:eastAsia="Arial" w:hAnsi="Arial" w:cs="Arial"/>
        </w:rPr>
        <w:t xml:space="preserve">  </w:t>
      </w:r>
    </w:p>
    <w:p w:rsidR="004D6F0E" w:rsidRDefault="00490F21">
      <w:pPr>
        <w:spacing w:after="71"/>
        <w:ind w:left="11" w:right="2"/>
      </w:pPr>
      <w:r>
        <w:rPr>
          <w:sz w:val="20"/>
        </w:rPr>
        <w:t>另類投資</w:t>
      </w:r>
      <w:r>
        <w:t>。在投資管理人全權酌情決定下，本基金可投資於承受不同種類的另類投資風險的股本和回定收益工具，包括</w:t>
      </w:r>
      <w:r>
        <w:lastRenderedPageBreak/>
        <w:t>但不限於對沖基金，以及私募股權，惟僅在有關證券及工具符合</w:t>
      </w:r>
      <w:r>
        <w:t xml:space="preserve"> </w:t>
      </w:r>
      <w:r>
        <w:rPr>
          <w:rFonts w:ascii="Arial" w:eastAsia="Arial" w:hAnsi="Arial" w:cs="Arial"/>
        </w:rPr>
        <w:t xml:space="preserve">UCITS </w:t>
      </w:r>
      <w:r>
        <w:t>規例下「可轉換證券」的資格的前提和僅在</w:t>
      </w:r>
      <w:r>
        <w:t xml:space="preserve"> </w:t>
      </w:r>
      <w:r>
        <w:rPr>
          <w:rFonts w:ascii="Arial" w:eastAsia="Arial" w:hAnsi="Arial" w:cs="Arial"/>
        </w:rPr>
        <w:t xml:space="preserve">UCITS </w:t>
      </w:r>
      <w:r>
        <w:t>指定的限制下投資。該等另類投資可包括匯聚型投資工具或其他投資管理人或其聯營公司或非聯營第三方保薦及／或管理的其他產品。</w:t>
      </w:r>
      <w:r>
        <w:rPr>
          <w:rFonts w:ascii="Arial" w:eastAsia="Arial" w:hAnsi="Arial" w:cs="Arial"/>
          <w:sz w:val="24"/>
        </w:rPr>
        <w:t xml:space="preserve"> </w:t>
      </w:r>
    </w:p>
    <w:p w:rsidR="004D6F0E" w:rsidRDefault="00490F21">
      <w:pPr>
        <w:pStyle w:val="Heading3"/>
        <w:spacing w:after="102" w:line="259" w:lineRule="auto"/>
        <w:ind w:left="3" w:firstLine="3"/>
      </w:pPr>
      <w:r>
        <w:rPr>
          <w:sz w:val="20"/>
        </w:rPr>
        <w:t>動態資產配置策略</w:t>
      </w:r>
      <w:r>
        <w:rPr>
          <w:rFonts w:ascii="Arial" w:eastAsia="Arial" w:hAnsi="Arial" w:cs="Arial"/>
          <w:b/>
          <w:i/>
          <w:sz w:val="19"/>
        </w:rPr>
        <w:t xml:space="preserve">   </w:t>
      </w:r>
    </w:p>
    <w:p w:rsidR="004D6F0E" w:rsidRDefault="00490F21">
      <w:pPr>
        <w:spacing w:after="102"/>
        <w:ind w:left="11" w:right="2"/>
      </w:pPr>
      <w:r>
        <w:t>投資管理人將使用其專屬「</w:t>
      </w:r>
      <w:r>
        <w:rPr>
          <w:sz w:val="20"/>
        </w:rPr>
        <w:t>動態資產配置</w:t>
      </w:r>
      <w:r>
        <w:t>」策略調整本基金的各項投資持倉，以達致投資管理人於任何特定時刻所認為的本基金的最佳風險</w:t>
      </w:r>
      <w:r>
        <w:t>／回報平衡。</w:t>
      </w:r>
      <w:r>
        <w:rPr>
          <w:rFonts w:ascii="Arial" w:eastAsia="Arial" w:hAnsi="Arial" w:cs="Arial"/>
        </w:rPr>
        <w:t xml:space="preserve">   </w:t>
      </w:r>
    </w:p>
    <w:p w:rsidR="004D6F0E" w:rsidRDefault="00490F21">
      <w:pPr>
        <w:spacing w:after="0" w:line="273" w:lineRule="auto"/>
        <w:ind w:left="14" w:right="41"/>
        <w:jc w:val="both"/>
      </w:pPr>
      <w:r>
        <w:t>動態資產配置包含一系列用於預測波動性、相關性和預期回報率的工具，可使投資管理人量度所有各種資產類別在風險／回報平衡方面的短期波動。動態資產配置的目標是降低基金的整體波幅，以降低此等短期波動的影響，包括極端市況的「尾端</w:t>
      </w:r>
    </w:p>
    <w:p w:rsidR="004D6F0E" w:rsidRDefault="00490F21">
      <w:pPr>
        <w:spacing w:after="123"/>
        <w:ind w:left="11" w:right="2"/>
      </w:pPr>
      <w:r>
        <w:t>」事件，同時不損害連貫一致的長期回報潛力。</w:t>
      </w:r>
      <w:r>
        <w:rPr>
          <w:rFonts w:ascii="Arial" w:eastAsia="Arial" w:hAnsi="Arial" w:cs="Arial"/>
        </w:rPr>
        <w:t xml:space="preserve"> </w:t>
      </w:r>
    </w:p>
    <w:p w:rsidR="004D6F0E" w:rsidRDefault="00490F21">
      <w:pPr>
        <w:spacing w:after="122"/>
        <w:ind w:left="11" w:right="2"/>
      </w:pPr>
      <w:r>
        <w:t>例如當動態資產配置工具顯示有關一種或以上的資產類別的市場風險正在上升但回報機遇正在下跌，投資管理人可尋求減少本基金在該等資產的風險。相反，當動態資產配置工具顯示一種或以上的資產類別的回報機遇正在上升且市場風險正在下跌，投資管理人</w:t>
      </w:r>
      <w:r>
        <w:t>可傾向尋求更積極的取向。</w:t>
      </w:r>
      <w:r>
        <w:rPr>
          <w:rFonts w:ascii="Arial" w:eastAsia="Arial" w:hAnsi="Arial" w:cs="Arial"/>
        </w:rPr>
        <w:t xml:space="preserve">  </w:t>
      </w:r>
    </w:p>
    <w:p w:rsidR="004D6F0E" w:rsidRDefault="00490F21">
      <w:pPr>
        <w:spacing w:after="121"/>
        <w:ind w:left="11" w:right="2"/>
      </w:pPr>
      <w:r>
        <w:t>本基金可透過投資個別證券或使用衍生工具，取得個別資產類別的投資持倉並隨後調整該等持倉。本基金在各種資產類別不同的投資持倉的動態調整預期將主要透過衍生工具執行。在選擇執行動態資產配置策略的方法及工具方面，投資管理人將評估交易成本、流動性，以及各項資產配置預期的調整期。</w:t>
      </w:r>
      <w:r>
        <w:rPr>
          <w:rFonts w:ascii="Arial" w:eastAsia="Arial" w:hAnsi="Arial" w:cs="Arial"/>
        </w:rPr>
        <w:t xml:space="preserve"> </w:t>
      </w:r>
    </w:p>
    <w:p w:rsidR="004D6F0E" w:rsidRDefault="00490F21">
      <w:pPr>
        <w:spacing w:after="121"/>
        <w:ind w:left="11" w:right="2"/>
      </w:pPr>
      <w:r>
        <w:t>金融衍生工具／有效基金管理技術投資管理人可使用衍生工具，達到有效基金管理、對沖或投資的目的。</w:t>
      </w:r>
      <w:r>
        <w:rPr>
          <w:rFonts w:ascii="Arial" w:eastAsia="Arial" w:hAnsi="Arial" w:cs="Arial"/>
        </w:rPr>
        <w:t xml:space="preserve">    </w:t>
      </w:r>
    </w:p>
    <w:p w:rsidR="004D6F0E" w:rsidRDefault="00490F21">
      <w:pPr>
        <w:ind w:left="11" w:right="2"/>
      </w:pPr>
      <w:r>
        <w:t>投資管理人可使用（不限於）交易所買賣衍生工具（如期權、股票指數期貨或債券期貨）及場外衍生工具（如遠期貨幣、期權</w:t>
      </w:r>
      <w:r>
        <w:t>、總回報掉期、利率掉期和信用違約掉期）。本基金亦可透過各種其他衍生工具及／或結構化產品，尋求個別發行人或資產類別的持倉。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tbl>
      <w:tblPr>
        <w:tblStyle w:val="TableGrid"/>
        <w:tblW w:w="5239" w:type="dxa"/>
        <w:tblInd w:w="17" w:type="dxa"/>
        <w:tblCellMar>
          <w:top w:w="31" w:type="dxa"/>
          <w:left w:w="108" w:type="dxa"/>
          <w:bottom w:w="0" w:type="dxa"/>
          <w:right w:w="60" w:type="dxa"/>
        </w:tblCellMar>
        <w:tblLook w:val="04A0" w:firstRow="1" w:lastRow="0" w:firstColumn="1" w:lastColumn="0" w:noHBand="0" w:noVBand="1"/>
      </w:tblPr>
      <w:tblGrid>
        <w:gridCol w:w="2122"/>
        <w:gridCol w:w="1560"/>
        <w:gridCol w:w="1557"/>
      </w:tblGrid>
      <w:tr w:rsidR="004D6F0E">
        <w:trPr>
          <w:trHeight w:val="379"/>
        </w:trPr>
        <w:tc>
          <w:tcPr>
            <w:tcW w:w="212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212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56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0%-25% </w:t>
            </w:r>
          </w:p>
        </w:tc>
        <w:tc>
          <w:tcPr>
            <w:tcW w:w="155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100% </w:t>
            </w:r>
          </w:p>
        </w:tc>
      </w:tr>
      <w:tr w:rsidR="004D6F0E">
        <w:trPr>
          <w:trHeight w:val="377"/>
        </w:trPr>
        <w:tc>
          <w:tcPr>
            <w:tcW w:w="212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jc w:val="both"/>
            </w:pPr>
            <w:r>
              <w:t>回購協議和逆回購協議</w:t>
            </w:r>
            <w:r>
              <w:rPr>
                <w:rFonts w:ascii="Arial" w:eastAsia="Arial" w:hAnsi="Arial" w:cs="Arial"/>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55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377"/>
        </w:trPr>
        <w:tc>
          <w:tcPr>
            <w:tcW w:w="212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204" w:line="259" w:lineRule="auto"/>
        <w:ind w:left="13" w:firstLine="0"/>
      </w:pPr>
      <w:r>
        <w:rPr>
          <w:rFonts w:ascii="Arial" w:eastAsia="Arial" w:hAnsi="Arial" w:cs="Arial"/>
          <w:b/>
          <w:sz w:val="10"/>
        </w:rPr>
        <w:t xml:space="preserve"> </w:t>
      </w:r>
    </w:p>
    <w:p w:rsidR="004D6F0E" w:rsidRDefault="00490F21">
      <w:pPr>
        <w:spacing w:after="102" w:line="273" w:lineRule="auto"/>
        <w:ind w:left="14" w:right="41"/>
        <w:jc w:val="both"/>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：有關金融衍生工具、金融技術及工具以及抵押品管理的額外資料」。槓桿手段。在實施本基金的投資策略時，投資管理人預期不會使用銀行借貸。本基金的預期槓桿水平預計將為其資產淨值的</w:t>
      </w:r>
      <w:r>
        <w:t xml:space="preserve"> </w:t>
      </w:r>
      <w:r>
        <w:rPr>
          <w:rFonts w:ascii="Arial" w:eastAsia="Arial" w:hAnsi="Arial" w:cs="Arial"/>
        </w:rPr>
        <w:t xml:space="preserve">0% </w:t>
      </w:r>
      <w:r>
        <w:t>至</w:t>
      </w:r>
      <w:r>
        <w:t xml:space="preserve"> </w:t>
      </w:r>
      <w:r>
        <w:rPr>
          <w:rFonts w:ascii="Arial" w:eastAsia="Arial" w:hAnsi="Arial" w:cs="Arial"/>
        </w:rPr>
        <w:t>300%</w:t>
      </w:r>
      <w:r>
        <w:t>之間。預期槓桿水平乃按本基金所持金融衍生工具的名義金額總值計算。根據日期為二零一一年五月三十日的盧森堡金融業監管委員會（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號公告，此計算方法並不計及特定金融衍生工具增加或減少本基金投資風險的情況，亦不允</w:t>
      </w:r>
      <w:r>
        <w:t>許以反向持倉對銷金融衍生工具。根據本方法，使用衍生工具作對沖用途將自動增加槓桿水平。因此，股東應注意預期槓桿水平較高不一定表示投資風險水平較高。此外，本基金的實際槓桿可能會偏離上述的預期槓桿水平。</w:t>
      </w:r>
      <w:r>
        <w:rPr>
          <w:rFonts w:ascii="Arial" w:eastAsia="Arial" w:hAnsi="Arial" w:cs="Arial"/>
        </w:rPr>
        <w:t xml:space="preserve"> </w:t>
      </w:r>
    </w:p>
    <w:p w:rsidR="004D6F0E" w:rsidRDefault="00490F21">
      <w:pPr>
        <w:spacing w:after="168"/>
        <w:ind w:left="11" w:right="2"/>
      </w:pPr>
      <w:r>
        <w:t>風險度量。投資管理人將使用風險值（「</w:t>
      </w:r>
      <w:r>
        <w:rPr>
          <w:rFonts w:ascii="Arial" w:eastAsia="Arial" w:hAnsi="Arial" w:cs="Arial"/>
        </w:rPr>
        <w:t>VaR</w:t>
      </w:r>
      <w:r>
        <w:t>」）方法來監測本基金的全球風險（市場風險）。本基金的全球風險乃根據絕對</w:t>
      </w:r>
      <w:r>
        <w:t xml:space="preserve"> </w:t>
      </w: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r>
        <w:t xml:space="preserve"> </w:t>
      </w:r>
      <w:r>
        <w:rPr>
          <w:rFonts w:ascii="Arial" w:eastAsia="Arial" w:hAnsi="Arial" w:cs="Arial"/>
        </w:rPr>
        <w:t>20%</w:t>
      </w:r>
      <w:r>
        <w:t>。</w:t>
      </w:r>
      <w:r>
        <w:rPr>
          <w:rFonts w:ascii="Arial" w:eastAsia="Arial" w:hAnsi="Arial" w:cs="Arial"/>
        </w:rPr>
        <w:t xml:space="preserve"> </w:t>
      </w:r>
    </w:p>
    <w:p w:rsidR="004D6F0E" w:rsidRDefault="00490F21">
      <w:pPr>
        <w:spacing w:after="40"/>
        <w:ind w:left="11" w:right="2"/>
      </w:pPr>
      <w:r>
        <w:t>基準。本基金的基準為具抵押隔夜融資利率（</w:t>
      </w:r>
      <w:r>
        <w:rPr>
          <w:rFonts w:ascii="Arial" w:eastAsia="Arial" w:hAnsi="Arial" w:cs="Arial"/>
        </w:rPr>
        <w:t>SOFR</w:t>
      </w:r>
      <w:r>
        <w:t>）。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其他投資政策</w:t>
      </w:r>
      <w:r>
        <w:rPr>
          <w:rFonts w:ascii="Arial" w:eastAsia="Arial" w:hAnsi="Arial" w:cs="Arial"/>
          <w:b/>
        </w:rPr>
        <w:t xml:space="preserve"> </w:t>
      </w:r>
    </w:p>
    <w:p w:rsidR="004D6F0E" w:rsidRDefault="00490F21">
      <w:pPr>
        <w:spacing w:after="103"/>
        <w:ind w:left="11" w:right="2"/>
      </w:pPr>
      <w:r>
        <w:t>本基金於任何一個國家或地區（包括任何新興市場國家或地區）的投資佔總資產的比例均無任何限制。本基金對在新興市場國家註冊的發行人的證券作出的投資，預計不會超過本基金淨資產的</w:t>
      </w:r>
      <w:r>
        <w:t xml:space="preserve"> </w:t>
      </w:r>
      <w:r>
        <w:rPr>
          <w:rFonts w:ascii="Arial" w:eastAsia="Arial" w:hAnsi="Arial" w:cs="Arial"/>
        </w:rPr>
        <w:t>30%</w:t>
      </w:r>
      <w:r>
        <w:t>。投資管理人將全權酌情釐定組成「新興市場國家」的國家。新興市場國家一般為環球</w:t>
      </w:r>
      <w:r>
        <w:t>金融界認為屬發展中國家的國家，包括不時列入</w:t>
      </w:r>
      <w:r>
        <w:t xml:space="preserve"> </w:t>
      </w:r>
      <w:r>
        <w:rPr>
          <w:rFonts w:ascii="Arial" w:eastAsia="Arial" w:hAnsi="Arial" w:cs="Arial"/>
        </w:rPr>
        <w:t xml:space="preserve">MSCI </w:t>
      </w:r>
      <w:r>
        <w:t>國際資本新興市場指數</w:t>
      </w:r>
      <w:r>
        <w:t xml:space="preserve"> </w:t>
      </w:r>
      <w:r>
        <w:rPr>
          <w:rFonts w:ascii="Arial" w:eastAsia="Arial" w:hAnsi="Arial" w:cs="Arial"/>
          <w:vertAlign w:val="superscript"/>
        </w:rPr>
        <w:lastRenderedPageBreak/>
        <w:t>SM</w:t>
      </w:r>
      <w:r>
        <w:t>（旨在衡量環球新興市場股市表現的自由浮動調整市值指數）的國家。投資管理人就某個國家是否屬新興市場國家而作出的決定可不時變動。作為暫時性的防守策略，或為準備資金贖回證券，本基金可無限制地持有現金、現金等價物或短期固定收益債務（包括貨幣市場工具）。</w:t>
      </w:r>
      <w:r>
        <w:rPr>
          <w:rFonts w:ascii="Arial" w:eastAsia="Arial" w:hAnsi="Arial" w:cs="Arial"/>
        </w:rPr>
        <w:t xml:space="preserve"> </w:t>
      </w:r>
    </w:p>
    <w:p w:rsidR="004D6F0E" w:rsidRDefault="00490F21">
      <w:pPr>
        <w:spacing w:after="98"/>
        <w:ind w:left="11" w:right="2"/>
      </w:pPr>
      <w:r>
        <w:t>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段。因此，本基金可能會難以隨時出售該等證券。此外，轉售該等證券可能會有合約限制。使用匯聚</w:t>
      </w:r>
      <w:r>
        <w:t>型投資工具為更有效地管理資產和增加投資於若干資產類別（包括另類投資），本基金可投資於匯聚型投資工具或其他投資管理人或其聯營公司或非聯營第三方保薦及／或管理的其他產品。該等匯聚型投資工具或其他產品必須符合盧森堡金融業監管委員會</w:t>
      </w:r>
      <w:r>
        <w:rPr>
          <w:rFonts w:ascii="Arial" w:eastAsia="Arial" w:hAnsi="Arial" w:cs="Arial"/>
        </w:rPr>
        <w:t>(CSSF)</w:t>
      </w:r>
      <w:r>
        <w:t>有關符合</w:t>
      </w:r>
      <w:r>
        <w:t xml:space="preserve"> </w:t>
      </w:r>
      <w:r>
        <w:rPr>
          <w:rFonts w:ascii="Arial" w:eastAsia="Arial" w:hAnsi="Arial" w:cs="Arial"/>
        </w:rPr>
        <w:t xml:space="preserve">UCITS </w:t>
      </w:r>
      <w:r>
        <w:t>資格的集體投資計劃的規定。本基金投資在開放式</w:t>
      </w:r>
      <w:r>
        <w:t xml:space="preserve"> </w:t>
      </w:r>
      <w:r>
        <w:rPr>
          <w:rFonts w:ascii="Arial" w:eastAsia="Arial" w:hAnsi="Arial" w:cs="Arial"/>
        </w:rPr>
        <w:t xml:space="preserve">UCITS </w:t>
      </w:r>
      <w:r>
        <w:t>或其他</w:t>
      </w:r>
      <w:r>
        <w:t xml:space="preserve"> </w:t>
      </w:r>
      <w:r>
        <w:rPr>
          <w:rFonts w:ascii="Arial" w:eastAsia="Arial" w:hAnsi="Arial" w:cs="Arial"/>
        </w:rPr>
        <w:t xml:space="preserve">UCI </w:t>
      </w:r>
      <w:r>
        <w:t>的能力不受第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(8)</w:t>
      </w:r>
      <w:r>
        <w:t>段所規限。因此，本基金可根據</w:t>
      </w:r>
      <w:r>
        <w:t xml:space="preserve"> </w:t>
      </w:r>
      <w:r>
        <w:rPr>
          <w:rFonts w:ascii="Arial" w:eastAsia="Arial" w:hAnsi="Arial" w:cs="Arial"/>
        </w:rPr>
        <w:t xml:space="preserve">UCITS </w:t>
      </w:r>
      <w:r>
        <w:t>規例投資在開放式</w:t>
      </w:r>
      <w:r>
        <w:t xml:space="preserve"> </w:t>
      </w:r>
      <w:r>
        <w:rPr>
          <w:rFonts w:ascii="Arial" w:eastAsia="Arial" w:hAnsi="Arial" w:cs="Arial"/>
        </w:rPr>
        <w:t xml:space="preserve">UCITS </w:t>
      </w:r>
      <w:r>
        <w:t>或其他</w:t>
      </w:r>
      <w:r>
        <w:t xml:space="preserve"> </w:t>
      </w:r>
      <w:r>
        <w:rPr>
          <w:rFonts w:ascii="Arial" w:eastAsia="Arial" w:hAnsi="Arial" w:cs="Arial"/>
        </w:rPr>
        <w:t>UCI</w:t>
      </w:r>
      <w:r>
        <w:t>。</w:t>
      </w:r>
      <w:r>
        <w:rPr>
          <w:rFonts w:ascii="Arial" w:eastAsia="Arial" w:hAnsi="Arial" w:cs="Arial"/>
        </w:rPr>
        <w:t xml:space="preserve"> </w:t>
      </w:r>
    </w:p>
    <w:p w:rsidR="004D6F0E" w:rsidRDefault="00490F21">
      <w:pPr>
        <w:spacing w:after="106"/>
        <w:ind w:left="11" w:right="2"/>
      </w:pPr>
      <w:r>
        <w:t>投資管理人預期本基金大部分匯聚型投資工具或其他產品的投資將為由投資管理人或其聯營公司保薦及／或管理的其他產品。然而，投資管理人可全權酌情決定投資於非聯營第三方保薦及／或管理的匯聚型投資工具，如該等投資可提供對若干資產類別更有效的持倉。</w:t>
      </w:r>
      <w:r>
        <w:rPr>
          <w:rFonts w:ascii="Arial" w:eastAsia="Arial" w:hAnsi="Arial" w:cs="Arial"/>
          <w:b/>
        </w:rPr>
        <w:t xml:space="preserve"> </w:t>
      </w:r>
    </w:p>
    <w:p w:rsidR="004D6F0E" w:rsidRDefault="00490F21">
      <w:pPr>
        <w:spacing w:after="107"/>
        <w:ind w:left="11" w:right="2"/>
      </w:pPr>
      <w:r>
        <w:t>本基金僅可投資於開放式</w:t>
      </w:r>
      <w:r>
        <w:t xml:space="preserve"> </w:t>
      </w:r>
      <w:r>
        <w:rPr>
          <w:rFonts w:ascii="Arial" w:eastAsia="Arial" w:hAnsi="Arial" w:cs="Arial"/>
        </w:rPr>
        <w:t xml:space="preserve">UCITS </w:t>
      </w:r>
      <w:r>
        <w:t>或非</w:t>
      </w:r>
      <w:r>
        <w:t xml:space="preserve"> </w:t>
      </w:r>
      <w:r>
        <w:rPr>
          <w:rFonts w:ascii="Arial" w:eastAsia="Arial" w:hAnsi="Arial" w:cs="Arial"/>
        </w:rPr>
        <w:t xml:space="preserve">UCITS </w:t>
      </w:r>
      <w:r>
        <w:t>計劃，在有關計劃中其不得投資多於</w:t>
      </w:r>
      <w:r>
        <w:rPr>
          <w:rFonts w:ascii="Arial" w:eastAsia="Arial" w:hAnsi="Arial" w:cs="Arial"/>
        </w:rPr>
        <w:t>10%</w:t>
      </w:r>
      <w:r>
        <w:t>的資產淨值於其他</w:t>
      </w:r>
      <w:r>
        <w:rPr>
          <w:rFonts w:ascii="Arial" w:eastAsia="Arial" w:hAnsi="Arial" w:cs="Arial"/>
        </w:rPr>
        <w:t>UCITS</w:t>
      </w:r>
      <w:r>
        <w:t>或其他集體投資企業。</w:t>
      </w:r>
      <w:r>
        <w:rPr>
          <w:rFonts w:ascii="Arial" w:eastAsia="Arial" w:hAnsi="Arial" w:cs="Arial"/>
        </w:rPr>
        <w:t xml:space="preserve">  </w:t>
      </w:r>
    </w:p>
    <w:p w:rsidR="004D6F0E" w:rsidRDefault="00490F21">
      <w:pPr>
        <w:spacing w:after="120"/>
        <w:ind w:left="11" w:right="2"/>
      </w:pPr>
      <w:r>
        <w:t>根據</w:t>
      </w:r>
      <w:r>
        <w:t xml:space="preserve"> </w:t>
      </w:r>
      <w:r>
        <w:rPr>
          <w:rFonts w:ascii="Arial" w:eastAsia="Arial" w:hAnsi="Arial" w:cs="Arial"/>
        </w:rPr>
        <w:t xml:space="preserve">UCITS </w:t>
      </w:r>
      <w:r>
        <w:t>規例，本基金最多可投資合共其</w:t>
      </w:r>
      <w:r>
        <w:t xml:space="preserve"> </w:t>
      </w:r>
      <w:r>
        <w:rPr>
          <w:rFonts w:ascii="Arial" w:eastAsia="Arial" w:hAnsi="Arial" w:cs="Arial"/>
        </w:rPr>
        <w:t>10%</w:t>
      </w:r>
      <w:r>
        <w:t>的淨資產於非上市證券及不受規管的投資基金，包括對沖基金。本基金投資於投資管理</w:t>
      </w:r>
      <w:r>
        <w:t>人、其聯營公司或非聯營第三方保薦及／或管理的其他匯聚型投資工具可能需要支付投資管理費，並在適用情況下支付各匯聚型投資工具級別的績效費。本基金不會</w:t>
      </w:r>
      <w:r>
        <w:t>對投資管理人已配置予另一個匯聚型投資工具或由投資管理人或一家聯營公司保薦及／或管理的其他產品的那一部分收資產取投資管理費。如本基金投資於投資管理人或其聯營公司保薦及／或管理的匯聚型投資工具或其他產品，相關匯聚型投資工具或產品的管理人將不會收取就有關投資向投資管理人或其聯營公司支付的預付銷售費用或其他已就有關投資支付予的認購或贖回費。然而，為保障匯聚型投資工具的投資者</w:t>
      </w:r>
      <w:r>
        <w:t>而設並為股東的利益而支付予有關匯聚型投資工具（而並非投資管理人或其聯營公司）的交易費用或收費則是許可的。</w:t>
      </w:r>
      <w:r>
        <w:rPr>
          <w:rFonts w:ascii="Arial" w:eastAsia="Arial" w:hAnsi="Arial" w:cs="Arial"/>
        </w:rPr>
        <w:t xml:space="preserve">   </w:t>
      </w:r>
    </w:p>
    <w:p w:rsidR="004D6F0E" w:rsidRDefault="00490F21">
      <w:pPr>
        <w:spacing w:after="122"/>
        <w:ind w:left="11" w:right="2"/>
      </w:pPr>
      <w:r>
        <w:t>貨幣對沖股份類別用某種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計及交易成本等實際考量因素，為投資者提供與本基金基準貨幣回報率更具相關性的回報率。採用的對沖策略在設計上是爲了降低（但未必消除）本基金基準貨幣和發售貨幣之間的貨幣風險。</w:t>
      </w:r>
      <w:r>
        <w:rPr>
          <w:rFonts w:ascii="Arial" w:eastAsia="Arial" w:hAnsi="Arial" w:cs="Arial"/>
        </w:rPr>
        <w:t xml:space="preserve"> </w:t>
      </w:r>
    </w:p>
    <w:p w:rsidR="004D6F0E" w:rsidRDefault="00490F21">
      <w:pPr>
        <w:spacing w:after="125"/>
        <w:ind w:left="11" w:right="2"/>
      </w:pPr>
      <w:r>
        <w:t>貨幣對沖股份類別並不影響本基金所屬資產的投資管理，因為用發售貨幣對沖的只是貨幣對沖股份類別的資產淨值，而非本基金所屬資產。此類對沖活動引起的開支由引起該項開支的貨幣對沖股份類別承擔。</w:t>
      </w:r>
      <w:r>
        <w:rPr>
          <w:rFonts w:ascii="Arial" w:eastAsia="Arial" w:hAnsi="Arial" w:cs="Arial"/>
        </w:rPr>
        <w:t xml:space="preserve"> </w:t>
      </w:r>
    </w:p>
    <w:p w:rsidR="004D6F0E" w:rsidRDefault="00490F21">
      <w:pPr>
        <w:spacing w:after="124"/>
        <w:ind w:left="11" w:right="2"/>
      </w:pPr>
      <w:r>
        <w:t>欲進一步了解股份類別對沖詳情，請參閱第</w:t>
      </w:r>
      <w:r>
        <w:t xml:space="preserve"> </w:t>
      </w:r>
      <w:r>
        <w:rPr>
          <w:rFonts w:ascii="Arial" w:eastAsia="Arial" w:hAnsi="Arial" w:cs="Arial"/>
        </w:rPr>
        <w:t xml:space="preserve">II </w:t>
      </w:r>
      <w:r>
        <w:t>部分「如何交換或轉換股份</w:t>
      </w:r>
      <w:r>
        <w:rPr>
          <w:rFonts w:ascii="Arial" w:eastAsia="Arial" w:hAnsi="Arial" w:cs="Arial"/>
        </w:rPr>
        <w:t xml:space="preserve"> – </w:t>
      </w:r>
      <w:r>
        <w:t>貨幣對沖股份類別」。</w:t>
      </w:r>
      <w:r>
        <w:rPr>
          <w:rFonts w:ascii="Arial" w:eastAsia="Arial" w:hAnsi="Arial" w:cs="Arial"/>
        </w:rPr>
        <w:t xml:space="preserve"> </w:t>
      </w:r>
    </w:p>
    <w:p w:rsidR="004D6F0E" w:rsidRDefault="00490F21">
      <w:pPr>
        <w:spacing w:after="27" w:line="254" w:lineRule="auto"/>
        <w:ind w:left="8" w:hanging="10"/>
      </w:pPr>
      <w:r>
        <w:t>負責任投資。本基金整合</w:t>
      </w:r>
      <w:r>
        <w:t xml:space="preserve"> </w:t>
      </w:r>
      <w:r>
        <w:rPr>
          <w:rFonts w:ascii="Arial" w:eastAsia="Arial" w:hAnsi="Arial" w:cs="Arial"/>
        </w:rPr>
        <w:t xml:space="preserve">ESG </w:t>
      </w:r>
      <w:r>
        <w:t>考慮因素。本基金應用若干排除</w:t>
      </w:r>
      <w:r>
        <w:tab/>
      </w:r>
      <w:r>
        <w:t>條</w:t>
      </w:r>
      <w:r>
        <w:tab/>
      </w:r>
      <w:r>
        <w:t>件</w:t>
      </w:r>
      <w:r>
        <w:tab/>
      </w:r>
      <w:r>
        <w:t>，</w:t>
      </w:r>
      <w:r>
        <w:tab/>
      </w:r>
      <w:r>
        <w:t>詳</w:t>
      </w:r>
      <w:r>
        <w:tab/>
      </w:r>
      <w:r>
        <w:t>情</w:t>
      </w:r>
      <w:r>
        <w:tab/>
      </w:r>
      <w:r>
        <w:t>登</w:t>
      </w:r>
      <w:r>
        <w:tab/>
      </w:r>
      <w:r>
        <w:t>載</w:t>
      </w:r>
      <w:r>
        <w:tab/>
      </w:r>
      <w:r>
        <w:t>於</w:t>
      </w:r>
      <w:r>
        <w:t xml:space="preserve"> </w:t>
      </w:r>
      <w:hyperlink r:id="rId27">
        <w:r>
          <w:rPr>
            <w:rFonts w:ascii="Arial" w:eastAsia="Arial" w:hAnsi="Arial" w:cs="Arial"/>
            <w:color w:val="0000FF"/>
            <w:u w:val="single" w:color="0000FF"/>
          </w:rPr>
          <w:t>www.alliancebernstein.com/go/ABFCPIExclusionChart</w:t>
        </w:r>
      </w:hyperlink>
      <w:hyperlink r:id="rId28">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r>
        <w:rPr>
          <w:rFonts w:ascii="Arial" w:eastAsia="Arial" w:hAnsi="Arial" w:cs="Arial"/>
        </w:rPr>
        <w:t xml:space="preserve"> </w:t>
      </w:r>
    </w:p>
    <w:p w:rsidR="004D6F0E" w:rsidRDefault="004D6F0E">
      <w:pPr>
        <w:sectPr w:rsidR="004D6F0E">
          <w:headerReference w:type="even" r:id="rId29"/>
          <w:headerReference w:type="default" r:id="rId30"/>
          <w:footerReference w:type="even" r:id="rId31"/>
          <w:footerReference w:type="default" r:id="rId32"/>
          <w:headerReference w:type="first" r:id="rId33"/>
          <w:footerReference w:type="first" r:id="rId34"/>
          <w:pgSz w:w="12240" w:h="15840"/>
          <w:pgMar w:top="997" w:right="670" w:bottom="215" w:left="419" w:header="720" w:footer="402" w:gutter="0"/>
          <w:pgNumType w:start="1"/>
          <w:cols w:num="2" w:space="720" w:equalWidth="0">
            <w:col w:w="5479" w:space="568"/>
            <w:col w:w="5104"/>
          </w:cols>
          <w:titlePg/>
        </w:sectPr>
      </w:pPr>
    </w:p>
    <w:p w:rsidR="004D6F0E" w:rsidRDefault="00490F21">
      <w:pPr>
        <w:pStyle w:val="Heading3"/>
        <w:spacing w:after="0"/>
        <w:ind w:left="4" w:firstLine="11088"/>
      </w:pPr>
      <w:r>
        <w:rPr>
          <w:rFonts w:ascii="Times New Roman" w:eastAsia="Times New Roman" w:hAnsi="Times New Roman" w:cs="Times New Roman"/>
          <w:sz w:val="19"/>
        </w:rPr>
        <w:t xml:space="preserve"> </w:t>
      </w:r>
      <w:r>
        <w:t>摘要資料</w:t>
      </w:r>
      <w:r>
        <w:rPr>
          <w:rFonts w:ascii="Arial" w:eastAsia="Arial" w:hAnsi="Arial" w:cs="Arial"/>
        </w:rPr>
        <w:t xml:space="preserve"> </w:t>
      </w:r>
    </w:p>
    <w:p w:rsidR="004D6F0E" w:rsidRDefault="00490F21">
      <w:pPr>
        <w:spacing w:after="0" w:line="259" w:lineRule="auto"/>
        <w:ind w:left="0" w:firstLine="0"/>
      </w:pPr>
      <w:r>
        <w:rPr>
          <w:rFonts w:ascii="Calibri" w:eastAsia="Calibri" w:hAnsi="Calibri" w:cs="Calibri"/>
          <w:noProof/>
          <w:sz w:val="22"/>
        </w:rPr>
        <mc:AlternateContent>
          <mc:Choice Requires="wpg">
            <w:drawing>
              <wp:inline distT="0" distB="0" distL="0" distR="0">
                <wp:extent cx="7021069" cy="18288"/>
                <wp:effectExtent l="0" t="0" r="0" b="0"/>
                <wp:docPr id="427496" name="Group 427496"/>
                <wp:cNvGraphicFramePr/>
                <a:graphic xmlns:a="http://schemas.openxmlformats.org/drawingml/2006/main">
                  <a:graphicData uri="http://schemas.microsoft.com/office/word/2010/wordprocessingGroup">
                    <wpg:wgp>
                      <wpg:cNvGrpSpPr/>
                      <wpg:grpSpPr>
                        <a:xfrm>
                          <a:off x="0" y="0"/>
                          <a:ext cx="7021069" cy="18288"/>
                          <a:chOff x="0" y="0"/>
                          <a:chExt cx="7021069" cy="18288"/>
                        </a:xfrm>
                      </wpg:grpSpPr>
                      <wps:wsp>
                        <wps:cNvPr id="657701" name="Shape 657701"/>
                        <wps:cNvSpPr/>
                        <wps:spPr>
                          <a:xfrm>
                            <a:off x="0" y="0"/>
                            <a:ext cx="7021069" cy="18288"/>
                          </a:xfrm>
                          <a:custGeom>
                            <a:avLst/>
                            <a:gdLst/>
                            <a:ahLst/>
                            <a:cxnLst/>
                            <a:rect l="0" t="0" r="0" b="0"/>
                            <a:pathLst>
                              <a:path w="7021069" h="18288">
                                <a:moveTo>
                                  <a:pt x="0" y="0"/>
                                </a:moveTo>
                                <a:lnTo>
                                  <a:pt x="7021069" y="0"/>
                                </a:lnTo>
                                <a:lnTo>
                                  <a:pt x="702106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7496" style="width:552.84pt;height:1.44pt;mso-position-horizontal-relative:char;mso-position-vertical-relative:line" coordsize="70210,182">
                <v:shape id="Shape 657702" style="position:absolute;width:70210;height:182;left:0;top:0;" coordsize="7021069,18288" path="m0,0l7021069,0l7021069,18288l0,18288l0,0">
                  <v:stroke weight="0pt" endcap="flat" joinstyle="miter" miterlimit="10" on="false" color="#000000" opacity="0"/>
                  <v:fill on="true" color="#000000"/>
                </v:shape>
              </v:group>
            </w:pict>
          </mc:Fallback>
        </mc:AlternateContent>
      </w:r>
    </w:p>
    <w:p w:rsidR="004D6F0E" w:rsidRDefault="004D6F0E">
      <w:pPr>
        <w:sectPr w:rsidR="004D6F0E">
          <w:type w:val="continuous"/>
          <w:pgSz w:w="12240" w:h="15840"/>
          <w:pgMar w:top="997" w:right="673" w:bottom="541" w:left="432" w:header="720" w:footer="720" w:gutter="0"/>
          <w:cols w:space="720"/>
        </w:sectPr>
      </w:pPr>
    </w:p>
    <w:p w:rsidR="004D6F0E" w:rsidRDefault="00490F21">
      <w:pPr>
        <w:ind w:left="8" w:right="13" w:hanging="10"/>
      </w:pPr>
      <w:r>
        <w:rPr>
          <w:sz w:val="18"/>
        </w:rPr>
        <w:t>基金特色基金貨幣</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8" w:right="13" w:hanging="10"/>
      </w:pPr>
      <w:r>
        <w:rPr>
          <w:sz w:val="18"/>
        </w:rPr>
        <w:t>資產淨值計算</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8" w:right="13" w:hanging="10"/>
      </w:pPr>
      <w:r>
        <w:rPr>
          <w:sz w:val="18"/>
        </w:rPr>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lastRenderedPageBreak/>
        <w:t xml:space="preserve"> </w:t>
      </w:r>
    </w:p>
    <w:p w:rsidR="004D6F0E" w:rsidRDefault="00490F21">
      <w:pPr>
        <w:spacing w:after="0" w:line="291" w:lineRule="auto"/>
        <w:ind w:left="-5" w:hanging="10"/>
        <w:jc w:val="both"/>
      </w:pPr>
      <w:r>
        <w:rPr>
          <w:sz w:val="18"/>
        </w:rPr>
        <w:t>股份類別名稱美元</w:t>
      </w:r>
      <w:r>
        <w:rPr>
          <w:rFonts w:ascii="Arial" w:eastAsia="Arial" w:hAnsi="Arial" w:cs="Arial"/>
          <w:sz w:val="18"/>
        </w:rPr>
        <w:t xml:space="preserve"> </w:t>
      </w:r>
      <w:r>
        <w:rPr>
          <w:rFonts w:ascii="Arial" w:eastAsia="Arial" w:hAnsi="Arial" w:cs="Arial"/>
          <w:sz w:val="18"/>
        </w:rPr>
        <w:tab/>
        <w:t xml:space="preserve"> </w:t>
      </w:r>
      <w:r>
        <w:rPr>
          <w:sz w:val="18"/>
        </w:rPr>
        <w:t>指示截止時間</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sz w:val="18"/>
        </w:rPr>
        <w:t>每個營業日</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sz w:val="18"/>
        </w:rPr>
        <w:t>可在</w:t>
      </w:r>
      <w:r>
        <w:rPr>
          <w:sz w:val="18"/>
        </w:rPr>
        <w:t xml:space="preserve"> </w:t>
      </w:r>
      <w:hyperlink r:id="rId35">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36">
        <w:r>
          <w:rPr>
            <w:sz w:val="18"/>
          </w:rPr>
          <w:t>查</w:t>
        </w:r>
      </w:hyperlink>
      <w:r>
        <w:rPr>
          <w:sz w:val="18"/>
        </w:rPr>
        <w:t>閱</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87"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16" w:lineRule="auto"/>
        <w:ind w:left="-5" w:right="700" w:hanging="10"/>
        <w:jc w:val="both"/>
      </w:pPr>
      <w:r>
        <w:rPr>
          <w:rFonts w:ascii="Arial" w:eastAsia="Arial" w:hAnsi="Arial" w:cs="Arial"/>
          <w:b/>
          <w:sz w:val="18"/>
        </w:rPr>
        <w:t>H</w:t>
      </w:r>
      <w:r>
        <w:rPr>
          <w:sz w:val="18"/>
        </w:rPr>
        <w:t>代表貨幣對沖股份類別。欲進一步了解股份類別對沖</w:t>
      </w:r>
      <w:r>
        <w:rPr>
          <w:rFonts w:ascii="Arial" w:eastAsia="Arial" w:hAnsi="Arial" w:cs="Arial"/>
          <w:sz w:val="28"/>
          <w:vertAlign w:val="superscript"/>
        </w:rPr>
        <w:t xml:space="preserve"> </w:t>
      </w:r>
      <w:r>
        <w:rPr>
          <w:rFonts w:ascii="Arial" w:eastAsia="Arial" w:hAnsi="Arial" w:cs="Arial"/>
          <w:sz w:val="18"/>
        </w:rPr>
        <w:t xml:space="preserve"> </w:t>
      </w:r>
      <w:r>
        <w:rPr>
          <w:sz w:val="18"/>
        </w:rPr>
        <w:t>派息</w:t>
      </w:r>
      <w:r>
        <w:rPr>
          <w:rFonts w:ascii="Arial" w:eastAsia="Arial" w:hAnsi="Arial" w:cs="Arial"/>
          <w:sz w:val="18"/>
        </w:rPr>
        <w:t xml:space="preserve">* </w:t>
      </w:r>
      <w:r>
        <w:rPr>
          <w:sz w:val="18"/>
        </w:rPr>
        <w:t>詳情，請參閱第</w:t>
      </w:r>
      <w:r>
        <w:rPr>
          <w:rFonts w:ascii="Arial" w:eastAsia="Arial" w:hAnsi="Arial" w:cs="Arial"/>
          <w:sz w:val="18"/>
        </w:rPr>
        <w:t>II</w:t>
      </w:r>
      <w:r>
        <w:rPr>
          <w:sz w:val="18"/>
        </w:rPr>
        <w:t>部分「如何購買股份</w:t>
      </w:r>
      <w:r>
        <w:rPr>
          <w:rFonts w:ascii="Arial" w:eastAsia="Arial" w:hAnsi="Arial" w:cs="Arial"/>
          <w:sz w:val="18"/>
        </w:rPr>
        <w:t xml:space="preserve"> – </w:t>
      </w:r>
      <w:r>
        <w:rPr>
          <w:sz w:val="18"/>
        </w:rPr>
        <w:t>貨幣對沖股</w:t>
      </w:r>
    </w:p>
    <w:p w:rsidR="004D6F0E" w:rsidRDefault="00490F21">
      <w:pPr>
        <w:spacing w:line="216" w:lineRule="auto"/>
        <w:ind w:left="-2" w:right="13" w:firstLine="4418"/>
      </w:pPr>
      <w:r>
        <w:rPr>
          <w:rFonts w:ascii="Arial" w:eastAsia="Arial" w:hAnsi="Arial" w:cs="Arial"/>
          <w:sz w:val="18"/>
        </w:rPr>
        <w:t xml:space="preserve"> </w:t>
      </w:r>
      <w:r>
        <w:rPr>
          <w:rFonts w:ascii="Arial" w:eastAsia="Arial" w:hAnsi="Arial" w:cs="Arial"/>
          <w:sz w:val="18"/>
        </w:rPr>
        <w:tab/>
        <w:t xml:space="preserve"> </w:t>
      </w:r>
      <w:r>
        <w:rPr>
          <w:sz w:val="18"/>
        </w:rPr>
        <w:t>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p w:rsidR="004D6F0E" w:rsidRDefault="00490F21">
      <w:pPr>
        <w:ind w:left="11" w:right="2"/>
      </w:pPr>
      <w:r>
        <w:t>美元計價股份類別、歐元計價股份類別及新加坡元計價股份類別</w:t>
      </w:r>
      <w:r>
        <w:rPr>
          <w:rFonts w:ascii="Arial" w:eastAsia="Arial" w:hAnsi="Arial" w:cs="Arial"/>
          <w:i/>
          <w:sz w:val="18"/>
        </w:rPr>
        <w:t xml:space="preserve"> </w:t>
      </w:r>
    </w:p>
    <w:p w:rsidR="004D6F0E" w:rsidRDefault="00490F21">
      <w:pPr>
        <w:spacing w:after="129"/>
        <w:ind w:left="8" w:right="13" w:hanging="10"/>
      </w:pPr>
      <w:r>
        <w:rPr>
          <w:sz w:val="18"/>
        </w:rPr>
        <w:t>美國東部時間各營業日下午</w:t>
      </w:r>
      <w:r>
        <w:rPr>
          <w:sz w:val="18"/>
        </w:rPr>
        <w:t xml:space="preserve"> </w:t>
      </w:r>
      <w:r>
        <w:rPr>
          <w:rFonts w:ascii="Arial" w:eastAsia="Arial" w:hAnsi="Arial" w:cs="Arial"/>
          <w:sz w:val="18"/>
        </w:rPr>
        <w:t xml:space="preserve">4:00 </w:t>
      </w:r>
    </w:p>
    <w:p w:rsidR="004D6F0E" w:rsidRDefault="00490F21">
      <w:pPr>
        <w:spacing w:after="196"/>
        <w:ind w:left="8" w:right="13" w:hanging="10"/>
      </w:pPr>
      <w:r>
        <w:t>貨幣對沖股份類別</w:t>
      </w:r>
      <w:r>
        <w:rPr>
          <w:sz w:val="18"/>
        </w:rPr>
        <w:t>歐洲中部時間各營業日下午</w:t>
      </w:r>
      <w:r>
        <w:rPr>
          <w:sz w:val="18"/>
        </w:rPr>
        <w:t xml:space="preserve"> </w:t>
      </w:r>
      <w:r>
        <w:rPr>
          <w:rFonts w:ascii="Arial" w:eastAsia="Arial" w:hAnsi="Arial" w:cs="Arial"/>
          <w:sz w:val="18"/>
        </w:rPr>
        <w:t xml:space="preserve">6:00 </w:t>
      </w:r>
    </w:p>
    <w:p w:rsidR="004D6F0E" w:rsidRDefault="00490F21">
      <w:pPr>
        <w:ind w:left="8" w:right="13" w:hanging="10"/>
      </w:pPr>
      <w:r>
        <w:rPr>
          <w:rFonts w:ascii="Arial" w:eastAsia="Arial" w:hAnsi="Arial" w:cs="Arial"/>
          <w:i/>
          <w:sz w:val="18"/>
        </w:rPr>
        <w:t>AR</w:t>
      </w:r>
      <w:r>
        <w:t>類股份</w:t>
      </w:r>
      <w:r>
        <w:rPr>
          <w:sz w:val="18"/>
        </w:rPr>
        <w:t>按年宣派及派付，派息率來自於總收入</w:t>
      </w:r>
      <w:r>
        <w:rPr>
          <w:rFonts w:ascii="Arial" w:eastAsia="Arial" w:hAnsi="Arial" w:cs="Arial"/>
          <w:sz w:val="18"/>
        </w:rPr>
        <w:t xml:space="preserve"> </w:t>
      </w:r>
    </w:p>
    <w:p w:rsidR="004D6F0E" w:rsidRDefault="00490F21">
      <w:pPr>
        <w:ind w:left="8" w:right="13" w:hanging="10"/>
      </w:pPr>
      <w:r>
        <w:rPr>
          <w:sz w:val="18"/>
        </w:rPr>
        <w:t>（扣除費用及開支前）</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1" w:line="259" w:lineRule="auto"/>
        <w:ind w:left="7" w:hanging="10"/>
      </w:pPr>
      <w:r>
        <w:rPr>
          <w:rFonts w:ascii="Arial" w:eastAsia="Arial" w:hAnsi="Arial" w:cs="Arial"/>
          <w:i/>
          <w:sz w:val="18"/>
        </w:rPr>
        <w:t>A</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S</w:t>
      </w:r>
      <w:r>
        <w:t>、</w:t>
      </w:r>
      <w:r>
        <w:rPr>
          <w:rFonts w:ascii="Arial" w:eastAsia="Arial" w:hAnsi="Arial" w:cs="Arial"/>
          <w:i/>
          <w:sz w:val="18"/>
        </w:rPr>
        <w:t>S1</w:t>
      </w:r>
      <w:r>
        <w:t>、</w:t>
      </w:r>
      <w:r>
        <w:rPr>
          <w:rFonts w:ascii="Arial" w:eastAsia="Arial" w:hAnsi="Arial" w:cs="Arial"/>
          <w:i/>
          <w:sz w:val="18"/>
        </w:rPr>
        <w:t>SP</w:t>
      </w:r>
      <w:r>
        <w:t>、</w:t>
      </w:r>
      <w:r>
        <w:rPr>
          <w:rFonts w:ascii="Arial" w:eastAsia="Arial" w:hAnsi="Arial" w:cs="Arial"/>
          <w:i/>
          <w:sz w:val="18"/>
        </w:rPr>
        <w:t>S1P</w:t>
      </w:r>
      <w:r>
        <w:t>、</w:t>
      </w:r>
      <w:r>
        <w:rPr>
          <w:rFonts w:ascii="Arial" w:eastAsia="Arial" w:hAnsi="Arial" w:cs="Arial"/>
          <w:i/>
          <w:sz w:val="18"/>
        </w:rPr>
        <w:t>AX</w:t>
      </w:r>
      <w:r>
        <w:t>、</w:t>
      </w:r>
      <w:r>
        <w:rPr>
          <w:rFonts w:ascii="Arial" w:eastAsia="Arial" w:hAnsi="Arial" w:cs="Arial"/>
          <w:i/>
          <w:sz w:val="18"/>
        </w:rPr>
        <w:t>BX</w:t>
      </w:r>
      <w:r>
        <w:t>、</w:t>
      </w:r>
    </w:p>
    <w:p w:rsidR="004D6F0E" w:rsidRDefault="00490F21">
      <w:pPr>
        <w:spacing w:after="1" w:line="259" w:lineRule="auto"/>
        <w:ind w:left="7" w:hanging="10"/>
      </w:pPr>
      <w:r>
        <w:rPr>
          <w:rFonts w:ascii="Arial" w:eastAsia="Arial" w:hAnsi="Arial" w:cs="Arial"/>
          <w:i/>
          <w:sz w:val="18"/>
        </w:rPr>
        <w:t>CX</w:t>
      </w:r>
      <w:r>
        <w:t>、</w:t>
      </w:r>
      <w:r>
        <w:rPr>
          <w:rFonts w:ascii="Arial" w:eastAsia="Arial" w:hAnsi="Arial" w:cs="Arial"/>
          <w:i/>
          <w:sz w:val="18"/>
        </w:rPr>
        <w:t>IX</w:t>
      </w:r>
      <w:r>
        <w:t>類股份</w:t>
      </w:r>
      <w:r>
        <w:rPr>
          <w:rFonts w:ascii="Arial" w:eastAsia="Arial" w:hAnsi="Arial" w:cs="Arial"/>
          <w:i/>
          <w:sz w:val="18"/>
        </w:rPr>
        <w:t xml:space="preserve"> </w:t>
      </w:r>
    </w:p>
    <w:p w:rsidR="004D6F0E" w:rsidRDefault="00490F21">
      <w:pPr>
        <w:ind w:left="8" w:right="13" w:hanging="10"/>
      </w:pPr>
      <w:r>
        <w:rPr>
          <w:sz w:val="18"/>
        </w:rPr>
        <w:t>無。</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ind w:left="8" w:right="13" w:hanging="10"/>
      </w:pPr>
      <w:r>
        <w:rPr>
          <w:sz w:val="18"/>
        </w:rPr>
        <w:t>見下文「派息」。</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ind w:left="8" w:right="13" w:hanging="10"/>
      </w:pPr>
      <w:r>
        <w:rPr>
          <w:rFonts w:ascii="Arial" w:eastAsia="Arial" w:hAnsi="Arial" w:cs="Arial"/>
          <w:sz w:val="18"/>
        </w:rPr>
        <w:t>*</w:t>
      </w:r>
      <w:r>
        <w:rPr>
          <w:sz w:val="18"/>
        </w:rPr>
        <w:t>包括對沖股份類別</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D6F0E">
      <w:pPr>
        <w:sectPr w:rsidR="004D6F0E">
          <w:type w:val="continuous"/>
          <w:pgSz w:w="12240" w:h="15840"/>
          <w:pgMar w:top="1440" w:right="768" w:bottom="1440" w:left="540" w:header="720" w:footer="720" w:gutter="0"/>
          <w:cols w:num="3" w:space="720" w:equalWidth="0">
            <w:col w:w="1130" w:space="327"/>
            <w:col w:w="5810" w:space="389"/>
            <w:col w:w="3276"/>
          </w:cols>
        </w:sectPr>
      </w:pPr>
    </w:p>
    <w:p w:rsidR="004D6F0E" w:rsidRDefault="00490F21">
      <w:pPr>
        <w:spacing w:line="259" w:lineRule="auto"/>
        <w:ind w:left="-7" w:firstLine="0"/>
      </w:pPr>
      <w:r>
        <w:rPr>
          <w:rFonts w:ascii="Calibri" w:eastAsia="Calibri" w:hAnsi="Calibri" w:cs="Calibri"/>
          <w:noProof/>
          <w:sz w:val="22"/>
        </w:rPr>
        <mc:AlternateContent>
          <mc:Choice Requires="wpg">
            <w:drawing>
              <wp:inline distT="0" distB="0" distL="0" distR="0">
                <wp:extent cx="7025640" cy="376266"/>
                <wp:effectExtent l="0" t="0" r="0" b="0"/>
                <wp:docPr id="427497" name="Group 427497"/>
                <wp:cNvGraphicFramePr/>
                <a:graphic xmlns:a="http://schemas.openxmlformats.org/drawingml/2006/main">
                  <a:graphicData uri="http://schemas.microsoft.com/office/word/2010/wordprocessingGroup">
                    <wpg:wgp>
                      <wpg:cNvGrpSpPr/>
                      <wpg:grpSpPr>
                        <a:xfrm>
                          <a:off x="0" y="0"/>
                          <a:ext cx="7025640" cy="376266"/>
                          <a:chOff x="0" y="0"/>
                          <a:chExt cx="7025640" cy="376266"/>
                        </a:xfrm>
                      </wpg:grpSpPr>
                      <wps:wsp>
                        <wps:cNvPr id="5047" name="Rectangle 5047"/>
                        <wps:cNvSpPr/>
                        <wps:spPr>
                          <a:xfrm>
                            <a:off x="73152" y="36487"/>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5048" name="Rectangle 5048"/>
                        <wps:cNvSpPr/>
                        <wps:spPr>
                          <a:xfrm>
                            <a:off x="1132332" y="34440"/>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5049" name="Rectangle 5049"/>
                        <wps:cNvSpPr/>
                        <wps:spPr>
                          <a:xfrm>
                            <a:off x="1173480" y="34440"/>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705" name="Shape 65770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06" name="Shape 657706"/>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07" name="Shape 657707"/>
                        <wps:cNvSpPr/>
                        <wps:spPr>
                          <a:xfrm>
                            <a:off x="22860" y="0"/>
                            <a:ext cx="908304" cy="18288"/>
                          </a:xfrm>
                          <a:custGeom>
                            <a:avLst/>
                            <a:gdLst/>
                            <a:ahLst/>
                            <a:cxnLst/>
                            <a:rect l="0" t="0" r="0" b="0"/>
                            <a:pathLst>
                              <a:path w="908304" h="18288">
                                <a:moveTo>
                                  <a:pt x="0" y="0"/>
                                </a:moveTo>
                                <a:lnTo>
                                  <a:pt x="908304" y="0"/>
                                </a:lnTo>
                                <a:lnTo>
                                  <a:pt x="90830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08" name="Shape 657708"/>
                        <wps:cNvSpPr/>
                        <wps:spPr>
                          <a:xfrm>
                            <a:off x="9311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09" name="Shape 657709"/>
                        <wps:cNvSpPr/>
                        <wps:spPr>
                          <a:xfrm>
                            <a:off x="949452" y="0"/>
                            <a:ext cx="2785872" cy="18288"/>
                          </a:xfrm>
                          <a:custGeom>
                            <a:avLst/>
                            <a:gdLst/>
                            <a:ahLst/>
                            <a:cxnLst/>
                            <a:rect l="0" t="0" r="0" b="0"/>
                            <a:pathLst>
                              <a:path w="2785872" h="18288">
                                <a:moveTo>
                                  <a:pt x="0" y="0"/>
                                </a:moveTo>
                                <a:lnTo>
                                  <a:pt x="2785872" y="0"/>
                                </a:lnTo>
                                <a:lnTo>
                                  <a:pt x="27858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0" name="Shape 657710"/>
                        <wps:cNvSpPr/>
                        <wps:spPr>
                          <a:xfrm>
                            <a:off x="37353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1" name="Shape 657711"/>
                        <wps:cNvSpPr/>
                        <wps:spPr>
                          <a:xfrm>
                            <a:off x="3753612" y="0"/>
                            <a:ext cx="149352" cy="18288"/>
                          </a:xfrm>
                          <a:custGeom>
                            <a:avLst/>
                            <a:gdLst/>
                            <a:ahLst/>
                            <a:cxnLst/>
                            <a:rect l="0" t="0" r="0" b="0"/>
                            <a:pathLst>
                              <a:path w="149352" h="18288">
                                <a:moveTo>
                                  <a:pt x="0" y="0"/>
                                </a:moveTo>
                                <a:lnTo>
                                  <a:pt x="149352" y="0"/>
                                </a:lnTo>
                                <a:lnTo>
                                  <a:pt x="1493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2" name="Shape 657712"/>
                        <wps:cNvSpPr/>
                        <wps:spPr>
                          <a:xfrm>
                            <a:off x="390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3" name="Shape 657713"/>
                        <wps:cNvSpPr/>
                        <wps:spPr>
                          <a:xfrm>
                            <a:off x="3921252" y="0"/>
                            <a:ext cx="952500" cy="18288"/>
                          </a:xfrm>
                          <a:custGeom>
                            <a:avLst/>
                            <a:gdLst/>
                            <a:ahLst/>
                            <a:cxnLst/>
                            <a:rect l="0" t="0" r="0" b="0"/>
                            <a:pathLst>
                              <a:path w="952500" h="18288">
                                <a:moveTo>
                                  <a:pt x="0" y="0"/>
                                </a:moveTo>
                                <a:lnTo>
                                  <a:pt x="952500" y="0"/>
                                </a:lnTo>
                                <a:lnTo>
                                  <a:pt x="9525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4" name="Shape 657714"/>
                        <wps:cNvSpPr/>
                        <wps:spPr>
                          <a:xfrm>
                            <a:off x="4873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15" name="Shape 657715"/>
                        <wps:cNvSpPr/>
                        <wps:spPr>
                          <a:xfrm>
                            <a:off x="4892040" y="0"/>
                            <a:ext cx="2133600" cy="18288"/>
                          </a:xfrm>
                          <a:custGeom>
                            <a:avLst/>
                            <a:gdLst/>
                            <a:ahLst/>
                            <a:cxnLst/>
                            <a:rect l="0" t="0" r="0" b="0"/>
                            <a:pathLst>
                              <a:path w="2133600" h="18288">
                                <a:moveTo>
                                  <a:pt x="0" y="0"/>
                                </a:moveTo>
                                <a:lnTo>
                                  <a:pt x="2133600" y="0"/>
                                </a:lnTo>
                                <a:lnTo>
                                  <a:pt x="21336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Rectangle 5061"/>
                        <wps:cNvSpPr/>
                        <wps:spPr>
                          <a:xfrm>
                            <a:off x="73152" y="268831"/>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5062" name="Rectangle 5062"/>
                        <wps:cNvSpPr/>
                        <wps:spPr>
                          <a:xfrm>
                            <a:off x="1827276" y="199554"/>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5063" name="Rectangle 5063"/>
                        <wps:cNvSpPr/>
                        <wps:spPr>
                          <a:xfrm>
                            <a:off x="2429256" y="197508"/>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5064" name="Rectangle 5064"/>
                        <wps:cNvSpPr/>
                        <wps:spPr>
                          <a:xfrm>
                            <a:off x="2470404" y="207870"/>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718" name="Shape 657718"/>
                        <wps:cNvSpPr/>
                        <wps:spPr>
                          <a:xfrm>
                            <a:off x="1487424" y="342900"/>
                            <a:ext cx="1322845" cy="9144"/>
                          </a:xfrm>
                          <a:custGeom>
                            <a:avLst/>
                            <a:gdLst/>
                            <a:ahLst/>
                            <a:cxnLst/>
                            <a:rect l="0" t="0" r="0" b="0"/>
                            <a:pathLst>
                              <a:path w="1322845" h="9144">
                                <a:moveTo>
                                  <a:pt x="0" y="0"/>
                                </a:moveTo>
                                <a:lnTo>
                                  <a:pt x="1322845" y="0"/>
                                </a:lnTo>
                                <a:lnTo>
                                  <a:pt x="13228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Rectangle 5066"/>
                        <wps:cNvSpPr/>
                        <wps:spPr>
                          <a:xfrm>
                            <a:off x="3432048" y="199554"/>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5067" name="Rectangle 5067"/>
                        <wps:cNvSpPr/>
                        <wps:spPr>
                          <a:xfrm>
                            <a:off x="3805428" y="197508"/>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5068" name="Rectangle 5068"/>
                        <wps:cNvSpPr/>
                        <wps:spPr>
                          <a:xfrm>
                            <a:off x="3846576" y="197508"/>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721" name="Shape 657721"/>
                        <wps:cNvSpPr/>
                        <wps:spPr>
                          <a:xfrm>
                            <a:off x="2918460" y="342900"/>
                            <a:ext cx="1441717" cy="9144"/>
                          </a:xfrm>
                          <a:custGeom>
                            <a:avLst/>
                            <a:gdLst/>
                            <a:ahLst/>
                            <a:cxnLst/>
                            <a:rect l="0" t="0" r="0" b="0"/>
                            <a:pathLst>
                              <a:path w="1441717" h="9144">
                                <a:moveTo>
                                  <a:pt x="0" y="0"/>
                                </a:moveTo>
                                <a:lnTo>
                                  <a:pt x="1441717" y="0"/>
                                </a:lnTo>
                                <a:lnTo>
                                  <a:pt x="14417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 name="Rectangle 5070"/>
                        <wps:cNvSpPr/>
                        <wps:spPr>
                          <a:xfrm>
                            <a:off x="4837176" y="199554"/>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5071" name="Rectangle 5071"/>
                        <wps:cNvSpPr/>
                        <wps:spPr>
                          <a:xfrm>
                            <a:off x="5210556" y="197508"/>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5072" name="Rectangle 5072"/>
                        <wps:cNvSpPr/>
                        <wps:spPr>
                          <a:xfrm>
                            <a:off x="5251704" y="207870"/>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724" name="Shape 657724"/>
                        <wps:cNvSpPr/>
                        <wps:spPr>
                          <a:xfrm>
                            <a:off x="4469893" y="342900"/>
                            <a:ext cx="1150607" cy="9144"/>
                          </a:xfrm>
                          <a:custGeom>
                            <a:avLst/>
                            <a:gdLst/>
                            <a:ahLst/>
                            <a:cxnLst/>
                            <a:rect l="0" t="0" r="0" b="0"/>
                            <a:pathLst>
                              <a:path w="1150607" h="9144">
                                <a:moveTo>
                                  <a:pt x="0" y="0"/>
                                </a:moveTo>
                                <a:lnTo>
                                  <a:pt x="1150607" y="0"/>
                                </a:lnTo>
                                <a:lnTo>
                                  <a:pt x="11506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4" name="Rectangle 5074"/>
                        <wps:cNvSpPr/>
                        <wps:spPr>
                          <a:xfrm>
                            <a:off x="5914644" y="199554"/>
                            <a:ext cx="1064133" cy="152019"/>
                          </a:xfrm>
                          <a:prstGeom prst="rect">
                            <a:avLst/>
                          </a:prstGeom>
                          <a:ln>
                            <a:noFill/>
                          </a:ln>
                        </wps:spPr>
                        <wps:txbx>
                          <w:txbxContent>
                            <w:p w:rsidR="004D6F0E" w:rsidRDefault="00490F21">
                              <w:pPr>
                                <w:spacing w:after="160" w:line="259" w:lineRule="auto"/>
                                <w:ind w:left="0" w:firstLine="0"/>
                              </w:pPr>
                              <w:r>
                                <w:rPr>
                                  <w:w w:val="99"/>
                                  <w:sz w:val="18"/>
                                </w:rPr>
                                <w:t>或有遞延銷售費</w:t>
                              </w:r>
                            </w:p>
                          </w:txbxContent>
                        </wps:txbx>
                        <wps:bodyPr horzOverflow="overflow" vert="horz" lIns="0" tIns="0" rIns="0" bIns="0" rtlCol="0">
                          <a:noAutofit/>
                        </wps:bodyPr>
                      </wps:wsp>
                      <wps:wsp>
                        <wps:cNvPr id="5075" name="Rectangle 5075"/>
                        <wps:cNvSpPr/>
                        <wps:spPr>
                          <a:xfrm>
                            <a:off x="6745224" y="197508"/>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5076" name="Rectangle 5076"/>
                        <wps:cNvSpPr/>
                        <wps:spPr>
                          <a:xfrm>
                            <a:off x="6786372" y="207870"/>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727" name="Shape 657727"/>
                        <wps:cNvSpPr/>
                        <wps:spPr>
                          <a:xfrm>
                            <a:off x="5730240" y="342900"/>
                            <a:ext cx="1240548" cy="9144"/>
                          </a:xfrm>
                          <a:custGeom>
                            <a:avLst/>
                            <a:gdLst/>
                            <a:ahLst/>
                            <a:cxnLst/>
                            <a:rect l="0" t="0" r="0" b="0"/>
                            <a:pathLst>
                              <a:path w="1240548" h="9144">
                                <a:moveTo>
                                  <a:pt x="0" y="0"/>
                                </a:moveTo>
                                <a:lnTo>
                                  <a:pt x="1240548" y="0"/>
                                </a:lnTo>
                                <a:lnTo>
                                  <a:pt x="1240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27497" o:spid="_x0000_s1043" style="width:553.2pt;height:29.65pt;mso-position-horizontal-relative:char;mso-position-vertical-relative:line" coordsize="70256,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">
                <v:rect id="Rectangle 5047" o:spid="_x0000_s1044" style="position:absolute;left:731;top:364;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3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NNN97fHAAAA3QAA&#10;AA8AAAAAAAAAAAAAAAAABwIAAGRycy9kb3ducmV2LnhtbFBLBQYAAAAAAwADALcAAAD7Ag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5048" o:spid="_x0000_s1045" style="position:absolute;left:11323;top:344;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5049" o:spid="_x0000_s1046" style="position:absolute;left:11734;top:344;width:28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705" o:spid="_x0000_s104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" path="m,l9144,r,18288l,18288,,e" fillcolor="black" stroked="f" strokeweight="0">
                  <v:stroke miterlimit="83231f" joinstyle="miter"/>
                  <v:path arrowok="t" textboxrect="0,0,9144,18288"/>
                </v:shape>
                <v:shape id="Shape 657706" o:spid="_x0000_s1048" style="position:absolute;left: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" path="m,l18288,r,18288l,18288,,e" fillcolor="black" stroked="f" strokeweight="0">
                  <v:stroke miterlimit="83231f" joinstyle="miter"/>
                  <v:path arrowok="t" textboxrect="0,0,18288,18288"/>
                </v:shape>
                <v:shape id="Shape 657707" o:spid="_x0000_s1049" style="position:absolute;left:228;width:9083;height:182;visibility:visible;mso-wrap-style:square;v-text-anchor:top" coordsize="90830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" path="m,l908304,r,18288l,18288,,e" fillcolor="black" stroked="f" strokeweight="0">
                  <v:stroke miterlimit="83231f" joinstyle="miter"/>
                  <v:path arrowok="t" textboxrect="0,0,908304,18288"/>
                </v:shape>
                <v:shape id="Shape 657708" o:spid="_x0000_s1050" style="position:absolute;left:931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" path="m,l18288,r,18288l,18288,,e" fillcolor="black" stroked="f" strokeweight="0">
                  <v:stroke miterlimit="83231f" joinstyle="miter"/>
                  <v:path arrowok="t" textboxrect="0,0,18288,18288"/>
                </v:shape>
                <v:shape id="Shape 657709" o:spid="_x0000_s1051" style="position:absolute;left:9494;width:27859;height:182;visibility:visible;mso-wrap-style:square;v-text-anchor:top" coordsize="27858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" path="m,l2785872,r,18288l,18288,,e" fillcolor="black" stroked="f" strokeweight="0">
                  <v:stroke miterlimit="83231f" joinstyle="miter"/>
                  <v:path arrowok="t" textboxrect="0,0,2785872,18288"/>
                </v:shape>
                <v:shape id="Shape 657710" o:spid="_x0000_s1052" style="position:absolute;left:3735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" path="m,l18288,r,18288l,18288,,e" fillcolor="black" stroked="f" strokeweight="0">
                  <v:stroke miterlimit="83231f" joinstyle="miter"/>
                  <v:path arrowok="t" textboxrect="0,0,18288,18288"/>
                </v:shape>
                <v:shape id="Shape 657711" o:spid="_x0000_s1053" style="position:absolute;left:37536;width:1493;height:182;visibility:visible;mso-wrap-style:square;v-text-anchor:top" coordsize="1493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" path="m,l149352,r,18288l,18288,,e" fillcolor="black" stroked="f" strokeweight="0">
                  <v:stroke miterlimit="83231f" joinstyle="miter"/>
                  <v:path arrowok="t" textboxrect="0,0,149352,18288"/>
                </v:shape>
                <v:shape id="Shape 657712" o:spid="_x0000_s1054" style="position:absolute;left:3902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" path="m,l18288,r,18288l,18288,,e" fillcolor="black" stroked="f" strokeweight="0">
                  <v:stroke miterlimit="83231f" joinstyle="miter"/>
                  <v:path arrowok="t" textboxrect="0,0,18288,18288"/>
                </v:shape>
                <v:shape id="Shape 657713" o:spid="_x0000_s1055" style="position:absolute;left:39212;width:9525;height:182;visibility:visible;mso-wrap-style:square;v-text-anchor:top" coordsize="9525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" path="m,l952500,r,18288l,18288,,e" fillcolor="black" stroked="f" strokeweight="0">
                  <v:stroke miterlimit="83231f" joinstyle="miter"/>
                  <v:path arrowok="t" textboxrect="0,0,952500,18288"/>
                </v:shape>
                <v:shape id="Shape 657714" o:spid="_x0000_s1056" style="position:absolute;left:4873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" path="m,l18288,r,18288l,18288,,e" fillcolor="black" stroked="f" strokeweight="0">
                  <v:stroke miterlimit="83231f" joinstyle="miter"/>
                  <v:path arrowok="t" textboxrect="0,0,18288,18288"/>
                </v:shape>
                <v:shape id="Shape 657715" o:spid="_x0000_s1057" style="position:absolute;left:48920;width:21336;height:182;visibility:visible;mso-wrap-style:square;v-text-anchor:top" coordsize="21336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" path="m,l2133600,r,18288l,18288,,e" fillcolor="black" stroked="f" strokeweight="0">
                  <v:stroke miterlimit="83231f" joinstyle="miter"/>
                  <v:path arrowok="t" textboxrect="0,0,2133600,18288"/>
                </v:shape>
                <v:rect id="Rectangle 5061" o:spid="_x0000_s1058" style="position:absolute;left:731;top:2688;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rect id="Rectangle 5062" o:spid="_x0000_s1059" style="position:absolute;left:18272;top:1995;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首次銷售費</w:t>
                        </w:r>
                      </w:p>
                    </w:txbxContent>
                  </v:textbox>
                </v:rect>
                <v:rect id="Rectangle 5063" o:spid="_x0000_s1060" style="position:absolute;left:24292;top:1975;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5064" o:spid="_x0000_s1061" style="position:absolute;left:24704;top:2078;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WgxwAAAN0AAAAPAAAAZHJzL2Rvd25yZXYueG1sRI9Ba8JA&#10;FITvBf/D8oTe6kZp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GgqNaD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718" o:spid="_x0000_s1062" style="position:absolute;left:14874;top:3429;width:13228;height:91;visibility:visible;mso-wrap-style:square;v-text-anchor:top" coordsize="13228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" path="m,l1322845,r,9144l,9144,,e" fillcolor="black" stroked="f" strokeweight="0">
                  <v:stroke miterlimit="83231f" joinstyle="miter"/>
                  <v:path arrowok="t" textboxrect="0,0,1322845,9144"/>
                </v:shape>
                <v:rect id="Rectangle 5066" o:spid="_x0000_s1063" style="position:absolute;left:34320;top:1995;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rsidR="004D6F0E" w:rsidRDefault="00490F21">
                        <w:pPr>
                          <w:spacing w:after="160" w:line="259" w:lineRule="auto"/>
                          <w:ind w:left="0" w:firstLine="0"/>
                        </w:pPr>
                        <w:r>
                          <w:rPr>
                            <w:sz w:val="18"/>
                          </w:rPr>
                          <w:t>管理費</w:t>
                        </w:r>
                      </w:p>
                    </w:txbxContent>
                  </v:textbox>
                </v:rect>
                <v:rect id="Rectangle 5067" o:spid="_x0000_s1064" style="position:absolute;left:38054;top:1975;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5068" o:spid="_x0000_s1065" style="position:absolute;left:38465;top:1975;width:28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721" o:spid="_x0000_s1066" style="position:absolute;left:29184;top:3429;width:14417;height:91;visibility:visible;mso-wrap-style:square;v-text-anchor:top" coordsize="14417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" path="m,l1441717,r,9144l,9144,,e" fillcolor="black" stroked="f" strokeweight="0">
                  <v:stroke miterlimit="83231f" joinstyle="miter"/>
                  <v:path arrowok="t" textboxrect="0,0,1441717,9144"/>
                </v:shape>
                <v:rect id="Rectangle 5070" o:spid="_x0000_s1067" style="position:absolute;left:48371;top:1995;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rsidR="004D6F0E" w:rsidRDefault="00490F21">
                        <w:pPr>
                          <w:spacing w:after="160" w:line="259" w:lineRule="auto"/>
                          <w:ind w:left="0" w:firstLine="0"/>
                        </w:pPr>
                        <w:r>
                          <w:rPr>
                            <w:sz w:val="18"/>
                          </w:rPr>
                          <w:t>分銷費</w:t>
                        </w:r>
                      </w:p>
                    </w:txbxContent>
                  </v:textbox>
                </v:rect>
                <v:rect id="Rectangle 5071" o:spid="_x0000_s1068" style="position:absolute;left:52105;top:1975;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5072" o:spid="_x0000_s1069" style="position:absolute;left:52517;top:2078;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724" o:spid="_x0000_s1070" style="position:absolute;left:44698;top:3429;width:11507;height:91;visibility:visible;mso-wrap-style:square;v-text-anchor:top" coordsize="11506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" path="m,l1150607,r,9144l,9144,,e" fillcolor="black" stroked="f" strokeweight="0">
                  <v:stroke miterlimit="83231f" joinstyle="miter"/>
                  <v:path arrowok="t" textboxrect="0,0,1150607,9144"/>
                </v:shape>
                <v:rect id="Rectangle 5074" o:spid="_x0000_s1071" style="position:absolute;left:59146;top:1995;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6N9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O3zo33HAAAA3QAA&#10;AA8AAAAAAAAAAAAAAAAABwIAAGRycy9kb3ducmV2LnhtbFBLBQYAAAAAAwADALcAAAD7AgAAAAA=&#10;" filled="f" stroked="f">
                  <v:textbox inset="0,0,0,0">
                    <w:txbxContent>
                      <w:p w:rsidR="004D6F0E" w:rsidRDefault="00490F21">
                        <w:pPr>
                          <w:spacing w:after="160" w:line="259" w:lineRule="auto"/>
                          <w:ind w:left="0" w:firstLine="0"/>
                        </w:pPr>
                        <w:r>
                          <w:rPr>
                            <w:w w:val="99"/>
                            <w:sz w:val="18"/>
                          </w:rPr>
                          <w:t>或有遞延銷售費</w:t>
                        </w:r>
                      </w:p>
                    </w:txbxContent>
                  </v:textbox>
                </v:rect>
                <v:rect id="Rectangle 5075" o:spid="_x0000_s1072" style="position:absolute;left:67452;top:1975;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5076" o:spid="_x0000_s1073" style="position:absolute;left:67863;top:2078;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727" o:spid="_x0000_s1074" style="position:absolute;left:57302;top:3429;width:12405;height:91;visibility:visible;mso-wrap-style:square;v-text-anchor:top" coordsize="1240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" path="m,l1240548,r,9144l,9144,,e" fillcolor="black" stroked="f" strokeweight="0">
                  <v:stroke miterlimit="83231f" joinstyle="miter"/>
                  <v:path arrowok="t" textboxrect="0,0,1240548,9144"/>
                </v:shape>
                <w10:anchorlock/>
              </v:group>
            </w:pict>
          </mc:Fallback>
        </mc:AlternateContent>
      </w:r>
    </w:p>
    <w:tbl>
      <w:tblPr>
        <w:tblStyle w:val="TableGrid"/>
        <w:tblW w:w="11064" w:type="dxa"/>
        <w:tblInd w:w="-7" w:type="dxa"/>
        <w:tblCellMar>
          <w:top w:w="23" w:type="dxa"/>
          <w:left w:w="0" w:type="dxa"/>
          <w:bottom w:w="0" w:type="dxa"/>
          <w:right w:w="115" w:type="dxa"/>
        </w:tblCellMar>
        <w:tblLook w:val="04A0" w:firstRow="1" w:lastRow="0" w:firstColumn="1" w:lastColumn="0" w:noHBand="0" w:noVBand="1"/>
      </w:tblPr>
      <w:tblGrid>
        <w:gridCol w:w="2837"/>
        <w:gridCol w:w="2638"/>
        <w:gridCol w:w="2215"/>
        <w:gridCol w:w="1548"/>
        <w:gridCol w:w="1826"/>
      </w:tblGrid>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2638" w:type="dxa"/>
            <w:tcBorders>
              <w:top w:val="nil"/>
              <w:left w:val="nil"/>
              <w:bottom w:val="nil"/>
              <w:right w:val="nil"/>
            </w:tcBorders>
            <w:shd w:val="clear" w:color="auto" w:fill="D9D9D9"/>
          </w:tcPr>
          <w:p w:rsidR="004D6F0E" w:rsidRDefault="004D6F0E">
            <w:pPr>
              <w:spacing w:after="160" w:line="259" w:lineRule="auto"/>
              <w:ind w:left="0" w:firstLine="0"/>
            </w:pPr>
          </w:p>
        </w:tc>
        <w:tc>
          <w:tcPr>
            <w:tcW w:w="2215" w:type="dxa"/>
            <w:tcBorders>
              <w:top w:val="nil"/>
              <w:left w:val="nil"/>
              <w:bottom w:val="nil"/>
              <w:right w:val="nil"/>
            </w:tcBorders>
            <w:shd w:val="clear" w:color="auto" w:fill="D9D9D9"/>
          </w:tcPr>
          <w:p w:rsidR="004D6F0E" w:rsidRDefault="004D6F0E">
            <w:pPr>
              <w:spacing w:after="160" w:line="259" w:lineRule="auto"/>
              <w:ind w:left="0" w:firstLine="0"/>
            </w:pPr>
          </w:p>
        </w:tc>
        <w:tc>
          <w:tcPr>
            <w:tcW w:w="1548" w:type="dxa"/>
            <w:tcBorders>
              <w:top w:val="nil"/>
              <w:left w:val="nil"/>
              <w:bottom w:val="nil"/>
              <w:right w:val="nil"/>
            </w:tcBorders>
            <w:shd w:val="clear" w:color="auto" w:fill="D9D9D9"/>
          </w:tcPr>
          <w:p w:rsidR="004D6F0E" w:rsidRDefault="004D6F0E">
            <w:pPr>
              <w:spacing w:after="160" w:line="259" w:lineRule="auto"/>
              <w:ind w:left="0" w:firstLine="0"/>
            </w:pPr>
          </w:p>
        </w:tc>
        <w:tc>
          <w:tcPr>
            <w:tcW w:w="182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460"/>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638"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1.90% </w:t>
            </w:r>
          </w:p>
        </w:tc>
        <w:tc>
          <w:tcPr>
            <w:tcW w:w="1548"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401"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3"/>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272"/>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300"/>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288"/>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SP </w:t>
            </w:r>
            <w:r>
              <w:rPr>
                <w:sz w:val="18"/>
              </w:rPr>
              <w:t>類股份</w:t>
            </w:r>
            <w:r>
              <w:rPr>
                <w:sz w:val="18"/>
              </w:rPr>
              <w:t xml:space="preserve"> </w:t>
            </w:r>
            <w:r>
              <w:rPr>
                <w:rFonts w:ascii="Arial" w:eastAsia="Arial" w:hAnsi="Arial" w:cs="Arial"/>
                <w:sz w:val="12"/>
              </w:rPr>
              <w:t>7††</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298"/>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S1P </w:t>
            </w:r>
            <w:r>
              <w:rPr>
                <w:sz w:val="18"/>
              </w:rPr>
              <w:t>類股份</w:t>
            </w:r>
            <w:r>
              <w:rPr>
                <w:rFonts w:ascii="Arial" w:eastAsia="Arial" w:hAnsi="Arial" w:cs="Arial"/>
                <w:sz w:val="18"/>
                <w:vertAlign w:val="superscript"/>
              </w:rPr>
              <w:t>††</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25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AX </w:t>
            </w:r>
            <w:r>
              <w:rPr>
                <w:sz w:val="18"/>
              </w:rPr>
              <w:t>類股份</w:t>
            </w:r>
            <w:r>
              <w:rPr>
                <w:rFonts w:ascii="Arial" w:eastAsia="Arial" w:hAnsi="Arial" w:cs="Arial"/>
                <w:sz w:val="18"/>
                <w:vertAlign w:val="superscript"/>
              </w:rPr>
              <w:t>†</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1.40%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1165"/>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BX </w:t>
            </w:r>
            <w:r>
              <w:rPr>
                <w:sz w:val="18"/>
              </w:rPr>
              <w:t>類股份</w:t>
            </w:r>
            <w:r>
              <w:rPr>
                <w:sz w:val="18"/>
              </w:rPr>
              <w:t xml:space="preserve"> </w:t>
            </w:r>
            <w:r>
              <w:rPr>
                <w:rFonts w:ascii="Arial" w:eastAsia="Arial" w:hAnsi="Arial" w:cs="Arial"/>
                <w:sz w:val="12"/>
              </w:rPr>
              <w:t xml:space="preserve">2† </w:t>
            </w:r>
          </w:p>
        </w:tc>
        <w:tc>
          <w:tcPr>
            <w:tcW w:w="2638" w:type="dxa"/>
            <w:tcBorders>
              <w:top w:val="nil"/>
              <w:left w:val="nil"/>
              <w:bottom w:val="nil"/>
              <w:right w:val="nil"/>
            </w:tcBorders>
            <w:vAlign w:val="center"/>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21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1.40% </w:t>
            </w:r>
          </w:p>
        </w:tc>
        <w:tc>
          <w:tcPr>
            <w:tcW w:w="154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26" w:type="dxa"/>
            <w:tcBorders>
              <w:top w:val="nil"/>
              <w:left w:val="nil"/>
              <w:bottom w:val="nil"/>
              <w:right w:val="nil"/>
            </w:tcBorders>
          </w:tcPr>
          <w:p w:rsidR="004D6F0E" w:rsidRDefault="00490F21">
            <w:pPr>
              <w:spacing w:after="30" w:line="259" w:lineRule="auto"/>
              <w:ind w:left="41"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=4.0% </w:t>
            </w:r>
          </w:p>
          <w:p w:rsidR="004D6F0E" w:rsidRDefault="00490F21">
            <w:pPr>
              <w:spacing w:after="0" w:line="293" w:lineRule="auto"/>
              <w:ind w:left="242" w:right="76" w:firstLine="0"/>
            </w:pPr>
            <w:r>
              <w:rPr>
                <w:rFonts w:ascii="Arial" w:eastAsia="Arial" w:hAnsi="Arial" w:cs="Arial"/>
                <w:sz w:val="18"/>
              </w:rPr>
              <w:t xml:space="preserve">1–2 </w:t>
            </w:r>
            <w:r>
              <w:rPr>
                <w:sz w:val="18"/>
              </w:rPr>
              <w:t>年</w:t>
            </w:r>
            <w:r>
              <w:rPr>
                <w:rFonts w:ascii="Arial" w:eastAsia="Arial" w:hAnsi="Arial" w:cs="Arial"/>
                <w:sz w:val="18"/>
              </w:rPr>
              <w:t xml:space="preserve">=3.0% 2–3 </w:t>
            </w:r>
            <w:r>
              <w:rPr>
                <w:sz w:val="18"/>
              </w:rPr>
              <w:t>年</w:t>
            </w:r>
            <w:r>
              <w:rPr>
                <w:rFonts w:ascii="Arial" w:eastAsia="Arial" w:hAnsi="Arial" w:cs="Arial"/>
                <w:sz w:val="18"/>
              </w:rPr>
              <w:t xml:space="preserve">=2.0% </w:t>
            </w:r>
          </w:p>
          <w:p w:rsidR="004D6F0E" w:rsidRDefault="00490F21">
            <w:pPr>
              <w:spacing w:after="23" w:line="259" w:lineRule="auto"/>
              <w:ind w:left="242" w:firstLine="0"/>
            </w:pPr>
            <w:r>
              <w:rPr>
                <w:rFonts w:ascii="Arial" w:eastAsia="Arial" w:hAnsi="Arial" w:cs="Arial"/>
                <w:sz w:val="18"/>
              </w:rPr>
              <w:t xml:space="preserve">3–4 </w:t>
            </w:r>
            <w:r>
              <w:rPr>
                <w:sz w:val="18"/>
              </w:rPr>
              <w:t>年</w:t>
            </w:r>
            <w:r>
              <w:rPr>
                <w:rFonts w:ascii="Arial" w:eastAsia="Arial" w:hAnsi="Arial" w:cs="Arial"/>
                <w:sz w:val="18"/>
              </w:rPr>
              <w:t xml:space="preserve">=1.0% </w:t>
            </w:r>
          </w:p>
          <w:p w:rsidR="004D6F0E" w:rsidRDefault="00490F21">
            <w:pPr>
              <w:spacing w:after="0" w:line="259" w:lineRule="auto"/>
              <w:ind w:left="216" w:firstLine="0"/>
            </w:pPr>
            <w:r>
              <w:rPr>
                <w:rFonts w:ascii="Arial" w:eastAsia="Arial" w:hAnsi="Arial" w:cs="Arial"/>
                <w:sz w:val="18"/>
              </w:rPr>
              <w:t xml:space="preserve">4 </w:t>
            </w:r>
            <w:r>
              <w:rPr>
                <w:sz w:val="18"/>
              </w:rPr>
              <w:t>年以上</w:t>
            </w:r>
            <w:r>
              <w:rPr>
                <w:rFonts w:ascii="Arial" w:eastAsia="Arial" w:hAnsi="Arial" w:cs="Arial"/>
                <w:sz w:val="18"/>
              </w:rPr>
              <w:t xml:space="preserve">=0% </w:t>
            </w:r>
          </w:p>
        </w:tc>
      </w:tr>
      <w:tr w:rsidR="004D6F0E">
        <w:trPr>
          <w:trHeight w:val="468"/>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CX </w:t>
            </w:r>
            <w:r>
              <w:rPr>
                <w:sz w:val="18"/>
              </w:rPr>
              <w:t>類股份</w:t>
            </w:r>
            <w:r>
              <w:rPr>
                <w:rFonts w:ascii="Arial" w:eastAsia="Arial" w:hAnsi="Arial" w:cs="Arial"/>
                <w:sz w:val="18"/>
                <w:vertAlign w:val="superscript"/>
              </w:rPr>
              <w:t xml:space="preserve">† </w:t>
            </w:r>
          </w:p>
        </w:tc>
        <w:tc>
          <w:tcPr>
            <w:tcW w:w="2638"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548"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401" w:hanging="401"/>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561"/>
        </w:trPr>
        <w:tc>
          <w:tcPr>
            <w:tcW w:w="2837" w:type="dxa"/>
            <w:tcBorders>
              <w:top w:val="nil"/>
              <w:left w:val="nil"/>
              <w:bottom w:val="nil"/>
              <w:right w:val="nil"/>
            </w:tcBorders>
          </w:tcPr>
          <w:p w:rsidR="004D6F0E" w:rsidRDefault="00490F21">
            <w:pPr>
              <w:spacing w:after="95" w:line="259" w:lineRule="auto"/>
              <w:ind w:left="115" w:firstLine="0"/>
            </w:pPr>
            <w:r>
              <w:rPr>
                <w:rFonts w:ascii="Arial" w:eastAsia="Arial" w:hAnsi="Arial" w:cs="Arial"/>
                <w:sz w:val="18"/>
              </w:rPr>
              <w:t xml:space="preserve">IX </w:t>
            </w:r>
            <w:r>
              <w:rPr>
                <w:sz w:val="18"/>
              </w:rPr>
              <w:t>類股份</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74"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72" w:line="259" w:lineRule="auto"/>
              <w:ind w:left="0" w:firstLine="0"/>
            </w:pPr>
            <w:r>
              <w:rPr>
                <w:rFonts w:ascii="Arial" w:eastAsia="Arial" w:hAnsi="Arial" w:cs="Arial"/>
                <w:sz w:val="18"/>
              </w:rPr>
              <w:t xml:space="preserve">0.70% </w:t>
            </w:r>
          </w:p>
          <w:p w:rsidR="004D6F0E" w:rsidRDefault="00490F21">
            <w:pPr>
              <w:spacing w:after="0" w:line="259" w:lineRule="auto"/>
              <w:ind w:left="257" w:firstLine="0"/>
            </w:pPr>
            <w:r>
              <w:rPr>
                <w:rFonts w:ascii="Arial" w:eastAsia="Arial" w:hAnsi="Arial" w:cs="Arial"/>
                <w:sz w:val="18"/>
              </w:rPr>
              <w:t xml:space="preserve"> </w:t>
            </w:r>
          </w:p>
        </w:tc>
        <w:tc>
          <w:tcPr>
            <w:tcW w:w="1548" w:type="dxa"/>
            <w:tcBorders>
              <w:top w:val="nil"/>
              <w:left w:val="nil"/>
              <w:bottom w:val="nil"/>
              <w:right w:val="nil"/>
            </w:tcBorders>
          </w:tcPr>
          <w:p w:rsidR="004D6F0E" w:rsidRDefault="00490F21">
            <w:pPr>
              <w:spacing w:after="6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69" w:line="259" w:lineRule="auto"/>
              <w:ind w:left="672" w:firstLine="0"/>
            </w:pPr>
            <w:r>
              <w:rPr>
                <w:sz w:val="18"/>
              </w:rPr>
              <w:t>無</w:t>
            </w:r>
            <w:r>
              <w:rPr>
                <w:rFonts w:ascii="Arial" w:eastAsia="Arial" w:hAnsi="Arial" w:cs="Arial"/>
                <w:sz w:val="18"/>
              </w:rPr>
              <w:t xml:space="preserve"> </w:t>
            </w:r>
          </w:p>
          <w:p w:rsidR="004D6F0E" w:rsidRDefault="00490F21">
            <w:pPr>
              <w:spacing w:after="0" w:line="259" w:lineRule="auto"/>
              <w:ind w:left="763" w:firstLine="0"/>
            </w:pPr>
            <w:r>
              <w:rPr>
                <w:rFonts w:ascii="Arial" w:eastAsia="Arial" w:hAnsi="Arial" w:cs="Arial"/>
                <w:sz w:val="18"/>
              </w:rPr>
              <w:t xml:space="preserve"> </w:t>
            </w:r>
          </w:p>
        </w:tc>
      </w:tr>
      <w:tr w:rsidR="004D6F0E">
        <w:trPr>
          <w:trHeight w:val="266"/>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638"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15"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5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763" w:firstLine="0"/>
            </w:pPr>
            <w:r>
              <w:rPr>
                <w:rFonts w:ascii="Arial" w:eastAsia="Arial" w:hAnsi="Arial" w:cs="Arial"/>
                <w:sz w:val="18"/>
              </w:rPr>
              <w:t xml:space="preserve"> </w:t>
            </w:r>
          </w:p>
        </w:tc>
      </w:tr>
      <w:tr w:rsidR="004D6F0E">
        <w:trPr>
          <w:trHeight w:val="239"/>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236"/>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AX</w:t>
            </w:r>
            <w:r>
              <w:rPr>
                <w:sz w:val="18"/>
              </w:rPr>
              <w:t>類股份</w:t>
            </w:r>
            <w:r>
              <w:rPr>
                <w:rFonts w:ascii="Arial" w:eastAsia="Arial" w:hAnsi="Arial" w:cs="Arial"/>
                <w:sz w:val="18"/>
                <w:vertAlign w:val="superscript"/>
              </w:rPr>
              <w:t xml:space="preserve">† </w:t>
            </w:r>
          </w:p>
        </w:tc>
        <w:tc>
          <w:tcPr>
            <w:tcW w:w="263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1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1.40% </w:t>
            </w:r>
          </w:p>
        </w:tc>
        <w:tc>
          <w:tcPr>
            <w:tcW w:w="154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672" w:firstLine="0"/>
            </w:pPr>
            <w:r>
              <w:rPr>
                <w:sz w:val="18"/>
              </w:rPr>
              <w:t>無</w:t>
            </w:r>
            <w:r>
              <w:rPr>
                <w:rFonts w:ascii="Arial" w:eastAsia="Arial" w:hAnsi="Arial" w:cs="Arial"/>
                <w:sz w:val="18"/>
              </w:rPr>
              <w:t xml:space="preserve"> </w:t>
            </w:r>
          </w:p>
        </w:tc>
      </w:tr>
      <w:tr w:rsidR="004D6F0E">
        <w:trPr>
          <w:trHeight w:val="463"/>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lastRenderedPageBreak/>
              <w:t xml:space="preserve">C </w:t>
            </w:r>
            <w:r>
              <w:rPr>
                <w:sz w:val="18"/>
              </w:rPr>
              <w:t>類股份</w:t>
            </w:r>
            <w:r>
              <w:rPr>
                <w:rFonts w:ascii="Arial" w:eastAsia="Arial" w:hAnsi="Arial" w:cs="Arial"/>
                <w:sz w:val="18"/>
              </w:rPr>
              <w:t xml:space="preserve"> </w:t>
            </w:r>
          </w:p>
        </w:tc>
        <w:tc>
          <w:tcPr>
            <w:tcW w:w="2638"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1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1.90% </w:t>
            </w:r>
          </w:p>
        </w:tc>
        <w:tc>
          <w:tcPr>
            <w:tcW w:w="1548"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401" w:hanging="295"/>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559"/>
        </w:trPr>
        <w:tc>
          <w:tcPr>
            <w:tcW w:w="2837" w:type="dxa"/>
            <w:tcBorders>
              <w:top w:val="nil"/>
              <w:left w:val="nil"/>
              <w:bottom w:val="nil"/>
              <w:right w:val="nil"/>
            </w:tcBorders>
          </w:tcPr>
          <w:p w:rsidR="004D6F0E" w:rsidRDefault="00490F21">
            <w:pPr>
              <w:spacing w:after="92"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7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26" w:line="259" w:lineRule="auto"/>
              <w:ind w:left="0" w:firstLine="0"/>
            </w:pPr>
            <w:r>
              <w:rPr>
                <w:rFonts w:ascii="Arial" w:eastAsia="Arial" w:hAnsi="Arial" w:cs="Arial"/>
                <w:sz w:val="18"/>
              </w:rPr>
              <w:t xml:space="preserve">0.90% </w:t>
            </w:r>
          </w:p>
          <w:p w:rsidR="004D6F0E" w:rsidRDefault="00490F21">
            <w:pPr>
              <w:spacing w:after="0" w:line="259" w:lineRule="auto"/>
              <w:ind w:left="257" w:firstLine="0"/>
            </w:pPr>
            <w:r>
              <w:rPr>
                <w:rFonts w:ascii="Arial" w:eastAsia="Arial" w:hAnsi="Arial" w:cs="Arial"/>
                <w:sz w:val="18"/>
              </w:rPr>
              <w:t xml:space="preserve"> </w:t>
            </w:r>
          </w:p>
        </w:tc>
        <w:tc>
          <w:tcPr>
            <w:tcW w:w="1548" w:type="dxa"/>
            <w:tcBorders>
              <w:top w:val="nil"/>
              <w:left w:val="nil"/>
              <w:bottom w:val="nil"/>
              <w:right w:val="nil"/>
            </w:tcBorders>
          </w:tcPr>
          <w:p w:rsidR="004D6F0E" w:rsidRDefault="00490F21">
            <w:pPr>
              <w:spacing w:after="38"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38" w:line="259" w:lineRule="auto"/>
              <w:ind w:left="672" w:firstLine="0"/>
            </w:pPr>
            <w:r>
              <w:rPr>
                <w:sz w:val="18"/>
              </w:rPr>
              <w:t>無</w:t>
            </w:r>
            <w:r>
              <w:rPr>
                <w:rFonts w:ascii="Arial" w:eastAsia="Arial" w:hAnsi="Arial" w:cs="Arial"/>
                <w:sz w:val="18"/>
              </w:rPr>
              <w:t xml:space="preserve"> </w:t>
            </w:r>
          </w:p>
          <w:p w:rsidR="004D6F0E" w:rsidRDefault="00490F21">
            <w:pPr>
              <w:spacing w:after="0" w:line="259" w:lineRule="auto"/>
              <w:ind w:left="763" w:firstLine="0"/>
            </w:pPr>
            <w:r>
              <w:rPr>
                <w:rFonts w:ascii="Arial" w:eastAsia="Arial" w:hAnsi="Arial" w:cs="Arial"/>
                <w:sz w:val="18"/>
              </w:rPr>
              <w:t xml:space="preserve"> </w:t>
            </w:r>
          </w:p>
        </w:tc>
      </w:tr>
      <w:tr w:rsidR="004D6F0E">
        <w:trPr>
          <w:trHeight w:val="269"/>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2638"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15"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5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763" w:firstLine="0"/>
            </w:pPr>
            <w:r>
              <w:rPr>
                <w:rFonts w:ascii="Arial" w:eastAsia="Arial" w:hAnsi="Arial" w:cs="Arial"/>
                <w:sz w:val="18"/>
              </w:rPr>
              <w:t xml:space="preserve"> </w:t>
            </w:r>
          </w:p>
        </w:tc>
      </w:tr>
      <w:tr w:rsidR="004D6F0E">
        <w:trPr>
          <w:trHeight w:val="499"/>
        </w:trPr>
        <w:tc>
          <w:tcPr>
            <w:tcW w:w="2837" w:type="dxa"/>
            <w:tcBorders>
              <w:top w:val="nil"/>
              <w:left w:val="nil"/>
              <w:bottom w:val="nil"/>
              <w:right w:val="nil"/>
            </w:tcBorders>
          </w:tcPr>
          <w:p w:rsidR="004D6F0E" w:rsidRDefault="00490F21">
            <w:pPr>
              <w:spacing w:after="76" w:line="259" w:lineRule="auto"/>
              <w:ind w:left="115" w:firstLine="0"/>
            </w:pPr>
            <w:r>
              <w:rPr>
                <w:rFonts w:ascii="Arial" w:eastAsia="Arial" w:hAnsi="Arial" w:cs="Arial"/>
                <w:sz w:val="18"/>
              </w:rPr>
              <w:t>AX</w:t>
            </w:r>
            <w:r>
              <w:rPr>
                <w:sz w:val="18"/>
              </w:rPr>
              <w:t>類股份</w:t>
            </w:r>
            <w:r>
              <w:rPr>
                <w:rFonts w:ascii="Arial" w:eastAsia="Arial" w:hAnsi="Arial" w:cs="Arial"/>
                <w:sz w:val="18"/>
                <w:vertAlign w:val="superscript"/>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638" w:type="dxa"/>
            <w:tcBorders>
              <w:top w:val="nil"/>
              <w:left w:val="nil"/>
              <w:bottom w:val="nil"/>
              <w:right w:val="nil"/>
            </w:tcBorders>
          </w:tcPr>
          <w:p w:rsidR="004D6F0E" w:rsidRDefault="00490F21">
            <w:pPr>
              <w:spacing w:after="26"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15" w:type="dxa"/>
            <w:tcBorders>
              <w:top w:val="nil"/>
              <w:left w:val="nil"/>
              <w:bottom w:val="nil"/>
              <w:right w:val="nil"/>
            </w:tcBorders>
          </w:tcPr>
          <w:p w:rsidR="004D6F0E" w:rsidRDefault="00490F21">
            <w:pPr>
              <w:spacing w:after="28" w:line="259" w:lineRule="auto"/>
              <w:ind w:left="0" w:firstLine="0"/>
            </w:pPr>
            <w:r>
              <w:rPr>
                <w:rFonts w:ascii="Arial" w:eastAsia="Arial" w:hAnsi="Arial" w:cs="Arial"/>
                <w:sz w:val="18"/>
              </w:rPr>
              <w:t xml:space="preserve">1.40% </w:t>
            </w:r>
          </w:p>
          <w:p w:rsidR="004D6F0E" w:rsidRDefault="00490F21">
            <w:pPr>
              <w:spacing w:after="0" w:line="259" w:lineRule="auto"/>
              <w:ind w:left="257" w:firstLine="0"/>
            </w:pPr>
            <w:r>
              <w:rPr>
                <w:rFonts w:ascii="Arial" w:eastAsia="Arial" w:hAnsi="Arial" w:cs="Arial"/>
                <w:sz w:val="18"/>
              </w:rPr>
              <w:t xml:space="preserve"> </w:t>
            </w:r>
          </w:p>
        </w:tc>
        <w:tc>
          <w:tcPr>
            <w:tcW w:w="1548" w:type="dxa"/>
            <w:tcBorders>
              <w:top w:val="nil"/>
              <w:left w:val="nil"/>
              <w:bottom w:val="nil"/>
              <w:right w:val="nil"/>
            </w:tcBorders>
          </w:tcPr>
          <w:p w:rsidR="004D6F0E" w:rsidRDefault="00490F21">
            <w:pPr>
              <w:spacing w:after="38"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38" w:line="259" w:lineRule="auto"/>
              <w:ind w:left="672" w:firstLine="0"/>
            </w:pPr>
            <w:r>
              <w:rPr>
                <w:sz w:val="18"/>
              </w:rPr>
              <w:t>無</w:t>
            </w:r>
            <w:r>
              <w:rPr>
                <w:rFonts w:ascii="Arial" w:eastAsia="Arial" w:hAnsi="Arial" w:cs="Arial"/>
                <w:sz w:val="18"/>
              </w:rPr>
              <w:t xml:space="preserve"> </w:t>
            </w:r>
          </w:p>
          <w:p w:rsidR="004D6F0E" w:rsidRDefault="00490F21">
            <w:pPr>
              <w:spacing w:after="0" w:line="259" w:lineRule="auto"/>
              <w:ind w:left="763" w:firstLine="0"/>
            </w:pP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b/>
                <w:sz w:val="18"/>
              </w:rPr>
              <w:t xml:space="preserve"> </w:t>
            </w:r>
          </w:p>
        </w:tc>
        <w:tc>
          <w:tcPr>
            <w:tcW w:w="2638" w:type="dxa"/>
            <w:tcBorders>
              <w:top w:val="nil"/>
              <w:left w:val="nil"/>
              <w:bottom w:val="nil"/>
              <w:right w:val="nil"/>
            </w:tcBorders>
            <w:shd w:val="clear" w:color="auto" w:fill="D9D9D9"/>
          </w:tcPr>
          <w:p w:rsidR="004D6F0E" w:rsidRDefault="004D6F0E">
            <w:pPr>
              <w:spacing w:after="160" w:line="259" w:lineRule="auto"/>
              <w:ind w:left="0" w:firstLine="0"/>
            </w:pPr>
          </w:p>
        </w:tc>
        <w:tc>
          <w:tcPr>
            <w:tcW w:w="2215" w:type="dxa"/>
            <w:tcBorders>
              <w:top w:val="nil"/>
              <w:left w:val="nil"/>
              <w:bottom w:val="nil"/>
              <w:right w:val="nil"/>
            </w:tcBorders>
            <w:shd w:val="clear" w:color="auto" w:fill="D9D9D9"/>
          </w:tcPr>
          <w:p w:rsidR="004D6F0E" w:rsidRDefault="004D6F0E">
            <w:pPr>
              <w:spacing w:after="160" w:line="259" w:lineRule="auto"/>
              <w:ind w:left="0" w:firstLine="0"/>
            </w:pPr>
          </w:p>
        </w:tc>
        <w:tc>
          <w:tcPr>
            <w:tcW w:w="1548" w:type="dxa"/>
            <w:tcBorders>
              <w:top w:val="nil"/>
              <w:left w:val="nil"/>
              <w:bottom w:val="nil"/>
              <w:right w:val="nil"/>
            </w:tcBorders>
            <w:shd w:val="clear" w:color="auto" w:fill="D9D9D9"/>
          </w:tcPr>
          <w:p w:rsidR="004D6F0E" w:rsidRDefault="004D6F0E">
            <w:pPr>
              <w:spacing w:after="160" w:line="259" w:lineRule="auto"/>
              <w:ind w:left="0" w:firstLine="0"/>
            </w:pPr>
          </w:p>
        </w:tc>
        <w:tc>
          <w:tcPr>
            <w:tcW w:w="1826"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after="20"/>
        <w:ind w:left="110" w:right="708" w:hanging="10"/>
        <w:jc w:val="both"/>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r>
        <w:rPr>
          <w:sz w:val="18"/>
        </w:rPr>
        <w:t>最高為</w:t>
      </w:r>
      <w:r>
        <w:rPr>
          <w:sz w:val="18"/>
        </w:rPr>
        <w:t xml:space="preserve"> </w:t>
      </w:r>
      <w:r>
        <w:rPr>
          <w:rFonts w:ascii="Arial" w:eastAsia="Arial" w:hAnsi="Arial" w:cs="Arial"/>
          <w:sz w:val="18"/>
        </w:rPr>
        <w:t xml:space="preserve">5.00% 1.70%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 xml:space="preserve">1.70% </w:t>
      </w:r>
      <w:r>
        <w:rPr>
          <w:sz w:val="18"/>
        </w:rPr>
        <w:t>無</w:t>
      </w:r>
      <w:r>
        <w:rPr>
          <w:rFonts w:ascii="Arial" w:eastAsia="Arial" w:hAnsi="Arial" w:cs="Arial"/>
          <w:sz w:val="18"/>
        </w:rPr>
        <w:t xml:space="preserve"> </w:t>
      </w:r>
      <w:r>
        <w:rPr>
          <w:sz w:val="18"/>
        </w:rPr>
        <w:t>無持有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p>
    <w:tbl>
      <w:tblPr>
        <w:tblStyle w:val="TableGrid"/>
        <w:tblW w:w="10298" w:type="dxa"/>
        <w:tblInd w:w="108" w:type="dxa"/>
        <w:tblCellMar>
          <w:top w:w="3" w:type="dxa"/>
          <w:left w:w="0" w:type="dxa"/>
          <w:bottom w:w="0" w:type="dxa"/>
          <w:right w:w="0" w:type="dxa"/>
        </w:tblCellMar>
        <w:tblLook w:val="04A0" w:firstRow="1" w:lastRow="0" w:firstColumn="1" w:lastColumn="0" w:noHBand="0" w:noVBand="1"/>
      </w:tblPr>
      <w:tblGrid>
        <w:gridCol w:w="2722"/>
        <w:gridCol w:w="2637"/>
        <w:gridCol w:w="941"/>
        <w:gridCol w:w="2882"/>
        <w:gridCol w:w="1116"/>
      </w:tblGrid>
      <w:tr w:rsidR="004D6F0E">
        <w:trPr>
          <w:trHeight w:val="325"/>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63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4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1.90% </w:t>
            </w:r>
          </w:p>
        </w:tc>
        <w:tc>
          <w:tcPr>
            <w:tcW w:w="2882" w:type="dxa"/>
            <w:tcBorders>
              <w:top w:val="nil"/>
              <w:left w:val="nil"/>
              <w:bottom w:val="nil"/>
              <w:right w:val="nil"/>
            </w:tcBorders>
          </w:tcPr>
          <w:p w:rsidR="004D6F0E" w:rsidRDefault="00490F21">
            <w:pPr>
              <w:spacing w:after="0" w:line="259" w:lineRule="auto"/>
              <w:ind w:left="178" w:firstLine="0"/>
              <w:jc w:val="center"/>
            </w:pPr>
            <w:r>
              <w:rPr>
                <w:sz w:val="18"/>
              </w:rPr>
              <w:t>無</w:t>
            </w: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0" w:right="48" w:firstLine="0"/>
              <w:jc w:val="right"/>
            </w:pPr>
            <w:r>
              <w:rPr>
                <w:sz w:val="18"/>
              </w:rPr>
              <w:t>此後</w:t>
            </w:r>
            <w:r>
              <w:rPr>
                <w:rFonts w:ascii="Arial" w:eastAsia="Arial" w:hAnsi="Arial" w:cs="Arial"/>
                <w:sz w:val="18"/>
              </w:rPr>
              <w:t xml:space="preserve">=0% </w:t>
            </w:r>
          </w:p>
        </w:tc>
      </w:tr>
      <w:tr w:rsidR="004D6F0E">
        <w:trPr>
          <w:trHeight w:val="239"/>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63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94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2882" w:type="dxa"/>
            <w:tcBorders>
              <w:top w:val="nil"/>
              <w:left w:val="nil"/>
              <w:bottom w:val="nil"/>
              <w:right w:val="nil"/>
            </w:tcBorders>
          </w:tcPr>
          <w:p w:rsidR="004D6F0E" w:rsidRDefault="00490F21">
            <w:pPr>
              <w:spacing w:after="0" w:line="259" w:lineRule="auto"/>
              <w:ind w:left="178" w:firstLine="0"/>
              <w:jc w:val="center"/>
            </w:pPr>
            <w:r>
              <w:rPr>
                <w:sz w:val="18"/>
              </w:rPr>
              <w:t>無</w:t>
            </w: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289" w:firstLine="0"/>
              <w:jc w:val="center"/>
            </w:pPr>
            <w:r>
              <w:rPr>
                <w:sz w:val="18"/>
              </w:rPr>
              <w:t>無</w:t>
            </w:r>
            <w:r>
              <w:rPr>
                <w:rFonts w:ascii="Arial" w:eastAsia="Arial" w:hAnsi="Arial" w:cs="Arial"/>
                <w:sz w:val="18"/>
              </w:rPr>
              <w:t xml:space="preserve"> </w:t>
            </w:r>
          </w:p>
        </w:tc>
      </w:tr>
      <w:tr w:rsidR="004D6F0E">
        <w:trPr>
          <w:trHeight w:val="231"/>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 xml:space="preserve">7 </w:t>
            </w:r>
          </w:p>
        </w:tc>
        <w:tc>
          <w:tcPr>
            <w:tcW w:w="263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41"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2882" w:type="dxa"/>
            <w:tcBorders>
              <w:top w:val="nil"/>
              <w:left w:val="nil"/>
              <w:bottom w:val="nil"/>
              <w:right w:val="nil"/>
            </w:tcBorders>
          </w:tcPr>
          <w:p w:rsidR="004D6F0E" w:rsidRDefault="00490F21">
            <w:pPr>
              <w:spacing w:after="0" w:line="259" w:lineRule="auto"/>
              <w:ind w:left="178" w:firstLine="0"/>
              <w:jc w:val="center"/>
            </w:pPr>
            <w:r>
              <w:rPr>
                <w:sz w:val="18"/>
              </w:rPr>
              <w:t>無</w:t>
            </w: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289" w:firstLine="0"/>
              <w:jc w:val="center"/>
            </w:pPr>
            <w:r>
              <w:rPr>
                <w:sz w:val="18"/>
              </w:rPr>
              <w:t>無</w:t>
            </w:r>
            <w:r>
              <w:rPr>
                <w:rFonts w:ascii="Arial" w:eastAsia="Arial" w:hAnsi="Arial" w:cs="Arial"/>
                <w:sz w:val="18"/>
              </w:rPr>
              <w:t xml:space="preserve"> </w:t>
            </w:r>
          </w:p>
        </w:tc>
      </w:tr>
      <w:tr w:rsidR="004D6F0E">
        <w:trPr>
          <w:trHeight w:val="267"/>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63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4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2882" w:type="dxa"/>
            <w:tcBorders>
              <w:top w:val="nil"/>
              <w:left w:val="nil"/>
              <w:bottom w:val="nil"/>
              <w:right w:val="nil"/>
            </w:tcBorders>
          </w:tcPr>
          <w:p w:rsidR="004D6F0E" w:rsidRDefault="00490F21">
            <w:pPr>
              <w:spacing w:after="0" w:line="259" w:lineRule="auto"/>
              <w:ind w:left="178" w:firstLine="0"/>
              <w:jc w:val="center"/>
            </w:pPr>
            <w:r>
              <w:rPr>
                <w:sz w:val="18"/>
              </w:rPr>
              <w:t>無</w:t>
            </w: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289" w:firstLine="0"/>
              <w:jc w:val="center"/>
            </w:pPr>
            <w:r>
              <w:rPr>
                <w:sz w:val="18"/>
              </w:rPr>
              <w:t>無</w:t>
            </w:r>
            <w:r>
              <w:rPr>
                <w:rFonts w:ascii="Arial" w:eastAsia="Arial" w:hAnsi="Arial" w:cs="Arial"/>
                <w:sz w:val="18"/>
              </w:rPr>
              <w:t xml:space="preserve"> </w:t>
            </w:r>
          </w:p>
        </w:tc>
      </w:tr>
      <w:tr w:rsidR="004D6F0E">
        <w:trPr>
          <w:trHeight w:val="259"/>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SP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63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41"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2882" w:type="dxa"/>
            <w:tcBorders>
              <w:top w:val="nil"/>
              <w:left w:val="nil"/>
              <w:bottom w:val="nil"/>
              <w:right w:val="nil"/>
            </w:tcBorders>
          </w:tcPr>
          <w:p w:rsidR="004D6F0E" w:rsidRDefault="00490F21">
            <w:pPr>
              <w:spacing w:after="0" w:line="259" w:lineRule="auto"/>
              <w:ind w:left="178" w:firstLine="0"/>
              <w:jc w:val="center"/>
            </w:pPr>
            <w:r>
              <w:rPr>
                <w:sz w:val="18"/>
              </w:rPr>
              <w:t>無</w:t>
            </w: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289" w:firstLine="0"/>
              <w:jc w:val="center"/>
            </w:pPr>
            <w:r>
              <w:rPr>
                <w:sz w:val="18"/>
              </w:rPr>
              <w:t>無</w:t>
            </w:r>
            <w:r>
              <w:rPr>
                <w:rFonts w:ascii="Arial" w:eastAsia="Arial" w:hAnsi="Arial" w:cs="Arial"/>
                <w:sz w:val="18"/>
              </w:rPr>
              <w:t xml:space="preserve"> </w:t>
            </w:r>
          </w:p>
        </w:tc>
      </w:tr>
      <w:tr w:rsidR="004D6F0E">
        <w:trPr>
          <w:trHeight w:val="248"/>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S1P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vertAlign w:val="superscript"/>
              </w:rPr>
              <w:t>††</w:t>
            </w:r>
            <w:r>
              <w:rPr>
                <w:rFonts w:ascii="Arial" w:eastAsia="Arial" w:hAnsi="Arial" w:cs="Arial"/>
                <w:sz w:val="18"/>
              </w:rPr>
              <w:t xml:space="preserve"> </w:t>
            </w:r>
          </w:p>
        </w:tc>
        <w:tc>
          <w:tcPr>
            <w:tcW w:w="263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4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2882" w:type="dxa"/>
            <w:tcBorders>
              <w:top w:val="nil"/>
              <w:left w:val="nil"/>
              <w:bottom w:val="nil"/>
              <w:right w:val="nil"/>
            </w:tcBorders>
          </w:tcPr>
          <w:p w:rsidR="004D6F0E" w:rsidRDefault="00490F21">
            <w:pPr>
              <w:spacing w:after="0" w:line="259" w:lineRule="auto"/>
              <w:ind w:left="178" w:firstLine="0"/>
              <w:jc w:val="center"/>
            </w:pPr>
            <w:r>
              <w:rPr>
                <w:sz w:val="18"/>
              </w:rPr>
              <w:t>無</w:t>
            </w: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289" w:firstLine="0"/>
              <w:jc w:val="center"/>
            </w:pPr>
            <w:r>
              <w:rPr>
                <w:sz w:val="18"/>
              </w:rPr>
              <w:t>無</w:t>
            </w:r>
            <w:r>
              <w:rPr>
                <w:rFonts w:ascii="Arial" w:eastAsia="Arial" w:hAnsi="Arial" w:cs="Arial"/>
                <w:sz w:val="18"/>
              </w:rPr>
              <w:t xml:space="preserve"> </w:t>
            </w:r>
          </w:p>
        </w:tc>
      </w:tr>
      <w:tr w:rsidR="004D6F0E">
        <w:trPr>
          <w:trHeight w:val="195"/>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2637"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 </w:t>
            </w:r>
          </w:p>
        </w:tc>
        <w:tc>
          <w:tcPr>
            <w:tcW w:w="941" w:type="dxa"/>
            <w:tcBorders>
              <w:top w:val="nil"/>
              <w:left w:val="nil"/>
              <w:bottom w:val="nil"/>
              <w:right w:val="nil"/>
            </w:tcBorders>
          </w:tcPr>
          <w:p w:rsidR="004D6F0E" w:rsidRDefault="00490F21">
            <w:pPr>
              <w:spacing w:after="0" w:line="259" w:lineRule="auto"/>
              <w:ind w:left="257" w:firstLine="0"/>
            </w:pPr>
            <w:r>
              <w:rPr>
                <w:rFonts w:ascii="Arial" w:eastAsia="Arial" w:hAnsi="Arial" w:cs="Arial"/>
                <w:sz w:val="18"/>
              </w:rPr>
              <w:t xml:space="preserve"> </w:t>
            </w:r>
          </w:p>
        </w:tc>
        <w:tc>
          <w:tcPr>
            <w:tcW w:w="2882" w:type="dxa"/>
            <w:tcBorders>
              <w:top w:val="nil"/>
              <w:left w:val="nil"/>
              <w:bottom w:val="nil"/>
              <w:right w:val="nil"/>
            </w:tcBorders>
          </w:tcPr>
          <w:p w:rsidR="004D6F0E" w:rsidRDefault="00490F21">
            <w:pPr>
              <w:spacing w:after="0" w:line="259" w:lineRule="auto"/>
              <w:ind w:left="226" w:firstLine="0"/>
              <w:jc w:val="center"/>
            </w:pP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0" w:line="259" w:lineRule="auto"/>
              <w:ind w:left="341" w:firstLine="0"/>
              <w:jc w:val="center"/>
            </w:pPr>
            <w:r>
              <w:rPr>
                <w:rFonts w:ascii="Arial" w:eastAsia="Arial" w:hAnsi="Arial" w:cs="Arial"/>
                <w:sz w:val="18"/>
              </w:rPr>
              <w:t xml:space="preserve"> </w:t>
            </w:r>
          </w:p>
        </w:tc>
      </w:tr>
    </w:tbl>
    <w:p w:rsidR="004D6F0E" w:rsidRDefault="00490F21">
      <w:pPr>
        <w:shd w:val="clear" w:color="auto" w:fill="D9D9D9"/>
        <w:spacing w:after="11" w:line="250" w:lineRule="auto"/>
        <w:ind w:left="110" w:right="552" w:hanging="10"/>
      </w:pPr>
      <w:r>
        <w:rPr>
          <w:sz w:val="18"/>
        </w:rPr>
        <w:t>英鎊對沖股份類別</w:t>
      </w:r>
      <w:r>
        <w:rPr>
          <w:rFonts w:ascii="Arial" w:eastAsia="Arial" w:hAnsi="Arial" w:cs="Arial"/>
          <w:b/>
          <w:sz w:val="18"/>
        </w:rPr>
        <w:t xml:space="preserve"> </w:t>
      </w:r>
    </w:p>
    <w:p w:rsidR="004D6F0E" w:rsidRDefault="00490F21">
      <w:pPr>
        <w:spacing w:after="328" w:line="294" w:lineRule="auto"/>
        <w:ind w:left="118" w:right="1008" w:hanging="10"/>
        <w:jc w:val="both"/>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 xml:space="preserve">7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S1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r>
        <w:rPr>
          <w:sz w:val="18"/>
        </w:rPr>
        <w:t>無</w:t>
      </w:r>
      <w:r>
        <w:rPr>
          <w:rFonts w:ascii="Arial" w:eastAsia="Arial" w:hAnsi="Arial" w:cs="Arial"/>
          <w:sz w:val="18"/>
        </w:rPr>
        <w:t xml:space="preserve"> 0.70%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SP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 xml:space="preserve">7††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S1P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vertAlign w:val="superscript"/>
        </w:rPr>
        <w:t>††</w:t>
      </w:r>
      <w:r>
        <w:rPr>
          <w:rFonts w:ascii="Arial" w:eastAsia="Arial" w:hAnsi="Arial" w:cs="Arial"/>
          <w:sz w:val="18"/>
        </w:rPr>
        <w:t xml:space="preserve"> </w:t>
      </w:r>
      <w:r>
        <w:rPr>
          <w:sz w:val="18"/>
        </w:rPr>
        <w:t>無</w:t>
      </w:r>
      <w:r>
        <w:rPr>
          <w:rFonts w:ascii="Arial" w:eastAsia="Arial" w:hAnsi="Arial" w:cs="Arial"/>
          <w:sz w:val="18"/>
        </w:rPr>
        <w:t xml:space="preserve"> 0.70%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6"/>
        </w:rPr>
        <w:t xml:space="preserve"> </w:t>
      </w:r>
      <w:r>
        <w:rPr>
          <w:rFonts w:ascii="Arial" w:eastAsia="Arial" w:hAnsi="Arial" w:cs="Arial"/>
          <w:sz w:val="16"/>
        </w:rPr>
        <w:tab/>
        <w:t xml:space="preserve"> </w:t>
      </w:r>
    </w:p>
    <w:p w:rsidR="004D6F0E" w:rsidRDefault="00490F21">
      <w:pPr>
        <w:tabs>
          <w:tab w:val="center" w:pos="7429"/>
        </w:tabs>
        <w:ind w:left="-13" w:firstLine="0"/>
      </w:pPr>
      <w:r>
        <w:rPr>
          <w:rFonts w:ascii="Arial" w:eastAsia="Arial" w:hAnsi="Arial" w:cs="Arial"/>
          <w:sz w:val="16"/>
        </w:rPr>
        <w:t xml:space="preserve">1 </w:t>
      </w:r>
      <w:r>
        <w:rPr>
          <w:sz w:val="16"/>
        </w:rPr>
        <w:t>管理公司、行政管理人、存管人及過戶代理有權自本基金資產收取下文</w:t>
      </w:r>
      <w:r>
        <w:rPr>
          <w:sz w:val="16"/>
        </w:rPr>
        <w:tab/>
      </w:r>
      <w:r>
        <w:rPr>
          <w:rFonts w:ascii="Arial" w:eastAsia="Arial" w:hAnsi="Arial" w:cs="Arial"/>
          <w:sz w:val="16"/>
        </w:rPr>
        <w:t xml:space="preserve">5 </w:t>
      </w:r>
      <w:r>
        <w:rPr>
          <w:sz w:val="16"/>
        </w:rPr>
        <w:t>佔每日平均資產淨值的年百分比。</w:t>
      </w:r>
      <w:r>
        <w:rPr>
          <w:rFonts w:ascii="Arial" w:eastAsia="Arial" w:hAnsi="Arial" w:cs="Arial"/>
          <w:sz w:val="16"/>
        </w:rPr>
        <w:t xml:space="preserve"> </w:t>
      </w:r>
    </w:p>
    <w:p w:rsidR="004D6F0E" w:rsidRDefault="00490F21">
      <w:pPr>
        <w:ind w:left="437" w:right="13" w:hanging="10"/>
        <w:jc w:val="both"/>
      </w:pPr>
      <w:r>
        <w:rPr>
          <w:sz w:val="16"/>
        </w:rPr>
        <w:t>「其他基金資料－管理公司、行政管理人、存管人及過戶代理費用」所</w:t>
      </w:r>
      <w:r>
        <w:rPr>
          <w:sz w:val="16"/>
        </w:rPr>
        <w:t xml:space="preserve"> </w:t>
      </w:r>
      <w:r>
        <w:rPr>
          <w:rFonts w:ascii="Arial" w:eastAsia="Arial" w:hAnsi="Arial" w:cs="Arial"/>
          <w:sz w:val="16"/>
        </w:rPr>
        <w:t xml:space="preserve">6 </w:t>
      </w:r>
      <w:r>
        <w:rPr>
          <w:sz w:val="16"/>
        </w:rPr>
        <w:t>佔所贖回股份的現行資產淨值或原始成本此兩數字中較低者的有關述的費用。本基金亦承擔其所有其他開支。見第</w:t>
      </w:r>
      <w:r>
        <w:rPr>
          <w:sz w:val="16"/>
        </w:rPr>
        <w:t xml:space="preserve"> </w:t>
      </w:r>
      <w:r>
        <w:rPr>
          <w:rFonts w:ascii="Arial" w:eastAsia="Arial" w:hAnsi="Arial" w:cs="Arial"/>
          <w:sz w:val="16"/>
        </w:rPr>
        <w:t xml:space="preserve">II </w:t>
      </w:r>
      <w:r>
        <w:rPr>
          <w:sz w:val="16"/>
        </w:rPr>
        <w:t>部分「如何購買股份</w:t>
      </w:r>
      <w:r>
        <w:rPr>
          <w:sz w:val="16"/>
        </w:rPr>
        <w:t xml:space="preserve"> </w:t>
      </w:r>
      <w:r>
        <w:rPr>
          <w:sz w:val="16"/>
        </w:rPr>
        <w:t>百分比，並視乎該等股份的持有時間而定。</w:t>
      </w:r>
      <w:r>
        <w:rPr>
          <w:rFonts w:ascii="Arial" w:eastAsia="Arial" w:hAnsi="Arial" w:cs="Arial"/>
          <w:sz w:val="16"/>
        </w:rPr>
        <w:t xml:space="preserve">CDSC </w:t>
      </w:r>
      <w:r>
        <w:rPr>
          <w:sz w:val="16"/>
        </w:rPr>
        <w:t>股份僅可透過分」及「附加資料－費用及開支」。管理公司已自願承諾（直至管理公司</w:t>
      </w:r>
      <w:r>
        <w:rPr>
          <w:sz w:val="16"/>
        </w:rPr>
        <w:t xml:space="preserve"> </w:t>
      </w:r>
      <w:r>
        <w:rPr>
          <w:sz w:val="16"/>
        </w:rPr>
        <w:t>銷商授權發售此等股份的交易商認購。考慮投資於</w:t>
      </w:r>
      <w:r>
        <w:rPr>
          <w:sz w:val="16"/>
        </w:rPr>
        <w:t xml:space="preserve"> </w:t>
      </w:r>
      <w:r>
        <w:rPr>
          <w:rFonts w:ascii="Arial" w:eastAsia="Arial" w:hAnsi="Arial" w:cs="Arial"/>
          <w:sz w:val="16"/>
        </w:rPr>
        <w:t xml:space="preserve">CDSC </w:t>
      </w:r>
      <w:r>
        <w:rPr>
          <w:sz w:val="16"/>
        </w:rPr>
        <w:t>股份的投代表本傘子基金向股東發出相反通告為止），倘於任何財政年度，本基</w:t>
      </w:r>
      <w:r>
        <w:rPr>
          <w:sz w:val="16"/>
        </w:rPr>
        <w:t xml:space="preserve"> </w:t>
      </w:r>
      <w:r>
        <w:rPr>
          <w:sz w:val="16"/>
        </w:rPr>
        <w:t>資者應向其財務顧問了解詳情。就</w:t>
      </w:r>
      <w:r>
        <w:rPr>
          <w:sz w:val="16"/>
        </w:rPr>
        <w:t xml:space="preserve"> </w:t>
      </w:r>
      <w:r>
        <w:rPr>
          <w:rFonts w:ascii="Arial" w:eastAsia="Arial" w:hAnsi="Arial" w:cs="Arial"/>
          <w:sz w:val="16"/>
        </w:rPr>
        <w:t xml:space="preserve">C </w:t>
      </w:r>
      <w:r>
        <w:rPr>
          <w:sz w:val="16"/>
        </w:rPr>
        <w:t>類股份（及相應</w:t>
      </w:r>
      <w:r>
        <w:rPr>
          <w:sz w:val="16"/>
        </w:rPr>
        <w:t xml:space="preserve"> </w:t>
      </w:r>
      <w:r>
        <w:rPr>
          <w:rFonts w:ascii="Arial" w:eastAsia="Arial" w:hAnsi="Arial" w:cs="Arial"/>
          <w:sz w:val="16"/>
        </w:rPr>
        <w:t xml:space="preserve">H </w:t>
      </w:r>
      <w:r>
        <w:rPr>
          <w:sz w:val="16"/>
        </w:rPr>
        <w:t>類股份）而金以下股份類別涉及的費用及開支總額（包括第</w:t>
      </w:r>
      <w:r>
        <w:rPr>
          <w:sz w:val="16"/>
        </w:rPr>
        <w:t xml:space="preserve"> </w:t>
      </w:r>
      <w:r>
        <w:rPr>
          <w:rFonts w:ascii="Arial" w:eastAsia="Arial" w:hAnsi="Arial" w:cs="Arial"/>
          <w:sz w:val="16"/>
        </w:rPr>
        <w:t xml:space="preserve">II </w:t>
      </w:r>
      <w:r>
        <w:rPr>
          <w:sz w:val="16"/>
        </w:rPr>
        <w:t>部分「附加資料</w:t>
      </w:r>
      <w:r>
        <w:rPr>
          <w:sz w:val="16"/>
        </w:rPr>
        <w:t>－費</w:t>
      </w:r>
      <w:r>
        <w:rPr>
          <w:sz w:val="16"/>
        </w:rPr>
        <w:t xml:space="preserve"> </w:t>
      </w:r>
      <w:r>
        <w:rPr>
          <w:sz w:val="16"/>
        </w:rPr>
        <w:t>言，交易商可在某些情況下選擇減免或有遞延銷售費。</w:t>
      </w:r>
      <w:r>
        <w:rPr>
          <w:rFonts w:ascii="Arial" w:eastAsia="Arial" w:hAnsi="Arial" w:cs="Arial"/>
          <w:sz w:val="16"/>
        </w:rPr>
        <w:t xml:space="preserve"> </w:t>
      </w:r>
    </w:p>
    <w:p w:rsidR="004D6F0E" w:rsidRDefault="00490F21">
      <w:pPr>
        <w:tabs>
          <w:tab w:val="center" w:pos="2879"/>
          <w:tab w:val="center" w:pos="6093"/>
          <w:tab w:val="right" w:pos="11091"/>
        </w:tabs>
        <w:ind w:left="0" w:firstLine="0"/>
      </w:pPr>
      <w:r>
        <w:rPr>
          <w:rFonts w:ascii="Calibri" w:eastAsia="Calibri" w:hAnsi="Calibri" w:cs="Calibri"/>
          <w:sz w:val="22"/>
        </w:rPr>
        <w:tab/>
      </w:r>
      <w:r>
        <w:rPr>
          <w:sz w:val="16"/>
        </w:rPr>
        <w:t>用及開支」所載的任何管理費及所有其他費用及開支，包括盧森堡年稅</w:t>
      </w:r>
      <w:r>
        <w:rPr>
          <w:sz w:val="16"/>
        </w:rPr>
        <w:tab/>
      </w:r>
      <w:r>
        <w:rPr>
          <w:rFonts w:ascii="Arial" w:eastAsia="Arial" w:hAnsi="Arial" w:cs="Arial"/>
          <w:sz w:val="16"/>
        </w:rPr>
        <w:t xml:space="preserve">7 </w:t>
      </w:r>
      <w:r>
        <w:rPr>
          <w:rFonts w:ascii="Arial" w:eastAsia="Arial" w:hAnsi="Arial" w:cs="Arial"/>
          <w:sz w:val="16"/>
        </w:rPr>
        <w:tab/>
        <w:t xml:space="preserve">S </w:t>
      </w:r>
      <w:r>
        <w:rPr>
          <w:sz w:val="16"/>
        </w:rPr>
        <w:t>類股份及</w:t>
      </w:r>
      <w:r>
        <w:rPr>
          <w:sz w:val="16"/>
        </w:rPr>
        <w:t xml:space="preserve"> </w:t>
      </w:r>
      <w:r>
        <w:rPr>
          <w:rFonts w:ascii="Arial" w:eastAsia="Arial" w:hAnsi="Arial" w:cs="Arial"/>
          <w:sz w:val="16"/>
        </w:rPr>
        <w:t xml:space="preserve">SP </w:t>
      </w:r>
      <w:r>
        <w:rPr>
          <w:sz w:val="16"/>
        </w:rPr>
        <w:t>類股份（及相應</w:t>
      </w:r>
      <w:r>
        <w:rPr>
          <w:sz w:val="16"/>
        </w:rPr>
        <w:t xml:space="preserve"> </w:t>
      </w:r>
      <w:r>
        <w:rPr>
          <w:rFonts w:ascii="Arial" w:eastAsia="Arial" w:hAnsi="Arial" w:cs="Arial"/>
          <w:sz w:val="16"/>
        </w:rPr>
        <w:t xml:space="preserve">H </w:t>
      </w:r>
      <w:r>
        <w:rPr>
          <w:sz w:val="16"/>
        </w:rPr>
        <w:t>類股份）乃保留給已與管理公司</w:t>
      </w:r>
    </w:p>
    <w:p w:rsidR="004D6F0E" w:rsidRDefault="00490F21">
      <w:pPr>
        <w:tabs>
          <w:tab w:val="center" w:pos="2879"/>
          <w:tab w:val="center" w:pos="8170"/>
        </w:tabs>
        <w:spacing w:after="25"/>
        <w:ind w:left="0" w:firstLine="0"/>
      </w:pPr>
      <w:r>
        <w:rPr>
          <w:rFonts w:ascii="Calibri" w:eastAsia="Calibri" w:hAnsi="Calibri" w:cs="Calibri"/>
          <w:sz w:val="22"/>
        </w:rPr>
        <w:tab/>
      </w:r>
      <w:r>
        <w:rPr>
          <w:sz w:val="16"/>
        </w:rPr>
        <w:t>，但不包括某些其他稅項、經紀佣金（如適用）和借款利息）超出本基</w:t>
      </w:r>
      <w:r>
        <w:rPr>
          <w:sz w:val="16"/>
        </w:rPr>
        <w:tab/>
      </w:r>
      <w:r>
        <w:rPr>
          <w:sz w:val="16"/>
        </w:rPr>
        <w:t>訂立協議且被另行收取投資管理費的機構投資者。</w:t>
      </w:r>
      <w:r>
        <w:rPr>
          <w:sz w:val="16"/>
        </w:rPr>
        <w:t xml:space="preserve"> </w:t>
      </w:r>
      <w:r>
        <w:rPr>
          <w:rFonts w:ascii="Arial" w:eastAsia="Arial" w:hAnsi="Arial" w:cs="Arial"/>
          <w:sz w:val="16"/>
        </w:rPr>
        <w:t xml:space="preserve"> </w:t>
      </w:r>
    </w:p>
    <w:p w:rsidR="004D6F0E" w:rsidRDefault="00490F21">
      <w:pPr>
        <w:spacing w:after="29"/>
        <w:ind w:left="437" w:right="13" w:hanging="10"/>
        <w:jc w:val="both"/>
      </w:pPr>
      <w:r>
        <w:rPr>
          <w:sz w:val="16"/>
        </w:rPr>
        <w:t>金以下股份類別（及相應</w:t>
      </w:r>
      <w:r>
        <w:rPr>
          <w:sz w:val="16"/>
        </w:rPr>
        <w:t xml:space="preserve"> </w:t>
      </w:r>
      <w:r>
        <w:rPr>
          <w:rFonts w:ascii="Arial" w:eastAsia="Arial" w:hAnsi="Arial" w:cs="Arial"/>
          <w:sz w:val="16"/>
        </w:rPr>
        <w:t xml:space="preserve">H </w:t>
      </w:r>
      <w:r>
        <w:rPr>
          <w:sz w:val="16"/>
        </w:rPr>
        <w:t>類股份）應佔本基金該財政年度平均資產</w:t>
      </w:r>
      <w:r>
        <w:rPr>
          <w:sz w:val="16"/>
        </w:rPr>
        <w:tab/>
      </w:r>
      <w:r>
        <w:rPr>
          <w:rFonts w:ascii="Arial" w:eastAsia="Arial" w:hAnsi="Arial" w:cs="Arial"/>
          <w:sz w:val="16"/>
        </w:rPr>
        <w:t xml:space="preserve">8 </w:t>
      </w:r>
      <w:r>
        <w:rPr>
          <w:sz w:val="18"/>
        </w:rPr>
        <w:t>有關此股份</w:t>
      </w:r>
      <w:r>
        <w:rPr>
          <w:sz w:val="16"/>
        </w:rPr>
        <w:t>類別的進一步資料，請參閱第</w:t>
      </w:r>
      <w:r>
        <w:rPr>
          <w:sz w:val="16"/>
        </w:rPr>
        <w:t xml:space="preserve"> </w:t>
      </w:r>
      <w:r>
        <w:rPr>
          <w:rFonts w:ascii="Arial" w:eastAsia="Arial" w:hAnsi="Arial" w:cs="Arial"/>
          <w:sz w:val="16"/>
        </w:rPr>
        <w:t xml:space="preserve">II </w:t>
      </w:r>
      <w:r>
        <w:rPr>
          <w:sz w:val="16"/>
        </w:rPr>
        <w:t>部分「附加股份類別資淨值的以下百分比：</w:t>
      </w:r>
      <w:r>
        <w:rPr>
          <w:rFonts w:ascii="Arial" w:eastAsia="Arial" w:hAnsi="Arial" w:cs="Arial"/>
          <w:sz w:val="16"/>
        </w:rPr>
        <w:t>A(1.95%)</w:t>
      </w:r>
      <w:r>
        <w:rPr>
          <w:sz w:val="16"/>
        </w:rPr>
        <w:t>、</w:t>
      </w:r>
      <w:r>
        <w:rPr>
          <w:rFonts w:ascii="Arial" w:eastAsia="Arial" w:hAnsi="Arial" w:cs="Arial"/>
          <w:sz w:val="16"/>
        </w:rPr>
        <w:t>AX(1.90%)</w:t>
      </w:r>
      <w:r>
        <w:rPr>
          <w:sz w:val="16"/>
        </w:rPr>
        <w:t>、</w:t>
      </w:r>
      <w:r>
        <w:rPr>
          <w:rFonts w:ascii="Arial" w:eastAsia="Arial" w:hAnsi="Arial" w:cs="Arial"/>
          <w:sz w:val="16"/>
        </w:rPr>
        <w:t>AR(</w:t>
      </w:r>
      <w:r>
        <w:rPr>
          <w:rFonts w:ascii="Arial" w:eastAsia="Arial" w:hAnsi="Arial" w:cs="Arial"/>
          <w:sz w:val="16"/>
        </w:rPr>
        <w:t>1.95%)</w:t>
      </w:r>
      <w:r>
        <w:rPr>
          <w:sz w:val="16"/>
        </w:rPr>
        <w:t>、</w:t>
      </w:r>
      <w:r>
        <w:rPr>
          <w:rFonts w:ascii="Arial" w:eastAsia="Arial" w:hAnsi="Arial" w:cs="Arial"/>
          <w:sz w:val="16"/>
        </w:rPr>
        <w:t>BX(2.90%)</w:t>
      </w:r>
      <w:r>
        <w:rPr>
          <w:rFonts w:ascii="Arial" w:eastAsia="Arial" w:hAnsi="Arial" w:cs="Arial"/>
          <w:sz w:val="16"/>
        </w:rPr>
        <w:tab/>
      </w:r>
      <w:r>
        <w:rPr>
          <w:sz w:val="16"/>
        </w:rPr>
        <w:t>料」。</w:t>
      </w:r>
      <w:r>
        <w:rPr>
          <w:rFonts w:ascii="Arial" w:eastAsia="Arial" w:hAnsi="Arial" w:cs="Arial"/>
          <w:sz w:val="16"/>
        </w:rPr>
        <w:t xml:space="preserve"> </w:t>
      </w:r>
    </w:p>
    <w:p w:rsidR="004D6F0E" w:rsidRDefault="00490F21">
      <w:pPr>
        <w:tabs>
          <w:tab w:val="center" w:pos="2878"/>
          <w:tab w:val="center" w:pos="6048"/>
        </w:tabs>
        <w:spacing w:after="43" w:line="269" w:lineRule="auto"/>
        <w:ind w:left="0" w:firstLine="0"/>
      </w:pPr>
      <w:r>
        <w:rPr>
          <w:rFonts w:ascii="Calibri" w:eastAsia="Calibri" w:hAnsi="Calibri" w:cs="Calibri"/>
          <w:sz w:val="22"/>
        </w:rPr>
        <w:tab/>
      </w:r>
      <w:r>
        <w:rPr>
          <w:sz w:val="16"/>
        </w:rPr>
        <w:t>、</w:t>
      </w:r>
      <w:r>
        <w:rPr>
          <w:rFonts w:ascii="Arial" w:eastAsia="Arial" w:hAnsi="Arial" w:cs="Arial"/>
          <w:sz w:val="16"/>
        </w:rPr>
        <w:t>C(2.25%)</w:t>
      </w:r>
      <w:r>
        <w:rPr>
          <w:sz w:val="16"/>
        </w:rPr>
        <w:t>、</w:t>
      </w:r>
      <w:r>
        <w:rPr>
          <w:rFonts w:ascii="Arial" w:eastAsia="Arial" w:hAnsi="Arial" w:cs="Arial"/>
          <w:sz w:val="16"/>
        </w:rPr>
        <w:t>CX(2.20%)</w:t>
      </w:r>
      <w:r>
        <w:rPr>
          <w:sz w:val="16"/>
        </w:rPr>
        <w:t>、</w:t>
      </w:r>
      <w:r>
        <w:rPr>
          <w:rFonts w:ascii="Arial" w:eastAsia="Arial" w:hAnsi="Arial" w:cs="Arial"/>
          <w:sz w:val="16"/>
        </w:rPr>
        <w:t>I(1.25%)</w:t>
      </w:r>
      <w:r>
        <w:rPr>
          <w:sz w:val="16"/>
        </w:rPr>
        <w:t>、</w:t>
      </w:r>
      <w:r>
        <w:rPr>
          <w:rFonts w:ascii="Arial" w:eastAsia="Arial" w:hAnsi="Arial" w:cs="Arial"/>
          <w:sz w:val="16"/>
        </w:rPr>
        <w:t>IX(1.20%)</w:t>
      </w:r>
      <w:r>
        <w:rPr>
          <w:sz w:val="16"/>
        </w:rPr>
        <w:t>、</w:t>
      </w:r>
      <w:r>
        <w:rPr>
          <w:rFonts w:ascii="Arial" w:eastAsia="Arial" w:hAnsi="Arial" w:cs="Arial"/>
          <w:sz w:val="16"/>
        </w:rPr>
        <w:t>S(0.10%)</w:t>
      </w:r>
      <w:r>
        <w:rPr>
          <w:sz w:val="16"/>
        </w:rPr>
        <w:t>、</w:t>
      </w:r>
      <w:r>
        <w:rPr>
          <w:rFonts w:ascii="Arial" w:eastAsia="Arial" w:hAnsi="Arial" w:cs="Arial"/>
          <w:sz w:val="16"/>
        </w:rPr>
        <w:t>S1(0.80%)</w:t>
      </w:r>
      <w:r>
        <w:rPr>
          <w:rFonts w:ascii="Arial" w:eastAsia="Arial" w:hAnsi="Arial" w:cs="Arial"/>
          <w:sz w:val="16"/>
        </w:rPr>
        <w:tab/>
        <w:t xml:space="preserve"> </w:t>
      </w:r>
    </w:p>
    <w:p w:rsidR="004D6F0E" w:rsidRDefault="00490F21">
      <w:pPr>
        <w:spacing w:line="320" w:lineRule="auto"/>
        <w:ind w:left="437" w:right="13" w:hanging="10"/>
        <w:jc w:val="both"/>
      </w:pPr>
      <w:r>
        <w:rPr>
          <w:sz w:val="16"/>
        </w:rPr>
        <w:t>、</w:t>
      </w:r>
      <w:r>
        <w:rPr>
          <w:rFonts w:ascii="Arial" w:eastAsia="Arial" w:hAnsi="Arial" w:cs="Arial"/>
          <w:sz w:val="16"/>
        </w:rPr>
        <w:t>SP(0.09%)</w:t>
      </w:r>
      <w:r>
        <w:rPr>
          <w:sz w:val="16"/>
        </w:rPr>
        <w:t>及</w:t>
      </w:r>
      <w:r>
        <w:rPr>
          <w:sz w:val="16"/>
        </w:rPr>
        <w:t xml:space="preserve"> </w:t>
      </w:r>
      <w:r>
        <w:rPr>
          <w:rFonts w:ascii="Arial" w:eastAsia="Arial" w:hAnsi="Arial" w:cs="Arial"/>
          <w:sz w:val="16"/>
        </w:rPr>
        <w:t>S1P(0.79%)</w:t>
      </w:r>
      <w:r>
        <w:rPr>
          <w:sz w:val="18"/>
        </w:rPr>
        <w:t>，</w:t>
      </w:r>
      <w:r>
        <w:rPr>
          <w:sz w:val="16"/>
        </w:rPr>
        <w:t>則本傘子基金可自應付管理公司的款項</w:t>
      </w:r>
      <w:r>
        <w:rPr>
          <w:sz w:val="16"/>
        </w:rPr>
        <w:tab/>
      </w:r>
      <w:r>
        <w:rPr>
          <w:rFonts w:ascii="Arial" w:eastAsia="Arial" w:hAnsi="Arial" w:cs="Arial"/>
          <w:sz w:val="16"/>
        </w:rPr>
        <w:t xml:space="preserve">† </w:t>
      </w:r>
      <w:r>
        <w:rPr>
          <w:rFonts w:ascii="Arial" w:eastAsia="Arial" w:hAnsi="Arial" w:cs="Arial"/>
          <w:sz w:val="16"/>
        </w:rPr>
        <w:tab/>
        <w:t>AX</w:t>
      </w:r>
      <w:r>
        <w:rPr>
          <w:sz w:val="16"/>
        </w:rPr>
        <w:t>、</w:t>
      </w:r>
      <w:r>
        <w:rPr>
          <w:rFonts w:ascii="Arial" w:eastAsia="Arial" w:hAnsi="Arial" w:cs="Arial"/>
          <w:sz w:val="16"/>
        </w:rPr>
        <w:t>BX</w:t>
      </w:r>
      <w:r>
        <w:rPr>
          <w:sz w:val="16"/>
        </w:rPr>
        <w:t>、</w:t>
      </w:r>
      <w:r>
        <w:rPr>
          <w:rFonts w:ascii="Arial" w:eastAsia="Arial" w:hAnsi="Arial" w:cs="Arial"/>
          <w:sz w:val="16"/>
        </w:rPr>
        <w:t xml:space="preserve">CX </w:t>
      </w:r>
      <w:r>
        <w:rPr>
          <w:sz w:val="16"/>
        </w:rPr>
        <w:t>及</w:t>
      </w:r>
      <w:r>
        <w:rPr>
          <w:sz w:val="16"/>
        </w:rPr>
        <w:t xml:space="preserve"> </w:t>
      </w:r>
      <w:r>
        <w:rPr>
          <w:rFonts w:ascii="Arial" w:eastAsia="Arial" w:hAnsi="Arial" w:cs="Arial"/>
          <w:sz w:val="16"/>
        </w:rPr>
        <w:t xml:space="preserve">IX </w:t>
      </w:r>
      <w:r>
        <w:rPr>
          <w:sz w:val="16"/>
        </w:rPr>
        <w:t>類股份已終止，除自此等股份類別的現有股東認中扣減（或管理公司將另行承擔）超出的費用及開支。</w:t>
      </w:r>
      <w:r>
        <w:rPr>
          <w:rFonts w:ascii="Arial" w:eastAsia="Arial" w:hAnsi="Arial" w:cs="Arial"/>
          <w:sz w:val="16"/>
        </w:rPr>
        <w:t xml:space="preserve"> </w:t>
      </w:r>
      <w:r>
        <w:rPr>
          <w:rFonts w:ascii="Arial" w:eastAsia="Arial" w:hAnsi="Arial" w:cs="Arial"/>
          <w:sz w:val="16"/>
        </w:rPr>
        <w:tab/>
      </w:r>
      <w:r>
        <w:rPr>
          <w:sz w:val="16"/>
        </w:rPr>
        <w:t>購外，不再接納新認購。</w:t>
      </w:r>
      <w:r>
        <w:rPr>
          <w:rFonts w:ascii="Arial" w:eastAsia="Arial" w:hAnsi="Arial" w:cs="Arial"/>
          <w:sz w:val="16"/>
        </w:rPr>
        <w:t xml:space="preserve"> </w:t>
      </w:r>
    </w:p>
    <w:p w:rsidR="004D6F0E" w:rsidRDefault="00490F21">
      <w:pPr>
        <w:numPr>
          <w:ilvl w:val="0"/>
          <w:numId w:val="9"/>
        </w:numPr>
        <w:ind w:right="13" w:hanging="427"/>
        <w:jc w:val="both"/>
      </w:pPr>
      <w:r>
        <w:rPr>
          <w:rFonts w:ascii="Arial" w:eastAsia="Arial" w:hAnsi="Arial" w:cs="Arial"/>
          <w:sz w:val="16"/>
        </w:rPr>
        <w:t xml:space="preserve">BX </w:t>
      </w:r>
      <w:r>
        <w:rPr>
          <w:sz w:val="16"/>
        </w:rPr>
        <w:t>類股份自認購日起六年後合資格轉入</w:t>
      </w:r>
      <w:r>
        <w:rPr>
          <w:sz w:val="16"/>
        </w:rPr>
        <w:t xml:space="preserve"> </w:t>
      </w:r>
      <w:r>
        <w:rPr>
          <w:rFonts w:ascii="Arial" w:eastAsia="Arial" w:hAnsi="Arial" w:cs="Arial"/>
          <w:sz w:val="16"/>
        </w:rPr>
        <w:t xml:space="preserve">AX </w:t>
      </w:r>
      <w:r>
        <w:rPr>
          <w:sz w:val="16"/>
        </w:rPr>
        <w:t>類股份，本傘子基金和管</w:t>
      </w:r>
      <w:r>
        <w:rPr>
          <w:rFonts w:ascii="Arial" w:eastAsia="Arial" w:hAnsi="Arial" w:cs="Arial"/>
          <w:sz w:val="16"/>
        </w:rPr>
        <w:t xml:space="preserve">  </w:t>
      </w:r>
      <w:r>
        <w:rPr>
          <w:sz w:val="16"/>
        </w:rPr>
        <w:t>理公司均不會因此收取費用。欲進一步了解換股詳情，請參閱認購章程</w:t>
      </w:r>
      <w:r>
        <w:rPr>
          <w:sz w:val="16"/>
        </w:rPr>
        <w:t xml:space="preserve"> </w:t>
      </w:r>
      <w:r>
        <w:rPr>
          <w:rFonts w:ascii="Arial" w:eastAsia="Arial" w:hAnsi="Arial" w:cs="Arial"/>
          <w:sz w:val="16"/>
        </w:rPr>
        <w:t xml:space="preserve">†† SP </w:t>
      </w:r>
      <w:r>
        <w:rPr>
          <w:sz w:val="16"/>
        </w:rPr>
        <w:t>類股份及</w:t>
      </w:r>
      <w:r>
        <w:rPr>
          <w:sz w:val="16"/>
        </w:rPr>
        <w:t xml:space="preserve"> </w:t>
      </w:r>
      <w:r>
        <w:rPr>
          <w:rFonts w:ascii="Arial" w:eastAsia="Arial" w:hAnsi="Arial" w:cs="Arial"/>
          <w:sz w:val="16"/>
        </w:rPr>
        <w:t xml:space="preserve">S1P </w:t>
      </w:r>
      <w:r>
        <w:rPr>
          <w:sz w:val="16"/>
        </w:rPr>
        <w:t>類股份（及相應</w:t>
      </w:r>
      <w:r>
        <w:rPr>
          <w:sz w:val="16"/>
        </w:rPr>
        <w:t xml:space="preserve"> </w:t>
      </w:r>
      <w:r>
        <w:rPr>
          <w:rFonts w:ascii="Arial" w:eastAsia="Arial" w:hAnsi="Arial" w:cs="Arial"/>
          <w:sz w:val="16"/>
        </w:rPr>
        <w:t xml:space="preserve">H </w:t>
      </w:r>
      <w:r>
        <w:rPr>
          <w:sz w:val="16"/>
        </w:rPr>
        <w:t>類股份）乃保留給退休金計劃第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r>
        <w:rPr>
          <w:sz w:val="25"/>
          <w:vertAlign w:val="superscript"/>
        </w:rPr>
        <w:t>投資者。</w:t>
      </w:r>
      <w:r>
        <w:rPr>
          <w:rFonts w:ascii="Arial" w:eastAsia="Arial" w:hAnsi="Arial" w:cs="Arial"/>
          <w:sz w:val="25"/>
          <w:vertAlign w:val="superscript"/>
        </w:rPr>
        <w:t xml:space="preserve"> </w:t>
      </w:r>
    </w:p>
    <w:p w:rsidR="004D6F0E" w:rsidRDefault="00490F21">
      <w:pPr>
        <w:numPr>
          <w:ilvl w:val="0"/>
          <w:numId w:val="9"/>
        </w:numPr>
        <w:ind w:right="13" w:hanging="427"/>
        <w:jc w:val="both"/>
      </w:pPr>
      <w:r>
        <w:rPr>
          <w:sz w:val="16"/>
        </w:rPr>
        <w:t>佔購買價的百分比。</w:t>
      </w:r>
      <w:r>
        <w:rPr>
          <w:rFonts w:ascii="Arial" w:eastAsia="Arial" w:hAnsi="Arial" w:cs="Arial"/>
          <w:sz w:val="16"/>
        </w:rPr>
        <w:t xml:space="preserve"> </w:t>
      </w:r>
      <w:r>
        <w:rPr>
          <w:rFonts w:ascii="Arial" w:eastAsia="Arial" w:hAnsi="Arial" w:cs="Arial"/>
          <w:sz w:val="16"/>
        </w:rPr>
        <w:tab/>
      </w:r>
      <w:r>
        <w:rPr>
          <w:rFonts w:ascii="Arial" w:eastAsia="Arial" w:hAnsi="Arial" w:cs="Arial"/>
          <w:sz w:val="25"/>
          <w:vertAlign w:val="superscript"/>
        </w:rPr>
        <w:t xml:space="preserve"> </w:t>
      </w:r>
    </w:p>
    <w:p w:rsidR="004D6F0E" w:rsidRDefault="00490F21">
      <w:pPr>
        <w:numPr>
          <w:ilvl w:val="0"/>
          <w:numId w:val="9"/>
        </w:numPr>
        <w:spacing w:after="4" w:line="275" w:lineRule="auto"/>
        <w:ind w:right="13" w:hanging="427"/>
        <w:jc w:val="both"/>
      </w:pPr>
      <w:r>
        <w:rPr>
          <w:sz w:val="16"/>
        </w:rPr>
        <w:lastRenderedPageBreak/>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spacing w:after="80" w:line="259" w:lineRule="auto"/>
        <w:ind w:left="0" w:firstLine="0"/>
      </w:pP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sz w:val="24"/>
        </w:rPr>
        <w:t xml:space="preserve"> </w:t>
      </w:r>
    </w:p>
    <w:p w:rsidR="004D6F0E" w:rsidRDefault="004D6F0E">
      <w:pPr>
        <w:sectPr w:rsidR="004D6F0E">
          <w:type w:val="continuous"/>
          <w:pgSz w:w="12240" w:h="15840"/>
          <w:pgMar w:top="997" w:right="717" w:bottom="541" w:left="432" w:header="720" w:footer="720" w:gutter="0"/>
          <w:cols w:space="720"/>
        </w:sectPr>
      </w:pPr>
    </w:p>
    <w:p w:rsidR="004D6F0E" w:rsidRDefault="00490F21">
      <w:pPr>
        <w:spacing w:after="4" w:line="259" w:lineRule="auto"/>
        <w:ind w:left="0" w:firstLine="0"/>
      </w:pPr>
      <w:r>
        <w:rPr>
          <w:rFonts w:ascii="Times New Roman" w:eastAsia="Times New Roman" w:hAnsi="Times New Roman" w:cs="Times New Roman"/>
          <w:sz w:val="16"/>
        </w:rPr>
        <w:lastRenderedPageBreak/>
        <w:t xml:space="preserve"> </w:t>
      </w:r>
    </w:p>
    <w:p w:rsidR="004D6F0E" w:rsidRDefault="00490F21">
      <w:pPr>
        <w:spacing w:before="31" w:after="233"/>
        <w:ind w:left="124" w:right="2"/>
      </w:pPr>
      <w:r>
        <w:t>其他股份類別特色</w:t>
      </w:r>
      <w:r>
        <w:rPr>
          <w:rFonts w:ascii="Arial" w:eastAsia="Arial" w:hAnsi="Arial" w:cs="Arial"/>
          <w:b/>
        </w:rPr>
        <w:t xml:space="preserve"> </w:t>
      </w:r>
    </w:p>
    <w:p w:rsidR="004D6F0E" w:rsidRDefault="00490F21">
      <w:pPr>
        <w:tabs>
          <w:tab w:val="right" w:pos="11170"/>
        </w:tabs>
        <w:ind w:left="0" w:firstLine="0"/>
      </w:pPr>
      <w:r>
        <w:rPr>
          <w:rFonts w:ascii="Arial" w:eastAsia="Arial" w:hAnsi="Arial" w:cs="Arial"/>
          <w:b/>
          <w:sz w:val="28"/>
          <w:vertAlign w:val="subscript"/>
        </w:rPr>
        <w:t xml:space="preserve"> </w:t>
      </w:r>
      <w:r>
        <w:rPr>
          <w:rFonts w:ascii="Arial" w:eastAsia="Arial" w:hAnsi="Arial" w:cs="Arial"/>
          <w:b/>
          <w:sz w:val="28"/>
          <w:vertAlign w:val="subscript"/>
        </w:rPr>
        <w:tab/>
      </w:r>
      <w:r>
        <w:rPr>
          <w:sz w:val="18"/>
        </w:rPr>
        <w:t>盧森堡年稅</w:t>
      </w:r>
      <w:r>
        <w:t>（</w:t>
      </w:r>
      <w:r>
        <w:rPr>
          <w:rFonts w:ascii="Arial" w:eastAsia="Arial" w:hAnsi="Arial" w:cs="Arial"/>
          <w:b/>
          <w:i/>
          <w:sz w:val="18"/>
        </w:rPr>
        <w:t xml:space="preserve">Taxe </w:t>
      </w:r>
    </w:p>
    <w:p w:rsidR="004D6F0E" w:rsidRDefault="00490F21">
      <w:pPr>
        <w:tabs>
          <w:tab w:val="center" w:pos="2906"/>
          <w:tab w:val="center" w:pos="4750"/>
          <w:tab w:val="center" w:pos="6648"/>
          <w:tab w:val="center" w:pos="8493"/>
          <w:tab w:val="right" w:pos="11170"/>
        </w:tabs>
        <w:spacing w:after="4" w:line="265" w:lineRule="auto"/>
        <w:ind w:left="0" w:firstLine="0"/>
      </w:pPr>
      <w:r>
        <w:rPr>
          <w:rFonts w:ascii="Calibri" w:eastAsia="Calibri" w:hAnsi="Calibri" w:cs="Calibri"/>
          <w:sz w:val="22"/>
        </w:rPr>
        <w:tab/>
      </w:r>
      <w:r>
        <w:rPr>
          <w:sz w:val="18"/>
        </w:rPr>
        <w:t>發售貨幣</w:t>
      </w:r>
      <w:r>
        <w:rPr>
          <w:rFonts w:ascii="Arial" w:eastAsia="Arial" w:hAnsi="Arial" w:cs="Arial"/>
          <w:b/>
          <w:sz w:val="16"/>
        </w:rPr>
        <w:t xml:space="preserve"> </w:t>
      </w:r>
      <w:r>
        <w:rPr>
          <w:rFonts w:ascii="Arial" w:eastAsia="Arial" w:hAnsi="Arial" w:cs="Arial"/>
          <w:b/>
          <w:sz w:val="16"/>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rFonts w:ascii="Arial" w:eastAsia="Arial" w:hAnsi="Arial" w:cs="Arial"/>
          <w:b/>
          <w:sz w:val="18"/>
        </w:rPr>
        <w:tab/>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9" w:line="259" w:lineRule="auto"/>
        <w:ind w:left="2071" w:right="-83" w:firstLine="0"/>
      </w:pPr>
      <w:r>
        <w:rPr>
          <w:rFonts w:ascii="Calibri" w:eastAsia="Calibri" w:hAnsi="Calibri" w:cs="Calibri"/>
          <w:noProof/>
          <w:sz w:val="22"/>
        </w:rPr>
        <mc:AlternateContent>
          <mc:Choice Requires="wpg">
            <w:drawing>
              <wp:inline distT="0" distB="0" distL="0" distR="0">
                <wp:extent cx="5830824" cy="6096"/>
                <wp:effectExtent l="0" t="0" r="0" b="0"/>
                <wp:docPr id="436861" name="Group 436861"/>
                <wp:cNvGraphicFramePr/>
                <a:graphic xmlns:a="http://schemas.openxmlformats.org/drawingml/2006/main">
                  <a:graphicData uri="http://schemas.microsoft.com/office/word/2010/wordprocessingGroup">
                    <wpg:wgp>
                      <wpg:cNvGrpSpPr/>
                      <wpg:grpSpPr>
                        <a:xfrm>
                          <a:off x="0" y="0"/>
                          <a:ext cx="5830824" cy="6096"/>
                          <a:chOff x="0" y="0"/>
                          <a:chExt cx="5830824" cy="6096"/>
                        </a:xfrm>
                      </wpg:grpSpPr>
                      <wps:wsp>
                        <wps:cNvPr id="657753" name="Shape 657753"/>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54" name="Shape 657754"/>
                        <wps:cNvSpPr/>
                        <wps:spPr>
                          <a:xfrm>
                            <a:off x="1170432"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55" name="Shape 657755"/>
                        <wps:cNvSpPr/>
                        <wps:spPr>
                          <a:xfrm>
                            <a:off x="2339340" y="0"/>
                            <a:ext cx="1133856" cy="9144"/>
                          </a:xfrm>
                          <a:custGeom>
                            <a:avLst/>
                            <a:gdLst/>
                            <a:ahLst/>
                            <a:cxnLst/>
                            <a:rect l="0" t="0" r="0" b="0"/>
                            <a:pathLst>
                              <a:path w="1133856" h="9144">
                                <a:moveTo>
                                  <a:pt x="0" y="0"/>
                                </a:moveTo>
                                <a:lnTo>
                                  <a:pt x="1133856" y="0"/>
                                </a:lnTo>
                                <a:lnTo>
                                  <a:pt x="1133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56" name="Shape 657756"/>
                        <wps:cNvSpPr/>
                        <wps:spPr>
                          <a:xfrm>
                            <a:off x="3582924" y="0"/>
                            <a:ext cx="989089" cy="9144"/>
                          </a:xfrm>
                          <a:custGeom>
                            <a:avLst/>
                            <a:gdLst/>
                            <a:ahLst/>
                            <a:cxnLst/>
                            <a:rect l="0" t="0" r="0" b="0"/>
                            <a:pathLst>
                              <a:path w="989089" h="9144">
                                <a:moveTo>
                                  <a:pt x="0" y="0"/>
                                </a:moveTo>
                                <a:lnTo>
                                  <a:pt x="989089" y="0"/>
                                </a:lnTo>
                                <a:lnTo>
                                  <a:pt x="9890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57" name="Shape 657757"/>
                        <wps:cNvSpPr/>
                        <wps:spPr>
                          <a:xfrm>
                            <a:off x="4680204"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6861" style="width:459.12pt;height:0.47998pt;mso-position-horizontal-relative:char;mso-position-vertical-relative:line" coordsize="58308,60">
                <v:shape id="Shape 657758" style="position:absolute;width:10607;height:91;left:0;top:0;" coordsize="1060704,9144" path="m0,0l1060704,0l1060704,9144l0,9144l0,0">
                  <v:stroke weight="0pt" endcap="flat" joinstyle="miter" miterlimit="10" on="false" color="#000000" opacity="0"/>
                  <v:fill on="true" color="#000000"/>
                </v:shape>
                <v:shape id="Shape 657759" style="position:absolute;width:10607;height:91;left:11704;top:0;" coordsize="1060704,9144" path="m0,0l1060704,0l1060704,9144l0,9144l0,0">
                  <v:stroke weight="0pt" endcap="flat" joinstyle="miter" miterlimit="10" on="false" color="#000000" opacity="0"/>
                  <v:fill on="true" color="#000000"/>
                </v:shape>
                <v:shape id="Shape 657760" style="position:absolute;width:11338;height:91;left:23393;top:0;" coordsize="1133856,9144" path="m0,0l1133856,0l1133856,9144l0,9144l0,0">
                  <v:stroke weight="0pt" endcap="flat" joinstyle="miter" miterlimit="10" on="false" color="#000000" opacity="0"/>
                  <v:fill on="true" color="#000000"/>
                </v:shape>
                <v:shape id="Shape 657761" style="position:absolute;width:9890;height:91;left:35829;top:0;" coordsize="989089,9144" path="m0,0l989089,0l989089,9144l0,9144l0,0">
                  <v:stroke weight="0pt" endcap="flat" joinstyle="miter" miterlimit="10" on="false" color="#000000" opacity="0"/>
                  <v:fill on="true" color="#000000"/>
                </v:shape>
                <v:shape id="Shape 657762" style="position:absolute;width:11506;height:91;left:46802;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274320</wp:posOffset>
                </wp:positionH>
                <wp:positionV relativeFrom="page">
                  <wp:posOffset>722376</wp:posOffset>
                </wp:positionV>
                <wp:extent cx="7200900" cy="18288"/>
                <wp:effectExtent l="0" t="0" r="0" b="0"/>
                <wp:wrapTopAndBottom/>
                <wp:docPr id="436860" name="Group 436860"/>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7763" name="Shape 657763"/>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860" style="width:567pt;height:1.44pt;position:absolute;mso-position-horizontal-relative:page;mso-position-horizontal:absolute;margin-left:21.6pt;mso-position-vertical-relative:page;margin-top:56.88pt;" coordsize="72009,182">
                <v:shape id="Shape 657764" style="position:absolute;width:72009;height:182;left:0;top:0;" coordsize="7200900,18288" path="m0,0l7200900,0l7200900,18288l0,18288l0,0">
                  <v:stroke weight="0pt" endcap="flat" joinstyle="miter" miterlimit="10" on="false" color="#000000" opacity="0"/>
                  <v:fill on="true" color="#000000"/>
                </v:shape>
                <w10:wrap type="topAndBottom"/>
              </v:group>
            </w:pict>
          </mc:Fallback>
        </mc:AlternateContent>
      </w:r>
      <w:r>
        <w:rPr>
          <w:rFonts w:ascii="Arial" w:eastAsia="Arial" w:hAnsi="Arial" w:cs="Arial"/>
          <w:b/>
          <w:sz w:val="6"/>
        </w:rPr>
        <w:t xml:space="preserve"> </w:t>
      </w:r>
    </w:p>
    <w:tbl>
      <w:tblPr>
        <w:tblStyle w:val="TableGrid"/>
        <w:tblW w:w="11340" w:type="dxa"/>
        <w:tblInd w:w="0" w:type="dxa"/>
        <w:tblCellMar>
          <w:top w:w="20" w:type="dxa"/>
          <w:left w:w="0" w:type="dxa"/>
          <w:bottom w:w="0" w:type="dxa"/>
          <w:right w:w="115" w:type="dxa"/>
        </w:tblCellMar>
        <w:tblLook w:val="04A0" w:firstRow="1" w:lastRow="0" w:firstColumn="1" w:lastColumn="0" w:noHBand="0" w:noVBand="1"/>
      </w:tblPr>
      <w:tblGrid>
        <w:gridCol w:w="115"/>
        <w:gridCol w:w="1802"/>
        <w:gridCol w:w="809"/>
        <w:gridCol w:w="1130"/>
        <w:gridCol w:w="121"/>
        <w:gridCol w:w="2063"/>
        <w:gridCol w:w="248"/>
        <w:gridCol w:w="1773"/>
        <w:gridCol w:w="70"/>
        <w:gridCol w:w="1339"/>
        <w:gridCol w:w="622"/>
        <w:gridCol w:w="1127"/>
        <w:gridCol w:w="121"/>
      </w:tblGrid>
      <w:tr w:rsidR="004D6F0E">
        <w:trPr>
          <w:trHeight w:val="233"/>
        </w:trPr>
        <w:tc>
          <w:tcPr>
            <w:tcW w:w="272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b/>
                <w:sz w:val="18"/>
              </w:rPr>
              <w:t xml:space="preserve"> </w:t>
            </w:r>
          </w:p>
        </w:tc>
        <w:tc>
          <w:tcPr>
            <w:tcW w:w="125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1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43"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6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89"/>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9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0"/>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100,000,000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4"/>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10,000,000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SP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100,000,000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S1P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10,000,000 </w:t>
            </w: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62"/>
        </w:trPr>
        <w:tc>
          <w:tcPr>
            <w:tcW w:w="2726" w:type="dxa"/>
            <w:gridSpan w:val="3"/>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AX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682" w:right="523" w:hanging="629"/>
            </w:pPr>
            <w:r>
              <w:rPr>
                <w:sz w:val="18"/>
              </w:rPr>
              <w:t>不再向新投資者發售</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61" w:type="dxa"/>
            <w:gridSpan w:val="2"/>
            <w:tcBorders>
              <w:top w:val="nil"/>
              <w:left w:val="nil"/>
              <w:bottom w:val="nil"/>
              <w:right w:val="nil"/>
            </w:tcBorders>
            <w:vAlign w:val="center"/>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1"/>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BX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413" w:firstLine="0"/>
            </w:pPr>
            <w:r>
              <w:rPr>
                <w:sz w:val="18"/>
              </w:rPr>
              <w:t>不再發售</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61"/>
        </w:trPr>
        <w:tc>
          <w:tcPr>
            <w:tcW w:w="2726" w:type="dxa"/>
            <w:gridSpan w:val="3"/>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CX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682" w:right="523" w:hanging="629"/>
            </w:pPr>
            <w:r>
              <w:rPr>
                <w:sz w:val="18"/>
              </w:rPr>
              <w:t>不再向新投資者發售</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61" w:type="dxa"/>
            <w:gridSpan w:val="2"/>
            <w:tcBorders>
              <w:top w:val="nil"/>
              <w:left w:val="nil"/>
              <w:bottom w:val="nil"/>
              <w:right w:val="nil"/>
            </w:tcBorders>
            <w:vAlign w:val="center"/>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676"/>
        </w:trPr>
        <w:tc>
          <w:tcPr>
            <w:tcW w:w="2726" w:type="dxa"/>
            <w:gridSpan w:val="3"/>
            <w:tcBorders>
              <w:top w:val="nil"/>
              <w:left w:val="nil"/>
              <w:bottom w:val="nil"/>
              <w:right w:val="nil"/>
            </w:tcBorders>
            <w:vAlign w:val="bottom"/>
          </w:tcPr>
          <w:p w:rsidR="004D6F0E" w:rsidRDefault="00490F21">
            <w:pPr>
              <w:spacing w:after="125" w:line="259" w:lineRule="auto"/>
              <w:ind w:left="115" w:firstLine="0"/>
            </w:pPr>
            <w:r>
              <w:rPr>
                <w:rFonts w:ascii="Arial" w:eastAsia="Arial" w:hAnsi="Arial" w:cs="Arial"/>
                <w:sz w:val="18"/>
              </w:rPr>
              <w:t xml:space="preserve">IX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1251" w:type="dxa"/>
            <w:gridSpan w:val="2"/>
            <w:tcBorders>
              <w:top w:val="nil"/>
              <w:left w:val="nil"/>
              <w:bottom w:val="nil"/>
              <w:right w:val="nil"/>
            </w:tcBorders>
          </w:tcPr>
          <w:p w:rsidR="004D6F0E" w:rsidRDefault="00490F21">
            <w:pPr>
              <w:spacing w:after="242"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ind w:left="682" w:right="523" w:hanging="629"/>
            </w:pPr>
            <w:r>
              <w:rPr>
                <w:sz w:val="18"/>
              </w:rPr>
              <w:t>不再向新投資者發售</w:t>
            </w:r>
            <w:r>
              <w:rPr>
                <w:rFonts w:ascii="Arial" w:eastAsia="Arial" w:hAnsi="Arial" w:cs="Arial"/>
                <w:sz w:val="18"/>
              </w:rPr>
              <w:t xml:space="preserve"> </w:t>
            </w:r>
          </w:p>
          <w:p w:rsidR="004D6F0E" w:rsidRDefault="00490F21">
            <w:pPr>
              <w:spacing w:after="0" w:line="259" w:lineRule="auto"/>
              <w:ind w:left="773" w:firstLine="0"/>
            </w:pPr>
            <w:r>
              <w:rPr>
                <w:rFonts w:ascii="Arial" w:eastAsia="Arial" w:hAnsi="Arial" w:cs="Arial"/>
                <w:sz w:val="18"/>
              </w:rPr>
              <w:t xml:space="preserve"> </w:t>
            </w:r>
          </w:p>
        </w:tc>
        <w:tc>
          <w:tcPr>
            <w:tcW w:w="1843" w:type="dxa"/>
            <w:gridSpan w:val="2"/>
            <w:tcBorders>
              <w:top w:val="nil"/>
              <w:left w:val="nil"/>
              <w:bottom w:val="nil"/>
              <w:right w:val="nil"/>
            </w:tcBorders>
            <w:vAlign w:val="bottom"/>
          </w:tcPr>
          <w:p w:rsidR="004D6F0E" w:rsidRDefault="00490F21">
            <w:pPr>
              <w:spacing w:after="125" w:line="259" w:lineRule="auto"/>
              <w:ind w:left="269"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61" w:type="dxa"/>
            <w:gridSpan w:val="2"/>
            <w:tcBorders>
              <w:top w:val="nil"/>
              <w:left w:val="nil"/>
              <w:bottom w:val="nil"/>
              <w:right w:val="nil"/>
            </w:tcBorders>
            <w:vAlign w:val="bottom"/>
          </w:tcPr>
          <w:p w:rsidR="004D6F0E" w:rsidRDefault="00490F21">
            <w:pPr>
              <w:spacing w:after="125" w:line="259" w:lineRule="auto"/>
              <w:ind w:left="271"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248" w:type="dxa"/>
            <w:gridSpan w:val="2"/>
            <w:tcBorders>
              <w:top w:val="nil"/>
              <w:left w:val="nil"/>
              <w:bottom w:val="nil"/>
              <w:right w:val="nil"/>
            </w:tcBorders>
            <w:vAlign w:val="bottom"/>
          </w:tcPr>
          <w:p w:rsidR="004D6F0E" w:rsidRDefault="00490F21">
            <w:pPr>
              <w:spacing w:after="115"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2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1251" w:type="dxa"/>
            <w:gridSpan w:val="2"/>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311" w:type="dxa"/>
            <w:gridSpan w:val="2"/>
            <w:tcBorders>
              <w:top w:val="nil"/>
              <w:left w:val="nil"/>
              <w:bottom w:val="nil"/>
              <w:right w:val="nil"/>
            </w:tcBorders>
            <w:shd w:val="clear" w:color="auto" w:fill="D9D9D9"/>
          </w:tcPr>
          <w:p w:rsidR="004D6F0E" w:rsidRDefault="00490F21">
            <w:pPr>
              <w:spacing w:after="0" w:line="259" w:lineRule="auto"/>
              <w:ind w:left="773" w:firstLine="0"/>
            </w:pPr>
            <w:r>
              <w:rPr>
                <w:rFonts w:ascii="Arial" w:eastAsia="Arial" w:hAnsi="Arial" w:cs="Arial"/>
                <w:sz w:val="18"/>
              </w:rPr>
              <w:t xml:space="preserve"> </w:t>
            </w:r>
          </w:p>
        </w:tc>
        <w:tc>
          <w:tcPr>
            <w:tcW w:w="1843"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961"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9"/>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62"/>
        </w:trPr>
        <w:tc>
          <w:tcPr>
            <w:tcW w:w="2726" w:type="dxa"/>
            <w:gridSpan w:val="3"/>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AX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593" w:right="293" w:hanging="451"/>
            </w:pPr>
            <w:r>
              <w:rPr>
                <w:sz w:val="18"/>
              </w:rPr>
              <w:t>不再向新投資者</w:t>
            </w:r>
            <w:r>
              <w:rPr>
                <w:rFonts w:ascii="Arial" w:eastAsia="Arial" w:hAnsi="Arial" w:cs="Arial"/>
                <w:sz w:val="18"/>
              </w:rPr>
              <w:t xml:space="preserve">  </w:t>
            </w:r>
            <w:r>
              <w:rPr>
                <w:sz w:val="18"/>
              </w:rPr>
              <w:t>發售</w:t>
            </w:r>
            <w:r>
              <w:rPr>
                <w:rFonts w:ascii="Arial" w:eastAsia="Arial" w:hAnsi="Arial" w:cs="Arial"/>
                <w:sz w:val="18"/>
              </w:rPr>
              <w:t xml:space="preserve"> </w:t>
            </w:r>
          </w:p>
        </w:tc>
        <w:tc>
          <w:tcPr>
            <w:tcW w:w="1843" w:type="dxa"/>
            <w:gridSpan w:val="2"/>
            <w:tcBorders>
              <w:top w:val="nil"/>
              <w:left w:val="nil"/>
              <w:bottom w:val="nil"/>
              <w:right w:val="nil"/>
            </w:tcBorders>
            <w:vAlign w:val="center"/>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61" w:type="dxa"/>
            <w:gridSpan w:val="2"/>
            <w:tcBorders>
              <w:top w:val="nil"/>
              <w:left w:val="nil"/>
              <w:bottom w:val="nil"/>
              <w:right w:val="nil"/>
            </w:tcBorders>
            <w:vAlign w:val="center"/>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1"/>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26" w:type="dxa"/>
            <w:gridSpan w:val="3"/>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51" w:type="dxa"/>
            <w:gridSpan w:val="2"/>
            <w:tcBorders>
              <w:top w:val="nil"/>
              <w:left w:val="nil"/>
              <w:bottom w:val="nil"/>
              <w:right w:val="nil"/>
            </w:tcBorders>
          </w:tcPr>
          <w:p w:rsidR="004D6F0E" w:rsidRDefault="00490F21">
            <w:pPr>
              <w:spacing w:after="10"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11" w:type="dxa"/>
            <w:gridSpan w:val="2"/>
            <w:tcBorders>
              <w:top w:val="nil"/>
              <w:left w:val="nil"/>
              <w:bottom w:val="nil"/>
              <w:right w:val="nil"/>
            </w:tcBorders>
          </w:tcPr>
          <w:p w:rsidR="004D6F0E" w:rsidRDefault="00490F21">
            <w:pPr>
              <w:spacing w:after="14" w:line="259" w:lineRule="auto"/>
              <w:ind w:left="98" w:firstLine="0"/>
            </w:pPr>
            <w:r>
              <w:rPr>
                <w:rFonts w:ascii="Arial" w:eastAsia="Arial" w:hAnsi="Arial" w:cs="Arial"/>
                <w:sz w:val="18"/>
              </w:rPr>
              <w:t xml:space="preserve">1,000,000 </w:t>
            </w:r>
            <w:r>
              <w:rPr>
                <w:sz w:val="18"/>
              </w:rPr>
              <w:t>歐元</w:t>
            </w:r>
            <w:r>
              <w:rPr>
                <w:rFonts w:ascii="Arial" w:eastAsia="Arial" w:hAnsi="Arial" w:cs="Arial"/>
                <w:sz w:val="18"/>
              </w:rPr>
              <w:t xml:space="preserve">** </w:t>
            </w:r>
          </w:p>
          <w:p w:rsidR="004D6F0E" w:rsidRDefault="00490F21">
            <w:pPr>
              <w:spacing w:after="0" w:line="259" w:lineRule="auto"/>
              <w:ind w:left="773" w:firstLine="0"/>
            </w:pP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9" w:line="259" w:lineRule="auto"/>
              <w:ind w:left="269"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61" w:type="dxa"/>
            <w:gridSpan w:val="2"/>
            <w:tcBorders>
              <w:top w:val="nil"/>
              <w:left w:val="nil"/>
              <w:bottom w:val="nil"/>
              <w:right w:val="nil"/>
            </w:tcBorders>
          </w:tcPr>
          <w:p w:rsidR="004D6F0E" w:rsidRDefault="00490F21">
            <w:pPr>
              <w:spacing w:after="9" w:line="259" w:lineRule="auto"/>
              <w:ind w:left="271"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72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125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1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43"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6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0" w:type="dxa"/>
            <w:right w:w="0" w:type="dxa"/>
          </w:tblCellMar>
        </w:tblPrEx>
        <w:trPr>
          <w:gridBefore w:val="1"/>
          <w:gridAfter w:val="1"/>
          <w:wBefore w:w="115" w:type="dxa"/>
          <w:wAfter w:w="121" w:type="dxa"/>
          <w:trHeight w:val="449"/>
        </w:trPr>
        <w:tc>
          <w:tcPr>
            <w:tcW w:w="1802"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AX </w:t>
            </w:r>
            <w:r>
              <w:rPr>
                <w:sz w:val="18"/>
              </w:rPr>
              <w:t>類股份</w:t>
            </w:r>
            <w:r>
              <w:rPr>
                <w:rFonts w:ascii="Arial" w:eastAsia="Arial" w:hAnsi="Arial" w:cs="Arial"/>
                <w:sz w:val="18"/>
              </w:rPr>
              <w:t xml:space="preserve"> </w:t>
            </w:r>
          </w:p>
        </w:tc>
        <w:tc>
          <w:tcPr>
            <w:tcW w:w="1939" w:type="dxa"/>
            <w:gridSpan w:val="2"/>
            <w:tcBorders>
              <w:top w:val="nil"/>
              <w:left w:val="nil"/>
              <w:bottom w:val="nil"/>
              <w:right w:val="nil"/>
            </w:tcBorders>
            <w:vAlign w:val="center"/>
          </w:tcPr>
          <w:p w:rsidR="004D6F0E" w:rsidRDefault="00490F21">
            <w:pPr>
              <w:spacing w:after="0" w:line="259" w:lineRule="auto"/>
              <w:ind w:left="38" w:firstLine="0"/>
              <w:jc w:val="center"/>
            </w:pPr>
            <w:r>
              <w:rPr>
                <w:sz w:val="18"/>
              </w:rPr>
              <w:t>新加坡元</w:t>
            </w: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712" w:right="252" w:hanging="451"/>
            </w:pPr>
            <w:r>
              <w:rPr>
                <w:sz w:val="18"/>
              </w:rPr>
              <w:t>不再向新投資者發售</w:t>
            </w:r>
            <w:r>
              <w:rPr>
                <w:rFonts w:ascii="Arial" w:eastAsia="Arial" w:hAnsi="Arial" w:cs="Arial"/>
                <w:sz w:val="18"/>
              </w:rPr>
              <w:t xml:space="preserve"> </w:t>
            </w:r>
          </w:p>
        </w:tc>
        <w:tc>
          <w:tcPr>
            <w:tcW w:w="2021"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409" w:type="dxa"/>
            <w:gridSpan w:val="2"/>
            <w:tcBorders>
              <w:top w:val="nil"/>
              <w:left w:val="nil"/>
              <w:bottom w:val="nil"/>
              <w:right w:val="nil"/>
            </w:tcBorders>
            <w:vAlign w:val="center"/>
          </w:tcPr>
          <w:p w:rsidR="004D6F0E" w:rsidRDefault="00490F21">
            <w:pPr>
              <w:spacing w:after="0" w:line="259" w:lineRule="auto"/>
              <w:ind w:left="341" w:firstLine="0"/>
            </w:pPr>
            <w:r>
              <w:rPr>
                <w:sz w:val="18"/>
              </w:rPr>
              <w:t>無</w:t>
            </w:r>
            <w:r>
              <w:rPr>
                <w:rFonts w:ascii="Arial" w:eastAsia="Arial" w:hAnsi="Arial" w:cs="Arial"/>
                <w:sz w:val="18"/>
              </w:rPr>
              <w:t xml:space="preserve"> </w:t>
            </w:r>
          </w:p>
        </w:tc>
        <w:tc>
          <w:tcPr>
            <w:tcW w:w="1749" w:type="dxa"/>
            <w:gridSpan w:val="2"/>
            <w:tcBorders>
              <w:top w:val="nil"/>
              <w:left w:val="nil"/>
              <w:bottom w:val="nil"/>
              <w:right w:val="nil"/>
            </w:tcBorders>
            <w:vAlign w:val="center"/>
          </w:tcPr>
          <w:p w:rsidR="004D6F0E" w:rsidRDefault="00490F21">
            <w:pPr>
              <w:spacing w:after="0" w:line="259" w:lineRule="auto"/>
              <w:ind w:left="7" w:firstLine="0"/>
              <w:jc w:val="center"/>
            </w:pPr>
            <w:r>
              <w:rPr>
                <w:rFonts w:ascii="Arial" w:eastAsia="Arial" w:hAnsi="Arial" w:cs="Arial"/>
                <w:sz w:val="18"/>
              </w:rPr>
              <w:t xml:space="preserve">0.05% </w:t>
            </w:r>
          </w:p>
        </w:tc>
      </w:tr>
      <w:tr w:rsidR="004D6F0E">
        <w:tblPrEx>
          <w:tblCellMar>
            <w:top w:w="0" w:type="dxa"/>
            <w:right w:w="0" w:type="dxa"/>
          </w:tblCellMar>
        </w:tblPrEx>
        <w:trPr>
          <w:gridBefore w:val="1"/>
          <w:gridAfter w:val="1"/>
          <w:wBefore w:w="115" w:type="dxa"/>
          <w:wAfter w:w="121" w:type="dxa"/>
          <w:trHeight w:val="372"/>
        </w:trPr>
        <w:tc>
          <w:tcPr>
            <w:tcW w:w="180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939" w:type="dxa"/>
            <w:gridSpan w:val="2"/>
            <w:tcBorders>
              <w:top w:val="nil"/>
              <w:left w:val="nil"/>
              <w:bottom w:val="nil"/>
              <w:right w:val="nil"/>
            </w:tcBorders>
          </w:tcPr>
          <w:p w:rsidR="004D6F0E" w:rsidRDefault="00490F21">
            <w:pPr>
              <w:spacing w:after="0" w:line="259" w:lineRule="auto"/>
              <w:ind w:left="88" w:firstLine="0"/>
              <w:jc w:val="center"/>
            </w:pP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893" w:firstLine="0"/>
            </w:pPr>
            <w:r>
              <w:rPr>
                <w:rFonts w:ascii="Arial" w:eastAsia="Arial" w:hAnsi="Arial" w:cs="Arial"/>
                <w:sz w:val="18"/>
              </w:rPr>
              <w:t xml:space="preserve"> </w:t>
            </w:r>
          </w:p>
        </w:tc>
        <w:tc>
          <w:tcPr>
            <w:tcW w:w="2021" w:type="dxa"/>
            <w:gridSpan w:val="2"/>
            <w:tcBorders>
              <w:top w:val="nil"/>
              <w:left w:val="nil"/>
              <w:bottom w:val="nil"/>
              <w:right w:val="nil"/>
            </w:tcBorders>
          </w:tcPr>
          <w:p w:rsidR="004D6F0E" w:rsidRDefault="00490F21">
            <w:pPr>
              <w:spacing w:after="0" w:line="259" w:lineRule="auto"/>
              <w:ind w:left="607" w:firstLine="0"/>
            </w:pPr>
            <w:r>
              <w:rPr>
                <w:rFonts w:ascii="Arial" w:eastAsia="Arial" w:hAnsi="Arial" w:cs="Arial"/>
                <w:sz w:val="18"/>
              </w:rPr>
              <w:t xml:space="preserve"> </w:t>
            </w:r>
          </w:p>
        </w:tc>
        <w:tc>
          <w:tcPr>
            <w:tcW w:w="1409" w:type="dxa"/>
            <w:gridSpan w:val="2"/>
            <w:tcBorders>
              <w:top w:val="nil"/>
              <w:left w:val="nil"/>
              <w:bottom w:val="nil"/>
              <w:right w:val="nil"/>
            </w:tcBorders>
          </w:tcPr>
          <w:p w:rsidR="004D6F0E" w:rsidRDefault="00490F21">
            <w:pPr>
              <w:spacing w:after="0" w:line="259" w:lineRule="auto"/>
              <w:ind w:left="430" w:firstLine="0"/>
            </w:pP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0" w:line="259" w:lineRule="auto"/>
              <w:ind w:left="53" w:firstLine="0"/>
              <w:jc w:val="center"/>
            </w:pPr>
            <w:r>
              <w:rPr>
                <w:rFonts w:ascii="Arial" w:eastAsia="Arial" w:hAnsi="Arial" w:cs="Arial"/>
                <w:sz w:val="18"/>
              </w:rPr>
              <w:t xml:space="preserve"> </w:t>
            </w:r>
          </w:p>
        </w:tc>
      </w:tr>
      <w:tr w:rsidR="004D6F0E">
        <w:tblPrEx>
          <w:tblCellMar>
            <w:top w:w="0" w:type="dxa"/>
            <w:right w:w="0" w:type="dxa"/>
          </w:tblCellMar>
        </w:tblPrEx>
        <w:trPr>
          <w:gridBefore w:val="1"/>
          <w:gridAfter w:val="1"/>
          <w:wBefore w:w="115" w:type="dxa"/>
          <w:wAfter w:w="121" w:type="dxa"/>
          <w:trHeight w:val="604"/>
        </w:trPr>
        <w:tc>
          <w:tcPr>
            <w:tcW w:w="1802"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b/>
                <w:sz w:val="18"/>
              </w:rPr>
              <w:t xml:space="preserve"> </w:t>
            </w:r>
          </w:p>
        </w:tc>
        <w:tc>
          <w:tcPr>
            <w:tcW w:w="1939" w:type="dxa"/>
            <w:gridSpan w:val="2"/>
            <w:tcBorders>
              <w:top w:val="nil"/>
              <w:left w:val="nil"/>
              <w:bottom w:val="nil"/>
              <w:right w:val="nil"/>
            </w:tcBorders>
            <w:vAlign w:val="bottom"/>
          </w:tcPr>
          <w:p w:rsidR="004D6F0E" w:rsidRDefault="00490F21">
            <w:pPr>
              <w:spacing w:after="0" w:line="259" w:lineRule="auto"/>
              <w:ind w:left="38" w:firstLine="0"/>
              <w:jc w:val="center"/>
            </w:pPr>
            <w:r>
              <w:rPr>
                <w:sz w:val="18"/>
              </w:rPr>
              <w:t>對沖貨幣</w:t>
            </w:r>
            <w:r>
              <w:rPr>
                <w:rFonts w:ascii="Arial" w:eastAsia="Arial" w:hAnsi="Arial" w:cs="Arial"/>
                <w:b/>
                <w:sz w:val="16"/>
              </w:rPr>
              <w:t xml:space="preserve"> </w:t>
            </w:r>
          </w:p>
        </w:tc>
        <w:tc>
          <w:tcPr>
            <w:tcW w:w="2184" w:type="dxa"/>
            <w:gridSpan w:val="2"/>
            <w:tcBorders>
              <w:top w:val="nil"/>
              <w:left w:val="nil"/>
              <w:bottom w:val="nil"/>
              <w:right w:val="nil"/>
            </w:tcBorders>
            <w:vAlign w:val="bottom"/>
          </w:tcPr>
          <w:p w:rsidR="004D6F0E" w:rsidRDefault="00490F21">
            <w:pPr>
              <w:spacing w:after="0" w:line="259" w:lineRule="auto"/>
              <w:ind w:left="317" w:firstLine="0"/>
            </w:pPr>
            <w:r>
              <w:rPr>
                <w:sz w:val="18"/>
              </w:rPr>
              <w:t>最低首次投資</w:t>
            </w:r>
            <w:r>
              <w:rPr>
                <w:rFonts w:ascii="Arial" w:eastAsia="Arial" w:hAnsi="Arial" w:cs="Arial"/>
                <w:b/>
                <w:sz w:val="18"/>
              </w:rPr>
              <w:t xml:space="preserve">* </w:t>
            </w:r>
          </w:p>
        </w:tc>
        <w:tc>
          <w:tcPr>
            <w:tcW w:w="2021" w:type="dxa"/>
            <w:gridSpan w:val="2"/>
            <w:tcBorders>
              <w:top w:val="nil"/>
              <w:left w:val="nil"/>
              <w:bottom w:val="nil"/>
              <w:right w:val="nil"/>
            </w:tcBorders>
            <w:vAlign w:val="bottom"/>
          </w:tcPr>
          <w:p w:rsidR="004D6F0E" w:rsidRDefault="00490F21">
            <w:pPr>
              <w:spacing w:after="0" w:line="259" w:lineRule="auto"/>
              <w:ind w:left="31" w:firstLine="0"/>
            </w:pPr>
            <w:r>
              <w:rPr>
                <w:sz w:val="18"/>
              </w:rPr>
              <w:t>最低後續投資</w:t>
            </w:r>
            <w:r>
              <w:rPr>
                <w:rFonts w:ascii="Arial" w:eastAsia="Arial" w:hAnsi="Arial" w:cs="Arial"/>
                <w:b/>
                <w:sz w:val="18"/>
              </w:rPr>
              <w:t xml:space="preserve">* </w:t>
            </w:r>
          </w:p>
        </w:tc>
        <w:tc>
          <w:tcPr>
            <w:tcW w:w="1409" w:type="dxa"/>
            <w:gridSpan w:val="2"/>
            <w:tcBorders>
              <w:top w:val="nil"/>
              <w:left w:val="nil"/>
              <w:bottom w:val="nil"/>
              <w:right w:val="nil"/>
            </w:tcBorders>
            <w:vAlign w:val="bottom"/>
          </w:tcPr>
          <w:p w:rsidR="004D6F0E" w:rsidRDefault="00490F21">
            <w:pPr>
              <w:spacing w:after="0" w:line="259" w:lineRule="auto"/>
              <w:ind w:left="0" w:firstLine="0"/>
            </w:pPr>
            <w:r>
              <w:rPr>
                <w:sz w:val="18"/>
              </w:rPr>
              <w:t>最高投資</w:t>
            </w:r>
            <w:r>
              <w:rPr>
                <w:rFonts w:ascii="Arial" w:eastAsia="Arial" w:hAnsi="Arial" w:cs="Arial"/>
                <w:b/>
                <w:sz w:val="18"/>
              </w:rPr>
              <w:t xml:space="preserve">** </w:t>
            </w:r>
          </w:p>
        </w:tc>
        <w:tc>
          <w:tcPr>
            <w:tcW w:w="1749" w:type="dxa"/>
            <w:gridSpan w:val="2"/>
            <w:tcBorders>
              <w:top w:val="nil"/>
              <w:left w:val="nil"/>
              <w:bottom w:val="nil"/>
              <w:right w:val="nil"/>
            </w:tcBorders>
            <w:vAlign w:val="bottom"/>
          </w:tcPr>
          <w:p w:rsidR="004D6F0E" w:rsidRDefault="00490F21">
            <w:pPr>
              <w:spacing w:after="11" w:line="259" w:lineRule="auto"/>
              <w:ind w:left="130" w:firstLine="0"/>
              <w:jc w:val="both"/>
            </w:pPr>
            <w:r>
              <w:rPr>
                <w:sz w:val="18"/>
              </w:rPr>
              <w:t>盧森堡年稅</w:t>
            </w:r>
            <w:r>
              <w:t>（</w:t>
            </w:r>
            <w:r>
              <w:rPr>
                <w:rFonts w:ascii="Arial" w:eastAsia="Arial" w:hAnsi="Arial" w:cs="Arial"/>
                <w:b/>
                <w:i/>
                <w:sz w:val="18"/>
              </w:rPr>
              <w:t xml:space="preserve">Taxe </w:t>
            </w:r>
          </w:p>
          <w:p w:rsidR="004D6F0E" w:rsidRDefault="00490F21">
            <w:pPr>
              <w:spacing w:after="0" w:line="259" w:lineRule="auto"/>
              <w:ind w:left="55" w:firstLine="0"/>
              <w:jc w:val="both"/>
            </w:pPr>
            <w:r>
              <w:rPr>
                <w:rFonts w:ascii="Arial" w:eastAsia="Arial" w:hAnsi="Arial" w:cs="Arial"/>
                <w:b/>
                <w:i/>
                <w:sz w:val="18"/>
              </w:rPr>
              <w:t>d'Abonnement</w:t>
            </w:r>
            <w:r>
              <w:t>）</w:t>
            </w:r>
            <w:r>
              <w:rPr>
                <w:rFonts w:ascii="Arial" w:eastAsia="Arial" w:hAnsi="Arial" w:cs="Arial"/>
                <w:b/>
                <w:sz w:val="18"/>
              </w:rPr>
              <w:t xml:space="preserve">*** </w:t>
            </w:r>
          </w:p>
        </w:tc>
      </w:tr>
    </w:tbl>
    <w:p w:rsidR="004D6F0E" w:rsidRDefault="00490F21">
      <w:pPr>
        <w:spacing w:after="28" w:line="259" w:lineRule="auto"/>
        <w:ind w:left="2071" w:right="-83" w:firstLine="0"/>
      </w:pPr>
      <w:r>
        <w:rPr>
          <w:rFonts w:ascii="Calibri" w:eastAsia="Calibri" w:hAnsi="Calibri" w:cs="Calibri"/>
          <w:noProof/>
          <w:sz w:val="22"/>
        </w:rPr>
        <mc:AlternateContent>
          <mc:Choice Requires="wpg">
            <w:drawing>
              <wp:inline distT="0" distB="0" distL="0" distR="0">
                <wp:extent cx="5830824" cy="6096"/>
                <wp:effectExtent l="0" t="0" r="0" b="0"/>
                <wp:docPr id="436863" name="Group 436863"/>
                <wp:cNvGraphicFramePr/>
                <a:graphic xmlns:a="http://schemas.openxmlformats.org/drawingml/2006/main">
                  <a:graphicData uri="http://schemas.microsoft.com/office/word/2010/wordprocessingGroup">
                    <wpg:wgp>
                      <wpg:cNvGrpSpPr/>
                      <wpg:grpSpPr>
                        <a:xfrm>
                          <a:off x="0" y="0"/>
                          <a:ext cx="5830824" cy="6096"/>
                          <a:chOff x="0" y="0"/>
                          <a:chExt cx="5830824" cy="6096"/>
                        </a:xfrm>
                      </wpg:grpSpPr>
                      <wps:wsp>
                        <wps:cNvPr id="657765" name="Shape 657765"/>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66" name="Shape 657766"/>
                        <wps:cNvSpPr/>
                        <wps:spPr>
                          <a:xfrm>
                            <a:off x="1170432"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67" name="Shape 657767"/>
                        <wps:cNvSpPr/>
                        <wps:spPr>
                          <a:xfrm>
                            <a:off x="2339340" y="0"/>
                            <a:ext cx="1133856" cy="9144"/>
                          </a:xfrm>
                          <a:custGeom>
                            <a:avLst/>
                            <a:gdLst/>
                            <a:ahLst/>
                            <a:cxnLst/>
                            <a:rect l="0" t="0" r="0" b="0"/>
                            <a:pathLst>
                              <a:path w="1133856" h="9144">
                                <a:moveTo>
                                  <a:pt x="0" y="0"/>
                                </a:moveTo>
                                <a:lnTo>
                                  <a:pt x="1133856" y="0"/>
                                </a:lnTo>
                                <a:lnTo>
                                  <a:pt x="11338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68" name="Shape 657768"/>
                        <wps:cNvSpPr/>
                        <wps:spPr>
                          <a:xfrm>
                            <a:off x="3582924" y="0"/>
                            <a:ext cx="989089" cy="9144"/>
                          </a:xfrm>
                          <a:custGeom>
                            <a:avLst/>
                            <a:gdLst/>
                            <a:ahLst/>
                            <a:cxnLst/>
                            <a:rect l="0" t="0" r="0" b="0"/>
                            <a:pathLst>
                              <a:path w="989089" h="9144">
                                <a:moveTo>
                                  <a:pt x="0" y="0"/>
                                </a:moveTo>
                                <a:lnTo>
                                  <a:pt x="989089" y="0"/>
                                </a:lnTo>
                                <a:lnTo>
                                  <a:pt x="9890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69" name="Shape 657769"/>
                        <wps:cNvSpPr/>
                        <wps:spPr>
                          <a:xfrm>
                            <a:off x="4680204"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6863" style="width:459.12pt;height:0.480011pt;mso-position-horizontal-relative:char;mso-position-vertical-relative:line" coordsize="58308,60">
                <v:shape id="Shape 657770" style="position:absolute;width:10607;height:91;left:0;top:0;" coordsize="1060704,9144" path="m0,0l1060704,0l1060704,9144l0,9144l0,0">
                  <v:stroke weight="0pt" endcap="flat" joinstyle="miter" miterlimit="10" on="false" color="#000000" opacity="0"/>
                  <v:fill on="true" color="#000000"/>
                </v:shape>
                <v:shape id="Shape 657771" style="position:absolute;width:10607;height:91;left:11704;top:0;" coordsize="1060704,9144" path="m0,0l1060704,0l1060704,9144l0,9144l0,0">
                  <v:stroke weight="0pt" endcap="flat" joinstyle="miter" miterlimit="10" on="false" color="#000000" opacity="0"/>
                  <v:fill on="true" color="#000000"/>
                </v:shape>
                <v:shape id="Shape 657772" style="position:absolute;width:11338;height:91;left:23393;top:0;" coordsize="1133856,9144" path="m0,0l1133856,0l1133856,9144l0,9144l0,0">
                  <v:stroke weight="0pt" endcap="flat" joinstyle="miter" miterlimit="10" on="false" color="#000000" opacity="0"/>
                  <v:fill on="true" color="#000000"/>
                </v:shape>
                <v:shape id="Shape 657773" style="position:absolute;width:9890;height:91;left:35829;top:0;" coordsize="989089,9144" path="m0,0l989089,0l989089,9144l0,9144l0,0">
                  <v:stroke weight="0pt" endcap="flat" joinstyle="miter" miterlimit="10" on="false" color="#000000" opacity="0"/>
                  <v:fill on="true" color="#000000"/>
                </v:shape>
                <v:shape id="Shape 657774" style="position:absolute;width:11506;height:91;left:46802;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b/>
          <w:sz w:val="6"/>
        </w:rPr>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p>
    <w:tbl>
      <w:tblPr>
        <w:tblStyle w:val="TableGrid"/>
        <w:tblW w:w="11340" w:type="dxa"/>
        <w:tblInd w:w="0" w:type="dxa"/>
        <w:tblCellMar>
          <w:top w:w="22" w:type="dxa"/>
          <w:left w:w="0" w:type="dxa"/>
          <w:bottom w:w="0" w:type="dxa"/>
          <w:right w:w="0" w:type="dxa"/>
        </w:tblCellMar>
        <w:tblLook w:val="04A0" w:firstRow="1" w:lastRow="0" w:firstColumn="1" w:lastColumn="0" w:noHBand="0" w:noVBand="1"/>
      </w:tblPr>
      <w:tblGrid>
        <w:gridCol w:w="116"/>
        <w:gridCol w:w="1802"/>
        <w:gridCol w:w="809"/>
        <w:gridCol w:w="648"/>
        <w:gridCol w:w="602"/>
        <w:gridCol w:w="2064"/>
        <w:gridCol w:w="266"/>
        <w:gridCol w:w="1755"/>
        <w:gridCol w:w="352"/>
        <w:gridCol w:w="1678"/>
        <w:gridCol w:w="561"/>
        <w:gridCol w:w="687"/>
      </w:tblGrid>
      <w:tr w:rsidR="004D6F0E">
        <w:trPr>
          <w:trHeight w:val="235"/>
        </w:trPr>
        <w:tc>
          <w:tcPr>
            <w:tcW w:w="2726" w:type="dxa"/>
            <w:gridSpan w:val="3"/>
            <w:tcBorders>
              <w:top w:val="nil"/>
              <w:left w:val="nil"/>
              <w:bottom w:val="nil"/>
              <w:right w:val="nil"/>
            </w:tcBorders>
            <w:shd w:val="clear" w:color="auto" w:fill="D9D9D9"/>
          </w:tcPr>
          <w:p w:rsidR="004D6F0E" w:rsidRDefault="00490F21">
            <w:pPr>
              <w:tabs>
                <w:tab w:val="center" w:pos="2100"/>
              </w:tabs>
              <w:spacing w:after="0" w:line="259" w:lineRule="auto"/>
              <w:ind w:left="0" w:firstLine="0"/>
            </w:pPr>
            <w:r>
              <w:rPr>
                <w:sz w:val="18"/>
              </w:rPr>
              <w:lastRenderedPageBreak/>
              <w:t>歐元對沖股份類別</w:t>
            </w:r>
            <w:r>
              <w:rPr>
                <w:rFonts w:ascii="Arial" w:eastAsia="Arial" w:hAnsi="Arial" w:cs="Arial"/>
                <w:b/>
                <w:sz w:val="18"/>
              </w:rPr>
              <w:t xml:space="preserve"> </w:t>
            </w:r>
            <w:r>
              <w:rPr>
                <w:rFonts w:ascii="Arial" w:eastAsia="Arial" w:hAnsi="Arial" w:cs="Arial"/>
                <w:b/>
                <w:sz w:val="18"/>
              </w:rPr>
              <w:tab/>
              <w:t xml:space="preserve"> </w:t>
            </w:r>
          </w:p>
        </w:tc>
        <w:tc>
          <w:tcPr>
            <w:tcW w:w="1250" w:type="dxa"/>
            <w:gridSpan w:val="2"/>
            <w:tcBorders>
              <w:top w:val="nil"/>
              <w:left w:val="nil"/>
              <w:bottom w:val="nil"/>
              <w:right w:val="nil"/>
            </w:tcBorders>
            <w:shd w:val="clear" w:color="auto" w:fill="D9D9D9"/>
          </w:tcPr>
          <w:p w:rsidR="004D6F0E" w:rsidRDefault="00490F21">
            <w:pPr>
              <w:spacing w:after="0" w:line="259" w:lineRule="auto"/>
              <w:ind w:left="0" w:right="-16" w:firstLine="0"/>
              <w:jc w:val="right"/>
            </w:pPr>
            <w:r>
              <w:rPr>
                <w:rFonts w:ascii="Arial" w:eastAsia="Arial" w:hAnsi="Arial" w:cs="Arial"/>
                <w:b/>
                <w:sz w:val="18"/>
              </w:rPr>
              <w:t xml:space="preserve"> </w:t>
            </w:r>
          </w:p>
        </w:tc>
        <w:tc>
          <w:tcPr>
            <w:tcW w:w="2330" w:type="dxa"/>
            <w:gridSpan w:val="2"/>
            <w:tcBorders>
              <w:top w:val="nil"/>
              <w:left w:val="nil"/>
              <w:bottom w:val="nil"/>
              <w:right w:val="nil"/>
            </w:tcBorders>
            <w:shd w:val="clear" w:color="auto" w:fill="D9D9D9"/>
          </w:tcPr>
          <w:p w:rsidR="004D6F0E" w:rsidRDefault="00490F21">
            <w:pPr>
              <w:spacing w:after="0" w:line="259" w:lineRule="auto"/>
              <w:ind w:left="1334" w:firstLine="0"/>
              <w:jc w:val="center"/>
            </w:pPr>
            <w:r>
              <w:rPr>
                <w:rFonts w:ascii="Arial" w:eastAsia="Arial" w:hAnsi="Arial" w:cs="Arial"/>
                <w:b/>
                <w:sz w:val="18"/>
              </w:rPr>
              <w:t xml:space="preserve"> </w:t>
            </w:r>
          </w:p>
        </w:tc>
        <w:tc>
          <w:tcPr>
            <w:tcW w:w="2107" w:type="dxa"/>
            <w:gridSpan w:val="2"/>
            <w:tcBorders>
              <w:top w:val="nil"/>
              <w:left w:val="nil"/>
              <w:bottom w:val="nil"/>
              <w:right w:val="nil"/>
            </w:tcBorders>
            <w:shd w:val="clear" w:color="auto" w:fill="D9D9D9"/>
          </w:tcPr>
          <w:p w:rsidR="004D6F0E" w:rsidRDefault="00490F21">
            <w:pPr>
              <w:spacing w:after="0" w:line="259" w:lineRule="auto"/>
              <w:ind w:left="861" w:firstLine="0"/>
              <w:jc w:val="center"/>
            </w:pPr>
            <w:r>
              <w:rPr>
                <w:rFonts w:ascii="Arial" w:eastAsia="Arial" w:hAnsi="Arial" w:cs="Arial"/>
                <w:b/>
                <w:sz w:val="18"/>
              </w:rPr>
              <w:t xml:space="preserve"> </w:t>
            </w:r>
          </w:p>
        </w:tc>
        <w:tc>
          <w:tcPr>
            <w:tcW w:w="1678" w:type="dxa"/>
            <w:tcBorders>
              <w:top w:val="nil"/>
              <w:left w:val="nil"/>
              <w:bottom w:val="nil"/>
              <w:right w:val="nil"/>
            </w:tcBorders>
            <w:shd w:val="clear" w:color="auto" w:fill="D9D9D9"/>
          </w:tcPr>
          <w:p w:rsidR="004D6F0E" w:rsidRDefault="00490F21">
            <w:pPr>
              <w:spacing w:after="0" w:line="259" w:lineRule="auto"/>
              <w:ind w:left="484" w:firstLine="0"/>
              <w:jc w:val="center"/>
            </w:pPr>
            <w:r>
              <w:rPr>
                <w:rFonts w:ascii="Arial" w:eastAsia="Arial" w:hAnsi="Arial" w:cs="Arial"/>
                <w:b/>
                <w:sz w:val="18"/>
              </w:rPr>
              <w:t xml:space="preserve"> </w:t>
            </w: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b/>
                <w:sz w:val="18"/>
              </w:rPr>
              <w:t xml:space="preserve"> </w:t>
            </w:r>
          </w:p>
        </w:tc>
        <w:tc>
          <w:tcPr>
            <w:tcW w:w="2330"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歐元</w:t>
            </w:r>
            <w:r>
              <w:rPr>
                <w:rFonts w:ascii="Arial" w:eastAsia="Arial" w:hAnsi="Arial" w:cs="Arial"/>
                <w:b/>
                <w:sz w:val="18"/>
              </w:rPr>
              <w:t xml:space="preserve"> </w:t>
            </w:r>
          </w:p>
        </w:tc>
        <w:tc>
          <w:tcPr>
            <w:tcW w:w="2107"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b/>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b/>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0.05%</w:t>
            </w:r>
            <w:r>
              <w:rPr>
                <w:rFonts w:ascii="Arial" w:eastAsia="Arial" w:hAnsi="Arial" w:cs="Arial"/>
                <w:b/>
                <w:sz w:val="18"/>
              </w:rPr>
              <w:t xml:space="preserve"> </w:t>
            </w:r>
          </w:p>
        </w:tc>
      </w:tr>
      <w:tr w:rsidR="004D6F0E">
        <w:trPr>
          <w:trHeight w:val="235"/>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0" w:line="259" w:lineRule="auto"/>
              <w:ind w:left="98"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100,000,000 </w:t>
            </w:r>
            <w:r>
              <w:rPr>
                <w:sz w:val="18"/>
              </w:rPr>
              <w:t>歐元</w:t>
            </w: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10,000,000 </w:t>
            </w:r>
            <w:r>
              <w:rPr>
                <w:sz w:val="18"/>
              </w:rPr>
              <w:t>歐元</w:t>
            </w: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2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SP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100,000,000 </w:t>
            </w:r>
            <w:r>
              <w:rPr>
                <w:sz w:val="18"/>
              </w:rPr>
              <w:t>歐元</w:t>
            </w: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3"/>
        </w:trPr>
        <w:tc>
          <w:tcPr>
            <w:tcW w:w="2726" w:type="dxa"/>
            <w:gridSpan w:val="3"/>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S1P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250" w:type="dxa"/>
            <w:gridSpan w:val="2"/>
            <w:tcBorders>
              <w:top w:val="nil"/>
              <w:left w:val="nil"/>
              <w:bottom w:val="nil"/>
              <w:right w:val="nil"/>
            </w:tcBorders>
          </w:tcPr>
          <w:p w:rsidR="004D6F0E" w:rsidRDefault="00490F21">
            <w:pPr>
              <w:spacing w:after="7"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0" w:right="-16" w:firstLine="0"/>
              <w:jc w:val="right"/>
            </w:pPr>
            <w:r>
              <w:rPr>
                <w:rFonts w:ascii="Arial" w:eastAsia="Arial" w:hAnsi="Arial" w:cs="Arial"/>
                <w:sz w:val="18"/>
              </w:rPr>
              <w:t xml:space="preserve"> </w:t>
            </w:r>
          </w:p>
        </w:tc>
        <w:tc>
          <w:tcPr>
            <w:tcW w:w="2330" w:type="dxa"/>
            <w:gridSpan w:val="2"/>
            <w:tcBorders>
              <w:top w:val="nil"/>
              <w:left w:val="nil"/>
              <w:bottom w:val="nil"/>
              <w:right w:val="nil"/>
            </w:tcBorders>
          </w:tcPr>
          <w:p w:rsidR="004D6F0E" w:rsidRDefault="00490F21">
            <w:pPr>
              <w:spacing w:after="11" w:line="259" w:lineRule="auto"/>
              <w:ind w:left="48" w:firstLine="0"/>
            </w:pPr>
            <w:r>
              <w:rPr>
                <w:rFonts w:ascii="Arial" w:eastAsia="Arial" w:hAnsi="Arial" w:cs="Arial"/>
                <w:sz w:val="18"/>
              </w:rPr>
              <w:t xml:space="preserve">10,000,000 </w:t>
            </w:r>
            <w:r>
              <w:rPr>
                <w:sz w:val="18"/>
              </w:rPr>
              <w:t>歐元</w:t>
            </w:r>
            <w:r>
              <w:rPr>
                <w:rFonts w:ascii="Arial" w:eastAsia="Arial" w:hAnsi="Arial" w:cs="Arial"/>
                <w:sz w:val="18"/>
              </w:rPr>
              <w:t xml:space="preserve">** </w:t>
            </w:r>
          </w:p>
          <w:p w:rsidR="004D6F0E" w:rsidRDefault="00490F21">
            <w:pPr>
              <w:spacing w:after="0" w:line="259" w:lineRule="auto"/>
              <w:ind w:left="1334" w:firstLine="0"/>
              <w:jc w:val="center"/>
            </w:pPr>
            <w:r>
              <w:rPr>
                <w:rFonts w:ascii="Arial" w:eastAsia="Arial" w:hAnsi="Arial" w:cs="Arial"/>
                <w:sz w:val="18"/>
              </w:rPr>
              <w:t xml:space="preserve"> </w:t>
            </w:r>
          </w:p>
        </w:tc>
        <w:tc>
          <w:tcPr>
            <w:tcW w:w="2107" w:type="dxa"/>
            <w:gridSpan w:val="2"/>
            <w:tcBorders>
              <w:top w:val="nil"/>
              <w:left w:val="nil"/>
              <w:bottom w:val="nil"/>
              <w:right w:val="nil"/>
            </w:tcBorders>
          </w:tcPr>
          <w:p w:rsidR="004D6F0E" w:rsidRDefault="00490F21">
            <w:pPr>
              <w:spacing w:after="7" w:line="259" w:lineRule="auto"/>
              <w:ind w:left="262" w:firstLine="0"/>
            </w:pPr>
            <w:r>
              <w:rPr>
                <w:sz w:val="18"/>
              </w:rPr>
              <w:t>無</w:t>
            </w:r>
            <w:r>
              <w:rPr>
                <w:rFonts w:ascii="Arial" w:eastAsia="Arial" w:hAnsi="Arial" w:cs="Arial"/>
                <w:sz w:val="18"/>
              </w:rPr>
              <w:t xml:space="preserve"> </w:t>
            </w:r>
          </w:p>
          <w:p w:rsidR="004D6F0E" w:rsidRDefault="00490F21">
            <w:pPr>
              <w:spacing w:after="0" w:line="259" w:lineRule="auto"/>
              <w:ind w:left="861" w:firstLine="0"/>
              <w:jc w:val="center"/>
            </w:pPr>
            <w:r>
              <w:rPr>
                <w:rFonts w:ascii="Arial" w:eastAsia="Arial" w:hAnsi="Arial" w:cs="Arial"/>
                <w:sz w:val="18"/>
              </w:rPr>
              <w:t xml:space="preserve"> </w:t>
            </w:r>
          </w:p>
        </w:tc>
        <w:tc>
          <w:tcPr>
            <w:tcW w:w="1678"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84" w:firstLine="0"/>
              <w:jc w:val="center"/>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2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b/>
                <w:sz w:val="18"/>
              </w:rPr>
              <w:t xml:space="preserve"> </w:t>
            </w: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3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07"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78"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tblCellMar>
        </w:tblPrEx>
        <w:trPr>
          <w:gridBefore w:val="1"/>
          <w:gridAfter w:val="1"/>
          <w:wBefore w:w="115" w:type="dxa"/>
          <w:wAfter w:w="687" w:type="dxa"/>
          <w:trHeight w:val="215"/>
        </w:trPr>
        <w:tc>
          <w:tcPr>
            <w:tcW w:w="180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457" w:type="dxa"/>
            <w:gridSpan w:val="2"/>
            <w:tcBorders>
              <w:top w:val="nil"/>
              <w:left w:val="nil"/>
              <w:bottom w:val="nil"/>
              <w:right w:val="nil"/>
            </w:tcBorders>
          </w:tcPr>
          <w:p w:rsidR="004D6F0E" w:rsidRDefault="00490F21">
            <w:pPr>
              <w:spacing w:after="0" w:line="259" w:lineRule="auto"/>
              <w:ind w:left="809" w:firstLine="0"/>
            </w:pPr>
            <w:r>
              <w:rPr>
                <w:sz w:val="18"/>
              </w:rPr>
              <w:t>英鎊</w:t>
            </w:r>
            <w:r>
              <w:rPr>
                <w:rFonts w:ascii="Arial" w:eastAsia="Arial" w:hAnsi="Arial" w:cs="Arial"/>
                <w:sz w:val="18"/>
              </w:rPr>
              <w:t xml:space="preserve"> </w:t>
            </w:r>
          </w:p>
        </w:tc>
        <w:tc>
          <w:tcPr>
            <w:tcW w:w="2666" w:type="dxa"/>
            <w:gridSpan w:val="2"/>
            <w:tcBorders>
              <w:top w:val="nil"/>
              <w:left w:val="nil"/>
              <w:bottom w:val="nil"/>
              <w:right w:val="nil"/>
            </w:tcBorders>
          </w:tcPr>
          <w:p w:rsidR="004D6F0E" w:rsidRDefault="00490F21">
            <w:pPr>
              <w:spacing w:after="0" w:line="259" w:lineRule="auto"/>
              <w:ind w:left="82" w:firstLine="0"/>
              <w:jc w:val="center"/>
            </w:pPr>
            <w:r>
              <w:rPr>
                <w:rFonts w:ascii="Arial" w:eastAsia="Arial" w:hAnsi="Arial" w:cs="Arial"/>
                <w:sz w:val="18"/>
              </w:rPr>
              <w:t xml:space="preserve">50,000,000 </w:t>
            </w:r>
            <w:r>
              <w:rPr>
                <w:sz w:val="18"/>
              </w:rPr>
              <w:t>英鎊</w:t>
            </w:r>
            <w:r>
              <w:rPr>
                <w:rFonts w:ascii="Arial" w:eastAsia="Arial" w:hAnsi="Arial" w:cs="Arial"/>
                <w:sz w:val="18"/>
              </w:rPr>
              <w:t xml:space="preserve">** </w:t>
            </w:r>
          </w:p>
        </w:tc>
        <w:tc>
          <w:tcPr>
            <w:tcW w:w="2021" w:type="dxa"/>
            <w:gridSpan w:val="2"/>
            <w:tcBorders>
              <w:top w:val="nil"/>
              <w:left w:val="nil"/>
              <w:bottom w:val="nil"/>
              <w:right w:val="nil"/>
            </w:tcBorders>
          </w:tcPr>
          <w:p w:rsidR="004D6F0E" w:rsidRDefault="00490F21">
            <w:pPr>
              <w:spacing w:after="0" w:line="259" w:lineRule="auto"/>
              <w:ind w:left="528" w:firstLine="0"/>
            </w:pPr>
            <w:r>
              <w:rPr>
                <w:sz w:val="18"/>
              </w:rPr>
              <w:t>無</w:t>
            </w:r>
            <w:r>
              <w:rPr>
                <w:rFonts w:ascii="Arial" w:eastAsia="Arial" w:hAnsi="Arial" w:cs="Arial"/>
                <w:sz w:val="18"/>
              </w:rPr>
              <w:t xml:space="preserve"> </w:t>
            </w:r>
          </w:p>
        </w:tc>
        <w:tc>
          <w:tcPr>
            <w:tcW w:w="2030" w:type="dxa"/>
            <w:gridSpan w:val="2"/>
            <w:tcBorders>
              <w:top w:val="nil"/>
              <w:left w:val="nil"/>
              <w:bottom w:val="nil"/>
              <w:right w:val="nil"/>
            </w:tcBorders>
          </w:tcPr>
          <w:p w:rsidR="004D6F0E" w:rsidRDefault="00490F21">
            <w:pPr>
              <w:spacing w:after="0" w:line="259" w:lineRule="auto"/>
              <w:ind w:left="353"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0.01% </w:t>
            </w:r>
          </w:p>
        </w:tc>
      </w:tr>
      <w:tr w:rsidR="004D6F0E">
        <w:tblPrEx>
          <w:tblCellMar>
            <w:top w:w="2" w:type="dxa"/>
          </w:tblCellMar>
        </w:tblPrEx>
        <w:trPr>
          <w:gridBefore w:val="1"/>
          <w:gridAfter w:val="1"/>
          <w:wBefore w:w="115" w:type="dxa"/>
          <w:wAfter w:w="687" w:type="dxa"/>
          <w:trHeight w:val="233"/>
        </w:trPr>
        <w:tc>
          <w:tcPr>
            <w:tcW w:w="180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457" w:type="dxa"/>
            <w:gridSpan w:val="2"/>
            <w:tcBorders>
              <w:top w:val="nil"/>
              <w:left w:val="nil"/>
              <w:bottom w:val="nil"/>
              <w:right w:val="nil"/>
            </w:tcBorders>
          </w:tcPr>
          <w:p w:rsidR="004D6F0E" w:rsidRDefault="00490F21">
            <w:pPr>
              <w:spacing w:after="0" w:line="259" w:lineRule="auto"/>
              <w:ind w:left="809" w:firstLine="0"/>
            </w:pPr>
            <w:r>
              <w:rPr>
                <w:sz w:val="18"/>
              </w:rPr>
              <w:t>英鎊</w:t>
            </w:r>
            <w:r>
              <w:rPr>
                <w:rFonts w:ascii="Arial" w:eastAsia="Arial" w:hAnsi="Arial" w:cs="Arial"/>
                <w:sz w:val="18"/>
              </w:rPr>
              <w:t xml:space="preserve"> </w:t>
            </w:r>
          </w:p>
        </w:tc>
        <w:tc>
          <w:tcPr>
            <w:tcW w:w="2666" w:type="dxa"/>
            <w:gridSpan w:val="2"/>
            <w:tcBorders>
              <w:top w:val="nil"/>
              <w:left w:val="nil"/>
              <w:bottom w:val="nil"/>
              <w:right w:val="nil"/>
            </w:tcBorders>
          </w:tcPr>
          <w:p w:rsidR="004D6F0E" w:rsidRDefault="00490F21">
            <w:pPr>
              <w:spacing w:after="0" w:line="259" w:lineRule="auto"/>
              <w:ind w:left="82" w:firstLine="0"/>
              <w:jc w:val="center"/>
            </w:pPr>
            <w:r>
              <w:rPr>
                <w:rFonts w:ascii="Arial" w:eastAsia="Arial" w:hAnsi="Arial" w:cs="Arial"/>
                <w:sz w:val="18"/>
              </w:rPr>
              <w:t xml:space="preserve">5,000,000 </w:t>
            </w:r>
            <w:r>
              <w:rPr>
                <w:sz w:val="18"/>
              </w:rPr>
              <w:t>英鎊</w:t>
            </w:r>
            <w:r>
              <w:rPr>
                <w:rFonts w:ascii="Arial" w:eastAsia="Arial" w:hAnsi="Arial" w:cs="Arial"/>
                <w:sz w:val="18"/>
              </w:rPr>
              <w:t xml:space="preserve">** </w:t>
            </w:r>
          </w:p>
        </w:tc>
        <w:tc>
          <w:tcPr>
            <w:tcW w:w="2021" w:type="dxa"/>
            <w:gridSpan w:val="2"/>
            <w:tcBorders>
              <w:top w:val="nil"/>
              <w:left w:val="nil"/>
              <w:bottom w:val="nil"/>
              <w:right w:val="nil"/>
            </w:tcBorders>
          </w:tcPr>
          <w:p w:rsidR="004D6F0E" w:rsidRDefault="00490F21">
            <w:pPr>
              <w:spacing w:after="0" w:line="259" w:lineRule="auto"/>
              <w:ind w:left="528" w:firstLine="0"/>
            </w:pPr>
            <w:r>
              <w:rPr>
                <w:sz w:val="18"/>
              </w:rPr>
              <w:t>無</w:t>
            </w:r>
            <w:r>
              <w:rPr>
                <w:rFonts w:ascii="Arial" w:eastAsia="Arial" w:hAnsi="Arial" w:cs="Arial"/>
                <w:sz w:val="18"/>
              </w:rPr>
              <w:t xml:space="preserve"> </w:t>
            </w:r>
          </w:p>
        </w:tc>
        <w:tc>
          <w:tcPr>
            <w:tcW w:w="2030" w:type="dxa"/>
            <w:gridSpan w:val="2"/>
            <w:tcBorders>
              <w:top w:val="nil"/>
              <w:left w:val="nil"/>
              <w:bottom w:val="nil"/>
              <w:right w:val="nil"/>
            </w:tcBorders>
          </w:tcPr>
          <w:p w:rsidR="004D6F0E" w:rsidRDefault="00490F21">
            <w:pPr>
              <w:spacing w:after="0" w:line="259" w:lineRule="auto"/>
              <w:ind w:left="353"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0.01% </w:t>
            </w:r>
          </w:p>
        </w:tc>
      </w:tr>
      <w:tr w:rsidR="004D6F0E">
        <w:tblPrEx>
          <w:tblCellMar>
            <w:top w:w="2" w:type="dxa"/>
          </w:tblCellMar>
        </w:tblPrEx>
        <w:trPr>
          <w:gridBefore w:val="1"/>
          <w:gridAfter w:val="1"/>
          <w:wBefore w:w="115" w:type="dxa"/>
          <w:wAfter w:w="687" w:type="dxa"/>
          <w:trHeight w:val="235"/>
        </w:trPr>
        <w:tc>
          <w:tcPr>
            <w:tcW w:w="180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SP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457" w:type="dxa"/>
            <w:gridSpan w:val="2"/>
            <w:tcBorders>
              <w:top w:val="nil"/>
              <w:left w:val="nil"/>
              <w:bottom w:val="nil"/>
              <w:right w:val="nil"/>
            </w:tcBorders>
          </w:tcPr>
          <w:p w:rsidR="004D6F0E" w:rsidRDefault="00490F21">
            <w:pPr>
              <w:spacing w:after="0" w:line="259" w:lineRule="auto"/>
              <w:ind w:left="809" w:firstLine="0"/>
            </w:pPr>
            <w:r>
              <w:rPr>
                <w:sz w:val="18"/>
              </w:rPr>
              <w:t>英鎊</w:t>
            </w:r>
            <w:r>
              <w:rPr>
                <w:rFonts w:ascii="Arial" w:eastAsia="Arial" w:hAnsi="Arial" w:cs="Arial"/>
                <w:sz w:val="18"/>
              </w:rPr>
              <w:t xml:space="preserve"> </w:t>
            </w:r>
          </w:p>
        </w:tc>
        <w:tc>
          <w:tcPr>
            <w:tcW w:w="2666" w:type="dxa"/>
            <w:gridSpan w:val="2"/>
            <w:tcBorders>
              <w:top w:val="nil"/>
              <w:left w:val="nil"/>
              <w:bottom w:val="nil"/>
              <w:right w:val="nil"/>
            </w:tcBorders>
          </w:tcPr>
          <w:p w:rsidR="004D6F0E" w:rsidRDefault="00490F21">
            <w:pPr>
              <w:spacing w:after="0" w:line="259" w:lineRule="auto"/>
              <w:ind w:left="82" w:firstLine="0"/>
              <w:jc w:val="center"/>
            </w:pPr>
            <w:r>
              <w:rPr>
                <w:rFonts w:ascii="Arial" w:eastAsia="Arial" w:hAnsi="Arial" w:cs="Arial"/>
                <w:sz w:val="18"/>
              </w:rPr>
              <w:t xml:space="preserve">50,000,000 </w:t>
            </w:r>
            <w:r>
              <w:rPr>
                <w:sz w:val="18"/>
              </w:rPr>
              <w:t>英鎊</w:t>
            </w:r>
            <w:r>
              <w:rPr>
                <w:rFonts w:ascii="Arial" w:eastAsia="Arial" w:hAnsi="Arial" w:cs="Arial"/>
                <w:sz w:val="18"/>
              </w:rPr>
              <w:t xml:space="preserve">** </w:t>
            </w:r>
          </w:p>
        </w:tc>
        <w:tc>
          <w:tcPr>
            <w:tcW w:w="2021" w:type="dxa"/>
            <w:gridSpan w:val="2"/>
            <w:tcBorders>
              <w:top w:val="nil"/>
              <w:left w:val="nil"/>
              <w:bottom w:val="nil"/>
              <w:right w:val="nil"/>
            </w:tcBorders>
          </w:tcPr>
          <w:p w:rsidR="004D6F0E" w:rsidRDefault="00490F21">
            <w:pPr>
              <w:spacing w:after="0" w:line="259" w:lineRule="auto"/>
              <w:ind w:left="528" w:firstLine="0"/>
            </w:pPr>
            <w:r>
              <w:rPr>
                <w:sz w:val="18"/>
              </w:rPr>
              <w:t>無</w:t>
            </w:r>
            <w:r>
              <w:rPr>
                <w:rFonts w:ascii="Arial" w:eastAsia="Arial" w:hAnsi="Arial" w:cs="Arial"/>
                <w:sz w:val="18"/>
              </w:rPr>
              <w:t xml:space="preserve"> </w:t>
            </w:r>
          </w:p>
        </w:tc>
        <w:tc>
          <w:tcPr>
            <w:tcW w:w="2030" w:type="dxa"/>
            <w:gridSpan w:val="2"/>
            <w:tcBorders>
              <w:top w:val="nil"/>
              <w:left w:val="nil"/>
              <w:bottom w:val="nil"/>
              <w:right w:val="nil"/>
            </w:tcBorders>
          </w:tcPr>
          <w:p w:rsidR="004D6F0E" w:rsidRDefault="00490F21">
            <w:pPr>
              <w:spacing w:after="0" w:line="259" w:lineRule="auto"/>
              <w:ind w:left="353"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0.01% </w:t>
            </w:r>
          </w:p>
        </w:tc>
      </w:tr>
      <w:tr w:rsidR="004D6F0E">
        <w:tblPrEx>
          <w:tblCellMar>
            <w:top w:w="2" w:type="dxa"/>
          </w:tblCellMar>
        </w:tblPrEx>
        <w:trPr>
          <w:gridBefore w:val="1"/>
          <w:gridAfter w:val="1"/>
          <w:wBefore w:w="115" w:type="dxa"/>
          <w:wAfter w:w="687" w:type="dxa"/>
          <w:trHeight w:val="212"/>
        </w:trPr>
        <w:tc>
          <w:tcPr>
            <w:tcW w:w="180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S1P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457" w:type="dxa"/>
            <w:gridSpan w:val="2"/>
            <w:tcBorders>
              <w:top w:val="nil"/>
              <w:left w:val="nil"/>
              <w:bottom w:val="nil"/>
              <w:right w:val="nil"/>
            </w:tcBorders>
          </w:tcPr>
          <w:p w:rsidR="004D6F0E" w:rsidRDefault="00490F21">
            <w:pPr>
              <w:spacing w:after="0" w:line="259" w:lineRule="auto"/>
              <w:ind w:left="809" w:firstLine="0"/>
            </w:pPr>
            <w:r>
              <w:rPr>
                <w:sz w:val="18"/>
              </w:rPr>
              <w:t>英鎊</w:t>
            </w:r>
            <w:r>
              <w:rPr>
                <w:rFonts w:ascii="Arial" w:eastAsia="Arial" w:hAnsi="Arial" w:cs="Arial"/>
                <w:sz w:val="18"/>
              </w:rPr>
              <w:t xml:space="preserve"> </w:t>
            </w:r>
          </w:p>
        </w:tc>
        <w:tc>
          <w:tcPr>
            <w:tcW w:w="2666" w:type="dxa"/>
            <w:gridSpan w:val="2"/>
            <w:tcBorders>
              <w:top w:val="nil"/>
              <w:left w:val="nil"/>
              <w:bottom w:val="nil"/>
              <w:right w:val="nil"/>
            </w:tcBorders>
          </w:tcPr>
          <w:p w:rsidR="004D6F0E" w:rsidRDefault="00490F21">
            <w:pPr>
              <w:spacing w:after="0" w:line="259" w:lineRule="auto"/>
              <w:ind w:left="82" w:firstLine="0"/>
              <w:jc w:val="center"/>
            </w:pPr>
            <w:r>
              <w:rPr>
                <w:rFonts w:ascii="Arial" w:eastAsia="Arial" w:hAnsi="Arial" w:cs="Arial"/>
                <w:sz w:val="18"/>
              </w:rPr>
              <w:t xml:space="preserve">5,000,000 </w:t>
            </w:r>
            <w:r>
              <w:rPr>
                <w:sz w:val="18"/>
              </w:rPr>
              <w:t>英鎊</w:t>
            </w:r>
            <w:r>
              <w:rPr>
                <w:rFonts w:ascii="Arial" w:eastAsia="Arial" w:hAnsi="Arial" w:cs="Arial"/>
                <w:sz w:val="18"/>
              </w:rPr>
              <w:t xml:space="preserve">** </w:t>
            </w:r>
          </w:p>
        </w:tc>
        <w:tc>
          <w:tcPr>
            <w:tcW w:w="2021" w:type="dxa"/>
            <w:gridSpan w:val="2"/>
            <w:tcBorders>
              <w:top w:val="nil"/>
              <w:left w:val="nil"/>
              <w:bottom w:val="nil"/>
              <w:right w:val="nil"/>
            </w:tcBorders>
          </w:tcPr>
          <w:p w:rsidR="004D6F0E" w:rsidRDefault="00490F21">
            <w:pPr>
              <w:spacing w:after="0" w:line="259" w:lineRule="auto"/>
              <w:ind w:left="528" w:firstLine="0"/>
            </w:pPr>
            <w:r>
              <w:rPr>
                <w:sz w:val="18"/>
              </w:rPr>
              <w:t>無</w:t>
            </w:r>
            <w:r>
              <w:rPr>
                <w:rFonts w:ascii="Arial" w:eastAsia="Arial" w:hAnsi="Arial" w:cs="Arial"/>
                <w:sz w:val="18"/>
              </w:rPr>
              <w:t xml:space="preserve"> </w:t>
            </w:r>
          </w:p>
        </w:tc>
        <w:tc>
          <w:tcPr>
            <w:tcW w:w="2030" w:type="dxa"/>
            <w:gridSpan w:val="2"/>
            <w:tcBorders>
              <w:top w:val="nil"/>
              <w:left w:val="nil"/>
              <w:bottom w:val="nil"/>
              <w:right w:val="nil"/>
            </w:tcBorders>
          </w:tcPr>
          <w:p w:rsidR="004D6F0E" w:rsidRDefault="00490F21">
            <w:pPr>
              <w:spacing w:after="0" w:line="259" w:lineRule="auto"/>
              <w:ind w:left="353"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0.01% </w:t>
            </w:r>
          </w:p>
        </w:tc>
      </w:tr>
    </w:tbl>
    <w:p w:rsidR="004D6F0E" w:rsidRDefault="00490F21">
      <w:pPr>
        <w:spacing w:after="0" w:line="259" w:lineRule="auto"/>
        <w:ind w:left="0" w:firstLine="0"/>
      </w:pPr>
      <w:r>
        <w:rPr>
          <w:rFonts w:ascii="Arial" w:eastAsia="Arial" w:hAnsi="Arial" w:cs="Arial"/>
          <w:sz w:val="16"/>
        </w:rPr>
        <w:t xml:space="preserve"> </w:t>
      </w:r>
    </w:p>
    <w:p w:rsidR="004D6F0E" w:rsidRDefault="00490F21">
      <w:pPr>
        <w:tabs>
          <w:tab w:val="center" w:pos="4736"/>
        </w:tabs>
        <w:ind w:left="-13" w:firstLine="0"/>
      </w:pP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r>
        <w:rPr>
          <w:sz w:val="16"/>
        </w:rPr>
        <w:t>各基金按季繳付的盧森堡年稅。</w:t>
      </w:r>
      <w:r>
        <w:rPr>
          <w:rFonts w:ascii="Arial" w:eastAsia="Arial" w:hAnsi="Arial" w:cs="Arial"/>
          <w:sz w:val="16"/>
        </w:rPr>
        <w:t xml:space="preserve"> </w:t>
      </w:r>
    </w:p>
    <w:p w:rsidR="004D6F0E" w:rsidRDefault="00490F21">
      <w:pPr>
        <w:ind w:left="-3" w:right="13" w:hanging="10"/>
        <w:jc w:val="both"/>
      </w:pP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p>
    <w:p w:rsidR="004D6F0E" w:rsidRDefault="00490F21">
      <w:pPr>
        <w:spacing w:after="1212" w:line="240" w:lineRule="auto"/>
        <w:ind w:left="0" w:right="11125" w:firstLine="0"/>
      </w:pPr>
      <w:r>
        <w:rPr>
          <w:rFonts w:ascii="Arial" w:eastAsia="Arial" w:hAnsi="Arial" w:cs="Arial"/>
          <w:sz w:val="16"/>
        </w:rPr>
        <w:t xml:space="preserve">  </w:t>
      </w:r>
    </w:p>
    <w:p w:rsidR="004D6F0E" w:rsidRDefault="00490F21">
      <w:pPr>
        <w:spacing w:after="3" w:line="259" w:lineRule="auto"/>
        <w:ind w:right="86" w:hanging="10"/>
        <w:jc w:val="center"/>
      </w:pPr>
      <w:r>
        <w:rPr>
          <w:rFonts w:ascii="Times New Roman" w:eastAsia="Times New Roman" w:hAnsi="Times New Roman" w:cs="Times New Roman"/>
          <w:sz w:val="20"/>
        </w:rPr>
        <w:t xml:space="preserve">I-5 </w:t>
      </w:r>
    </w:p>
    <w:p w:rsidR="004D6F0E" w:rsidRDefault="00490F21">
      <w:pPr>
        <w:spacing w:after="0" w:line="259" w:lineRule="auto"/>
        <w:ind w:left="0" w:firstLine="0"/>
      </w:pPr>
      <w:r>
        <w:rPr>
          <w:rFonts w:ascii="Arial" w:eastAsia="Arial" w:hAnsi="Arial" w:cs="Arial"/>
          <w:sz w:val="12"/>
        </w:rPr>
        <w:t xml:space="preserve"> </w:t>
      </w:r>
    </w:p>
    <w:p w:rsidR="004D6F0E" w:rsidRDefault="004D6F0E">
      <w:pPr>
        <w:sectPr w:rsidR="004D6F0E">
          <w:headerReference w:type="even" r:id="rId37"/>
          <w:headerReference w:type="default" r:id="rId38"/>
          <w:footerReference w:type="even" r:id="rId39"/>
          <w:footerReference w:type="default" r:id="rId40"/>
          <w:headerReference w:type="first" r:id="rId41"/>
          <w:footerReference w:type="first" r:id="rId42"/>
          <w:pgSz w:w="12240" w:h="15840"/>
          <w:pgMar w:top="1440" w:right="638" w:bottom="1440" w:left="432" w:header="720" w:footer="720" w:gutter="0"/>
          <w:cols w:space="720"/>
          <w:titlePg/>
        </w:sectPr>
      </w:pPr>
    </w:p>
    <w:p w:rsidR="004D6F0E" w:rsidRDefault="00490F21">
      <w:pPr>
        <w:spacing w:after="56" w:line="259" w:lineRule="auto"/>
        <w:ind w:left="0" w:firstLine="0"/>
      </w:pPr>
      <w:r>
        <w:rPr>
          <w:rFonts w:ascii="Times New Roman" w:eastAsia="Times New Roman" w:hAnsi="Times New Roman" w:cs="Times New Roman"/>
          <w:sz w:val="16"/>
        </w:rPr>
        <w:t xml:space="preserve"> </w:t>
      </w:r>
    </w:p>
    <w:p w:rsidR="004D6F0E" w:rsidRDefault="00490F21">
      <w:pPr>
        <w:pStyle w:val="Heading3"/>
        <w:ind w:left="14"/>
      </w:pPr>
      <w:r>
        <w:t>其他基金資料</w:t>
      </w:r>
      <w:r>
        <w:rPr>
          <w:rFonts w:ascii="Arial" w:eastAsia="Arial" w:hAnsi="Arial" w:cs="Arial"/>
        </w:rPr>
        <w:t xml:space="preserve"> </w:t>
      </w:r>
    </w:p>
    <w:p w:rsidR="004D6F0E" w:rsidRDefault="00490F21">
      <w:pPr>
        <w:spacing w:after="29" w:line="259" w:lineRule="auto"/>
        <w:ind w:left="0" w:firstLine="0"/>
      </w:pPr>
      <w:r>
        <w:rPr>
          <w:rFonts w:ascii="Arial" w:eastAsia="Arial" w:hAnsi="Arial" w:cs="Arial"/>
          <w:b/>
        </w:rPr>
        <w:t xml:space="preserve"> </w:t>
      </w:r>
    </w:p>
    <w:p w:rsidR="004D6F0E" w:rsidRDefault="00490F21">
      <w:pPr>
        <w:spacing w:after="44"/>
        <w:ind w:left="11" w:right="2"/>
      </w:pPr>
      <w:r>
        <w:t>主要投資類別</w:t>
      </w:r>
      <w:r>
        <w:rPr>
          <w:rFonts w:ascii="Arial" w:eastAsia="Arial" w:hAnsi="Arial" w:cs="Arial"/>
          <w:b/>
        </w:rPr>
        <w:t xml:space="preserve"> </w:t>
      </w:r>
    </w:p>
    <w:p w:rsidR="004D6F0E" w:rsidRDefault="00490F21">
      <w:pPr>
        <w:spacing w:after="102" w:line="273" w:lineRule="auto"/>
        <w:ind w:left="14" w:right="41"/>
        <w:jc w:val="both"/>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48"/>
        <w:ind w:left="11" w:right="2"/>
      </w:pPr>
      <w:r>
        <w:t>風險資料</w:t>
      </w:r>
      <w:r>
        <w:rPr>
          <w:rFonts w:ascii="Arial" w:eastAsia="Arial" w:hAnsi="Arial" w:cs="Arial"/>
          <w:b/>
        </w:rPr>
        <w:t xml:space="preserve"> </w:t>
      </w:r>
    </w:p>
    <w:p w:rsidR="004D6F0E" w:rsidRDefault="00490F21">
      <w:pPr>
        <w:spacing w:after="100"/>
        <w:ind w:left="11" w:right="2"/>
      </w:pPr>
      <w:r>
        <w:t>本基金可能使用金融衍生工具。第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r>
        <w:t xml:space="preserve"> </w:t>
      </w:r>
      <w:r>
        <w:rPr>
          <w:rFonts w:ascii="Arial" w:eastAsia="Arial" w:hAnsi="Arial" w:cs="Arial"/>
        </w:rPr>
        <w:t>(13)</w:t>
      </w:r>
      <w:r>
        <w:t>項投資限制不適用於本基金。本基金另將使用風險值</w:t>
      </w:r>
      <w:r>
        <w:rPr>
          <w:rFonts w:ascii="Arial" w:eastAsia="Arial" w:hAnsi="Arial" w:cs="Arial"/>
        </w:rPr>
        <w:t xml:space="preserve">(VaR) </w:t>
      </w:r>
      <w:r>
        <w:t>方法。有關</w:t>
      </w:r>
      <w:r>
        <w:t xml:space="preserve"> </w:t>
      </w:r>
      <w:r>
        <w:rPr>
          <w:rFonts w:ascii="Arial" w:eastAsia="Arial" w:hAnsi="Arial" w:cs="Arial"/>
          <w:sz w:val="20"/>
        </w:rPr>
        <w:t xml:space="preserve">VaR </w:t>
      </w:r>
      <w:r>
        <w:rPr>
          <w:sz w:val="20"/>
        </w:rPr>
        <w:t>方法</w:t>
      </w:r>
      <w:r>
        <w:t>的進一步詳情，請參閱「附錄</w:t>
      </w:r>
      <w:r>
        <w:t xml:space="preserve"> </w:t>
      </w:r>
      <w:r>
        <w:rPr>
          <w:rFonts w:ascii="Arial" w:eastAsia="Arial" w:hAnsi="Arial" w:cs="Arial"/>
        </w:rPr>
        <w:t>C</w:t>
      </w:r>
      <w:r>
        <w:t>：有關金融衍生工具、金融技術及工具以及抵押品管理的額外資料」</w:t>
      </w:r>
      <w:r>
        <w:rPr>
          <w:sz w:val="20"/>
        </w:rPr>
        <w:t>。</w:t>
      </w:r>
      <w:r>
        <w:t>本基金的股本投資須</w:t>
      </w:r>
      <w:r>
        <w:t>承受股本投資固有的較高風險。一般而言，股本投資的價值或會因應個別公司的業務及業績或因難於預測的整體市場、經濟、政治及自然狀況而波動，有時甚至會大幅波動。此等因素包括突然或長期市場下滑及與個別公司相關的風險。一直以來，股本證券的長期回報及短期風險均高於其他投資工具。</w:t>
      </w:r>
      <w:r>
        <w:rPr>
          <w:rFonts w:ascii="Arial" w:eastAsia="Arial" w:hAnsi="Arial" w:cs="Arial"/>
        </w:rPr>
        <w:t xml:space="preserve"> </w:t>
      </w:r>
    </w:p>
    <w:p w:rsidR="004D6F0E" w:rsidRDefault="00490F21">
      <w:pPr>
        <w:spacing w:after="98"/>
        <w:ind w:left="11" w:right="2"/>
      </w:pPr>
      <w:r>
        <w:lastRenderedPageBreak/>
        <w:t>本基金將投資的固定收益證券須承受發售此等證券的私營及公營機構的信用風險，且其市場價值會受利率變動影響。本基金的固定收益證券投資通常將為投資級別或具相等質素。本基金不能保證會作出任何分派，而且本基金並無特定償還期。本基金須承受市場、利率及貨幣波動</w:t>
      </w:r>
      <w:r>
        <w:t>及證券投資固有的其他風險。因此，不能保證投資目標將獲達致、投資資本將得以保全或資本得以增值。每月、每季或每年的投資業績均可能出現重大變化。本基金內的投資並非代表完整的投資計劃。</w:t>
      </w:r>
      <w:r>
        <w:rPr>
          <w:rFonts w:ascii="Arial" w:eastAsia="Arial" w:hAnsi="Arial" w:cs="Arial"/>
        </w:rPr>
        <w:t xml:space="preserve"> </w:t>
      </w:r>
    </w:p>
    <w:p w:rsidR="004D6F0E" w:rsidRDefault="00490F21">
      <w:pPr>
        <w:spacing w:after="102" w:line="273" w:lineRule="auto"/>
        <w:ind w:left="14" w:right="41"/>
        <w:jc w:val="both"/>
      </w:pPr>
      <w:r>
        <w:t>用投資管理人的專屬動態資產配置多元化策略將投資資產配置於不同的環球資產類別可能涉及其他風險。見第</w:t>
      </w:r>
      <w:r>
        <w:t xml:space="preserve"> </w:t>
      </w:r>
      <w:r>
        <w:rPr>
          <w:rFonts w:ascii="Arial" w:eastAsia="Arial" w:hAnsi="Arial" w:cs="Arial"/>
        </w:rPr>
        <w:t xml:space="preserve">II </w:t>
      </w:r>
      <w:r>
        <w:t>部分「風險因素及特別考慮因素</w:t>
      </w:r>
      <w:r>
        <w:rPr>
          <w:rFonts w:ascii="Arial" w:eastAsia="Arial" w:hAnsi="Arial" w:cs="Arial"/>
        </w:rPr>
        <w:t>—</w:t>
      </w:r>
      <w:r>
        <w:t>一般風險</w:t>
      </w:r>
      <w:r>
        <w:rPr>
          <w:rFonts w:ascii="Arial" w:eastAsia="Arial" w:hAnsi="Arial" w:cs="Arial"/>
        </w:rPr>
        <w:t>—</w:t>
      </w:r>
      <w:r>
        <w:t>動態資產分配風險」。有關概述本基金主要風險的圖表及適用於本基金的此等及其他風險的詳情，請參閱第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41"/>
        <w:ind w:left="11" w:right="2"/>
      </w:pPr>
      <w:r>
        <w:t>典型投資者的資料</w:t>
      </w:r>
      <w:r>
        <w:rPr>
          <w:rFonts w:ascii="Arial" w:eastAsia="Arial" w:hAnsi="Arial" w:cs="Arial"/>
          <w:b/>
        </w:rPr>
        <w:t xml:space="preserve"> </w:t>
      </w:r>
    </w:p>
    <w:p w:rsidR="004D6F0E" w:rsidRDefault="00490F21">
      <w:pPr>
        <w:spacing w:after="102"/>
        <w:ind w:left="11" w:right="2"/>
      </w:pPr>
      <w:r>
        <w:t>本基金投資於動態調整各投資持倉的多資產基金，設計成為尋求中長期資本增長及中等波幅的投資者而設的解決方案。有關本基金的股份是否適合其投資需要，投資者敬請諮詢其獨立財務顧問。</w:t>
      </w:r>
      <w:r>
        <w:rPr>
          <w:rFonts w:ascii="Arial" w:eastAsia="Arial" w:hAnsi="Arial" w:cs="Arial"/>
        </w:rPr>
        <w:t xml:space="preserve"> </w:t>
      </w:r>
    </w:p>
    <w:p w:rsidR="004D6F0E" w:rsidRDefault="00490F21">
      <w:pPr>
        <w:spacing w:after="378" w:line="259" w:lineRule="auto"/>
        <w:ind w:left="0" w:firstLine="0"/>
      </w:pP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23"/>
        </w:rPr>
        <w:t xml:space="preserve"> </w:t>
      </w:r>
      <w:r>
        <w:rPr>
          <w:rFonts w:ascii="Arial" w:eastAsia="Arial" w:hAnsi="Arial" w:cs="Arial"/>
          <w:sz w:val="23"/>
        </w:rPr>
        <w:tab/>
        <w:t xml:space="preserve"> </w:t>
      </w:r>
    </w:p>
    <w:p w:rsidR="004D6F0E" w:rsidRDefault="00490F21">
      <w:pPr>
        <w:spacing w:after="139"/>
        <w:ind w:left="11" w:right="2"/>
      </w:pPr>
      <w:r>
        <w:t>派息</w:t>
      </w:r>
      <w:r>
        <w:rPr>
          <w:rFonts w:ascii="Arial" w:eastAsia="Arial" w:hAnsi="Arial" w:cs="Arial"/>
        </w:rPr>
        <w:t xml:space="preserve"> </w:t>
      </w:r>
    </w:p>
    <w:p w:rsidR="004D6F0E" w:rsidRDefault="00490F21">
      <w:pPr>
        <w:ind w:left="11" w:right="2"/>
      </w:pPr>
      <w:r>
        <w:t>就</w:t>
      </w:r>
      <w:r>
        <w:t xml:space="preserve"> </w:t>
      </w:r>
      <w:r>
        <w:rPr>
          <w:rFonts w:ascii="Arial" w:eastAsia="Arial" w:hAnsi="Arial" w:cs="Arial"/>
        </w:rPr>
        <w:t xml:space="preserve">AR </w:t>
      </w:r>
      <w:r>
        <w:t>類股份（及相應</w:t>
      </w:r>
      <w:r>
        <w:t xml:space="preserve"> </w:t>
      </w:r>
      <w:r>
        <w:rPr>
          <w:rFonts w:ascii="Arial" w:eastAsia="Arial" w:hAnsi="Arial" w:cs="Arial"/>
        </w:rPr>
        <w:t xml:space="preserve">H </w:t>
      </w:r>
      <w:r>
        <w:t>類股份）而言，管理公司擬按年宣派及派付股息。派息可能來自未扣除費用及開支前的總收入、已實現及未實現的收益及有關股份類別應佔的資本。超過淨收入（扣除費用及開支後的總收入）的派息可能相當於退還投資者的初始投</w:t>
      </w:r>
    </w:p>
    <w:p w:rsidR="004D6F0E" w:rsidRDefault="00490F21">
      <w:pPr>
        <w:ind w:left="11" w:right="2"/>
      </w:pPr>
      <w:r>
        <w:t>資本金，因此可能導致有關類別的每股資產淨值減少。</w:t>
      </w:r>
      <w:r>
        <w:rPr>
          <w:rFonts w:ascii="Arial" w:eastAsia="Arial" w:hAnsi="Arial" w:cs="Arial"/>
        </w:rPr>
        <w:t xml:space="preserve"> </w:t>
      </w:r>
    </w:p>
    <w:p w:rsidR="004D6F0E" w:rsidRDefault="00490F21">
      <w:pPr>
        <w:spacing w:after="24" w:line="259" w:lineRule="auto"/>
        <w:ind w:left="0" w:firstLine="0"/>
      </w:pPr>
      <w:r>
        <w:rPr>
          <w:rFonts w:ascii="Arial" w:eastAsia="Arial" w:hAnsi="Arial" w:cs="Arial"/>
          <w:sz w:val="18"/>
        </w:rPr>
        <w:t xml:space="preserve"> </w:t>
      </w:r>
    </w:p>
    <w:p w:rsidR="004D6F0E" w:rsidRDefault="00490F21">
      <w:pPr>
        <w:ind w:left="11" w:right="2"/>
      </w:pPr>
      <w:r>
        <w:t>管理公司也可決定派息是否包括</w:t>
      </w:r>
      <w:r>
        <w:t>及在多大程度上包括已實現資本收益及／或是否及在多大程度上從相關股份類別應佔的</w:t>
      </w:r>
      <w:r>
        <w:t>資本中支付。倘此等股份應佔的淨收入及淨實現利潤超出應付的已宣派數額，則超出的回報將於此等股份各自的資產淨值中反映。股息可按股東的選擇自動再投資。</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28" w:line="250" w:lineRule="auto"/>
        <w:ind w:hanging="10"/>
      </w:pPr>
      <w:r>
        <w:t>就</w:t>
      </w:r>
      <w:r>
        <w:rPr>
          <w:rFonts w:ascii="Arial" w:eastAsia="Arial" w:hAnsi="Arial" w:cs="Arial"/>
        </w:rPr>
        <w:t xml:space="preserve"> A</w:t>
      </w:r>
      <w:r>
        <w:t>、</w:t>
      </w:r>
      <w:r>
        <w:rPr>
          <w:rFonts w:ascii="Arial" w:eastAsia="Arial" w:hAnsi="Arial" w:cs="Arial"/>
        </w:rPr>
        <w:t>C</w:t>
      </w:r>
      <w:r>
        <w:t>、</w:t>
      </w:r>
      <w:r>
        <w:rPr>
          <w:rFonts w:ascii="Arial" w:eastAsia="Arial" w:hAnsi="Arial" w:cs="Arial"/>
        </w:rPr>
        <w:t>I</w:t>
      </w:r>
      <w:r>
        <w:t>、</w:t>
      </w:r>
      <w:r>
        <w:rPr>
          <w:rFonts w:ascii="Arial" w:eastAsia="Arial" w:hAnsi="Arial" w:cs="Arial"/>
        </w:rPr>
        <w:t>S</w:t>
      </w:r>
      <w:r>
        <w:t>、</w:t>
      </w:r>
      <w:r>
        <w:rPr>
          <w:rFonts w:ascii="Arial" w:eastAsia="Arial" w:hAnsi="Arial" w:cs="Arial"/>
        </w:rPr>
        <w:t>S1</w:t>
      </w:r>
      <w:r>
        <w:t>、</w:t>
      </w:r>
      <w:r>
        <w:rPr>
          <w:rFonts w:ascii="Arial" w:eastAsia="Arial" w:hAnsi="Arial" w:cs="Arial"/>
        </w:rPr>
        <w:t>SP</w:t>
      </w:r>
      <w:r>
        <w:t>、</w:t>
      </w:r>
      <w:r>
        <w:rPr>
          <w:rFonts w:ascii="Arial" w:eastAsia="Arial" w:hAnsi="Arial" w:cs="Arial"/>
        </w:rPr>
        <w:t>S1P</w:t>
      </w:r>
      <w:r>
        <w:t>、</w:t>
      </w:r>
      <w:r>
        <w:rPr>
          <w:rFonts w:ascii="Arial" w:eastAsia="Arial" w:hAnsi="Arial" w:cs="Arial"/>
        </w:rPr>
        <w:t>AX</w:t>
      </w:r>
      <w:r>
        <w:t>、</w:t>
      </w:r>
      <w:r>
        <w:rPr>
          <w:rFonts w:ascii="Arial" w:eastAsia="Arial" w:hAnsi="Arial" w:cs="Arial"/>
        </w:rPr>
        <w:t>BX</w:t>
      </w:r>
      <w:r>
        <w:t>、</w:t>
      </w:r>
      <w:r>
        <w:rPr>
          <w:rFonts w:ascii="Arial" w:eastAsia="Arial" w:hAnsi="Arial" w:cs="Arial"/>
        </w:rPr>
        <w:t xml:space="preserve">CX </w:t>
      </w:r>
      <w:r>
        <w:t>及</w:t>
      </w:r>
      <w:r>
        <w:t xml:space="preserve"> </w:t>
      </w:r>
      <w:r>
        <w:rPr>
          <w:rFonts w:ascii="Arial" w:eastAsia="Arial" w:hAnsi="Arial" w:cs="Arial"/>
        </w:rPr>
        <w:t xml:space="preserve">IX </w:t>
      </w:r>
      <w:r>
        <w:t>類股份</w:t>
      </w:r>
      <w:r>
        <w:rPr>
          <w:rFonts w:ascii="Arial" w:eastAsia="Arial" w:hAnsi="Arial" w:cs="Arial"/>
        </w:rPr>
        <w:t xml:space="preserve">       </w:t>
      </w:r>
    </w:p>
    <w:p w:rsidR="004D6F0E" w:rsidRDefault="00490F21">
      <w:pPr>
        <w:spacing w:after="102"/>
        <w:ind w:left="11" w:right="2"/>
      </w:pPr>
      <w:r>
        <w:t>（及相應</w:t>
      </w:r>
      <w:r>
        <w:t xml:space="preserve"> </w:t>
      </w:r>
      <w:r>
        <w:rPr>
          <w:rFonts w:ascii="Arial" w:eastAsia="Arial" w:hAnsi="Arial" w:cs="Arial"/>
        </w:rPr>
        <w:t xml:space="preserve">H </w:t>
      </w:r>
      <w:r>
        <w:t>類股份）而言，管理公司現時無意就此等股份派付股息。因此，股份應佔的任何淨收入及淨實現利潤均將於此等股份各自的資產淨值中反映。</w:t>
      </w:r>
      <w:r>
        <w:rPr>
          <w:rFonts w:ascii="Arial" w:eastAsia="Arial" w:hAnsi="Arial" w:cs="Arial"/>
        </w:rPr>
        <w:t xml:space="preserve"> </w:t>
      </w:r>
    </w:p>
    <w:p w:rsidR="004D6F0E" w:rsidRDefault="00490F21">
      <w:pPr>
        <w:spacing w:after="110"/>
        <w:ind w:left="11" w:right="2"/>
      </w:pPr>
      <w:r>
        <w:t>管理公司、行政管理人、存管人及過戶代理費用</w:t>
      </w:r>
      <w:r>
        <w:rPr>
          <w:rFonts w:ascii="Arial" w:eastAsia="Arial" w:hAnsi="Arial" w:cs="Arial"/>
          <w:b/>
        </w:rPr>
        <w:t xml:space="preserve"> </w:t>
      </w:r>
    </w:p>
    <w:p w:rsidR="004D6F0E" w:rsidRDefault="00490F21">
      <w:pPr>
        <w:spacing w:line="273" w:lineRule="auto"/>
        <w:ind w:left="14" w:right="41"/>
        <w:jc w:val="both"/>
      </w:pPr>
      <w:r>
        <w:t>就除</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 xml:space="preserve">SP </w:t>
      </w:r>
      <w:r>
        <w:t>及</w:t>
      </w:r>
      <w:r>
        <w:t xml:space="preserve"> </w:t>
      </w:r>
      <w:r>
        <w:rPr>
          <w:rFonts w:ascii="Arial" w:eastAsia="Arial" w:hAnsi="Arial" w:cs="Arial"/>
        </w:rPr>
        <w:t xml:space="preserve">S1P </w:t>
      </w:r>
      <w:r>
        <w:t>類股份（及相應</w:t>
      </w:r>
      <w:r>
        <w:t xml:space="preserve"> </w:t>
      </w:r>
      <w:r>
        <w:rPr>
          <w:rFonts w:ascii="Arial" w:eastAsia="Arial" w:hAnsi="Arial" w:cs="Arial"/>
        </w:rPr>
        <w:t xml:space="preserve">H </w:t>
      </w:r>
      <w:r>
        <w:t>類股份）以外的本基金所有股份（及相應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0.10%</w:t>
      </w:r>
      <w:r>
        <w:t>。管理公司按</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 xml:space="preserve">SP </w:t>
      </w:r>
      <w:r>
        <w:t>及</w:t>
      </w:r>
      <w:r>
        <w:t xml:space="preserve"> </w:t>
      </w:r>
      <w:r>
        <w:rPr>
          <w:rFonts w:ascii="Arial" w:eastAsia="Arial" w:hAnsi="Arial" w:cs="Arial"/>
        </w:rPr>
        <w:t xml:space="preserve">S1P </w:t>
      </w:r>
      <w:r>
        <w:t>類股份（及相應</w:t>
      </w:r>
      <w:r>
        <w:t xml:space="preserve"> </w:t>
      </w:r>
      <w:r>
        <w:rPr>
          <w:rFonts w:ascii="Arial" w:eastAsia="Arial" w:hAnsi="Arial" w:cs="Arial"/>
        </w:rPr>
        <w:t xml:space="preserve">H </w:t>
      </w:r>
      <w:r>
        <w:t>類股份）應佔的總資產淨值自本</w:t>
      </w:r>
      <w:r>
        <w:rPr>
          <w:sz w:val="18"/>
        </w:rPr>
        <w:t>基金</w:t>
      </w:r>
      <w:r>
        <w:t>資產獲付一項年費，數額為</w:t>
      </w:r>
    </w:p>
    <w:p w:rsidR="004D6F0E" w:rsidRDefault="00490F21">
      <w:pPr>
        <w:spacing w:after="99"/>
        <w:ind w:left="11" w:right="2"/>
      </w:pPr>
      <w:r>
        <w:rPr>
          <w:rFonts w:ascii="Arial" w:eastAsia="Arial" w:hAnsi="Arial" w:cs="Arial"/>
        </w:rPr>
        <w:t xml:space="preserve">50,000 </w:t>
      </w:r>
      <w:r>
        <w:t>美元或日均資產淨值的</w:t>
      </w:r>
      <w:r>
        <w:t xml:space="preserve"> </w:t>
      </w:r>
      <w:r>
        <w:rPr>
          <w:rFonts w:ascii="Arial" w:eastAsia="Arial" w:hAnsi="Arial" w:cs="Arial"/>
        </w:rPr>
        <w:t>0.01%</w:t>
      </w:r>
      <w:r>
        <w:t>（以較低者為準）。</w:t>
      </w: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w:t>
      </w:r>
      <w:r>
        <w:rPr>
          <w:rFonts w:ascii="Arial" w:eastAsia="Arial" w:hAnsi="Arial" w:cs="Arial"/>
        </w:rPr>
        <w:t xml:space="preserve">  </w:t>
      </w:r>
      <w:r>
        <w:t>「行政管理人、存管人及過戶代理費用」所規定的固定最高金額。此等費用的增減是取決於本基金資產及交易量或其他原因。</w:t>
      </w:r>
      <w:r>
        <w:rPr>
          <w:rFonts w:ascii="Arial" w:eastAsia="Arial" w:hAnsi="Arial" w:cs="Arial"/>
        </w:rPr>
        <w:t xml:space="preserve"> </w:t>
      </w:r>
    </w:p>
    <w:p w:rsidR="004D6F0E" w:rsidRDefault="00490F21">
      <w:pPr>
        <w:spacing w:after="104"/>
        <w:ind w:left="11" w:right="2"/>
      </w:pPr>
      <w:r>
        <w:t>設立開支</w:t>
      </w:r>
      <w:r>
        <w:rPr>
          <w:rFonts w:ascii="Arial" w:eastAsia="Arial" w:hAnsi="Arial" w:cs="Arial"/>
          <w:b/>
        </w:rPr>
        <w:t xml:space="preserve"> </w:t>
      </w:r>
    </w:p>
    <w:p w:rsidR="004D6F0E" w:rsidRDefault="00490F21">
      <w:pPr>
        <w:spacing w:after="115"/>
        <w:ind w:left="11" w:right="2"/>
      </w:pPr>
      <w:r>
        <w:t>本基金並無未攤銷設立開支。</w:t>
      </w:r>
      <w:r>
        <w:rPr>
          <w:rFonts w:ascii="Arial" w:eastAsia="Arial" w:hAnsi="Arial" w:cs="Arial"/>
        </w:rPr>
        <w:t xml:space="preserve"> </w:t>
      </w:r>
    </w:p>
    <w:p w:rsidR="004D6F0E" w:rsidRDefault="00490F21">
      <w:pPr>
        <w:pStyle w:val="Heading4"/>
        <w:spacing w:after="102" w:line="259" w:lineRule="auto"/>
        <w:ind w:left="3" w:firstLine="3"/>
      </w:pPr>
      <w:r>
        <w:rPr>
          <w:sz w:val="20"/>
        </w:rPr>
        <w:t>過往表現</w:t>
      </w:r>
      <w:r>
        <w:rPr>
          <w:rFonts w:ascii="Arial" w:eastAsia="Arial" w:hAnsi="Arial" w:cs="Arial"/>
          <w:b/>
          <w:sz w:val="20"/>
        </w:rPr>
        <w:t xml:space="preserve"> </w:t>
      </w:r>
    </w:p>
    <w:p w:rsidR="004D6F0E" w:rsidRDefault="00490F21">
      <w:pPr>
        <w:spacing w:after="122" w:line="254" w:lineRule="auto"/>
        <w:ind w:left="8" w:hanging="10"/>
      </w:pPr>
      <w:r>
        <w:t>有關本基金過往表現的資料可瀏覽</w:t>
      </w:r>
      <w:r>
        <w:t xml:space="preserve"> </w:t>
      </w:r>
      <w:hyperlink r:id="rId43">
        <w:r>
          <w:rPr>
            <w:rFonts w:ascii="Arial" w:eastAsia="Arial" w:hAnsi="Arial" w:cs="Arial"/>
            <w:color w:val="0000FF"/>
            <w:u w:val="single" w:color="0000FF"/>
          </w:rPr>
          <w:t>www.alliancebernstein.com</w:t>
        </w:r>
      </w:hyperlink>
      <w:hyperlink r:id="rId44">
        <w:r>
          <w:t>。</w:t>
        </w:r>
      </w:hyperlink>
      <w:r>
        <w:rPr>
          <w:rFonts w:ascii="Arial" w:eastAsia="Arial" w:hAnsi="Arial" w:cs="Arial"/>
        </w:rPr>
        <w:t xml:space="preserve"> </w:t>
      </w:r>
    </w:p>
    <w:p w:rsidR="004D6F0E" w:rsidRDefault="00490F21">
      <w:pPr>
        <w:spacing w:after="104"/>
        <w:ind w:left="11" w:right="2"/>
      </w:pPr>
      <w:r>
        <w:t>歷史</w:t>
      </w:r>
      <w:r>
        <w:rPr>
          <w:rFonts w:ascii="Arial" w:eastAsia="Arial" w:hAnsi="Arial" w:cs="Arial"/>
          <w:b/>
        </w:rPr>
        <w:t xml:space="preserve"> </w:t>
      </w:r>
    </w:p>
    <w:p w:rsidR="004D6F0E" w:rsidRDefault="00490F21">
      <w:pPr>
        <w:ind w:left="11" w:right="2"/>
      </w:pPr>
      <w:r>
        <w:t>本基金於二零零四年十一月二日以環球平衡策略基金之名設立，為本傘子基金下的基金，其後於二零一一年四月十五日易名為全方位領航基金。</w:t>
      </w:r>
    </w:p>
    <w:p w:rsidR="004D6F0E" w:rsidRDefault="00490F21">
      <w:pPr>
        <w:pStyle w:val="Heading2"/>
        <w:spacing w:after="123"/>
        <w:ind w:left="8"/>
      </w:pPr>
      <w:r>
        <w:ruby>
          <w:rubyPr>
            <w:rubyAlign w:val="distributeSpace"/>
            <w:hps w:val="18"/>
            <w:hpsRaise w:val="20"/>
            <w:hpsBaseText w:val="31"/>
            <w:lid w:val="ko-KR"/>
          </w:rubyPr>
          <w:rt>
            <w:r w:rsidR="00490F21">
              <w:rPr>
                <w:sz w:val="18"/>
              </w:rPr>
              <w:t>股票</w:t>
            </w:r>
            <w:r w:rsidR="00490F21">
              <w:rPr>
                <w:sz w:val="18"/>
              </w:rPr>
              <w:t xml:space="preserve"> </w:t>
            </w:r>
          </w:rt>
          <w:rubyBase>
            <w:r w:rsidR="00490F21">
              <w:t>聯</w:t>
            </w:r>
          </w:rubyBase>
        </w:ruby>
      </w:r>
      <w:r>
        <w:t>博</w:t>
      </w:r>
      <w:r>
        <w:rPr>
          <w:rFonts w:ascii="Arial" w:eastAsia="Arial" w:hAnsi="Arial" w:cs="Arial"/>
        </w:rPr>
        <w:t>—</w:t>
      </w:r>
      <w:r>
        <w:t>環球股票策略基金</w:t>
      </w:r>
      <w:r>
        <w:rPr>
          <w:rFonts w:ascii="Arial" w:eastAsia="Arial" w:hAnsi="Arial" w:cs="Arial"/>
        </w:rPr>
        <w:t xml:space="preserve"> </w:t>
      </w:r>
    </w:p>
    <w:p w:rsidR="004D6F0E" w:rsidRDefault="00490F21">
      <w:pPr>
        <w:pStyle w:val="Heading3"/>
        <w:spacing w:after="84"/>
        <w:ind w:left="14"/>
      </w:pPr>
      <w:r>
        <w:t>投資目標及政策</w:t>
      </w:r>
      <w:r>
        <w:rPr>
          <w:rFonts w:ascii="Arial" w:eastAsia="Arial" w:hAnsi="Arial" w:cs="Arial"/>
        </w:rPr>
        <w:t xml:space="preserve"> </w:t>
      </w:r>
    </w:p>
    <w:p w:rsidR="004D6F0E" w:rsidRDefault="00490F21">
      <w:pPr>
        <w:spacing w:after="63"/>
        <w:ind w:left="11" w:right="2"/>
      </w:pPr>
      <w:r>
        <w:t>投資目標</w:t>
      </w:r>
      <w:r>
        <w:rPr>
          <w:rFonts w:ascii="Arial" w:eastAsia="Arial" w:hAnsi="Arial" w:cs="Arial"/>
          <w:b/>
        </w:rPr>
        <w:t xml:space="preserve"> </w:t>
      </w:r>
    </w:p>
    <w:p w:rsidR="004D6F0E" w:rsidRDefault="00490F21">
      <w:pPr>
        <w:spacing w:after="104"/>
        <w:ind w:left="11" w:right="2"/>
      </w:pPr>
      <w:r>
        <w:t>本基金尋求長線資本增值。</w:t>
      </w:r>
      <w:r>
        <w:rPr>
          <w:rFonts w:ascii="Arial" w:eastAsia="Arial" w:hAnsi="Arial" w:cs="Arial"/>
        </w:rPr>
        <w:t xml:space="preserve"> </w:t>
      </w:r>
    </w:p>
    <w:p w:rsidR="004D6F0E" w:rsidRDefault="00490F21">
      <w:pPr>
        <w:spacing w:after="103"/>
        <w:ind w:left="11" w:right="2"/>
      </w:pPr>
      <w:r>
        <w:t>本基金投資於環球的股票，對象是尋求股票回報但又屬意相關風險分散於各類投資、產業及地區</w:t>
      </w:r>
      <w:r>
        <w:t>的投資者。在管理本基金的過程中，投資管理人有效地分散於各類增長及價值型股票的投資。投資管理人依據各類基本增長及價值投資規則，揀選增長型及價值型股本證券，組成一個混合基金。</w:t>
      </w:r>
      <w:r>
        <w:rPr>
          <w:rFonts w:ascii="Arial" w:eastAsia="Arial" w:hAnsi="Arial" w:cs="Arial"/>
        </w:rPr>
        <w:t xml:space="preserve"> </w:t>
      </w:r>
    </w:p>
    <w:p w:rsidR="004D6F0E" w:rsidRDefault="00490F21">
      <w:pPr>
        <w:spacing w:after="102"/>
        <w:ind w:left="11" w:right="2"/>
      </w:pPr>
      <w:r>
        <w:t>投資管理人就本基金設定的目標比重通常為增長型證券與價值型證券各佔</w:t>
      </w:r>
      <w:r>
        <w:t xml:space="preserve"> </w:t>
      </w:r>
      <w:r>
        <w:rPr>
          <w:rFonts w:ascii="Arial" w:eastAsia="Arial" w:hAnsi="Arial" w:cs="Arial"/>
        </w:rPr>
        <w:t>50%</w:t>
      </w:r>
      <w:r>
        <w:t>。投資管理人允許本基金的增長型證券與價值型證券的相對比重因應市況而上下波動，但幅度通常不超過本基金的</w:t>
      </w:r>
      <w:r>
        <w:rPr>
          <w:rFonts w:ascii="Arial" w:eastAsia="Arial" w:hAnsi="Arial" w:cs="Arial"/>
        </w:rPr>
        <w:t>+/-5%</w:t>
      </w:r>
      <w:r>
        <w:t>。倘超過此幅度，投資管理人一般會對本基金的有關成份的比重作重新調整，使之符合目標比重。然而，在特殊情況下，倘投資管理人認為有利於一類或另一類投資的狀況極為顯</w:t>
      </w:r>
      <w:r>
        <w:t>著，則上下限可擴大至本基金重新調整前有關比重基準的</w:t>
      </w:r>
      <w:r>
        <w:rPr>
          <w:rFonts w:ascii="Arial" w:eastAsia="Arial" w:hAnsi="Arial" w:cs="Arial"/>
        </w:rPr>
        <w:t>+/-10%</w:t>
      </w:r>
      <w:r>
        <w:t>。</w:t>
      </w:r>
      <w:r>
        <w:rPr>
          <w:rFonts w:ascii="Arial" w:eastAsia="Arial" w:hAnsi="Arial" w:cs="Arial"/>
        </w:rPr>
        <w:t xml:space="preserve"> </w:t>
      </w:r>
    </w:p>
    <w:p w:rsidR="004D6F0E" w:rsidRDefault="00490F21">
      <w:pPr>
        <w:spacing w:after="63"/>
        <w:ind w:left="11" w:right="2"/>
      </w:pPr>
      <w:r>
        <w:t>投資規則和程序</w:t>
      </w:r>
      <w:r>
        <w:rPr>
          <w:rFonts w:ascii="Arial" w:eastAsia="Arial" w:hAnsi="Arial" w:cs="Arial"/>
          <w:b/>
        </w:rPr>
        <w:t xml:space="preserve"> </w:t>
      </w:r>
    </w:p>
    <w:p w:rsidR="004D6F0E" w:rsidRDefault="00490F21">
      <w:pPr>
        <w:spacing w:after="102" w:line="273" w:lineRule="auto"/>
        <w:ind w:left="14" w:right="41"/>
        <w:jc w:val="both"/>
      </w:pPr>
      <w:r>
        <w:t>環球增長。本基金的增長股票是利用投資管理人的增長投資規則而揀選。增長投資部透過識別具極佳盈利增長前景的公司來揀選股票。此規則極倚重投資管理人內部增長研究小組約</w:t>
      </w:r>
      <w:r>
        <w:t xml:space="preserve"> </w:t>
      </w:r>
      <w:r>
        <w:rPr>
          <w:rFonts w:ascii="Arial" w:eastAsia="Arial" w:hAnsi="Arial" w:cs="Arial"/>
        </w:rPr>
        <w:t xml:space="preserve">50 </w:t>
      </w:r>
      <w:r>
        <w:t>名專職增長分析員對約</w:t>
      </w:r>
      <w:r>
        <w:t xml:space="preserve"> </w:t>
      </w:r>
      <w:r>
        <w:rPr>
          <w:rFonts w:ascii="Arial" w:eastAsia="Arial" w:hAnsi="Arial" w:cs="Arial"/>
        </w:rPr>
        <w:t xml:space="preserve">1,400 </w:t>
      </w:r>
      <w:r>
        <w:t>間公司進行的基本因素分析及研究。</w:t>
      </w:r>
      <w:r>
        <w:rPr>
          <w:rFonts w:ascii="Arial" w:eastAsia="Arial" w:hAnsi="Arial" w:cs="Arial"/>
        </w:rPr>
        <w:t xml:space="preserve"> </w:t>
      </w:r>
    </w:p>
    <w:p w:rsidR="004D6F0E" w:rsidRDefault="00490F21">
      <w:pPr>
        <w:spacing w:after="102"/>
        <w:ind w:left="11" w:right="2"/>
      </w:pPr>
      <w:r>
        <w:t>投資管理人的研究重點為識別預期盈利增長遠高於平均水平，且增長可能高於市場預期的公司。</w:t>
      </w:r>
      <w:r>
        <w:rPr>
          <w:rFonts w:ascii="Arial" w:eastAsia="Arial" w:hAnsi="Arial" w:cs="Arial"/>
        </w:rPr>
        <w:t xml:space="preserve"> </w:t>
      </w:r>
    </w:p>
    <w:p w:rsidR="004D6F0E" w:rsidRDefault="00490F21">
      <w:pPr>
        <w:spacing w:after="101"/>
        <w:ind w:left="11" w:right="2"/>
      </w:pPr>
      <w:r>
        <w:t>採用投資管理人環球增長投資規則投資於環球股本證券的本基金總淨資產，將由投資管理人在其釐定的不同產業界別內分配，以取得卓越的增長潛力，以上述方式確定的各個產業界別稱為「成份基金」。由有關特定產業界別的成份基金代表的個別環球股本證券，將由投資管理人內部負責該特定產</w:t>
      </w:r>
      <w:r>
        <w:t>業界別的研究專家揀選。目前由投資管理人指定的成份基金連同投資管理人的環球增長投資規則如下：</w:t>
      </w:r>
      <w:r>
        <w:rPr>
          <w:rFonts w:ascii="Arial" w:eastAsia="Arial" w:hAnsi="Arial" w:cs="Arial"/>
        </w:rPr>
        <w:t xml:space="preserve">(1) </w:t>
      </w:r>
      <w:r>
        <w:t>科技，</w:t>
      </w:r>
      <w:r>
        <w:rPr>
          <w:rFonts w:ascii="Arial" w:eastAsia="Arial" w:hAnsi="Arial" w:cs="Arial"/>
        </w:rPr>
        <w:t>(2)</w:t>
      </w:r>
      <w:r>
        <w:t>消費，</w:t>
      </w:r>
      <w:r>
        <w:rPr>
          <w:rFonts w:ascii="Arial" w:eastAsia="Arial" w:hAnsi="Arial" w:cs="Arial"/>
        </w:rPr>
        <w:t xml:space="preserve">(3) </w:t>
      </w:r>
      <w:r>
        <w:t>金融及</w:t>
      </w:r>
      <w:r>
        <w:rPr>
          <w:rFonts w:ascii="Arial" w:eastAsia="Arial" w:hAnsi="Arial" w:cs="Arial"/>
        </w:rPr>
        <w:t xml:space="preserve">(4) </w:t>
      </w:r>
      <w:r>
        <w:t>工業週期類。本基金的總淨資產中分配予任何成份基金的比例，將取決於投資管理人對現行及預測投資機會及條件的評估。</w:t>
      </w:r>
      <w:r>
        <w:rPr>
          <w:rFonts w:ascii="Arial" w:eastAsia="Arial" w:hAnsi="Arial" w:cs="Arial"/>
        </w:rPr>
        <w:t xml:space="preserve"> </w:t>
      </w:r>
    </w:p>
    <w:p w:rsidR="004D6F0E" w:rsidRDefault="00490F21">
      <w:pPr>
        <w:spacing w:after="103"/>
        <w:ind w:left="11" w:right="2"/>
      </w:pPr>
      <w:r>
        <w:t>投</w:t>
      </w:r>
      <w:r>
        <w:t>資管理人的投資團隊可以（</w:t>
      </w:r>
      <w:r>
        <w:rPr>
          <w:rFonts w:ascii="Arial" w:eastAsia="Arial" w:hAnsi="Arial" w:cs="Arial"/>
        </w:rPr>
        <w:t>i</w:t>
      </w:r>
      <w:r>
        <w:t>）因特定產業界別增長潛力波動而重新指定或更改現有成份基金的標準，（</w:t>
      </w:r>
      <w:r>
        <w:rPr>
          <w:rFonts w:ascii="Arial" w:eastAsia="Arial" w:hAnsi="Arial" w:cs="Arial"/>
        </w:rPr>
        <w:t>ii</w:t>
      </w:r>
      <w:r>
        <w:t>）因有關產業界別增長潛力減退而撤出現有成份基金或（</w:t>
      </w:r>
      <w:r>
        <w:rPr>
          <w:rFonts w:ascii="Arial" w:eastAsia="Arial" w:hAnsi="Arial" w:cs="Arial"/>
        </w:rPr>
        <w:t>iii</w:t>
      </w:r>
      <w:r>
        <w:t>）因某個新的或不同的產業界別增長潛力上升而組建新的成份基金。</w:t>
      </w:r>
      <w:r>
        <w:rPr>
          <w:rFonts w:ascii="Arial" w:eastAsia="Arial" w:hAnsi="Arial" w:cs="Arial"/>
        </w:rPr>
        <w:t xml:space="preserve"> </w:t>
      </w:r>
    </w:p>
    <w:p w:rsidR="004D6F0E" w:rsidRDefault="00490F21">
      <w:pPr>
        <w:spacing w:after="106"/>
        <w:ind w:left="11" w:right="2"/>
      </w:pPr>
      <w:r>
        <w:t>環球價值</w:t>
      </w:r>
      <w:r>
        <w:rPr>
          <w:rFonts w:ascii="Arial" w:eastAsia="Arial" w:hAnsi="Arial" w:cs="Arial"/>
          <w:b/>
        </w:rPr>
        <w:t xml:space="preserve"> </w:t>
      </w:r>
    </w:p>
    <w:p w:rsidR="004D6F0E" w:rsidRDefault="00490F21">
      <w:pPr>
        <w:spacing w:after="102" w:line="273" w:lineRule="auto"/>
        <w:ind w:left="14" w:right="41"/>
        <w:jc w:val="both"/>
      </w:pPr>
      <w:r>
        <w:t>本基金的價值股票是採用投資管理人的</w:t>
      </w:r>
      <w:r>
        <w:t xml:space="preserve"> </w:t>
      </w:r>
      <w:r>
        <w:rPr>
          <w:rFonts w:ascii="Arial" w:eastAsia="Arial" w:hAnsi="Arial" w:cs="Arial"/>
        </w:rPr>
        <w:t xml:space="preserve">Bernstein </w:t>
      </w:r>
      <w:r>
        <w:t>單位的基本價值投資規則而揀選。</w:t>
      </w:r>
      <w:r>
        <w:rPr>
          <w:sz w:val="20"/>
        </w:rPr>
        <w:t>揀選證券時，投資管理人的價值投資部</w:t>
      </w:r>
      <w:r>
        <w:t>致力</w:t>
      </w:r>
      <w:r>
        <w:rPr>
          <w:sz w:val="20"/>
        </w:rPr>
        <w:t>識別長期盈利能力及派息能力在其證券現行市價中尚未反映的公司。</w:t>
      </w:r>
      <w:r>
        <w:t>此基本價值規則極倚重投資管理人內部多名負責跟進逾</w:t>
      </w:r>
      <w:r>
        <w:t xml:space="preserve"> </w:t>
      </w:r>
      <w:r>
        <w:rPr>
          <w:rFonts w:ascii="Arial" w:eastAsia="Arial" w:hAnsi="Arial" w:cs="Arial"/>
        </w:rPr>
        <w:t xml:space="preserve">2,700 </w:t>
      </w:r>
      <w:r>
        <w:t>間公司的價值研究人員。價值研究小組內各</w:t>
      </w:r>
      <w:r>
        <w:t>小組團隊負責跟進某個既定產業，以在環球背景下更了解各公司的競爭狀況。投資管理人擁有約</w:t>
      </w:r>
      <w:r>
        <w:t xml:space="preserve"> </w:t>
      </w:r>
      <w:r>
        <w:rPr>
          <w:rFonts w:ascii="Arial" w:eastAsia="Arial" w:hAnsi="Arial" w:cs="Arial"/>
        </w:rPr>
        <w:t xml:space="preserve">70 </w:t>
      </w:r>
      <w:r>
        <w:t>名專職的價值分析員，各自為所分析的每間公司編製盈利估計及財務模式。投資管理人會識別並量化可決定業務表現的關鍵變數，並對其結果加以分析，以預測各公司的長遠前景及預期回報。</w:t>
      </w:r>
      <w:r>
        <w:rPr>
          <w:rFonts w:ascii="Arial" w:eastAsia="Arial" w:hAnsi="Arial" w:cs="Arial"/>
        </w:rPr>
        <w:t xml:space="preserve"> </w:t>
      </w:r>
    </w:p>
    <w:p w:rsidR="004D6F0E" w:rsidRDefault="00490F21">
      <w:pPr>
        <w:spacing w:after="0" w:line="259" w:lineRule="auto"/>
        <w:ind w:left="427" w:firstLine="0"/>
      </w:pPr>
      <w:r>
        <w:rPr>
          <w:rFonts w:ascii="Arial" w:eastAsia="Arial" w:hAnsi="Arial" w:cs="Arial"/>
        </w:rPr>
        <w:t xml:space="preserve"> </w:t>
      </w:r>
    </w:p>
    <w:p w:rsidR="004D6F0E" w:rsidRDefault="00490F21">
      <w:pPr>
        <w:spacing w:after="100"/>
        <w:ind w:left="11" w:right="2"/>
      </w:pPr>
      <w:r>
        <w:t>「價值」</w:t>
      </w:r>
      <w:r>
        <w:rPr>
          <w:rFonts w:ascii="Arial" w:eastAsia="Arial" w:hAnsi="Arial" w:cs="Arial"/>
        </w:rPr>
        <w:t xml:space="preserve"> </w:t>
      </w:r>
      <w:r>
        <w:t>投資規則嘗試採用規範的基本價值方法以識別估值偏低的證券。投資管理人認為，此類公司的股價最終將反映其內在經濟價值。投資管理人關於股本投資的基本價值方法通常是參照證券現價與按長期盈利前景衡量的內在經濟價值的關係來界定價值。在各個市場上，此</w:t>
      </w:r>
      <w:r>
        <w:t>方法尋求識別一系列因價格相對於未來盈利能力而言極為吸引而被認為估值偏低的證券。因此，預測企業盈利及派息能力乃基本方法的核心。任何產業、國家或地區公司的證券均可能錯誤定價，而投資管理人的任務即為利用所有此等機會將這類證券納入本基金。</w:t>
      </w:r>
      <w:r>
        <w:rPr>
          <w:rFonts w:ascii="Arial" w:eastAsia="Arial" w:hAnsi="Arial" w:cs="Arial"/>
        </w:rPr>
        <w:t xml:space="preserve"> </w:t>
      </w:r>
    </w:p>
    <w:p w:rsidR="004D6F0E" w:rsidRDefault="00490F21">
      <w:pPr>
        <w:spacing w:after="63"/>
        <w:ind w:left="11" w:right="2"/>
      </w:pPr>
      <w:r>
        <w:t>其他投資政策</w:t>
      </w:r>
      <w:r>
        <w:rPr>
          <w:rFonts w:ascii="Arial" w:eastAsia="Arial" w:hAnsi="Arial" w:cs="Arial"/>
          <w:b/>
        </w:rPr>
        <w:t xml:space="preserve"> </w:t>
      </w:r>
    </w:p>
    <w:p w:rsidR="004D6F0E" w:rsidRDefault="00490F21">
      <w:pPr>
        <w:spacing w:after="102"/>
        <w:ind w:left="11" w:right="2"/>
      </w:pPr>
      <w:r>
        <w:lastRenderedPageBreak/>
        <w:t>本基金於任何一個國家或地區的投資佔總資產的比例均無任何限制。本基金有意分散投資風險，並期望投資於在已發展國家註冊的發行人的股本證券，包括澳洲、加拿大、日本、美國及在歐洲及亞洲的已發展國家。本基金將獲准投資於在其他國家（包括新興市場國家）註冊或經營大部分或主要的業</w:t>
      </w:r>
      <w:r>
        <w:t>務的發行人的證券。</w:t>
      </w:r>
      <w:r>
        <w:rPr>
          <w:rFonts w:ascii="Arial" w:eastAsia="Arial" w:hAnsi="Arial" w:cs="Arial"/>
        </w:rPr>
        <w:t xml:space="preserve"> </w:t>
      </w:r>
    </w:p>
    <w:p w:rsidR="004D6F0E" w:rsidRDefault="00490F21">
      <w:pPr>
        <w:spacing w:after="102" w:line="273" w:lineRule="auto"/>
        <w:ind w:left="14" w:right="158"/>
        <w:jc w:val="both"/>
      </w:pPr>
      <w:r>
        <w:t>本基金對在新興市場國家註冊的發行人的證券作出的投資，預計不會超過本基金淨資產的</w:t>
      </w:r>
      <w:r>
        <w:t xml:space="preserve"> </w:t>
      </w:r>
      <w:r>
        <w:rPr>
          <w:rFonts w:ascii="Arial" w:eastAsia="Arial" w:hAnsi="Arial" w:cs="Arial"/>
        </w:rPr>
        <w:t>30%</w:t>
      </w:r>
      <w:r>
        <w:t>。投資管理人將全權酌情釐定組成「新興市場國家」的國家。新興市場國家一般為環球金融界認為屬發展中國家的國家，包括不時列入</w:t>
      </w:r>
      <w:r>
        <w:t xml:space="preserve"> </w:t>
      </w:r>
      <w:r>
        <w:rPr>
          <w:rFonts w:ascii="Arial" w:eastAsia="Arial" w:hAnsi="Arial" w:cs="Arial"/>
        </w:rPr>
        <w:t xml:space="preserve">MSCI </w:t>
      </w:r>
      <w:r>
        <w:t>國際資本新興市場指數</w:t>
      </w:r>
      <w:r>
        <w:t xml:space="preserve"> </w:t>
      </w:r>
      <w:r>
        <w:rPr>
          <w:rFonts w:ascii="Arial" w:eastAsia="Arial" w:hAnsi="Arial" w:cs="Arial"/>
          <w:vertAlign w:val="superscript"/>
        </w:rPr>
        <w:t>SM</w:t>
      </w:r>
      <w:r>
        <w:t>（旨在衡量環球新興市場股市表現的自由浮動調整市值指數）的國家。投資管理人就某個國家是否屬新興市場國家而作出的決定可不時變動。</w:t>
      </w:r>
      <w:r>
        <w:rPr>
          <w:rFonts w:ascii="Arial" w:eastAsia="Arial" w:hAnsi="Arial" w:cs="Arial"/>
        </w:rPr>
        <w:t xml:space="preserve"> </w:t>
      </w:r>
    </w:p>
    <w:p w:rsidR="004D6F0E" w:rsidRDefault="00490F21">
      <w:pPr>
        <w:spacing w:after="102"/>
        <w:ind w:left="11" w:right="2"/>
      </w:pPr>
      <w:r>
        <w:t>投資管理人將按其貨幣研究和展望調整本基金的貨幣風險，並將</w:t>
      </w:r>
      <w:r>
        <w:rPr>
          <w:rFonts w:ascii="Arial" w:eastAsia="Arial" w:hAnsi="Arial" w:cs="Arial"/>
        </w:rPr>
        <w:t>(a)</w:t>
      </w:r>
      <w:r>
        <w:t>本基金的整體非基準貨幣風險，以及</w:t>
      </w:r>
      <w:r>
        <w:rPr>
          <w:rFonts w:ascii="Arial" w:eastAsia="Arial" w:hAnsi="Arial" w:cs="Arial"/>
        </w:rPr>
        <w:t>(b)</w:t>
      </w:r>
      <w:r>
        <w:t>本基金組合中特定貨幣</w:t>
      </w:r>
      <w:r>
        <w:t>的預期風險及回報兩項因素考慮在內。投資管理人可利用就此專門開發的內部模型。因此，投資管理人可根據其研究是否顯示該貨幣相對於基準貨幣是下跌或上升對沖所有、部分貨幣風險或不進行任何對沖。</w:t>
      </w:r>
      <w:r>
        <w:rPr>
          <w:rFonts w:ascii="Arial" w:eastAsia="Arial" w:hAnsi="Arial" w:cs="Arial"/>
        </w:rPr>
        <w:t xml:space="preserve"> </w:t>
      </w:r>
    </w:p>
    <w:p w:rsidR="004D6F0E" w:rsidRDefault="00490F21">
      <w:pPr>
        <w:spacing w:after="106"/>
        <w:ind w:left="11" w:right="2"/>
      </w:pPr>
      <w:r>
        <w:t>作為暫時性的防守策略，或為準備資金贖回證券，本基金可無限制地持有現金、現金等價物或短期固定收益債務（包括貨幣市場工具）。</w:t>
      </w:r>
      <w:r>
        <w:rPr>
          <w:rFonts w:ascii="Arial" w:eastAsia="Arial" w:hAnsi="Arial" w:cs="Arial"/>
        </w:rPr>
        <w:t xml:space="preserve"> </w:t>
      </w:r>
    </w:p>
    <w:p w:rsidR="004D6F0E" w:rsidRDefault="00490F21">
      <w:pPr>
        <w:spacing w:after="102" w:line="273" w:lineRule="auto"/>
        <w:ind w:left="14" w:right="112"/>
        <w:jc w:val="both"/>
      </w:pPr>
      <w:r>
        <w:t>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段。因此，本基金可能會難以隨時出售該等證券。此外，轉售該等證券可能會有合約限制。投資管理人預期，任何時候本基金至少有</w:t>
      </w:r>
      <w:r>
        <w:t xml:space="preserve"> </w:t>
      </w:r>
      <w:r>
        <w:rPr>
          <w:rFonts w:ascii="Arial" w:eastAsia="Arial" w:hAnsi="Arial" w:cs="Arial"/>
        </w:rPr>
        <w:t>90%</w:t>
      </w:r>
      <w:r>
        <w:t>的總資產投資於股本證券，而本基金投資於該等證券的數額將不會少於其總資產的三分之二。</w:t>
      </w:r>
      <w:r>
        <w:rPr>
          <w:rFonts w:ascii="Arial" w:eastAsia="Arial" w:hAnsi="Arial" w:cs="Arial"/>
        </w:rPr>
        <w:t xml:space="preserve"> </w:t>
      </w:r>
    </w:p>
    <w:p w:rsidR="004D6F0E" w:rsidRDefault="00490F21">
      <w:pPr>
        <w:spacing w:after="102"/>
        <w:ind w:left="11" w:right="2"/>
      </w:pPr>
      <w:r>
        <w:t>金融衍生工具／有效基金管理技術</w:t>
      </w:r>
      <w:r>
        <w:rPr>
          <w:rFonts w:ascii="Arial" w:eastAsia="Arial" w:hAnsi="Arial" w:cs="Arial"/>
          <w:b/>
        </w:rPr>
        <w:t xml:space="preserve"> </w:t>
      </w:r>
    </w:p>
    <w:p w:rsidR="004D6F0E" w:rsidRDefault="00490F21">
      <w:pPr>
        <w:spacing w:after="102"/>
        <w:ind w:left="11" w:right="2"/>
      </w:pPr>
      <w:r>
        <w:t>有效的基金管理及對沖技巧可利用包括交易所買賣及場外衍生工具，包括掉期、期權、期貨及貨幣交易。</w:t>
      </w:r>
      <w:r>
        <w:rPr>
          <w:rFonts w:ascii="Arial" w:eastAsia="Arial" w:hAnsi="Arial" w:cs="Arial"/>
        </w:rPr>
        <w:t xml:space="preserve"> </w:t>
      </w:r>
    </w:p>
    <w:p w:rsidR="004D6F0E" w:rsidRDefault="00490F21">
      <w:pPr>
        <w:ind w:left="11" w:right="2"/>
      </w:pPr>
      <w:r>
        <w:t>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t>（「</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p w:rsidR="004D6F0E" w:rsidRDefault="004D6F0E">
      <w:pPr>
        <w:sectPr w:rsidR="004D6F0E">
          <w:type w:val="continuous"/>
          <w:pgSz w:w="12240" w:h="15840"/>
          <w:pgMar w:top="988" w:right="562" w:bottom="1407" w:left="432" w:header="720" w:footer="720" w:gutter="0"/>
          <w:cols w:num="2" w:space="720" w:equalWidth="0">
            <w:col w:w="4960" w:space="678"/>
            <w:col w:w="5608"/>
          </w:cols>
        </w:sectPr>
      </w:pPr>
    </w:p>
    <w:tbl>
      <w:tblPr>
        <w:tblStyle w:val="TableGrid"/>
        <w:tblW w:w="5030" w:type="dxa"/>
        <w:tblInd w:w="492"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lastRenderedPageBreak/>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50% </w:t>
            </w:r>
          </w:p>
        </w:tc>
      </w:tr>
      <w:tr w:rsidR="004D6F0E">
        <w:trPr>
          <w:trHeight w:val="626"/>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bl>
    <w:p w:rsidR="004D6F0E" w:rsidRDefault="00490F21">
      <w:pPr>
        <w:spacing w:after="204" w:line="259" w:lineRule="auto"/>
        <w:ind w:left="0" w:firstLine="0"/>
      </w:pPr>
      <w:r>
        <w:rPr>
          <w:rFonts w:ascii="Arial" w:eastAsia="Arial" w:hAnsi="Arial" w:cs="Arial"/>
          <w:b/>
          <w:sz w:val="10"/>
        </w:rPr>
        <w:t xml:space="preserve"> </w:t>
      </w:r>
    </w:p>
    <w:p w:rsidR="004D6F0E" w:rsidRDefault="00490F21">
      <w:pPr>
        <w:spacing w:after="37"/>
        <w:ind w:left="49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t>風險度量。用於監測使用金融衍生工具所產生的全球風險（市場風險）的方法為根據盧森堡金融業監管委員會（</w:t>
      </w:r>
      <w:r>
        <w:rPr>
          <w:rFonts w:ascii="Arial" w:eastAsia="Arial" w:hAnsi="Arial" w:cs="Arial"/>
        </w:rPr>
        <w:t>CSSF</w:t>
      </w:r>
      <w:r>
        <w:t>）</w:t>
      </w:r>
    </w:p>
    <w:p w:rsidR="004D6F0E" w:rsidRDefault="00490F21">
      <w:pPr>
        <w:spacing w:after="133"/>
        <w:ind w:left="492" w:right="2"/>
      </w:pPr>
      <w:r>
        <w:rPr>
          <w:rFonts w:ascii="Arial" w:eastAsia="Arial" w:hAnsi="Arial" w:cs="Arial"/>
        </w:rPr>
        <w:t xml:space="preserve">11/512 </w:t>
      </w:r>
      <w:r>
        <w:t>號公告採用的承擔法。</w:t>
      </w:r>
      <w:r>
        <w:rPr>
          <w:rFonts w:ascii="Arial" w:eastAsia="Arial" w:hAnsi="Arial" w:cs="Arial"/>
        </w:rPr>
        <w:t xml:space="preserve"> </w:t>
      </w:r>
    </w:p>
    <w:p w:rsidR="004D6F0E" w:rsidRDefault="00490F21">
      <w:pPr>
        <w:ind w:left="491" w:right="2"/>
      </w:pPr>
      <w:r>
        <w:t>基準。本基金的基準為</w:t>
      </w:r>
      <w:r>
        <w:t xml:space="preserve"> </w:t>
      </w:r>
      <w:r>
        <w:rPr>
          <w:rFonts w:ascii="Arial" w:eastAsia="Arial" w:hAnsi="Arial" w:cs="Arial"/>
        </w:rPr>
        <w:t xml:space="preserve">MSCI </w:t>
      </w:r>
      <w:r>
        <w:t>世界指數。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w:t>
      </w:r>
      <w:r>
        <w:rPr>
          <w:rFonts w:ascii="Arial" w:eastAsia="Arial" w:hAnsi="Arial" w:cs="Arial"/>
          <w:b/>
        </w:rPr>
        <w:t xml:space="preserve"> </w:t>
      </w:r>
    </w:p>
    <w:p w:rsidR="004D6F0E" w:rsidRDefault="00490F21">
      <w:pPr>
        <w:spacing w:after="262" w:line="259" w:lineRule="auto"/>
        <w:ind w:left="0" w:firstLine="0"/>
        <w:jc w:val="right"/>
      </w:pPr>
      <w:r>
        <w:rPr>
          <w:sz w:val="18"/>
        </w:rPr>
        <w:t xml:space="preserve"> </w:t>
      </w:r>
    </w:p>
    <w:p w:rsidR="004D6F0E" w:rsidRDefault="00490F21">
      <w:pPr>
        <w:spacing w:after="123"/>
        <w:ind w:left="491" w:right="2"/>
      </w:pPr>
      <w:r>
        <w:t>貨幣對沖股份類別</w:t>
      </w:r>
      <w:r>
        <w:rPr>
          <w:rFonts w:ascii="Arial" w:eastAsia="Arial" w:hAnsi="Arial" w:cs="Arial"/>
          <w:b/>
        </w:rPr>
        <w:t xml:space="preserve"> </w:t>
      </w:r>
    </w:p>
    <w:p w:rsidR="004D6F0E" w:rsidRDefault="00490F21">
      <w:pPr>
        <w:spacing w:after="103"/>
        <w:ind w:left="491" w:right="2"/>
      </w:pPr>
      <w:r>
        <w:t>用某種貨幣發售的一項或多項本基金股份類別（各稱「發售貨</w:t>
      </w:r>
      <w:r>
        <w:t>幣」）可用該發售貨幣對沖。任何此等股份類別將構成「貨幣對沖股份類別」。貨幣對沖股份類別的目的是透過降低本基金基準貨幣（即美元）與相關發售貨幣之間匯率波動的影響，並計及交易成本等實際考量因素，為投資者提供與本基金基準貨幣回報率更具相關性的回報率。</w:t>
      </w:r>
      <w:r>
        <w:rPr>
          <w:rFonts w:ascii="Arial" w:eastAsia="Arial" w:hAnsi="Arial" w:cs="Arial"/>
        </w:rPr>
        <w:t xml:space="preserve"> </w:t>
      </w:r>
    </w:p>
    <w:p w:rsidR="004D6F0E" w:rsidRDefault="00490F21">
      <w:pPr>
        <w:spacing w:after="100"/>
        <w:ind w:left="491" w:right="2"/>
      </w:pPr>
      <w:r>
        <w:t>採用的對沖策略在設計上是爲了降低（但未必消除）本基金基準貨幣和發售貨幣之間的貨幣風險。</w:t>
      </w:r>
      <w:r>
        <w:rPr>
          <w:rFonts w:ascii="Arial" w:eastAsia="Arial" w:hAnsi="Arial" w:cs="Arial"/>
        </w:rPr>
        <w:t xml:space="preserve"> </w:t>
      </w:r>
    </w:p>
    <w:p w:rsidR="004D6F0E" w:rsidRDefault="00490F21">
      <w:pPr>
        <w:spacing w:after="202"/>
        <w:ind w:left="491" w:right="2"/>
      </w:pPr>
      <w:r>
        <w:t>貨幣對沖股份類別並不影響本基金所屬資產的投資管理，因為用發售貨幣對沖的只是貨幣對沖股份類別的資產淨值</w:t>
      </w:r>
      <w:r>
        <w:t>，而非本基金所屬資產。此類對沖活動引起的開支由引起該項開支的貨幣對沖股份類別承擔。</w:t>
      </w:r>
      <w:r>
        <w:rPr>
          <w:rFonts w:ascii="Arial" w:eastAsia="Arial" w:hAnsi="Arial" w:cs="Arial"/>
        </w:rPr>
        <w:t xml:space="preserve"> </w:t>
      </w:r>
    </w:p>
    <w:p w:rsidR="004D6F0E" w:rsidRDefault="00490F21">
      <w:pPr>
        <w:spacing w:after="105"/>
        <w:ind w:left="491" w:right="2"/>
      </w:pPr>
      <w:r>
        <w:t>欲進一步了解股份類別對沖詳情，請參閱第</w:t>
      </w:r>
      <w:r>
        <w:t xml:space="preserve"> </w:t>
      </w:r>
      <w:r>
        <w:rPr>
          <w:rFonts w:ascii="Arial" w:eastAsia="Arial" w:hAnsi="Arial" w:cs="Arial"/>
        </w:rPr>
        <w:t xml:space="preserve">II </w:t>
      </w:r>
      <w:r>
        <w:t>部分「如何購買股份</w:t>
      </w:r>
      <w:r>
        <w:rPr>
          <w:rFonts w:ascii="Arial" w:eastAsia="Arial" w:hAnsi="Arial" w:cs="Arial"/>
        </w:rPr>
        <w:t xml:space="preserve"> – </w:t>
      </w:r>
      <w:r>
        <w:t>貨幣對沖股份類別」。</w:t>
      </w:r>
      <w:r>
        <w:rPr>
          <w:rFonts w:ascii="Arial" w:eastAsia="Arial" w:hAnsi="Arial" w:cs="Arial"/>
        </w:rPr>
        <w:t xml:space="preserve"> </w:t>
      </w:r>
    </w:p>
    <w:p w:rsidR="004D6F0E" w:rsidRDefault="00490F21">
      <w:pPr>
        <w:ind w:left="491" w:right="2"/>
      </w:pPr>
      <w:r>
        <w:t>負責任投資。本基金整合</w:t>
      </w:r>
      <w:r>
        <w:t xml:space="preserve"> </w:t>
      </w:r>
      <w:r>
        <w:rPr>
          <w:rFonts w:ascii="Arial" w:eastAsia="Arial" w:hAnsi="Arial" w:cs="Arial"/>
        </w:rPr>
        <w:t xml:space="preserve">ESG </w:t>
      </w:r>
      <w:r>
        <w:t>考慮因素。本基金應用若干排除</w:t>
      </w:r>
      <w:r>
        <w:t xml:space="preserve"> </w:t>
      </w:r>
      <w:r>
        <w:t>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45">
        <w:r>
          <w:rPr>
            <w:rFonts w:ascii="Arial" w:eastAsia="Arial" w:hAnsi="Arial" w:cs="Arial"/>
            <w:color w:val="0000FF"/>
            <w:u w:val="single" w:color="0000FF"/>
          </w:rPr>
          <w:t>www.alliancebernstein.com</w:t>
        </w:r>
      </w:hyperlink>
    </w:p>
    <w:p w:rsidR="004D6F0E" w:rsidRDefault="00490F21">
      <w:pPr>
        <w:spacing w:after="122" w:line="254" w:lineRule="auto"/>
        <w:ind w:left="492" w:hanging="10"/>
      </w:pPr>
      <w:hyperlink r:id="rId46">
        <w:r>
          <w:rPr>
            <w:rFonts w:ascii="Arial" w:eastAsia="Arial" w:hAnsi="Arial" w:cs="Arial"/>
            <w:color w:val="0000FF"/>
            <w:u w:val="single" w:color="0000FF"/>
          </w:rPr>
          <w:t>/go/ABFCPIExclusionChart</w:t>
        </w:r>
      </w:hyperlink>
      <w:hyperlink r:id="rId47">
        <w:r>
          <w:t>。</w:t>
        </w:r>
      </w:hyperlink>
      <w:r>
        <w:rPr>
          <w:rFonts w:ascii="Arial" w:eastAsia="Arial" w:hAnsi="Arial" w:cs="Arial"/>
        </w:rPr>
        <w:t xml:space="preserve"> </w:t>
      </w:r>
    </w:p>
    <w:p w:rsidR="004D6F0E" w:rsidRDefault="00490F21">
      <w:pPr>
        <w:spacing w:after="99"/>
        <w:ind w:left="49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SFD</w:t>
      </w:r>
      <w:r>
        <w:rPr>
          <w:rFonts w:ascii="Arial" w:eastAsia="Arial" w:hAnsi="Arial" w:cs="Arial"/>
        </w:rPr>
        <w:t xml:space="preserve">R </w:t>
      </w:r>
      <w:r>
        <w:t>訂約前披露」）。</w:t>
      </w:r>
      <w:r>
        <w:rPr>
          <w:rFonts w:ascii="Arial" w:eastAsia="Arial" w:hAnsi="Arial" w:cs="Arial"/>
        </w:rPr>
        <w:t xml:space="preserve"> </w:t>
      </w:r>
    </w:p>
    <w:p w:rsidR="004D6F0E" w:rsidRDefault="00490F21">
      <w:pPr>
        <w:spacing w:after="103" w:line="259" w:lineRule="auto"/>
        <w:ind w:left="0" w:firstLine="0"/>
      </w:pP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rsidR="004D6F0E" w:rsidRDefault="004D6F0E">
      <w:pPr>
        <w:sectPr w:rsidR="004D6F0E">
          <w:headerReference w:type="even" r:id="rId48"/>
          <w:headerReference w:type="default" r:id="rId49"/>
          <w:footerReference w:type="even" r:id="rId50"/>
          <w:footerReference w:type="default" r:id="rId51"/>
          <w:headerReference w:type="first" r:id="rId52"/>
          <w:footerReference w:type="first" r:id="rId53"/>
          <w:pgSz w:w="12240" w:h="15840"/>
          <w:pgMar w:top="1440" w:right="630" w:bottom="1440" w:left="432" w:header="746" w:footer="354" w:gutter="0"/>
          <w:cols w:num="2" w:space="554"/>
        </w:sectPr>
      </w:pPr>
    </w:p>
    <w:p w:rsidR="004D6F0E" w:rsidRDefault="00490F21">
      <w:pPr>
        <w:spacing w:after="10" w:line="259" w:lineRule="auto"/>
        <w:ind w:left="0" w:firstLine="0"/>
        <w:jc w:val="right"/>
      </w:pPr>
      <w:r>
        <w:rPr>
          <w:sz w:val="18"/>
        </w:rPr>
        <w:lastRenderedPageBreak/>
        <w:t xml:space="preserve"> </w:t>
      </w:r>
    </w:p>
    <w:p w:rsidR="004D6F0E" w:rsidRDefault="00490F21">
      <w:pPr>
        <w:pStyle w:val="Heading3"/>
        <w:spacing w:after="0" w:line="476" w:lineRule="auto"/>
        <w:ind w:left="4" w:firstLine="11088"/>
      </w:pPr>
      <w:r>
        <w:rPr>
          <w:sz w:val="18"/>
        </w:rPr>
        <w:t xml:space="preserve"> </w:t>
      </w:r>
      <w:r>
        <w:t>摘要資料</w:t>
      </w:r>
      <w:r>
        <w:rPr>
          <w:rFonts w:ascii="Arial" w:eastAsia="Arial" w:hAnsi="Arial" w:cs="Arial"/>
        </w:rPr>
        <w:t xml:space="preserve"> </w:t>
      </w:r>
    </w:p>
    <w:p w:rsidR="004D6F0E" w:rsidRDefault="00490F21">
      <w:pPr>
        <w:spacing w:after="0" w:line="259" w:lineRule="auto"/>
        <w:ind w:left="-7" w:right="-90" w:firstLine="0"/>
      </w:pPr>
      <w:r>
        <w:rPr>
          <w:rFonts w:ascii="Calibri" w:eastAsia="Calibri" w:hAnsi="Calibri" w:cs="Calibri"/>
          <w:noProof/>
          <w:sz w:val="22"/>
        </w:rPr>
        <mc:AlternateContent>
          <mc:Choice Requires="wpg">
            <w:drawing>
              <wp:inline distT="0" distB="0" distL="0" distR="0">
                <wp:extent cx="7159752" cy="18288"/>
                <wp:effectExtent l="0" t="0" r="0" b="0"/>
                <wp:docPr id="425602" name="Group 425602"/>
                <wp:cNvGraphicFramePr/>
                <a:graphic xmlns:a="http://schemas.openxmlformats.org/drawingml/2006/main">
                  <a:graphicData uri="http://schemas.microsoft.com/office/word/2010/wordprocessingGroup">
                    <wpg:wgp>
                      <wpg:cNvGrpSpPr/>
                      <wpg:grpSpPr>
                        <a:xfrm>
                          <a:off x="0" y="0"/>
                          <a:ext cx="7159752" cy="18288"/>
                          <a:chOff x="0" y="0"/>
                          <a:chExt cx="7159752" cy="18288"/>
                        </a:xfrm>
                      </wpg:grpSpPr>
                      <wps:wsp>
                        <wps:cNvPr id="657775" name="Shape 657775"/>
                        <wps:cNvSpPr/>
                        <wps:spPr>
                          <a:xfrm>
                            <a:off x="0" y="0"/>
                            <a:ext cx="7159752" cy="18288"/>
                          </a:xfrm>
                          <a:custGeom>
                            <a:avLst/>
                            <a:gdLst/>
                            <a:ahLst/>
                            <a:cxnLst/>
                            <a:rect l="0" t="0" r="0" b="0"/>
                            <a:pathLst>
                              <a:path w="7159752" h="18288">
                                <a:moveTo>
                                  <a:pt x="0" y="0"/>
                                </a:moveTo>
                                <a:lnTo>
                                  <a:pt x="7159752" y="0"/>
                                </a:lnTo>
                                <a:lnTo>
                                  <a:pt x="71597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5602" style="width:563.76pt;height:1.44pt;mso-position-horizontal-relative:char;mso-position-vertical-relative:line" coordsize="71597,182">
                <v:shape id="Shape 657776" style="position:absolute;width:71597;height:182;left:0;top:0;" coordsize="7159752,18288" path="m0,0l7159752,0l7159752,18288l0,18288l0,0">
                  <v:stroke weight="0pt" endcap="flat" joinstyle="miter" miterlimit="10" on="false" color="#000000" opacity="0"/>
                  <v:fill on="true" color="#000000"/>
                </v:shape>
              </v:group>
            </w:pict>
          </mc:Fallback>
        </mc:AlternateContent>
      </w:r>
    </w:p>
    <w:p w:rsidR="004D6F0E" w:rsidRDefault="004D6F0E">
      <w:pPr>
        <w:sectPr w:rsidR="004D6F0E">
          <w:headerReference w:type="even" r:id="rId54"/>
          <w:headerReference w:type="default" r:id="rId55"/>
          <w:footerReference w:type="even" r:id="rId56"/>
          <w:footerReference w:type="default" r:id="rId57"/>
          <w:headerReference w:type="first" r:id="rId58"/>
          <w:footerReference w:type="first" r:id="rId59"/>
          <w:pgSz w:w="12240" w:h="15840"/>
          <w:pgMar w:top="746" w:right="630" w:bottom="1046" w:left="432" w:header="746" w:footer="354" w:gutter="0"/>
          <w:cols w:space="720"/>
        </w:sectPr>
      </w:pPr>
    </w:p>
    <w:p w:rsidR="004D6F0E" w:rsidRDefault="00490F21">
      <w:pPr>
        <w:spacing w:after="71" w:line="430" w:lineRule="auto"/>
        <w:ind w:left="8" w:right="13" w:hanging="10"/>
      </w:pPr>
      <w:r>
        <w:t>基金特色</w:t>
      </w:r>
      <w:r>
        <w:rPr>
          <w:sz w:val="18"/>
        </w:rPr>
        <w:t>基金貨幣資產淨值計算</w:t>
      </w:r>
      <w:r>
        <w:rPr>
          <w:rFonts w:ascii="Arial" w:eastAsia="Arial" w:hAnsi="Arial" w:cs="Arial"/>
          <w:sz w:val="18"/>
        </w:rPr>
        <w:t xml:space="preserve"> </w:t>
      </w:r>
    </w:p>
    <w:p w:rsidR="004D6F0E" w:rsidRDefault="00490F21">
      <w:pPr>
        <w:ind w:left="8" w:right="13" w:hanging="10"/>
      </w:pPr>
      <w:r>
        <w:rPr>
          <w:sz w:val="18"/>
        </w:rPr>
        <w:t>資產淨值公佈</w:t>
      </w:r>
      <w:r>
        <w:rPr>
          <w:rFonts w:ascii="Arial" w:eastAsia="Arial" w:hAnsi="Arial" w:cs="Arial"/>
          <w:sz w:val="18"/>
        </w:rPr>
        <w:t xml:space="preserve"> </w:t>
      </w:r>
    </w:p>
    <w:p w:rsidR="004D6F0E" w:rsidRDefault="00490F21">
      <w:pPr>
        <w:spacing w:after="43" w:line="254" w:lineRule="auto"/>
        <w:ind w:left="8" w:right="360" w:hanging="10"/>
      </w:pPr>
      <w:r>
        <w:rPr>
          <w:rFonts w:ascii="Arial" w:eastAsia="Arial" w:hAnsi="Arial" w:cs="Arial"/>
          <w:sz w:val="18"/>
        </w:rPr>
        <w:t xml:space="preserve"> </w:t>
      </w:r>
      <w:r>
        <w:rPr>
          <w:sz w:val="18"/>
        </w:rPr>
        <w:t>截止時間美元</w:t>
      </w:r>
      <w:r>
        <w:rPr>
          <w:rFonts w:ascii="Arial" w:eastAsia="Arial" w:hAnsi="Arial" w:cs="Arial"/>
          <w:sz w:val="18"/>
        </w:rPr>
        <w:t xml:space="preserve"> </w:t>
      </w:r>
      <w:r>
        <w:rPr>
          <w:rFonts w:ascii="Arial" w:eastAsia="Arial" w:hAnsi="Arial" w:cs="Arial"/>
          <w:sz w:val="18"/>
        </w:rPr>
        <w:tab/>
        <w:t xml:space="preserve"> </w:t>
      </w:r>
      <w:r>
        <w:rPr>
          <w:sz w:val="18"/>
        </w:rPr>
        <w:t>股份類別</w:t>
      </w:r>
      <w:r>
        <w:rPr>
          <w:sz w:val="18"/>
        </w:rPr>
        <w:t xml:space="preserve"> </w:t>
      </w:r>
      <w:r>
        <w:rPr>
          <w:rFonts w:ascii="Arial" w:eastAsia="Arial" w:hAnsi="Arial" w:cs="Arial"/>
          <w:sz w:val="18"/>
        </w:rPr>
        <w:t xml:space="preserve"> </w:t>
      </w:r>
      <w:r>
        <w:rPr>
          <w:rFonts w:ascii="Arial" w:eastAsia="Arial" w:hAnsi="Arial" w:cs="Arial"/>
          <w:sz w:val="18"/>
        </w:rPr>
        <w:tab/>
      </w:r>
      <w:r>
        <w:rPr>
          <w:sz w:val="18"/>
        </w:rPr>
        <w:t>名稱每個營業日</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sz w:val="18"/>
        </w:rPr>
        <w:t>可在</w:t>
      </w:r>
      <w:r>
        <w:rPr>
          <w:sz w:val="18"/>
        </w:rPr>
        <w:t xml:space="preserve"> </w:t>
      </w:r>
      <w:hyperlink r:id="rId60">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61">
        <w:r>
          <w:rPr>
            <w:sz w:val="18"/>
          </w:rPr>
          <w:t>查</w:t>
        </w:r>
      </w:hyperlink>
      <w:r>
        <w:rPr>
          <w:sz w:val="18"/>
        </w:rPr>
        <w:t>閱</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tabs>
          <w:tab w:val="center" w:pos="5176"/>
        </w:tabs>
        <w:ind w:left="0" w:firstLine="0"/>
      </w:pPr>
      <w:r>
        <w:t>美元計價股份類別、歐元計價股份類別、英鎊計價股</w:t>
      </w:r>
      <w:r>
        <w:tab/>
      </w:r>
      <w:r>
        <w:rPr>
          <w:sz w:val="18"/>
        </w:rPr>
        <w:t>派息</w:t>
      </w:r>
      <w:r>
        <w:rPr>
          <w:rFonts w:ascii="Arial" w:eastAsia="Arial" w:hAnsi="Arial" w:cs="Arial"/>
          <w:sz w:val="18"/>
        </w:rPr>
        <w:t xml:space="preserve">* </w:t>
      </w:r>
    </w:p>
    <w:p w:rsidR="004D6F0E" w:rsidRDefault="00490F21">
      <w:pPr>
        <w:spacing w:after="31"/>
        <w:ind w:left="11" w:right="2"/>
      </w:pPr>
      <w:r>
        <w:t>份類別、港元計價股份類別及新加坡元計價股份類別</w:t>
      </w:r>
      <w:r>
        <w:rPr>
          <w:rFonts w:ascii="Arial" w:eastAsia="Arial" w:hAnsi="Arial" w:cs="Arial"/>
          <w:i/>
          <w:sz w:val="18"/>
        </w:rPr>
        <w:t xml:space="preserve"> </w:t>
      </w:r>
      <w:r>
        <w:rPr>
          <w:rFonts w:ascii="Arial" w:eastAsia="Arial" w:hAnsi="Arial" w:cs="Arial"/>
          <w:i/>
          <w:sz w:val="18"/>
        </w:rPr>
        <w:tab/>
        <w:t xml:space="preserve"> </w:t>
      </w:r>
      <w:r>
        <w:rPr>
          <w:sz w:val="18"/>
        </w:rPr>
        <w:t>美國東部時間各營業日下午</w:t>
      </w:r>
      <w:r>
        <w:rPr>
          <w:sz w:val="18"/>
        </w:rPr>
        <w:t xml:space="preserve"> </w:t>
      </w:r>
      <w:r>
        <w:rPr>
          <w:rFonts w:ascii="Arial" w:eastAsia="Arial" w:hAnsi="Arial" w:cs="Arial"/>
          <w:sz w:val="18"/>
        </w:rPr>
        <w:t xml:space="preserve">4:00 </w:t>
      </w:r>
    </w:p>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202"/>
        <w:ind w:left="8" w:right="2163" w:hanging="10"/>
      </w:pPr>
      <w:r>
        <w:t>貨幣對沖股份類別</w:t>
      </w:r>
      <w:r>
        <w:rPr>
          <w:sz w:val="18"/>
        </w:rPr>
        <w:t>歐洲中部時間各營業日下午</w:t>
      </w:r>
      <w:r>
        <w:rPr>
          <w:sz w:val="18"/>
        </w:rPr>
        <w:t xml:space="preserve"> </w:t>
      </w:r>
      <w:r>
        <w:rPr>
          <w:rFonts w:ascii="Arial" w:eastAsia="Arial" w:hAnsi="Arial" w:cs="Arial"/>
          <w:sz w:val="18"/>
        </w:rPr>
        <w:t xml:space="preserve">6:00 </w:t>
      </w: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w:t>
      </w:r>
      <w:r>
        <w:rPr>
          <w:rFonts w:ascii="Arial" w:eastAsia="Arial" w:hAnsi="Arial" w:cs="Arial"/>
          <w:sz w:val="18"/>
        </w:rPr>
        <w:t xml:space="preserve">– </w:t>
      </w:r>
      <w:r>
        <w:rPr>
          <w:sz w:val="18"/>
        </w:rPr>
        <w:t>貨幣對沖股份類別」和「風險因素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p w:rsidR="004D6F0E" w:rsidRDefault="00490F21">
      <w:pPr>
        <w:spacing w:after="203"/>
        <w:ind w:left="8" w:right="13" w:hanging="10"/>
      </w:pPr>
      <w:r>
        <w:rPr>
          <w:sz w:val="18"/>
        </w:rPr>
        <w:t>無。見下文「派息」。</w:t>
      </w:r>
      <w:r>
        <w:rPr>
          <w:rFonts w:ascii="Arial" w:eastAsia="Arial" w:hAnsi="Arial" w:cs="Arial"/>
          <w:sz w:val="18"/>
        </w:rPr>
        <w:t xml:space="preserve"> </w:t>
      </w:r>
    </w:p>
    <w:p w:rsidR="004D6F0E" w:rsidRDefault="00490F21">
      <w:pPr>
        <w:ind w:left="8" w:right="13" w:hanging="10"/>
      </w:pPr>
      <w:r>
        <w:rPr>
          <w:rFonts w:ascii="Arial" w:eastAsia="Arial" w:hAnsi="Arial" w:cs="Arial"/>
          <w:sz w:val="18"/>
        </w:rPr>
        <w:t>*</w:t>
      </w:r>
      <w:r>
        <w:rPr>
          <w:sz w:val="18"/>
        </w:rPr>
        <w:t>包括對沖股份類別</w:t>
      </w:r>
      <w:r>
        <w:rPr>
          <w:rFonts w:ascii="Arial" w:eastAsia="Arial" w:hAnsi="Arial" w:cs="Arial"/>
          <w:sz w:val="18"/>
        </w:rPr>
        <w:t xml:space="preserve"> </w:t>
      </w:r>
    </w:p>
    <w:p w:rsidR="004D6F0E" w:rsidRDefault="004D6F0E">
      <w:pPr>
        <w:sectPr w:rsidR="004D6F0E">
          <w:type w:val="continuous"/>
          <w:pgSz w:w="12240" w:h="15840"/>
          <w:pgMar w:top="1440" w:right="648" w:bottom="1440" w:left="533" w:header="720" w:footer="720" w:gutter="0"/>
          <w:cols w:num="3" w:space="720" w:equalWidth="0">
            <w:col w:w="1130" w:space="953"/>
            <w:col w:w="5825" w:space="216"/>
            <w:col w:w="2935"/>
          </w:cols>
        </w:sectPr>
      </w:pPr>
    </w:p>
    <w:p w:rsidR="004D6F0E" w:rsidRDefault="00490F21">
      <w:pPr>
        <w:spacing w:after="58" w:line="259" w:lineRule="auto"/>
        <w:ind w:left="-115" w:right="-76" w:firstLine="0"/>
      </w:pPr>
      <w:r>
        <w:rPr>
          <w:rFonts w:ascii="Calibri" w:eastAsia="Calibri" w:hAnsi="Calibri" w:cs="Calibri"/>
          <w:noProof/>
          <w:sz w:val="22"/>
        </w:rPr>
        <mc:AlternateContent>
          <mc:Choice Requires="wpg">
            <w:drawing>
              <wp:inline distT="0" distB="0" distL="0" distR="0">
                <wp:extent cx="7159752" cy="323088"/>
                <wp:effectExtent l="0" t="0" r="0" b="0"/>
                <wp:docPr id="425603" name="Group 425603"/>
                <wp:cNvGraphicFramePr/>
                <a:graphic xmlns:a="http://schemas.openxmlformats.org/drawingml/2006/main">
                  <a:graphicData uri="http://schemas.microsoft.com/office/word/2010/wordprocessingGroup">
                    <wpg:wgp>
                      <wpg:cNvGrpSpPr/>
                      <wpg:grpSpPr>
                        <a:xfrm>
                          <a:off x="0" y="0"/>
                          <a:ext cx="7159752" cy="323088"/>
                          <a:chOff x="0" y="0"/>
                          <a:chExt cx="7159752" cy="323088"/>
                        </a:xfrm>
                      </wpg:grpSpPr>
                      <wps:wsp>
                        <wps:cNvPr id="7163" name="Rectangle 7163"/>
                        <wps:cNvSpPr/>
                        <wps:spPr>
                          <a:xfrm>
                            <a:off x="73152" y="24295"/>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7164" name="Rectangle 7164"/>
                        <wps:cNvSpPr/>
                        <wps:spPr>
                          <a:xfrm>
                            <a:off x="1132332" y="22248"/>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7165" name="Rectangle 7165"/>
                        <wps:cNvSpPr/>
                        <wps:spPr>
                          <a:xfrm>
                            <a:off x="1173480" y="22248"/>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779" name="Shape 657779"/>
                        <wps:cNvSpPr/>
                        <wps:spPr>
                          <a:xfrm>
                            <a:off x="0" y="0"/>
                            <a:ext cx="7159752" cy="9144"/>
                          </a:xfrm>
                          <a:custGeom>
                            <a:avLst/>
                            <a:gdLst/>
                            <a:ahLst/>
                            <a:cxnLst/>
                            <a:rect l="0" t="0" r="0" b="0"/>
                            <a:pathLst>
                              <a:path w="7159752" h="9144">
                                <a:moveTo>
                                  <a:pt x="0" y="0"/>
                                </a:moveTo>
                                <a:lnTo>
                                  <a:pt x="7159752" y="0"/>
                                </a:lnTo>
                                <a:lnTo>
                                  <a:pt x="7159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Rectangle 7167"/>
                        <wps:cNvSpPr/>
                        <wps:spPr>
                          <a:xfrm>
                            <a:off x="73152" y="212442"/>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7168" name="Rectangle 7168"/>
                        <wps:cNvSpPr/>
                        <wps:spPr>
                          <a:xfrm>
                            <a:off x="2456688" y="173646"/>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7169" name="Rectangle 7169"/>
                        <wps:cNvSpPr/>
                        <wps:spPr>
                          <a:xfrm>
                            <a:off x="3058668" y="171600"/>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7170" name="Rectangle 7170"/>
                        <wps:cNvSpPr/>
                        <wps:spPr>
                          <a:xfrm>
                            <a:off x="3099816" y="171600"/>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782" name="Shape 657782"/>
                        <wps:cNvSpPr/>
                        <wps:spPr>
                          <a:xfrm>
                            <a:off x="2261616" y="316979"/>
                            <a:ext cx="1033272" cy="9144"/>
                          </a:xfrm>
                          <a:custGeom>
                            <a:avLst/>
                            <a:gdLst/>
                            <a:ahLst/>
                            <a:cxnLst/>
                            <a:rect l="0" t="0" r="0" b="0"/>
                            <a:pathLst>
                              <a:path w="1033272" h="9144">
                                <a:moveTo>
                                  <a:pt x="0" y="0"/>
                                </a:moveTo>
                                <a:lnTo>
                                  <a:pt x="1033272" y="0"/>
                                </a:lnTo>
                                <a:lnTo>
                                  <a:pt x="1033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2" name="Rectangle 7172"/>
                        <wps:cNvSpPr/>
                        <wps:spPr>
                          <a:xfrm>
                            <a:off x="3752088" y="173646"/>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7173" name="Rectangle 7173"/>
                        <wps:cNvSpPr/>
                        <wps:spPr>
                          <a:xfrm>
                            <a:off x="4125468" y="171600"/>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7174" name="Rectangle 7174"/>
                        <wps:cNvSpPr/>
                        <wps:spPr>
                          <a:xfrm>
                            <a:off x="4166616" y="171600"/>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785" name="Shape 657785"/>
                        <wps:cNvSpPr/>
                        <wps:spPr>
                          <a:xfrm>
                            <a:off x="3404616" y="316979"/>
                            <a:ext cx="1109459" cy="9144"/>
                          </a:xfrm>
                          <a:custGeom>
                            <a:avLst/>
                            <a:gdLst/>
                            <a:ahLst/>
                            <a:cxnLst/>
                            <a:rect l="0" t="0" r="0" b="0"/>
                            <a:pathLst>
                              <a:path w="1109459" h="9144">
                                <a:moveTo>
                                  <a:pt x="0" y="0"/>
                                </a:moveTo>
                                <a:lnTo>
                                  <a:pt x="1109459" y="0"/>
                                </a:lnTo>
                                <a:lnTo>
                                  <a:pt x="11094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6" name="Rectangle 7176"/>
                        <wps:cNvSpPr/>
                        <wps:spPr>
                          <a:xfrm>
                            <a:off x="4940808" y="173646"/>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7177" name="Rectangle 7177"/>
                        <wps:cNvSpPr/>
                        <wps:spPr>
                          <a:xfrm>
                            <a:off x="5314188" y="171600"/>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7178" name="Rectangle 7178"/>
                        <wps:cNvSpPr/>
                        <wps:spPr>
                          <a:xfrm>
                            <a:off x="5355337" y="181962"/>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788" name="Shape 657788"/>
                        <wps:cNvSpPr/>
                        <wps:spPr>
                          <a:xfrm>
                            <a:off x="4623816" y="316979"/>
                            <a:ext cx="1050036" cy="9144"/>
                          </a:xfrm>
                          <a:custGeom>
                            <a:avLst/>
                            <a:gdLst/>
                            <a:ahLst/>
                            <a:cxnLst/>
                            <a:rect l="0" t="0" r="0" b="0"/>
                            <a:pathLst>
                              <a:path w="1050036" h="9144">
                                <a:moveTo>
                                  <a:pt x="0" y="0"/>
                                </a:moveTo>
                                <a:lnTo>
                                  <a:pt x="1050036" y="0"/>
                                </a:lnTo>
                                <a:lnTo>
                                  <a:pt x="10500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Rectangle 7180"/>
                        <wps:cNvSpPr/>
                        <wps:spPr>
                          <a:xfrm>
                            <a:off x="6009132" y="173646"/>
                            <a:ext cx="1064133"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7181" name="Rectangle 7181"/>
                        <wps:cNvSpPr/>
                        <wps:spPr>
                          <a:xfrm>
                            <a:off x="6839712" y="171600"/>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7182" name="Rectangle 7182"/>
                        <wps:cNvSpPr/>
                        <wps:spPr>
                          <a:xfrm>
                            <a:off x="6880860" y="181962"/>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791" name="Shape 657791"/>
                        <wps:cNvSpPr/>
                        <wps:spPr>
                          <a:xfrm>
                            <a:off x="5783581" y="316979"/>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25603" o:spid="_x0000_s1075" style="width:563.75pt;height:25.45pt;mso-position-horizontal-relative:char;mso-position-vertical-relative:line" coordsize="71597,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">
                <v:rect id="Rectangle 7163" o:spid="_x0000_s1076" style="position:absolute;left:731;top:242;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7164" o:spid="_x0000_s1077" style="position:absolute;left:11323;top:222;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yVxgAAAN0AAAAPAAAAZHJzL2Rvd25yZXYueG1sRI9Li8JA&#10;EITvwv6HoRe86UQR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j3q8lc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7165" o:spid="_x0000_s1078" style="position:absolute;left:11734;top:222;width:28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779" o:spid="_x0000_s1079" style="position:absolute;width:71597;height:91;visibility:visible;mso-wrap-style:square;v-text-anchor:top" coordsize="71597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" path="m,l7159752,r,9144l,9144,,e" fillcolor="black" stroked="f" strokeweight="0">
                  <v:stroke miterlimit="83231f" joinstyle="miter"/>
                  <v:path arrowok="t" textboxrect="0,0,7159752,9144"/>
                </v:shape>
                <v:rect id="Rectangle 7167" o:spid="_x0000_s1080" style="position:absolute;left:731;top:2124;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i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uDITzfhCcgZw8AAAD//wMAUEsBAi0AFAAGAAgAAAAhANvh9svuAAAAhQEAABMAAAAAAAAA&#10;AAAAAAAAAAAAAFtDb250ZW50X1R5cGVzXS54bWxQSwECLQAUAAYACAAAACEAWvQsW78AAAAVAQAA&#10;CwAAAAAAAAAAAAAAAAAfAQAAX3JlbHMvLnJlbHNQSwECLQAUAAYACAAAACEAf6gi4s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rect id="Rectangle 7168" o:spid="_x0000_s1081" style="position:absolute;left:24566;top:1736;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" filled="f" stroked="f">
                  <v:textbox inset="0,0,0,0">
                    <w:txbxContent>
                      <w:p w:rsidR="004D6F0E" w:rsidRDefault="00490F21">
                        <w:pPr>
                          <w:spacing w:after="160" w:line="259" w:lineRule="auto"/>
                          <w:ind w:left="0" w:firstLine="0"/>
                        </w:pPr>
                        <w:r>
                          <w:rPr>
                            <w:sz w:val="18"/>
                          </w:rPr>
                          <w:t>首次銷售費</w:t>
                        </w:r>
                      </w:p>
                    </w:txbxContent>
                  </v:textbox>
                </v:rect>
                <v:rect id="Rectangle 7169" o:spid="_x0000_s1082" style="position:absolute;left:30586;top:1716;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7170" o:spid="_x0000_s1083" style="position:absolute;left:30998;top:1716;width:281;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782" o:spid="_x0000_s1084" style="position:absolute;left:22616;top:3169;width:10332;height:92;visibility:visible;mso-wrap-style:square;v-text-anchor:top" coordsize="10332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" path="m,l1033272,r,9144l,9144,,e" fillcolor="black" stroked="f" strokeweight="0">
                  <v:stroke miterlimit="83231f" joinstyle="miter"/>
                  <v:path arrowok="t" textboxrect="0,0,1033272,9144"/>
                </v:shape>
                <v:rect id="Rectangle 7172" o:spid="_x0000_s1085" style="position:absolute;left:37520;top:1736;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管理費</w:t>
                        </w:r>
                      </w:p>
                    </w:txbxContent>
                  </v:textbox>
                </v:rect>
                <v:rect id="Rectangle 7173" o:spid="_x0000_s1086" style="position:absolute;left:41254;top:1716;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I8xwAAAN0AAAAPAAAAZHJzL2Rvd25yZXYueG1sRI9Ba8JA&#10;FITvBf/D8gq91Y0V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IVKsjz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7174" o:spid="_x0000_s1087" style="position:absolute;left:41666;top:1716;width:281;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pIxwAAAN0AAAAPAAAAZHJzL2Rvd25yZXYueG1sRI9Ba8JA&#10;FITvBf/D8gq91Y1F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AqjKkj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785" o:spid="_x0000_s1088" style="position:absolute;left:34046;top:3169;width:11094;height:92;visibility:visible;mso-wrap-style:square;v-text-anchor:top" coordsize="11094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" path="m,l1109459,r,9144l,9144,,e" fillcolor="black" stroked="f" strokeweight="0">
                  <v:stroke miterlimit="83231f" joinstyle="miter"/>
                  <v:path arrowok="t" textboxrect="0,0,1109459,9144"/>
                </v:shape>
                <v:rect id="Rectangle 7176" o:spid="_x0000_s1089" style="position:absolute;left:49408;top:1736;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k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HvDATzfhCcgZw8AAAD//wMAUEsBAi0AFAAGAAgAAAAhANvh9svuAAAAhQEAABMAAAAAAAAA&#10;AAAAAAAAAAAAAFtDb250ZW50X1R5cGVzXS54bWxQSwECLQAUAAYACAAAACEAWvQsW78AAAAVAQAA&#10;CwAAAAAAAAAAAAAAAAAfAQAAX3JlbHMvLnJlbHNQSwECLQAUAAYACAAAACEAlT0RpM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分銷費</w:t>
                        </w:r>
                      </w:p>
                    </w:txbxContent>
                  </v:textbox>
                </v:rect>
                <v:rect id="Rectangle 7177" o:spid="_x0000_s1090" style="position:absolute;left:53141;top:1716;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7178" o:spid="_x0000_s1091" style="position:absolute;left:53553;top:1819;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788" o:spid="_x0000_s1092" style="position:absolute;left:46238;top:3169;width:10500;height:92;visibility:visible;mso-wrap-style:square;v-text-anchor:top" coordsize="1050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" path="m,l1050036,r,9144l,9144,,e" fillcolor="black" stroked="f" strokeweight="0">
                  <v:stroke miterlimit="83231f" joinstyle="miter"/>
                  <v:path arrowok="t" textboxrect="0,0,1050036,9144"/>
                </v:shape>
                <v:rect id="Rectangle 7180" o:spid="_x0000_s1093" style="position:absolute;left:60091;top:1736;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" filled="f" stroked="f">
                  <v:textbox inset="0,0,0,0">
                    <w:txbxContent>
                      <w:p w:rsidR="004D6F0E" w:rsidRDefault="00490F21">
                        <w:pPr>
                          <w:spacing w:after="160" w:line="259" w:lineRule="auto"/>
                          <w:ind w:left="0" w:firstLine="0"/>
                        </w:pPr>
                        <w:r>
                          <w:rPr>
                            <w:sz w:val="18"/>
                          </w:rPr>
                          <w:t>或有遞延銷售費</w:t>
                        </w:r>
                      </w:p>
                    </w:txbxContent>
                  </v:textbox>
                </v:rect>
                <v:rect id="Rectangle 7181" o:spid="_x0000_s1094" style="position:absolute;left:68397;top:1716;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7182" o:spid="_x0000_s1095" style="position:absolute;left:68808;top:1819;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791" o:spid="_x0000_s1096" style="position:absolute;left:57835;top:3169;width:13229;height:92;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" path="m,l1322832,r,9144l,9144,,e" fillcolor="black" stroked="f" strokeweight="0">
                  <v:stroke miterlimit="83231f" joinstyle="miter"/>
                  <v:path arrowok="t" textboxrect="0,0,1322832,9144"/>
                </v:shape>
                <w10:anchorlock/>
              </v:group>
            </w:pict>
          </mc:Fallback>
        </mc:AlternateContent>
      </w:r>
    </w:p>
    <w:tbl>
      <w:tblPr>
        <w:tblStyle w:val="TableGrid"/>
        <w:tblW w:w="11275" w:type="dxa"/>
        <w:tblInd w:w="-115" w:type="dxa"/>
        <w:tblCellMar>
          <w:top w:w="27" w:type="dxa"/>
          <w:left w:w="0" w:type="dxa"/>
          <w:bottom w:w="0" w:type="dxa"/>
          <w:right w:w="188" w:type="dxa"/>
        </w:tblCellMar>
        <w:tblLook w:val="04A0" w:firstRow="1" w:lastRow="0" w:firstColumn="1" w:lastColumn="0" w:noHBand="0" w:noVBand="1"/>
      </w:tblPr>
      <w:tblGrid>
        <w:gridCol w:w="3829"/>
        <w:gridCol w:w="2150"/>
        <w:gridCol w:w="1874"/>
        <w:gridCol w:w="1574"/>
        <w:gridCol w:w="1848"/>
      </w:tblGrid>
      <w:tr w:rsidR="004D6F0E">
        <w:trPr>
          <w:trHeight w:val="293"/>
        </w:trPr>
        <w:tc>
          <w:tcPr>
            <w:tcW w:w="3828" w:type="dxa"/>
            <w:tcBorders>
              <w:top w:val="nil"/>
              <w:left w:val="nil"/>
              <w:bottom w:val="nil"/>
              <w:right w:val="nil"/>
            </w:tcBorders>
            <w:shd w:val="clear" w:color="auto" w:fill="D9D9D9"/>
          </w:tcPr>
          <w:p w:rsidR="004D6F0E" w:rsidRDefault="00490F21">
            <w:pPr>
              <w:tabs>
                <w:tab w:val="center" w:pos="3590"/>
              </w:tabs>
              <w:spacing w:after="0" w:line="259" w:lineRule="auto"/>
              <w:ind w:left="0" w:firstLine="0"/>
            </w:pPr>
            <w:r>
              <w:rPr>
                <w:sz w:val="18"/>
              </w:rPr>
              <w:t>美元計價股份類別</w:t>
            </w:r>
            <w:r>
              <w:rPr>
                <w:rFonts w:ascii="Arial" w:eastAsia="Arial" w:hAnsi="Arial" w:cs="Arial"/>
                <w:b/>
                <w:sz w:val="18"/>
              </w:rPr>
              <w:t xml:space="preserve"> </w:t>
            </w:r>
            <w:r>
              <w:rPr>
                <w:rFonts w:ascii="Arial" w:eastAsia="Arial" w:hAnsi="Arial" w:cs="Arial"/>
                <w:b/>
                <w:sz w:val="18"/>
              </w:rPr>
              <w:tab/>
              <w:t xml:space="preserve"> </w:t>
            </w:r>
          </w:p>
        </w:tc>
        <w:tc>
          <w:tcPr>
            <w:tcW w:w="2150" w:type="dxa"/>
            <w:tcBorders>
              <w:top w:val="nil"/>
              <w:left w:val="nil"/>
              <w:bottom w:val="nil"/>
              <w:right w:val="nil"/>
            </w:tcBorders>
            <w:shd w:val="clear" w:color="auto" w:fill="D9D9D9"/>
          </w:tcPr>
          <w:p w:rsidR="004D6F0E" w:rsidRDefault="00490F21">
            <w:pPr>
              <w:spacing w:after="0" w:line="259" w:lineRule="auto"/>
              <w:ind w:left="1212" w:firstLine="0"/>
              <w:jc w:val="center"/>
            </w:pPr>
            <w:r>
              <w:rPr>
                <w:rFonts w:ascii="Arial" w:eastAsia="Arial" w:hAnsi="Arial" w:cs="Arial"/>
                <w:b/>
                <w:sz w:val="18"/>
              </w:rPr>
              <w:t xml:space="preserve"> </w:t>
            </w:r>
          </w:p>
        </w:tc>
        <w:tc>
          <w:tcPr>
            <w:tcW w:w="1874" w:type="dxa"/>
            <w:tcBorders>
              <w:top w:val="nil"/>
              <w:left w:val="nil"/>
              <w:bottom w:val="nil"/>
              <w:right w:val="nil"/>
            </w:tcBorders>
            <w:shd w:val="clear" w:color="auto" w:fill="D9D9D9"/>
          </w:tcPr>
          <w:p w:rsidR="004D6F0E" w:rsidRDefault="00490F21">
            <w:pPr>
              <w:spacing w:after="0" w:line="259" w:lineRule="auto"/>
              <w:ind w:left="1027" w:firstLine="0"/>
              <w:jc w:val="center"/>
            </w:pPr>
            <w:r>
              <w:rPr>
                <w:rFonts w:ascii="Arial" w:eastAsia="Arial" w:hAnsi="Arial" w:cs="Arial"/>
                <w:b/>
                <w:sz w:val="18"/>
              </w:rPr>
              <w:t xml:space="preserve"> </w:t>
            </w:r>
          </w:p>
        </w:tc>
        <w:tc>
          <w:tcPr>
            <w:tcW w:w="1574" w:type="dxa"/>
            <w:tcBorders>
              <w:top w:val="nil"/>
              <w:left w:val="nil"/>
              <w:bottom w:val="nil"/>
              <w:right w:val="nil"/>
            </w:tcBorders>
            <w:shd w:val="clear" w:color="auto" w:fill="D9D9D9"/>
          </w:tcPr>
          <w:p w:rsidR="004D6F0E" w:rsidRDefault="00490F21">
            <w:pPr>
              <w:spacing w:after="0" w:line="259" w:lineRule="auto"/>
              <w:ind w:left="0" w:right="53" w:firstLine="0"/>
              <w:jc w:val="right"/>
            </w:pPr>
            <w:r>
              <w:rPr>
                <w:rFonts w:ascii="Arial" w:eastAsia="Arial" w:hAnsi="Arial" w:cs="Arial"/>
                <w:b/>
                <w:sz w:val="18"/>
              </w:rPr>
              <w:t xml:space="preserve"> </w:t>
            </w:r>
          </w:p>
        </w:tc>
        <w:tc>
          <w:tcPr>
            <w:tcW w:w="18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70"/>
        </w:trPr>
        <w:tc>
          <w:tcPr>
            <w:tcW w:w="382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18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1.60% </w:t>
            </w:r>
          </w:p>
        </w:tc>
        <w:tc>
          <w:tcPr>
            <w:tcW w:w="157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1223"/>
        </w:trPr>
        <w:tc>
          <w:tcPr>
            <w:tcW w:w="382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sz w:val="18"/>
              </w:rPr>
              <w:t xml:space="preserve"> </w:t>
            </w:r>
            <w:r>
              <w:rPr>
                <w:rFonts w:ascii="Arial" w:eastAsia="Arial" w:hAnsi="Arial" w:cs="Arial"/>
                <w:b/>
                <w:sz w:val="18"/>
                <w:vertAlign w:val="superscript"/>
              </w:rPr>
              <w:t>2*</w:t>
            </w:r>
            <w:r>
              <w:rPr>
                <w:rFonts w:ascii="Arial" w:eastAsia="Arial" w:hAnsi="Arial" w:cs="Arial"/>
                <w:sz w:val="18"/>
              </w:rPr>
              <w:t xml:space="preserve"> </w:t>
            </w:r>
          </w:p>
        </w:tc>
        <w:tc>
          <w:tcPr>
            <w:tcW w:w="2150"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87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1.60% </w:t>
            </w:r>
          </w:p>
        </w:tc>
        <w:tc>
          <w:tcPr>
            <w:tcW w:w="157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48" w:type="dxa"/>
            <w:tcBorders>
              <w:top w:val="nil"/>
              <w:left w:val="nil"/>
              <w:bottom w:val="nil"/>
              <w:right w:val="nil"/>
            </w:tcBorders>
          </w:tcPr>
          <w:p w:rsidR="004D6F0E" w:rsidRDefault="00490F21">
            <w:pPr>
              <w:spacing w:after="25"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=4.0% </w:t>
            </w:r>
          </w:p>
          <w:p w:rsidR="004D6F0E" w:rsidRDefault="00490F21">
            <w:pPr>
              <w:spacing w:after="0" w:line="284" w:lineRule="auto"/>
              <w:ind w:left="180" w:right="44" w:firstLine="0"/>
            </w:pPr>
            <w:r>
              <w:rPr>
                <w:rFonts w:ascii="Arial" w:eastAsia="Arial" w:hAnsi="Arial" w:cs="Arial"/>
                <w:sz w:val="18"/>
              </w:rPr>
              <w:t xml:space="preserve">1–2 </w:t>
            </w:r>
            <w:r>
              <w:rPr>
                <w:sz w:val="18"/>
              </w:rPr>
              <w:t>年</w:t>
            </w:r>
            <w:r>
              <w:rPr>
                <w:rFonts w:ascii="Arial" w:eastAsia="Arial" w:hAnsi="Arial" w:cs="Arial"/>
                <w:sz w:val="18"/>
              </w:rPr>
              <w:t xml:space="preserve">=3.0% 2–3 </w:t>
            </w:r>
            <w:r>
              <w:rPr>
                <w:sz w:val="18"/>
              </w:rPr>
              <w:t>年</w:t>
            </w:r>
            <w:r>
              <w:rPr>
                <w:rFonts w:ascii="Arial" w:eastAsia="Arial" w:hAnsi="Arial" w:cs="Arial"/>
                <w:sz w:val="18"/>
              </w:rPr>
              <w:t xml:space="preserve">=2.0% </w:t>
            </w:r>
          </w:p>
          <w:p w:rsidR="004D6F0E" w:rsidRDefault="00490F21">
            <w:pPr>
              <w:spacing w:after="17" w:line="259" w:lineRule="auto"/>
              <w:ind w:left="180" w:firstLine="0"/>
            </w:pPr>
            <w:r>
              <w:rPr>
                <w:rFonts w:ascii="Arial" w:eastAsia="Arial" w:hAnsi="Arial" w:cs="Arial"/>
                <w:sz w:val="18"/>
              </w:rPr>
              <w:t xml:space="preserve">3–4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4 </w:t>
            </w:r>
            <w:r>
              <w:rPr>
                <w:sz w:val="18"/>
              </w:rPr>
              <w:t>年以上</w:t>
            </w:r>
            <w:r>
              <w:rPr>
                <w:rFonts w:ascii="Arial" w:eastAsia="Arial" w:hAnsi="Arial" w:cs="Arial"/>
                <w:sz w:val="18"/>
              </w:rPr>
              <w:t xml:space="preserve">=0% </w:t>
            </w:r>
          </w:p>
        </w:tc>
      </w:tr>
      <w:tr w:rsidR="004D6F0E">
        <w:trPr>
          <w:trHeight w:val="524"/>
        </w:trPr>
        <w:tc>
          <w:tcPr>
            <w:tcW w:w="3828" w:type="dxa"/>
            <w:tcBorders>
              <w:top w:val="nil"/>
              <w:left w:val="nil"/>
              <w:bottom w:val="nil"/>
              <w:right w:val="nil"/>
            </w:tcBorders>
            <w:vAlign w:val="center"/>
          </w:tcPr>
          <w:p w:rsidR="004D6F0E" w:rsidRDefault="00490F21">
            <w:pPr>
              <w:spacing w:after="0" w:line="259" w:lineRule="auto"/>
              <w:ind w:left="116"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150"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87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2.05% </w:t>
            </w:r>
          </w:p>
        </w:tc>
        <w:tc>
          <w:tcPr>
            <w:tcW w:w="1574"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300"/>
        </w:trPr>
        <w:tc>
          <w:tcPr>
            <w:tcW w:w="382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18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0.80% </w:t>
            </w:r>
          </w:p>
        </w:tc>
        <w:tc>
          <w:tcPr>
            <w:tcW w:w="157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580"/>
        </w:trPr>
        <w:tc>
          <w:tcPr>
            <w:tcW w:w="3828" w:type="dxa"/>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6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1874"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0.70% </w:t>
            </w:r>
          </w:p>
          <w:p w:rsidR="004D6F0E" w:rsidRDefault="00490F21">
            <w:pPr>
              <w:spacing w:after="0" w:line="259" w:lineRule="auto"/>
              <w:ind w:left="257" w:firstLine="0"/>
            </w:pPr>
            <w:r>
              <w:rPr>
                <w:rFonts w:ascii="Arial" w:eastAsia="Arial" w:hAnsi="Arial" w:cs="Arial"/>
                <w:sz w:val="18"/>
              </w:rPr>
              <w:t xml:space="preserve"> </w:t>
            </w:r>
          </w:p>
        </w:tc>
        <w:tc>
          <w:tcPr>
            <w:tcW w:w="1574" w:type="dxa"/>
            <w:tcBorders>
              <w:top w:val="nil"/>
              <w:left w:val="nil"/>
              <w:bottom w:val="nil"/>
              <w:right w:val="nil"/>
            </w:tcBorders>
          </w:tcPr>
          <w:p w:rsidR="004D6F0E" w:rsidRDefault="00490F21">
            <w:pPr>
              <w:spacing w:after="6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5" w:firstLine="0"/>
            </w:pP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6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93"/>
        </w:trPr>
        <w:tc>
          <w:tcPr>
            <w:tcW w:w="3828"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150"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187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574" w:type="dxa"/>
            <w:tcBorders>
              <w:top w:val="nil"/>
              <w:left w:val="nil"/>
              <w:bottom w:val="nil"/>
              <w:right w:val="nil"/>
            </w:tcBorders>
            <w:shd w:val="clear" w:color="auto" w:fill="D9D9D9"/>
          </w:tcPr>
          <w:p w:rsidR="004D6F0E" w:rsidRDefault="00490F21">
            <w:pPr>
              <w:spacing w:after="0" w:line="259" w:lineRule="auto"/>
              <w:ind w:left="255" w:firstLine="0"/>
            </w:pPr>
            <w:r>
              <w:rPr>
                <w:rFonts w:ascii="Arial" w:eastAsia="Arial" w:hAnsi="Arial" w:cs="Arial"/>
                <w:sz w:val="18"/>
              </w:rPr>
              <w:t xml:space="preserve"> </w:t>
            </w:r>
          </w:p>
        </w:tc>
        <w:tc>
          <w:tcPr>
            <w:tcW w:w="1848"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267"/>
        </w:trPr>
        <w:tc>
          <w:tcPr>
            <w:tcW w:w="382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18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1.60% </w:t>
            </w:r>
          </w:p>
        </w:tc>
        <w:tc>
          <w:tcPr>
            <w:tcW w:w="157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520"/>
        </w:trPr>
        <w:tc>
          <w:tcPr>
            <w:tcW w:w="382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150"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87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2.05% </w:t>
            </w:r>
          </w:p>
        </w:tc>
        <w:tc>
          <w:tcPr>
            <w:tcW w:w="1574"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360" w:hanging="295"/>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98"/>
        </w:trPr>
        <w:tc>
          <w:tcPr>
            <w:tcW w:w="382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18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0.80% </w:t>
            </w:r>
          </w:p>
        </w:tc>
        <w:tc>
          <w:tcPr>
            <w:tcW w:w="157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582"/>
        </w:trPr>
        <w:tc>
          <w:tcPr>
            <w:tcW w:w="3828" w:type="dxa"/>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lastRenderedPageBreak/>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6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1874"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0.70% </w:t>
            </w:r>
          </w:p>
          <w:p w:rsidR="004D6F0E" w:rsidRDefault="00490F21">
            <w:pPr>
              <w:spacing w:after="0" w:line="259" w:lineRule="auto"/>
              <w:ind w:left="257" w:firstLine="0"/>
            </w:pPr>
            <w:r>
              <w:rPr>
                <w:rFonts w:ascii="Arial" w:eastAsia="Arial" w:hAnsi="Arial" w:cs="Arial"/>
                <w:sz w:val="18"/>
              </w:rPr>
              <w:t xml:space="preserve"> </w:t>
            </w:r>
          </w:p>
        </w:tc>
        <w:tc>
          <w:tcPr>
            <w:tcW w:w="1574" w:type="dxa"/>
            <w:tcBorders>
              <w:top w:val="nil"/>
              <w:left w:val="nil"/>
              <w:bottom w:val="nil"/>
              <w:right w:val="nil"/>
            </w:tcBorders>
          </w:tcPr>
          <w:p w:rsidR="004D6F0E" w:rsidRDefault="00490F21">
            <w:pPr>
              <w:spacing w:after="6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5" w:firstLine="0"/>
            </w:pP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6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90"/>
        </w:trPr>
        <w:tc>
          <w:tcPr>
            <w:tcW w:w="3828" w:type="dxa"/>
            <w:tcBorders>
              <w:top w:val="nil"/>
              <w:left w:val="nil"/>
              <w:bottom w:val="nil"/>
              <w:right w:val="nil"/>
            </w:tcBorders>
            <w:shd w:val="clear" w:color="auto" w:fill="D9D9D9"/>
          </w:tcPr>
          <w:p w:rsidR="004D6F0E" w:rsidRDefault="00490F21">
            <w:pPr>
              <w:tabs>
                <w:tab w:val="center" w:pos="3590"/>
              </w:tabs>
              <w:spacing w:after="0" w:line="259" w:lineRule="auto"/>
              <w:ind w:left="0" w:firstLine="0"/>
            </w:pPr>
            <w:r>
              <w:rPr>
                <w:sz w:val="18"/>
              </w:rPr>
              <w:t>港元計價股份類別</w:t>
            </w:r>
            <w:r>
              <w:rPr>
                <w:rFonts w:ascii="Arial" w:eastAsia="Arial" w:hAnsi="Arial" w:cs="Arial"/>
                <w:b/>
                <w:sz w:val="18"/>
              </w:rPr>
              <w:t xml:space="preserve"> </w:t>
            </w:r>
            <w:r>
              <w:rPr>
                <w:rFonts w:ascii="Arial" w:eastAsia="Arial" w:hAnsi="Arial" w:cs="Arial"/>
                <w:b/>
                <w:sz w:val="18"/>
              </w:rPr>
              <w:tab/>
              <w:t xml:space="preserve"> </w:t>
            </w:r>
          </w:p>
        </w:tc>
        <w:tc>
          <w:tcPr>
            <w:tcW w:w="2150" w:type="dxa"/>
            <w:tcBorders>
              <w:top w:val="nil"/>
              <w:left w:val="nil"/>
              <w:bottom w:val="nil"/>
              <w:right w:val="nil"/>
            </w:tcBorders>
            <w:shd w:val="clear" w:color="auto" w:fill="D9D9D9"/>
          </w:tcPr>
          <w:p w:rsidR="004D6F0E" w:rsidRDefault="00490F21">
            <w:pPr>
              <w:spacing w:after="0" w:line="259" w:lineRule="auto"/>
              <w:ind w:left="1212" w:firstLine="0"/>
              <w:jc w:val="center"/>
            </w:pPr>
            <w:r>
              <w:rPr>
                <w:rFonts w:ascii="Arial" w:eastAsia="Arial" w:hAnsi="Arial" w:cs="Arial"/>
                <w:b/>
                <w:sz w:val="18"/>
              </w:rPr>
              <w:t xml:space="preserve"> </w:t>
            </w:r>
          </w:p>
        </w:tc>
        <w:tc>
          <w:tcPr>
            <w:tcW w:w="1874" w:type="dxa"/>
            <w:tcBorders>
              <w:top w:val="nil"/>
              <w:left w:val="nil"/>
              <w:bottom w:val="nil"/>
              <w:right w:val="nil"/>
            </w:tcBorders>
            <w:shd w:val="clear" w:color="auto" w:fill="D9D9D9"/>
          </w:tcPr>
          <w:p w:rsidR="004D6F0E" w:rsidRDefault="00490F21">
            <w:pPr>
              <w:spacing w:after="0" w:line="259" w:lineRule="auto"/>
              <w:ind w:left="1027" w:firstLine="0"/>
              <w:jc w:val="center"/>
            </w:pPr>
            <w:r>
              <w:rPr>
                <w:rFonts w:ascii="Arial" w:eastAsia="Arial" w:hAnsi="Arial" w:cs="Arial"/>
                <w:b/>
                <w:sz w:val="18"/>
              </w:rPr>
              <w:t xml:space="preserve"> </w:t>
            </w:r>
          </w:p>
        </w:tc>
        <w:tc>
          <w:tcPr>
            <w:tcW w:w="1574" w:type="dxa"/>
            <w:tcBorders>
              <w:top w:val="nil"/>
              <w:left w:val="nil"/>
              <w:bottom w:val="nil"/>
              <w:right w:val="nil"/>
            </w:tcBorders>
            <w:shd w:val="clear" w:color="auto" w:fill="D9D9D9"/>
          </w:tcPr>
          <w:p w:rsidR="004D6F0E" w:rsidRDefault="00490F21">
            <w:pPr>
              <w:spacing w:after="0" w:line="259" w:lineRule="auto"/>
              <w:ind w:left="0" w:right="53" w:firstLine="0"/>
              <w:jc w:val="right"/>
            </w:pPr>
            <w:r>
              <w:rPr>
                <w:rFonts w:ascii="Arial" w:eastAsia="Arial" w:hAnsi="Arial" w:cs="Arial"/>
                <w:b/>
                <w:sz w:val="18"/>
              </w:rPr>
              <w:t xml:space="preserve"> </w:t>
            </w:r>
          </w:p>
        </w:tc>
        <w:tc>
          <w:tcPr>
            <w:tcW w:w="18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557"/>
        </w:trPr>
        <w:tc>
          <w:tcPr>
            <w:tcW w:w="3828" w:type="dxa"/>
            <w:tcBorders>
              <w:top w:val="nil"/>
              <w:left w:val="nil"/>
              <w:bottom w:val="nil"/>
              <w:right w:val="nil"/>
            </w:tcBorders>
          </w:tcPr>
          <w:p w:rsidR="004D6F0E" w:rsidRDefault="00490F21">
            <w:pPr>
              <w:spacing w:after="89" w:line="259" w:lineRule="auto"/>
              <w:ind w:left="115"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6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1874" w:type="dxa"/>
            <w:tcBorders>
              <w:top w:val="nil"/>
              <w:left w:val="nil"/>
              <w:bottom w:val="nil"/>
              <w:right w:val="nil"/>
            </w:tcBorders>
          </w:tcPr>
          <w:p w:rsidR="004D6F0E" w:rsidRDefault="00490F21">
            <w:pPr>
              <w:spacing w:after="6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574" w:type="dxa"/>
            <w:tcBorders>
              <w:top w:val="nil"/>
              <w:left w:val="nil"/>
              <w:bottom w:val="nil"/>
              <w:right w:val="nil"/>
            </w:tcBorders>
          </w:tcPr>
          <w:p w:rsidR="004D6F0E" w:rsidRDefault="00490F21">
            <w:pPr>
              <w:spacing w:after="6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5" w:firstLine="0"/>
            </w:pP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6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93"/>
        </w:trPr>
        <w:tc>
          <w:tcPr>
            <w:tcW w:w="3828"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2150"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187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574" w:type="dxa"/>
            <w:tcBorders>
              <w:top w:val="nil"/>
              <w:left w:val="nil"/>
              <w:bottom w:val="nil"/>
              <w:right w:val="nil"/>
            </w:tcBorders>
            <w:shd w:val="clear" w:color="auto" w:fill="D9D9D9"/>
          </w:tcPr>
          <w:p w:rsidR="004D6F0E" w:rsidRDefault="00490F21">
            <w:pPr>
              <w:spacing w:after="0" w:line="259" w:lineRule="auto"/>
              <w:ind w:left="255" w:firstLine="0"/>
            </w:pPr>
            <w:r>
              <w:rPr>
                <w:rFonts w:ascii="Arial" w:eastAsia="Arial" w:hAnsi="Arial" w:cs="Arial"/>
                <w:sz w:val="18"/>
              </w:rPr>
              <w:t xml:space="preserve"> </w:t>
            </w:r>
          </w:p>
        </w:tc>
        <w:tc>
          <w:tcPr>
            <w:tcW w:w="1848"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270"/>
        </w:trPr>
        <w:tc>
          <w:tcPr>
            <w:tcW w:w="382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18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1.60% </w:t>
            </w:r>
          </w:p>
        </w:tc>
        <w:tc>
          <w:tcPr>
            <w:tcW w:w="157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1223"/>
        </w:trPr>
        <w:tc>
          <w:tcPr>
            <w:tcW w:w="382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tc>
        <w:tc>
          <w:tcPr>
            <w:tcW w:w="2150"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87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1.60% </w:t>
            </w:r>
          </w:p>
        </w:tc>
        <w:tc>
          <w:tcPr>
            <w:tcW w:w="157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48" w:type="dxa"/>
            <w:tcBorders>
              <w:top w:val="nil"/>
              <w:left w:val="nil"/>
              <w:bottom w:val="nil"/>
              <w:right w:val="nil"/>
            </w:tcBorders>
          </w:tcPr>
          <w:p w:rsidR="004D6F0E" w:rsidRDefault="00490F21">
            <w:pPr>
              <w:spacing w:after="22" w:line="259" w:lineRule="auto"/>
              <w:ind w:left="43" w:firstLine="0"/>
            </w:pPr>
            <w:r>
              <w:rPr>
                <w:sz w:val="18"/>
              </w:rPr>
              <w:t>持有</w:t>
            </w:r>
            <w:r>
              <w:rPr>
                <w:rFonts w:ascii="Arial" w:eastAsia="Arial" w:hAnsi="Arial" w:cs="Arial"/>
                <w:sz w:val="18"/>
              </w:rPr>
              <w:t>0–1</w:t>
            </w:r>
            <w:r>
              <w:rPr>
                <w:sz w:val="18"/>
              </w:rPr>
              <w:t>年</w:t>
            </w:r>
            <w:r>
              <w:rPr>
                <w:rFonts w:ascii="Arial" w:eastAsia="Arial" w:hAnsi="Arial" w:cs="Arial"/>
                <w:sz w:val="18"/>
              </w:rPr>
              <w:t xml:space="preserve">=4.0% </w:t>
            </w:r>
          </w:p>
          <w:p w:rsidR="004D6F0E" w:rsidRDefault="00490F21">
            <w:pPr>
              <w:spacing w:after="29"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=3.0% </w:t>
            </w:r>
          </w:p>
          <w:p w:rsidR="004D6F0E" w:rsidRDefault="00490F21">
            <w:pPr>
              <w:spacing w:after="0" w:line="293" w:lineRule="auto"/>
              <w:ind w:left="221" w:right="128" w:firstLine="0"/>
            </w:pPr>
            <w:r>
              <w:rPr>
                <w:rFonts w:ascii="Arial" w:eastAsia="Arial" w:hAnsi="Arial" w:cs="Arial"/>
                <w:sz w:val="18"/>
              </w:rPr>
              <w:t xml:space="preserve">2-3 </w:t>
            </w:r>
            <w:r>
              <w:rPr>
                <w:sz w:val="18"/>
              </w:rPr>
              <w:t>年</w:t>
            </w:r>
            <w:r>
              <w:rPr>
                <w:rFonts w:ascii="Arial" w:eastAsia="Arial" w:hAnsi="Arial" w:cs="Arial"/>
                <w:sz w:val="18"/>
              </w:rPr>
              <w:t xml:space="preserve">=2.0% 3-4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4 </w:t>
            </w:r>
            <w:r>
              <w:rPr>
                <w:sz w:val="18"/>
              </w:rPr>
              <w:t>年以上</w:t>
            </w:r>
            <w:r>
              <w:rPr>
                <w:rFonts w:ascii="Arial" w:eastAsia="Arial" w:hAnsi="Arial" w:cs="Arial"/>
                <w:sz w:val="18"/>
              </w:rPr>
              <w:t xml:space="preserve">=0% </w:t>
            </w:r>
          </w:p>
        </w:tc>
      </w:tr>
      <w:tr w:rsidR="004D6F0E">
        <w:trPr>
          <w:trHeight w:val="586"/>
        </w:trPr>
        <w:tc>
          <w:tcPr>
            <w:tcW w:w="3828" w:type="dxa"/>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150" w:type="dxa"/>
            <w:tcBorders>
              <w:top w:val="nil"/>
              <w:left w:val="nil"/>
              <w:bottom w:val="nil"/>
              <w:right w:val="nil"/>
            </w:tcBorders>
          </w:tcPr>
          <w:p w:rsidR="004D6F0E" w:rsidRDefault="00490F21">
            <w:pPr>
              <w:spacing w:after="6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1874"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0.70% </w:t>
            </w:r>
          </w:p>
          <w:p w:rsidR="004D6F0E" w:rsidRDefault="00490F21">
            <w:pPr>
              <w:spacing w:after="0" w:line="259" w:lineRule="auto"/>
              <w:ind w:left="257" w:firstLine="0"/>
            </w:pPr>
            <w:r>
              <w:rPr>
                <w:rFonts w:ascii="Arial" w:eastAsia="Arial" w:hAnsi="Arial" w:cs="Arial"/>
                <w:sz w:val="18"/>
              </w:rPr>
              <w:t xml:space="preserve"> </w:t>
            </w:r>
          </w:p>
        </w:tc>
        <w:tc>
          <w:tcPr>
            <w:tcW w:w="1574" w:type="dxa"/>
            <w:tcBorders>
              <w:top w:val="nil"/>
              <w:left w:val="nil"/>
              <w:bottom w:val="nil"/>
              <w:right w:val="nil"/>
            </w:tcBorders>
          </w:tcPr>
          <w:p w:rsidR="004D6F0E" w:rsidRDefault="00490F21">
            <w:pPr>
              <w:spacing w:after="6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5" w:firstLine="0"/>
            </w:pPr>
            <w:r>
              <w:rPr>
                <w:rFonts w:ascii="Arial" w:eastAsia="Arial" w:hAnsi="Arial" w:cs="Arial"/>
                <w:sz w:val="18"/>
              </w:rPr>
              <w:t xml:space="preserve"> </w:t>
            </w:r>
          </w:p>
        </w:tc>
        <w:tc>
          <w:tcPr>
            <w:tcW w:w="1848" w:type="dxa"/>
            <w:tcBorders>
              <w:top w:val="nil"/>
              <w:left w:val="nil"/>
              <w:bottom w:val="nil"/>
              <w:right w:val="nil"/>
            </w:tcBorders>
          </w:tcPr>
          <w:p w:rsidR="004D6F0E" w:rsidRDefault="00490F21">
            <w:pPr>
              <w:spacing w:after="6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93"/>
        </w:trPr>
        <w:tc>
          <w:tcPr>
            <w:tcW w:w="3828" w:type="dxa"/>
            <w:tcBorders>
              <w:top w:val="nil"/>
              <w:left w:val="nil"/>
              <w:bottom w:val="nil"/>
              <w:right w:val="nil"/>
            </w:tcBorders>
            <w:shd w:val="clear" w:color="auto" w:fill="D9D9D9"/>
          </w:tcPr>
          <w:p w:rsidR="004D6F0E" w:rsidRDefault="00490F21">
            <w:pPr>
              <w:tabs>
                <w:tab w:val="center" w:pos="3590"/>
              </w:tabs>
              <w:spacing w:after="0" w:line="259" w:lineRule="auto"/>
              <w:ind w:left="0" w:firstLine="0"/>
            </w:pPr>
            <w:r>
              <w:rPr>
                <w:sz w:val="18"/>
              </w:rPr>
              <w:t>歐元對沖股份類別</w:t>
            </w:r>
            <w:r>
              <w:rPr>
                <w:rFonts w:ascii="Arial" w:eastAsia="Arial" w:hAnsi="Arial" w:cs="Arial"/>
                <w:b/>
                <w:sz w:val="18"/>
              </w:rPr>
              <w:t xml:space="preserve"> </w:t>
            </w:r>
            <w:r>
              <w:rPr>
                <w:rFonts w:ascii="Arial" w:eastAsia="Arial" w:hAnsi="Arial" w:cs="Arial"/>
                <w:b/>
                <w:sz w:val="18"/>
              </w:rPr>
              <w:tab/>
              <w:t xml:space="preserve"> </w:t>
            </w:r>
          </w:p>
        </w:tc>
        <w:tc>
          <w:tcPr>
            <w:tcW w:w="2150" w:type="dxa"/>
            <w:tcBorders>
              <w:top w:val="nil"/>
              <w:left w:val="nil"/>
              <w:bottom w:val="nil"/>
              <w:right w:val="nil"/>
            </w:tcBorders>
            <w:shd w:val="clear" w:color="auto" w:fill="D9D9D9"/>
          </w:tcPr>
          <w:p w:rsidR="004D6F0E" w:rsidRDefault="00490F21">
            <w:pPr>
              <w:spacing w:after="0" w:line="259" w:lineRule="auto"/>
              <w:ind w:left="1212" w:firstLine="0"/>
              <w:jc w:val="center"/>
            </w:pPr>
            <w:r>
              <w:rPr>
                <w:rFonts w:ascii="Arial" w:eastAsia="Arial" w:hAnsi="Arial" w:cs="Arial"/>
                <w:b/>
                <w:sz w:val="18"/>
              </w:rPr>
              <w:t xml:space="preserve"> </w:t>
            </w:r>
          </w:p>
        </w:tc>
        <w:tc>
          <w:tcPr>
            <w:tcW w:w="1874" w:type="dxa"/>
            <w:tcBorders>
              <w:top w:val="nil"/>
              <w:left w:val="nil"/>
              <w:bottom w:val="nil"/>
              <w:right w:val="nil"/>
            </w:tcBorders>
            <w:shd w:val="clear" w:color="auto" w:fill="D9D9D9"/>
          </w:tcPr>
          <w:p w:rsidR="004D6F0E" w:rsidRDefault="00490F21">
            <w:pPr>
              <w:spacing w:after="0" w:line="259" w:lineRule="auto"/>
              <w:ind w:left="1027" w:firstLine="0"/>
              <w:jc w:val="center"/>
            </w:pPr>
            <w:r>
              <w:rPr>
                <w:rFonts w:ascii="Arial" w:eastAsia="Arial" w:hAnsi="Arial" w:cs="Arial"/>
                <w:b/>
                <w:sz w:val="18"/>
              </w:rPr>
              <w:t xml:space="preserve"> </w:t>
            </w:r>
          </w:p>
        </w:tc>
        <w:tc>
          <w:tcPr>
            <w:tcW w:w="1574" w:type="dxa"/>
            <w:tcBorders>
              <w:top w:val="nil"/>
              <w:left w:val="nil"/>
              <w:bottom w:val="nil"/>
              <w:right w:val="nil"/>
            </w:tcBorders>
            <w:shd w:val="clear" w:color="auto" w:fill="D9D9D9"/>
          </w:tcPr>
          <w:p w:rsidR="004D6F0E" w:rsidRDefault="00490F21">
            <w:pPr>
              <w:spacing w:after="0" w:line="259" w:lineRule="auto"/>
              <w:ind w:left="0" w:right="53" w:firstLine="0"/>
              <w:jc w:val="right"/>
            </w:pPr>
            <w:r>
              <w:rPr>
                <w:rFonts w:ascii="Arial" w:eastAsia="Arial" w:hAnsi="Arial" w:cs="Arial"/>
                <w:b/>
                <w:sz w:val="18"/>
              </w:rPr>
              <w:t xml:space="preserve"> </w:t>
            </w:r>
          </w:p>
        </w:tc>
        <w:tc>
          <w:tcPr>
            <w:tcW w:w="18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ind w:left="8" w:right="13" w:hanging="1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1.60%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無財政透明股份類別</w:t>
      </w:r>
      <w:r>
        <w:rPr>
          <w:rFonts w:ascii="Arial" w:eastAsia="Arial" w:hAnsi="Arial" w:cs="Arial"/>
          <w:b/>
          <w:sz w:val="18"/>
        </w:rPr>
        <w:t>[</w:t>
      </w:r>
      <w:r>
        <w:rPr>
          <w:sz w:val="18"/>
        </w:rPr>
        <w:t>供某些經管理公司同意的合格投資者投資</w:t>
      </w:r>
      <w:r>
        <w:rPr>
          <w:rFonts w:ascii="Arial" w:eastAsia="Arial" w:hAnsi="Arial" w:cs="Arial"/>
          <w:b/>
          <w:sz w:val="18"/>
        </w:rPr>
        <w:t>]</w:t>
      </w:r>
      <w:r>
        <w:rPr>
          <w:rFonts w:ascii="Arial" w:eastAsia="Arial" w:hAnsi="Arial" w:cs="Arial"/>
          <w:b/>
          <w:sz w:val="18"/>
          <w:vertAlign w:val="superscript"/>
        </w:rPr>
        <w:t xml:space="preserve"> 8</w:t>
      </w:r>
      <w:r>
        <w:rPr>
          <w:rFonts w:ascii="Arial" w:eastAsia="Arial" w:hAnsi="Arial" w:cs="Arial"/>
          <w:sz w:val="18"/>
        </w:rPr>
        <w:t xml:space="preserve"> </w:t>
      </w:r>
    </w:p>
    <w:tbl>
      <w:tblPr>
        <w:tblStyle w:val="TableGrid"/>
        <w:tblW w:w="10173" w:type="dxa"/>
        <w:tblInd w:w="0" w:type="dxa"/>
        <w:tblCellMar>
          <w:top w:w="3" w:type="dxa"/>
          <w:left w:w="0" w:type="dxa"/>
          <w:bottom w:w="0" w:type="dxa"/>
          <w:right w:w="0" w:type="dxa"/>
        </w:tblCellMar>
        <w:tblLook w:val="04A0" w:firstRow="1" w:lastRow="0" w:firstColumn="1" w:lastColumn="0" w:noHBand="0" w:noVBand="1"/>
      </w:tblPr>
      <w:tblGrid>
        <w:gridCol w:w="4183"/>
        <w:gridCol w:w="1697"/>
        <w:gridCol w:w="2023"/>
        <w:gridCol w:w="2040"/>
        <w:gridCol w:w="230"/>
      </w:tblGrid>
      <w:tr w:rsidR="004D6F0E">
        <w:trPr>
          <w:trHeight w:val="209"/>
        </w:trPr>
        <w:tc>
          <w:tcPr>
            <w:tcW w:w="418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SA GB </w:t>
            </w:r>
            <w:r>
              <w:rPr>
                <w:sz w:val="18"/>
              </w:rPr>
              <w:t>類股份</w:t>
            </w:r>
            <w:r>
              <w:rPr>
                <w:rFonts w:ascii="Arial" w:eastAsia="Arial" w:hAnsi="Arial" w:cs="Arial"/>
                <w:sz w:val="18"/>
              </w:rPr>
              <w:t xml:space="preserve"> </w:t>
            </w:r>
          </w:p>
        </w:tc>
        <w:tc>
          <w:tcPr>
            <w:tcW w:w="169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2023"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2040"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230" w:type="dxa"/>
            <w:tcBorders>
              <w:top w:val="nil"/>
              <w:left w:val="nil"/>
              <w:bottom w:val="nil"/>
              <w:right w:val="nil"/>
            </w:tcBorders>
          </w:tcPr>
          <w:p w:rsidR="004D6F0E" w:rsidRDefault="00490F21">
            <w:pPr>
              <w:spacing w:after="0" w:line="259" w:lineRule="auto"/>
              <w:ind w:left="0" w:firstLine="0"/>
              <w:jc w:val="both"/>
            </w:pPr>
            <w:r>
              <w:rPr>
                <w:sz w:val="18"/>
              </w:rPr>
              <w:t>無</w:t>
            </w:r>
            <w:r>
              <w:rPr>
                <w:rFonts w:ascii="Arial" w:eastAsia="Arial" w:hAnsi="Arial" w:cs="Arial"/>
                <w:sz w:val="18"/>
              </w:rPr>
              <w:t xml:space="preserve"> </w:t>
            </w:r>
          </w:p>
        </w:tc>
      </w:tr>
      <w:tr w:rsidR="004D6F0E">
        <w:trPr>
          <w:trHeight w:val="218"/>
        </w:trPr>
        <w:tc>
          <w:tcPr>
            <w:tcW w:w="418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S1A GB </w:t>
            </w:r>
            <w:r>
              <w:rPr>
                <w:sz w:val="18"/>
              </w:rPr>
              <w:t>及</w:t>
            </w:r>
            <w:r>
              <w:rPr>
                <w:sz w:val="18"/>
              </w:rPr>
              <w:t xml:space="preserve"> </w:t>
            </w:r>
            <w:r>
              <w:rPr>
                <w:rFonts w:ascii="Arial" w:eastAsia="Arial" w:hAnsi="Arial" w:cs="Arial"/>
                <w:sz w:val="18"/>
              </w:rPr>
              <w:t xml:space="preserve">S1B GB </w:t>
            </w:r>
            <w:r>
              <w:rPr>
                <w:sz w:val="18"/>
              </w:rPr>
              <w:t>類股份</w:t>
            </w:r>
            <w:r>
              <w:rPr>
                <w:rFonts w:ascii="Arial" w:eastAsia="Arial" w:hAnsi="Arial" w:cs="Arial"/>
                <w:sz w:val="18"/>
              </w:rPr>
              <w:t xml:space="preserve"> </w:t>
            </w:r>
          </w:p>
        </w:tc>
        <w:tc>
          <w:tcPr>
            <w:tcW w:w="169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20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2040"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230" w:type="dxa"/>
            <w:tcBorders>
              <w:top w:val="nil"/>
              <w:left w:val="nil"/>
              <w:bottom w:val="nil"/>
              <w:right w:val="nil"/>
            </w:tcBorders>
          </w:tcPr>
          <w:p w:rsidR="004D6F0E" w:rsidRDefault="00490F21">
            <w:pPr>
              <w:spacing w:after="0" w:line="259" w:lineRule="auto"/>
              <w:ind w:left="0" w:firstLine="0"/>
              <w:jc w:val="both"/>
            </w:pPr>
            <w:r>
              <w:rPr>
                <w:sz w:val="18"/>
              </w:rPr>
              <w:t>無</w:t>
            </w:r>
            <w:r>
              <w:rPr>
                <w:rFonts w:ascii="Arial" w:eastAsia="Arial" w:hAnsi="Arial" w:cs="Arial"/>
                <w:sz w:val="18"/>
              </w:rPr>
              <w:t xml:space="preserve"> </w:t>
            </w:r>
          </w:p>
        </w:tc>
      </w:tr>
    </w:tbl>
    <w:p w:rsidR="004D6F0E" w:rsidRDefault="004D6F0E">
      <w:pPr>
        <w:sectPr w:rsidR="004D6F0E">
          <w:type w:val="continuous"/>
          <w:pgSz w:w="12240" w:h="15840"/>
          <w:pgMar w:top="982" w:right="630" w:bottom="1046" w:left="526" w:header="720" w:footer="720" w:gutter="0"/>
          <w:cols w:space="720"/>
        </w:sectPr>
      </w:pP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10"/>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w:t>
      </w:r>
      <w:r>
        <w:rPr>
          <w:sz w:val="16"/>
        </w:rPr>
        <w:t>適用）和借款利息）超出本基金以下股份類別（及相應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A(2.10%)</w:t>
      </w:r>
      <w:r>
        <w:rPr>
          <w:sz w:val="16"/>
        </w:rPr>
        <w:t>、</w:t>
      </w:r>
      <w:r>
        <w:rPr>
          <w:rFonts w:ascii="Arial" w:eastAsia="Arial" w:hAnsi="Arial" w:cs="Arial"/>
          <w:sz w:val="16"/>
        </w:rPr>
        <w:t>B(3.10%)</w:t>
      </w:r>
      <w:r>
        <w:rPr>
          <w:sz w:val="16"/>
        </w:rPr>
        <w:t>、</w:t>
      </w:r>
      <w:r>
        <w:rPr>
          <w:rFonts w:ascii="Arial" w:eastAsia="Arial" w:hAnsi="Arial" w:cs="Arial"/>
          <w:sz w:val="16"/>
        </w:rPr>
        <w:t>C(2.55%)</w:t>
      </w:r>
      <w:r>
        <w:rPr>
          <w:sz w:val="16"/>
        </w:rPr>
        <w:t>、</w:t>
      </w:r>
      <w:r>
        <w:rPr>
          <w:rFonts w:ascii="Arial" w:eastAsia="Arial" w:hAnsi="Arial" w:cs="Arial"/>
          <w:sz w:val="16"/>
        </w:rPr>
        <w:t>I(1.30%)</w:t>
      </w:r>
      <w:r>
        <w:rPr>
          <w:sz w:val="16"/>
        </w:rPr>
        <w:t>、</w:t>
      </w:r>
      <w:r>
        <w:rPr>
          <w:rFonts w:ascii="Arial" w:eastAsia="Arial" w:hAnsi="Arial" w:cs="Arial"/>
          <w:sz w:val="16"/>
        </w:rPr>
        <w:t xml:space="preserve">S(0.10%) </w:t>
      </w:r>
      <w:r>
        <w:rPr>
          <w:sz w:val="16"/>
        </w:rPr>
        <w:t>、</w:t>
      </w:r>
      <w:r>
        <w:rPr>
          <w:rFonts w:ascii="Arial" w:eastAsia="Arial" w:hAnsi="Arial" w:cs="Arial"/>
          <w:sz w:val="16"/>
        </w:rPr>
        <w:t>S1(0.80%)</w:t>
      </w:r>
      <w:r>
        <w:rPr>
          <w:sz w:val="16"/>
        </w:rPr>
        <w:t>、</w:t>
      </w:r>
      <w:r>
        <w:rPr>
          <w:rFonts w:ascii="Arial" w:eastAsia="Arial" w:hAnsi="Arial" w:cs="Arial"/>
          <w:sz w:val="16"/>
        </w:rPr>
        <w:t>SA GB(0.10%)</w:t>
      </w:r>
      <w:r>
        <w:rPr>
          <w:sz w:val="16"/>
        </w:rPr>
        <w:t>、</w:t>
      </w:r>
      <w:r>
        <w:rPr>
          <w:rFonts w:ascii="Arial" w:eastAsia="Arial" w:hAnsi="Arial" w:cs="Arial"/>
          <w:sz w:val="16"/>
        </w:rPr>
        <w:t>S1A GB(0.80%)</w:t>
      </w:r>
      <w:r>
        <w:rPr>
          <w:sz w:val="16"/>
        </w:rPr>
        <w:t>及</w:t>
      </w:r>
      <w:r>
        <w:rPr>
          <w:sz w:val="16"/>
        </w:rPr>
        <w:t xml:space="preserve"> </w:t>
      </w:r>
      <w:r>
        <w:rPr>
          <w:rFonts w:ascii="Arial" w:eastAsia="Arial" w:hAnsi="Arial" w:cs="Arial"/>
          <w:sz w:val="16"/>
        </w:rPr>
        <w:t>S1B GB(0.80%)</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0"/>
        </w:numPr>
        <w:ind w:right="13" w:hanging="360"/>
        <w:jc w:val="both"/>
      </w:pPr>
      <w:r>
        <w:rPr>
          <w:rFonts w:ascii="Arial" w:eastAsia="Arial" w:hAnsi="Arial" w:cs="Arial"/>
          <w:sz w:val="16"/>
        </w:rPr>
        <w:t xml:space="preserve">B </w:t>
      </w:r>
      <w:r>
        <w:rPr>
          <w:sz w:val="16"/>
        </w:rPr>
        <w:t>類股份自認購日起六年後合資格轉入</w:t>
      </w:r>
      <w:r>
        <w:rPr>
          <w:sz w:val="16"/>
        </w:rPr>
        <w:t xml:space="preserve"> </w:t>
      </w:r>
      <w:r>
        <w:rPr>
          <w:rFonts w:ascii="Arial" w:eastAsia="Arial" w:hAnsi="Arial" w:cs="Arial"/>
          <w:sz w:val="16"/>
        </w:rPr>
        <w:t xml:space="preserve">A </w:t>
      </w:r>
      <w:r>
        <w:rPr>
          <w:sz w:val="16"/>
        </w:rPr>
        <w:t>類股份，本傘子基金和管理公司均不會因此收取費用。欲進一步了解換股詳情，請參閱認購</w:t>
      </w:r>
      <w:r>
        <w:rPr>
          <w:sz w:val="16"/>
        </w:rPr>
        <w:t>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10"/>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10"/>
        </w:numPr>
        <w:ind w:right="13" w:hanging="360"/>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numPr>
          <w:ilvl w:val="0"/>
          <w:numId w:val="10"/>
        </w:numPr>
        <w:spacing w:after="57"/>
        <w:ind w:right="13" w:hanging="360"/>
        <w:jc w:val="both"/>
      </w:pPr>
      <w:r>
        <w:rPr>
          <w:sz w:val="16"/>
        </w:rPr>
        <w:t>佔每日平均資產淨值的年百分比。</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p>
    <w:p w:rsidR="004D6F0E" w:rsidRDefault="00490F21">
      <w:pPr>
        <w:numPr>
          <w:ilvl w:val="0"/>
          <w:numId w:val="10"/>
        </w:numPr>
        <w:ind w:right="13" w:hanging="360"/>
        <w:jc w:val="both"/>
      </w:pPr>
      <w:r>
        <w:rPr>
          <w:sz w:val="16"/>
        </w:rPr>
        <w:t>佔所贖回股份的現行資產淨值或原始成本此兩數字中較低者的有關百分比，並視乎該等股份的持有時間而定。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w:t>
      </w:r>
      <w:r>
        <w:rPr>
          <w:sz w:val="16"/>
        </w:rPr>
        <w:t>其財務顧問了解詳情。就</w:t>
      </w:r>
      <w:r>
        <w:rPr>
          <w:sz w:val="16"/>
        </w:rPr>
        <w:t xml:space="preserve"> </w:t>
      </w:r>
      <w:r>
        <w:rPr>
          <w:rFonts w:ascii="Arial" w:eastAsia="Arial" w:hAnsi="Arial" w:cs="Arial"/>
          <w:sz w:val="16"/>
        </w:rPr>
        <w:t xml:space="preserve">C </w:t>
      </w:r>
      <w:r>
        <w:rPr>
          <w:sz w:val="16"/>
        </w:rPr>
        <w:t>類股份而言，交易商可在某些情況下選擇減免或有遞延銷售費。</w:t>
      </w:r>
      <w:r>
        <w:rPr>
          <w:rFonts w:ascii="Arial" w:eastAsia="Arial" w:hAnsi="Arial" w:cs="Arial"/>
          <w:sz w:val="18"/>
        </w:rPr>
        <w:t xml:space="preserve"> </w:t>
      </w:r>
    </w:p>
    <w:p w:rsidR="004D6F0E" w:rsidRDefault="00490F21">
      <w:pPr>
        <w:numPr>
          <w:ilvl w:val="0"/>
          <w:numId w:val="10"/>
        </w:numPr>
        <w:ind w:right="13" w:hanging="360"/>
        <w:jc w:val="both"/>
      </w:pPr>
      <w:r>
        <w:rPr>
          <w:rFonts w:ascii="Arial" w:eastAsia="Arial" w:hAnsi="Arial" w:cs="Arial"/>
          <w:sz w:val="16"/>
        </w:rPr>
        <w:lastRenderedPageBreak/>
        <w:t xml:space="preserve">S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0"/>
        </w:numPr>
        <w:spacing w:after="4" w:line="275" w:lineRule="auto"/>
        <w:ind w:right="13" w:hanging="360"/>
        <w:jc w:val="both"/>
      </w:pPr>
      <w:r>
        <w:rPr>
          <w:rFonts w:ascii="Arial" w:eastAsia="Arial" w:hAnsi="Arial" w:cs="Arial"/>
          <w:sz w:val="16"/>
        </w:rPr>
        <w:t xml:space="preserve">SA GB </w:t>
      </w:r>
      <w:r>
        <w:rPr>
          <w:sz w:val="16"/>
        </w:rPr>
        <w:t>和</w:t>
      </w:r>
      <w:r>
        <w:rPr>
          <w:sz w:val="16"/>
        </w:rPr>
        <w:t xml:space="preserve"> </w:t>
      </w:r>
      <w:r>
        <w:rPr>
          <w:rFonts w:ascii="Arial" w:eastAsia="Arial" w:hAnsi="Arial" w:cs="Arial"/>
          <w:sz w:val="16"/>
        </w:rPr>
        <w:t xml:space="preserve">S1A GB </w:t>
      </w:r>
      <w:r>
        <w:rPr>
          <w:sz w:val="16"/>
        </w:rPr>
        <w:t>類股份僅供可向管理公司充分證明可依據投資人納稅國與美國之間的相關稅務條約免繳美國股息預扣稅，並同意向管理公司提供某些其他證明和資訊，證明符合此類股份要求的英國機構投資人投資。</w:t>
      </w:r>
      <w:r>
        <w:rPr>
          <w:rFonts w:ascii="Arial" w:eastAsia="Arial" w:hAnsi="Arial" w:cs="Arial"/>
          <w:sz w:val="16"/>
        </w:rPr>
        <w:t xml:space="preserve"> </w:t>
      </w:r>
    </w:p>
    <w:p w:rsidR="004D6F0E" w:rsidRDefault="00490F21">
      <w:pPr>
        <w:ind w:left="370" w:right="13" w:hanging="10"/>
        <w:jc w:val="both"/>
      </w:pPr>
      <w:r>
        <w:rPr>
          <w:rFonts w:ascii="Arial" w:eastAsia="Arial" w:hAnsi="Arial" w:cs="Arial"/>
          <w:sz w:val="16"/>
        </w:rPr>
        <w:t>S1B GB</w:t>
      </w:r>
      <w:r>
        <w:rPr>
          <w:sz w:val="16"/>
        </w:rPr>
        <w:t>／類股份僅供可向管理公司充分證明可依據投資人納稅國與美國之間的相關稅務條約將美國股息預扣稅降至</w:t>
      </w:r>
      <w:r>
        <w:rPr>
          <w:sz w:val="16"/>
        </w:rPr>
        <w:t xml:space="preserve"> </w:t>
      </w:r>
      <w:r>
        <w:rPr>
          <w:rFonts w:ascii="Arial" w:eastAsia="Arial" w:hAnsi="Arial" w:cs="Arial"/>
          <w:sz w:val="16"/>
        </w:rPr>
        <w:t>15%</w:t>
      </w:r>
      <w:r>
        <w:rPr>
          <w:sz w:val="16"/>
        </w:rPr>
        <w:t>並同意向管理公司提供某些其他證明和資訊，證明符合此類股份要求的英國／愛爾蘭機構投資人投資。</w:t>
      </w:r>
      <w:r>
        <w:rPr>
          <w:rFonts w:ascii="Arial" w:eastAsia="Arial" w:hAnsi="Arial" w:cs="Arial"/>
          <w:sz w:val="16"/>
        </w:rPr>
        <w:t xml:space="preserve"> </w:t>
      </w:r>
    </w:p>
    <w:p w:rsidR="004D6F0E" w:rsidRDefault="00490F21">
      <w:pPr>
        <w:numPr>
          <w:ilvl w:val="0"/>
          <w:numId w:val="10"/>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numPr>
          <w:ilvl w:val="0"/>
          <w:numId w:val="11"/>
        </w:numPr>
        <w:ind w:right="13" w:hanging="360"/>
        <w:jc w:val="both"/>
      </w:pP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r>
        <w:rPr>
          <w:rFonts w:ascii="Arial" w:eastAsia="Arial" w:hAnsi="Arial" w:cs="Arial"/>
          <w:b/>
          <w:sz w:val="16"/>
        </w:rPr>
        <w:t xml:space="preserve"> </w:t>
      </w:r>
    </w:p>
    <w:p w:rsidR="004D6F0E" w:rsidRDefault="004D6F0E">
      <w:pPr>
        <w:sectPr w:rsidR="004D6F0E">
          <w:type w:val="continuous"/>
          <w:pgSz w:w="12240" w:h="15840"/>
          <w:pgMar w:top="1440" w:right="717" w:bottom="1440" w:left="432" w:header="720" w:footer="720" w:gutter="0"/>
          <w:cols w:num="2" w:space="720" w:equalWidth="0">
            <w:col w:w="5331" w:space="717"/>
            <w:col w:w="5043"/>
          </w:cols>
        </w:sectPr>
      </w:pPr>
    </w:p>
    <w:p w:rsidR="004D6F0E" w:rsidRDefault="00490F21">
      <w:pPr>
        <w:spacing w:after="0" w:line="259" w:lineRule="auto"/>
        <w:ind w:left="0" w:right="168" w:firstLine="0"/>
        <w:jc w:val="right"/>
      </w:pPr>
      <w:r>
        <w:rPr>
          <w:rFonts w:ascii="Arial" w:eastAsia="Arial" w:hAnsi="Arial" w:cs="Arial"/>
          <w:sz w:val="20"/>
        </w:rPr>
        <w:lastRenderedPageBreak/>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before="24"/>
        <w:ind w:left="117" w:right="2"/>
      </w:pPr>
      <w:r>
        <w:t>其他股份類別特色</w:t>
      </w:r>
      <w:r>
        <w:rPr>
          <w:rFonts w:ascii="Arial" w:eastAsia="Arial" w:hAnsi="Arial" w:cs="Arial"/>
          <w:b/>
          <w:sz w:val="18"/>
        </w:rPr>
        <w:t xml:space="preserve"> </w:t>
      </w:r>
    </w:p>
    <w:p w:rsidR="004D6F0E" w:rsidRDefault="00490F21">
      <w:pPr>
        <w:spacing w:after="150" w:line="259" w:lineRule="auto"/>
        <w:ind w:left="108" w:firstLine="0"/>
      </w:pPr>
      <w:r>
        <w:rPr>
          <w:rFonts w:ascii="Arial" w:eastAsia="Arial" w:hAnsi="Arial" w:cs="Arial"/>
          <w:b/>
          <w:sz w:val="18"/>
        </w:rPr>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tabs>
          <w:tab w:val="center" w:pos="2834"/>
          <w:tab w:val="center" w:pos="3811"/>
          <w:tab w:val="center" w:pos="5158"/>
          <w:tab w:val="center" w:pos="7865"/>
          <w:tab w:val="right" w:pos="11312"/>
        </w:tabs>
        <w:spacing w:after="4" w:line="265" w:lineRule="auto"/>
        <w:ind w:left="0" w:firstLine="0"/>
      </w:pPr>
      <w:r>
        <w:rPr>
          <w:rFonts w:ascii="Calibri" w:eastAsia="Calibri" w:hAnsi="Calibri" w:cs="Calibri"/>
          <w:sz w:val="22"/>
        </w:rPr>
        <w:tab/>
      </w:r>
      <w:r>
        <w:rPr>
          <w:sz w:val="18"/>
        </w:rPr>
        <w:t>發售貨幣</w:t>
      </w:r>
      <w:r>
        <w:rPr>
          <w:rFonts w:ascii="Arial" w:eastAsia="Arial" w:hAnsi="Arial" w:cs="Arial"/>
          <w:b/>
          <w:sz w:val="18"/>
        </w:rPr>
        <w:t xml:space="preserve"> </w:t>
      </w:r>
      <w:r>
        <w:rPr>
          <w:rFonts w:ascii="Arial" w:eastAsia="Arial" w:hAnsi="Arial" w:cs="Arial"/>
          <w:b/>
          <w:sz w:val="18"/>
        </w:rPr>
        <w:tab/>
      </w:r>
      <w:r>
        <w:rPr>
          <w:rFonts w:ascii="Arial" w:eastAsia="Arial" w:hAnsi="Arial" w:cs="Arial"/>
          <w:b/>
          <w:sz w:val="28"/>
          <w:vertAlign w:val="subscript"/>
        </w:rPr>
        <w:t xml:space="preserve"> </w:t>
      </w:r>
      <w:r>
        <w:rPr>
          <w:rFonts w:ascii="Arial" w:eastAsia="Arial" w:hAnsi="Arial" w:cs="Arial"/>
          <w:b/>
          <w:sz w:val="28"/>
          <w:vertAlign w:val="subscript"/>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9" w:line="259" w:lineRule="auto"/>
        <w:ind w:left="2064" w:right="-91" w:firstLine="0"/>
      </w:pPr>
      <w:r>
        <w:rPr>
          <w:rFonts w:ascii="Calibri" w:eastAsia="Calibri" w:hAnsi="Calibri" w:cs="Calibri"/>
          <w:noProof/>
          <w:sz w:val="22"/>
        </w:rPr>
        <mc:AlternateContent>
          <mc:Choice Requires="wpg">
            <w:drawing>
              <wp:inline distT="0" distB="0" distL="0" distR="0">
                <wp:extent cx="5929884" cy="6096"/>
                <wp:effectExtent l="0" t="0" r="0" b="0"/>
                <wp:docPr id="435376" name="Group 435376"/>
                <wp:cNvGraphicFramePr/>
                <a:graphic xmlns:a="http://schemas.openxmlformats.org/drawingml/2006/main">
                  <a:graphicData uri="http://schemas.microsoft.com/office/word/2010/wordprocessingGroup">
                    <wpg:wgp>
                      <wpg:cNvGrpSpPr/>
                      <wpg:grpSpPr>
                        <a:xfrm>
                          <a:off x="0" y="0"/>
                          <a:ext cx="5929884" cy="6096"/>
                          <a:chOff x="0" y="0"/>
                          <a:chExt cx="5929884" cy="6096"/>
                        </a:xfrm>
                      </wpg:grpSpPr>
                      <wps:wsp>
                        <wps:cNvPr id="657807" name="Shape 657807"/>
                        <wps:cNvSpPr/>
                        <wps:spPr>
                          <a:xfrm>
                            <a:off x="0" y="0"/>
                            <a:ext cx="979932" cy="9144"/>
                          </a:xfrm>
                          <a:custGeom>
                            <a:avLst/>
                            <a:gdLst/>
                            <a:ahLst/>
                            <a:cxnLst/>
                            <a:rect l="0" t="0" r="0" b="0"/>
                            <a:pathLst>
                              <a:path w="979932" h="9144">
                                <a:moveTo>
                                  <a:pt x="0" y="0"/>
                                </a:moveTo>
                                <a:lnTo>
                                  <a:pt x="979932" y="0"/>
                                </a:lnTo>
                                <a:lnTo>
                                  <a:pt x="979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08" name="Shape 657808"/>
                        <wps:cNvSpPr/>
                        <wps:spPr>
                          <a:xfrm>
                            <a:off x="1239012" y="0"/>
                            <a:ext cx="1450848" cy="9144"/>
                          </a:xfrm>
                          <a:custGeom>
                            <a:avLst/>
                            <a:gdLst/>
                            <a:ahLst/>
                            <a:cxnLst/>
                            <a:rect l="0" t="0" r="0" b="0"/>
                            <a:pathLst>
                              <a:path w="1450848" h="9144">
                                <a:moveTo>
                                  <a:pt x="0" y="0"/>
                                </a:moveTo>
                                <a:lnTo>
                                  <a:pt x="1450848" y="0"/>
                                </a:lnTo>
                                <a:lnTo>
                                  <a:pt x="1450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09" name="Shape 657809"/>
                        <wps:cNvSpPr/>
                        <wps:spPr>
                          <a:xfrm>
                            <a:off x="2790444" y="0"/>
                            <a:ext cx="890016" cy="9144"/>
                          </a:xfrm>
                          <a:custGeom>
                            <a:avLst/>
                            <a:gdLst/>
                            <a:ahLst/>
                            <a:cxnLst/>
                            <a:rect l="0" t="0" r="0" b="0"/>
                            <a:pathLst>
                              <a:path w="890016" h="9144">
                                <a:moveTo>
                                  <a:pt x="0" y="0"/>
                                </a:moveTo>
                                <a:lnTo>
                                  <a:pt x="890016" y="0"/>
                                </a:lnTo>
                                <a:lnTo>
                                  <a:pt x="8900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10" name="Shape 657810"/>
                        <wps:cNvSpPr/>
                        <wps:spPr>
                          <a:xfrm>
                            <a:off x="3779520" y="0"/>
                            <a:ext cx="890016" cy="9144"/>
                          </a:xfrm>
                          <a:custGeom>
                            <a:avLst/>
                            <a:gdLst/>
                            <a:ahLst/>
                            <a:cxnLst/>
                            <a:rect l="0" t="0" r="0" b="0"/>
                            <a:pathLst>
                              <a:path w="890016" h="9144">
                                <a:moveTo>
                                  <a:pt x="0" y="0"/>
                                </a:moveTo>
                                <a:lnTo>
                                  <a:pt x="890016" y="0"/>
                                </a:lnTo>
                                <a:lnTo>
                                  <a:pt x="8900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11" name="Shape 657811"/>
                        <wps:cNvSpPr/>
                        <wps:spPr>
                          <a:xfrm>
                            <a:off x="4770120" y="0"/>
                            <a:ext cx="1159764" cy="9144"/>
                          </a:xfrm>
                          <a:custGeom>
                            <a:avLst/>
                            <a:gdLst/>
                            <a:ahLst/>
                            <a:cxnLst/>
                            <a:rect l="0" t="0" r="0" b="0"/>
                            <a:pathLst>
                              <a:path w="1159764" h="9144">
                                <a:moveTo>
                                  <a:pt x="0" y="0"/>
                                </a:moveTo>
                                <a:lnTo>
                                  <a:pt x="1159764" y="0"/>
                                </a:lnTo>
                                <a:lnTo>
                                  <a:pt x="11597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5376" style="width:466.92pt;height:0.47998pt;mso-position-horizontal-relative:char;mso-position-vertical-relative:line" coordsize="59298,60">
                <v:shape id="Shape 657812" style="position:absolute;width:9799;height:91;left:0;top:0;" coordsize="979932,9144" path="m0,0l979932,0l979932,9144l0,9144l0,0">
                  <v:stroke weight="0pt" endcap="flat" joinstyle="miter" miterlimit="10" on="false" color="#000000" opacity="0"/>
                  <v:fill on="true" color="#000000"/>
                </v:shape>
                <v:shape id="Shape 657813" style="position:absolute;width:14508;height:91;left:12390;top:0;" coordsize="1450848,9144" path="m0,0l1450848,0l1450848,9144l0,9144l0,0">
                  <v:stroke weight="0pt" endcap="flat" joinstyle="miter" miterlimit="10" on="false" color="#000000" opacity="0"/>
                  <v:fill on="true" color="#000000"/>
                </v:shape>
                <v:shape id="Shape 657814" style="position:absolute;width:8900;height:91;left:27904;top:0;" coordsize="890016,9144" path="m0,0l890016,0l890016,9144l0,9144l0,0">
                  <v:stroke weight="0pt" endcap="flat" joinstyle="miter" miterlimit="10" on="false" color="#000000" opacity="0"/>
                  <v:fill on="true" color="#000000"/>
                </v:shape>
                <v:shape id="Shape 657815" style="position:absolute;width:8900;height:91;left:37795;top:0;" coordsize="890016,9144" path="m0,0l890016,0l890016,9144l0,9144l0,0">
                  <v:stroke weight="0pt" endcap="flat" joinstyle="miter" miterlimit="10" on="false" color="#000000" opacity="0"/>
                  <v:fill on="true" color="#000000"/>
                </v:shape>
                <v:shape id="Shape 657816" style="position:absolute;width:11597;height:91;left:47701;top:0;" coordsize="1159764,9144" path="m0,0l1159764,0l1159764,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b/>
          <w:sz w:val="6"/>
        </w:rPr>
        <w:t xml:space="preserve"> </w:t>
      </w:r>
    </w:p>
    <w:tbl>
      <w:tblPr>
        <w:tblStyle w:val="TableGrid"/>
        <w:tblW w:w="11482" w:type="dxa"/>
        <w:tblInd w:w="0" w:type="dxa"/>
        <w:tblCellMar>
          <w:top w:w="23" w:type="dxa"/>
          <w:left w:w="0" w:type="dxa"/>
          <w:bottom w:w="0" w:type="dxa"/>
          <w:right w:w="115" w:type="dxa"/>
        </w:tblCellMar>
        <w:tblLook w:val="04A0" w:firstRow="1" w:lastRow="0" w:firstColumn="1" w:lastColumn="0" w:noHBand="0" w:noVBand="1"/>
      </w:tblPr>
      <w:tblGrid>
        <w:gridCol w:w="2474"/>
        <w:gridCol w:w="1778"/>
        <w:gridCol w:w="2300"/>
        <w:gridCol w:w="1409"/>
        <w:gridCol w:w="2273"/>
        <w:gridCol w:w="1248"/>
      </w:tblGrid>
      <w:tr w:rsidR="004D6F0E">
        <w:trPr>
          <w:trHeight w:val="235"/>
        </w:trPr>
        <w:tc>
          <w:tcPr>
            <w:tcW w:w="2474"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778" w:type="dxa"/>
            <w:tcBorders>
              <w:top w:val="nil"/>
              <w:left w:val="nil"/>
              <w:bottom w:val="nil"/>
              <w:right w:val="nil"/>
            </w:tcBorders>
            <w:shd w:val="clear" w:color="auto" w:fill="D9D9D9"/>
          </w:tcPr>
          <w:p w:rsidR="004D6F0E" w:rsidRDefault="004D6F0E">
            <w:pPr>
              <w:spacing w:after="160" w:line="259" w:lineRule="auto"/>
              <w:ind w:left="0" w:firstLine="0"/>
            </w:pPr>
          </w:p>
        </w:tc>
        <w:tc>
          <w:tcPr>
            <w:tcW w:w="2299" w:type="dxa"/>
            <w:tcBorders>
              <w:top w:val="nil"/>
              <w:left w:val="nil"/>
              <w:bottom w:val="nil"/>
              <w:right w:val="nil"/>
            </w:tcBorders>
            <w:shd w:val="clear" w:color="auto" w:fill="D9D9D9"/>
          </w:tcPr>
          <w:p w:rsidR="004D6F0E" w:rsidRDefault="004D6F0E">
            <w:pPr>
              <w:spacing w:after="160" w:line="259" w:lineRule="auto"/>
              <w:ind w:left="0" w:firstLine="0"/>
            </w:pPr>
          </w:p>
        </w:tc>
        <w:tc>
          <w:tcPr>
            <w:tcW w:w="1409" w:type="dxa"/>
            <w:tcBorders>
              <w:top w:val="nil"/>
              <w:left w:val="nil"/>
              <w:bottom w:val="nil"/>
              <w:right w:val="nil"/>
            </w:tcBorders>
            <w:shd w:val="clear" w:color="auto" w:fill="D9D9D9"/>
          </w:tcPr>
          <w:p w:rsidR="004D6F0E" w:rsidRDefault="004D6F0E">
            <w:pPr>
              <w:spacing w:after="160" w:line="259" w:lineRule="auto"/>
              <w:ind w:left="0" w:firstLine="0"/>
            </w:pPr>
          </w:p>
        </w:tc>
        <w:tc>
          <w:tcPr>
            <w:tcW w:w="2273"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47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B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47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228"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47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19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0" w:right="82" w:firstLine="0"/>
              <w:jc w:val="center"/>
            </w:pPr>
            <w:r>
              <w:rPr>
                <w:sz w:val="18"/>
              </w:rPr>
              <w:t>無</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474" w:type="dxa"/>
            <w:tcBorders>
              <w:top w:val="nil"/>
              <w:left w:val="nil"/>
              <w:bottom w:val="nil"/>
              <w:right w:val="nil"/>
            </w:tcBorders>
          </w:tcPr>
          <w:p w:rsidR="004D6F0E" w:rsidRDefault="00490F21">
            <w:pPr>
              <w:spacing w:after="15" w:line="259" w:lineRule="auto"/>
              <w:ind w:left="108"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33"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84" w:firstLine="0"/>
              <w:jc w:val="center"/>
            </w:pP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p w:rsidR="004D6F0E" w:rsidRDefault="00490F21">
            <w:pPr>
              <w:spacing w:after="0" w:line="259" w:lineRule="auto"/>
              <w:ind w:left="905" w:firstLine="0"/>
            </w:pP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9" w:line="259" w:lineRule="auto"/>
              <w:ind w:left="0" w:right="82" w:firstLine="0"/>
              <w:jc w:val="center"/>
            </w:pPr>
            <w:r>
              <w:rPr>
                <w:sz w:val="18"/>
              </w:rPr>
              <w:t>無</w:t>
            </w:r>
            <w:r>
              <w:rPr>
                <w:rFonts w:ascii="Arial" w:eastAsia="Arial" w:hAnsi="Arial" w:cs="Arial"/>
                <w:sz w:val="18"/>
              </w:rPr>
              <w:t xml:space="preserve"> </w:t>
            </w:r>
          </w:p>
          <w:p w:rsidR="004D6F0E" w:rsidRDefault="00490F21">
            <w:pPr>
              <w:spacing w:after="0" w:line="259" w:lineRule="auto"/>
              <w:ind w:left="0" w:right="29" w:firstLine="0"/>
              <w:jc w:val="center"/>
            </w:pP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9" w:line="259" w:lineRule="auto"/>
              <w:ind w:left="665"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474" w:type="dxa"/>
            <w:tcBorders>
              <w:top w:val="nil"/>
              <w:left w:val="nil"/>
              <w:bottom w:val="nil"/>
              <w:right w:val="nil"/>
            </w:tcBorders>
            <w:shd w:val="clear" w:color="auto" w:fill="D9D9D9"/>
          </w:tcPr>
          <w:p w:rsidR="004D6F0E" w:rsidRDefault="00490F21">
            <w:pPr>
              <w:spacing w:after="0" w:line="259" w:lineRule="auto"/>
              <w:ind w:left="108" w:firstLine="0"/>
            </w:pPr>
            <w:r>
              <w:rPr>
                <w:sz w:val="18"/>
              </w:rPr>
              <w:t>歐元計價股份類別</w:t>
            </w:r>
            <w:r>
              <w:rPr>
                <w:rFonts w:ascii="Arial" w:eastAsia="Arial" w:hAnsi="Arial" w:cs="Arial"/>
                <w:sz w:val="18"/>
              </w:rPr>
              <w:t xml:space="preserve"> </w:t>
            </w:r>
          </w:p>
        </w:tc>
        <w:tc>
          <w:tcPr>
            <w:tcW w:w="1778" w:type="dxa"/>
            <w:tcBorders>
              <w:top w:val="nil"/>
              <w:left w:val="nil"/>
              <w:bottom w:val="nil"/>
              <w:right w:val="nil"/>
            </w:tcBorders>
            <w:shd w:val="clear" w:color="auto" w:fill="D9D9D9"/>
          </w:tcPr>
          <w:p w:rsidR="004D6F0E" w:rsidRDefault="00490F21">
            <w:pPr>
              <w:spacing w:after="0" w:line="259" w:lineRule="auto"/>
              <w:ind w:left="84" w:firstLine="0"/>
              <w:jc w:val="center"/>
            </w:pP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shd w:val="clear" w:color="auto" w:fill="D9D9D9"/>
          </w:tcPr>
          <w:p w:rsidR="004D6F0E" w:rsidRDefault="00490F21">
            <w:pPr>
              <w:spacing w:after="0" w:line="259" w:lineRule="auto"/>
              <w:ind w:left="905" w:firstLine="0"/>
            </w:pPr>
            <w:r>
              <w:rPr>
                <w:rFonts w:ascii="Arial" w:eastAsia="Arial" w:hAnsi="Arial" w:cs="Arial"/>
                <w:sz w:val="18"/>
              </w:rPr>
              <w:t xml:space="preserve"> </w:t>
            </w:r>
          </w:p>
        </w:tc>
        <w:tc>
          <w:tcPr>
            <w:tcW w:w="1409" w:type="dxa"/>
            <w:tcBorders>
              <w:top w:val="nil"/>
              <w:left w:val="nil"/>
              <w:bottom w:val="nil"/>
              <w:right w:val="nil"/>
            </w:tcBorders>
            <w:shd w:val="clear" w:color="auto" w:fill="D9D9D9"/>
          </w:tcPr>
          <w:p w:rsidR="004D6F0E" w:rsidRDefault="00490F21">
            <w:pPr>
              <w:spacing w:after="0" w:line="259" w:lineRule="auto"/>
              <w:ind w:left="0" w:right="29" w:firstLine="0"/>
              <w:jc w:val="center"/>
            </w:pPr>
            <w:r>
              <w:rPr>
                <w:rFonts w:ascii="Arial" w:eastAsia="Arial" w:hAnsi="Arial" w:cs="Arial"/>
                <w:sz w:val="18"/>
              </w:rPr>
              <w:t xml:space="preserve"> </w:t>
            </w:r>
          </w:p>
        </w:tc>
        <w:tc>
          <w:tcPr>
            <w:tcW w:w="2273"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9"/>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歐元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47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歐元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47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歐元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23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0" w:right="82" w:firstLine="0"/>
              <w:jc w:val="center"/>
            </w:pPr>
            <w:r>
              <w:rPr>
                <w:sz w:val="18"/>
              </w:rPr>
              <w:t>無</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474" w:type="dxa"/>
            <w:tcBorders>
              <w:top w:val="nil"/>
              <w:left w:val="nil"/>
              <w:bottom w:val="nil"/>
              <w:right w:val="nil"/>
            </w:tcBorders>
          </w:tcPr>
          <w:p w:rsidR="004D6F0E" w:rsidRDefault="00490F21">
            <w:pPr>
              <w:spacing w:after="15" w:line="259" w:lineRule="auto"/>
              <w:ind w:left="108"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33" w:line="259" w:lineRule="auto"/>
              <w:ind w:left="0" w:firstLine="0"/>
            </w:pPr>
            <w:r>
              <w:rPr>
                <w:sz w:val="18"/>
              </w:rPr>
              <w:t>歐元</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84" w:firstLine="0"/>
              <w:jc w:val="center"/>
            </w:pP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905" w:firstLine="0"/>
            </w:pP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9" w:line="259" w:lineRule="auto"/>
              <w:ind w:left="0" w:right="82" w:firstLine="0"/>
              <w:jc w:val="center"/>
            </w:pPr>
            <w:r>
              <w:rPr>
                <w:sz w:val="18"/>
              </w:rPr>
              <w:t>無</w:t>
            </w:r>
            <w:r>
              <w:rPr>
                <w:rFonts w:ascii="Arial" w:eastAsia="Arial" w:hAnsi="Arial" w:cs="Arial"/>
                <w:sz w:val="18"/>
              </w:rPr>
              <w:t xml:space="preserve"> </w:t>
            </w:r>
          </w:p>
          <w:p w:rsidR="004D6F0E" w:rsidRDefault="00490F21">
            <w:pPr>
              <w:spacing w:after="0" w:line="259" w:lineRule="auto"/>
              <w:ind w:left="0" w:right="29" w:firstLine="0"/>
              <w:jc w:val="center"/>
            </w:pP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9" w:line="259" w:lineRule="auto"/>
              <w:ind w:left="665"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474" w:type="dxa"/>
            <w:tcBorders>
              <w:top w:val="nil"/>
              <w:left w:val="nil"/>
              <w:bottom w:val="nil"/>
              <w:right w:val="nil"/>
            </w:tcBorders>
            <w:shd w:val="clear" w:color="auto" w:fill="D9D9D9"/>
          </w:tcPr>
          <w:p w:rsidR="004D6F0E" w:rsidRDefault="00490F21">
            <w:pPr>
              <w:spacing w:after="0" w:line="259" w:lineRule="auto"/>
              <w:ind w:left="108" w:firstLine="0"/>
            </w:pPr>
            <w:r>
              <w:rPr>
                <w:sz w:val="18"/>
              </w:rPr>
              <w:t>港元計價股份類別</w:t>
            </w:r>
            <w:r>
              <w:rPr>
                <w:rFonts w:ascii="Arial" w:eastAsia="Arial" w:hAnsi="Arial" w:cs="Arial"/>
                <w:sz w:val="18"/>
              </w:rPr>
              <w:t xml:space="preserve"> </w:t>
            </w:r>
          </w:p>
        </w:tc>
        <w:tc>
          <w:tcPr>
            <w:tcW w:w="1778" w:type="dxa"/>
            <w:tcBorders>
              <w:top w:val="nil"/>
              <w:left w:val="nil"/>
              <w:bottom w:val="nil"/>
              <w:right w:val="nil"/>
            </w:tcBorders>
            <w:shd w:val="clear" w:color="auto" w:fill="D9D9D9"/>
          </w:tcPr>
          <w:p w:rsidR="004D6F0E" w:rsidRDefault="00490F21">
            <w:pPr>
              <w:spacing w:after="0" w:line="259" w:lineRule="auto"/>
              <w:ind w:left="84" w:firstLine="0"/>
              <w:jc w:val="center"/>
            </w:pP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shd w:val="clear" w:color="auto" w:fill="D9D9D9"/>
          </w:tcPr>
          <w:p w:rsidR="004D6F0E" w:rsidRDefault="00490F21">
            <w:pPr>
              <w:spacing w:after="0" w:line="259" w:lineRule="auto"/>
              <w:ind w:left="905" w:firstLine="0"/>
            </w:pPr>
            <w:r>
              <w:rPr>
                <w:rFonts w:ascii="Arial" w:eastAsia="Arial" w:hAnsi="Arial" w:cs="Arial"/>
                <w:sz w:val="18"/>
              </w:rPr>
              <w:t xml:space="preserve"> </w:t>
            </w:r>
          </w:p>
        </w:tc>
        <w:tc>
          <w:tcPr>
            <w:tcW w:w="1409" w:type="dxa"/>
            <w:tcBorders>
              <w:top w:val="nil"/>
              <w:left w:val="nil"/>
              <w:bottom w:val="nil"/>
              <w:right w:val="nil"/>
            </w:tcBorders>
            <w:shd w:val="clear" w:color="auto" w:fill="D9D9D9"/>
          </w:tcPr>
          <w:p w:rsidR="004D6F0E" w:rsidRDefault="00490F21">
            <w:pPr>
              <w:spacing w:after="0" w:line="259" w:lineRule="auto"/>
              <w:ind w:left="0" w:right="29" w:firstLine="0"/>
              <w:jc w:val="center"/>
            </w:pPr>
            <w:r>
              <w:rPr>
                <w:rFonts w:ascii="Arial" w:eastAsia="Arial" w:hAnsi="Arial" w:cs="Arial"/>
                <w:sz w:val="18"/>
              </w:rPr>
              <w:t xml:space="preserve"> </w:t>
            </w:r>
          </w:p>
        </w:tc>
        <w:tc>
          <w:tcPr>
            <w:tcW w:w="2273"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439"/>
        </w:trPr>
        <w:tc>
          <w:tcPr>
            <w:tcW w:w="2474" w:type="dxa"/>
            <w:tcBorders>
              <w:top w:val="nil"/>
              <w:left w:val="nil"/>
              <w:bottom w:val="nil"/>
              <w:right w:val="nil"/>
            </w:tcBorders>
          </w:tcPr>
          <w:p w:rsidR="004D6F0E" w:rsidRDefault="00490F21">
            <w:pPr>
              <w:spacing w:after="12" w:line="259" w:lineRule="auto"/>
              <w:ind w:left="108" w:firstLine="0"/>
            </w:pPr>
            <w:r>
              <w:rPr>
                <w:rFonts w:ascii="Arial" w:eastAsia="Arial" w:hAnsi="Arial" w:cs="Arial"/>
                <w:sz w:val="18"/>
              </w:rPr>
              <w:t xml:space="preserve">S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29" w:line="259" w:lineRule="auto"/>
              <w:ind w:left="0" w:firstLine="0"/>
            </w:pPr>
            <w:r>
              <w:rPr>
                <w:sz w:val="18"/>
              </w:rPr>
              <w:t>港元</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84" w:firstLine="0"/>
              <w:jc w:val="center"/>
            </w:pP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11" w:line="259" w:lineRule="auto"/>
              <w:ind w:left="132" w:firstLine="0"/>
            </w:pPr>
            <w:r>
              <w:rPr>
                <w:rFonts w:ascii="Arial" w:eastAsia="Arial" w:hAnsi="Arial" w:cs="Arial"/>
                <w:sz w:val="18"/>
              </w:rPr>
              <w:t xml:space="preserve">200,000,000 </w:t>
            </w:r>
            <w:r>
              <w:rPr>
                <w:sz w:val="18"/>
              </w:rPr>
              <w:t>港元</w:t>
            </w:r>
            <w:r>
              <w:rPr>
                <w:rFonts w:ascii="Arial" w:eastAsia="Arial" w:hAnsi="Arial" w:cs="Arial"/>
                <w:sz w:val="18"/>
              </w:rPr>
              <w:t xml:space="preserve">** </w:t>
            </w:r>
          </w:p>
          <w:p w:rsidR="004D6F0E" w:rsidRDefault="00490F21">
            <w:pPr>
              <w:spacing w:after="0" w:line="259" w:lineRule="auto"/>
              <w:ind w:left="905" w:firstLine="0"/>
            </w:pP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7" w:line="259" w:lineRule="auto"/>
              <w:ind w:left="0" w:right="82" w:firstLine="0"/>
              <w:jc w:val="center"/>
            </w:pPr>
            <w:r>
              <w:rPr>
                <w:sz w:val="18"/>
              </w:rPr>
              <w:t>無</w:t>
            </w:r>
            <w:r>
              <w:rPr>
                <w:rFonts w:ascii="Arial" w:eastAsia="Arial" w:hAnsi="Arial" w:cs="Arial"/>
                <w:sz w:val="18"/>
              </w:rPr>
              <w:t xml:space="preserve"> </w:t>
            </w:r>
          </w:p>
          <w:p w:rsidR="004D6F0E" w:rsidRDefault="00490F21">
            <w:pPr>
              <w:spacing w:after="0" w:line="259" w:lineRule="auto"/>
              <w:ind w:left="0" w:right="29" w:firstLine="0"/>
              <w:jc w:val="center"/>
            </w:pP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7" w:line="259" w:lineRule="auto"/>
              <w:ind w:left="665"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474" w:type="dxa"/>
            <w:tcBorders>
              <w:top w:val="nil"/>
              <w:left w:val="nil"/>
              <w:bottom w:val="nil"/>
              <w:right w:val="nil"/>
            </w:tcBorders>
            <w:shd w:val="clear" w:color="auto" w:fill="D9D9D9"/>
          </w:tcPr>
          <w:p w:rsidR="004D6F0E" w:rsidRDefault="00490F21">
            <w:pPr>
              <w:spacing w:after="0" w:line="259" w:lineRule="auto"/>
              <w:ind w:left="108" w:firstLine="0"/>
            </w:pPr>
            <w:r>
              <w:rPr>
                <w:sz w:val="18"/>
              </w:rPr>
              <w:t>新加坡元計價股份類別</w:t>
            </w:r>
            <w:r>
              <w:rPr>
                <w:rFonts w:ascii="Arial" w:eastAsia="Arial" w:hAnsi="Arial" w:cs="Arial"/>
                <w:sz w:val="18"/>
              </w:rPr>
              <w:t xml:space="preserve"> </w:t>
            </w:r>
          </w:p>
        </w:tc>
        <w:tc>
          <w:tcPr>
            <w:tcW w:w="1778" w:type="dxa"/>
            <w:tcBorders>
              <w:top w:val="nil"/>
              <w:left w:val="nil"/>
              <w:bottom w:val="nil"/>
              <w:right w:val="nil"/>
            </w:tcBorders>
            <w:shd w:val="clear" w:color="auto" w:fill="D9D9D9"/>
          </w:tcPr>
          <w:p w:rsidR="004D6F0E" w:rsidRDefault="00490F21">
            <w:pPr>
              <w:spacing w:after="0" w:line="259" w:lineRule="auto"/>
              <w:ind w:left="1060" w:firstLine="0"/>
              <w:jc w:val="center"/>
            </w:pPr>
            <w:r>
              <w:rPr>
                <w:rFonts w:ascii="Arial" w:eastAsia="Arial" w:hAnsi="Arial" w:cs="Arial"/>
                <w:sz w:val="18"/>
              </w:rPr>
              <w:t xml:space="preserve"> </w:t>
            </w:r>
          </w:p>
        </w:tc>
        <w:tc>
          <w:tcPr>
            <w:tcW w:w="2299" w:type="dxa"/>
            <w:tcBorders>
              <w:top w:val="nil"/>
              <w:left w:val="nil"/>
              <w:bottom w:val="nil"/>
              <w:right w:val="nil"/>
            </w:tcBorders>
            <w:shd w:val="clear" w:color="auto" w:fill="D9D9D9"/>
          </w:tcPr>
          <w:p w:rsidR="004D6F0E" w:rsidRDefault="00490F21">
            <w:pPr>
              <w:spacing w:after="0" w:line="259" w:lineRule="auto"/>
              <w:ind w:left="905" w:firstLine="0"/>
            </w:pPr>
            <w:r>
              <w:rPr>
                <w:rFonts w:ascii="Arial" w:eastAsia="Arial" w:hAnsi="Arial" w:cs="Arial"/>
                <w:sz w:val="18"/>
              </w:rPr>
              <w:t xml:space="preserve"> </w:t>
            </w:r>
          </w:p>
        </w:tc>
        <w:tc>
          <w:tcPr>
            <w:tcW w:w="1409" w:type="dxa"/>
            <w:tcBorders>
              <w:top w:val="nil"/>
              <w:left w:val="nil"/>
              <w:bottom w:val="nil"/>
              <w:right w:val="nil"/>
            </w:tcBorders>
            <w:shd w:val="clear" w:color="auto" w:fill="D9D9D9"/>
          </w:tcPr>
          <w:p w:rsidR="004D6F0E" w:rsidRDefault="00490F21">
            <w:pPr>
              <w:spacing w:after="0" w:line="259" w:lineRule="auto"/>
              <w:ind w:left="0" w:right="29" w:firstLine="0"/>
              <w:jc w:val="center"/>
            </w:pPr>
            <w:r>
              <w:rPr>
                <w:rFonts w:ascii="Arial" w:eastAsia="Arial" w:hAnsi="Arial" w:cs="Arial"/>
                <w:sz w:val="18"/>
              </w:rPr>
              <w:t xml:space="preserve"> </w:t>
            </w:r>
          </w:p>
        </w:tc>
        <w:tc>
          <w:tcPr>
            <w:tcW w:w="2273"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41"/>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新加坡元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7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B </w:t>
            </w:r>
            <w:r>
              <w:rPr>
                <w:sz w:val="18"/>
              </w:rPr>
              <w:t>類股份</w:t>
            </w:r>
            <w:r>
              <w:rPr>
                <w:rFonts w:ascii="Arial" w:eastAsia="Arial" w:hAnsi="Arial" w:cs="Arial"/>
                <w:sz w:val="18"/>
              </w:rPr>
              <w:t xml:space="preserve"> </w:t>
            </w:r>
          </w:p>
        </w:tc>
        <w:tc>
          <w:tcPr>
            <w:tcW w:w="1778" w:type="dxa"/>
            <w:tcBorders>
              <w:top w:val="nil"/>
              <w:left w:val="nil"/>
              <w:bottom w:val="nil"/>
              <w:right w:val="nil"/>
            </w:tcBorders>
          </w:tcPr>
          <w:p w:rsidR="004D6F0E" w:rsidRDefault="00490F21">
            <w:pPr>
              <w:tabs>
                <w:tab w:val="center" w:pos="1337"/>
              </w:tabs>
              <w:spacing w:after="0" w:line="259" w:lineRule="auto"/>
              <w:ind w:left="0" w:firstLine="0"/>
            </w:pPr>
            <w:r>
              <w:rPr>
                <w:sz w:val="18"/>
              </w:rPr>
              <w:t>新加坡元</w:t>
            </w:r>
            <w:r>
              <w:rPr>
                <w:rFonts w:ascii="Arial" w:eastAsia="Arial" w:hAnsi="Arial" w:cs="Arial"/>
                <w:sz w:val="18"/>
              </w:rPr>
              <w:t xml:space="preserve"> </w:t>
            </w:r>
            <w:r>
              <w:rPr>
                <w:rFonts w:ascii="Arial" w:eastAsia="Arial" w:hAnsi="Arial" w:cs="Arial"/>
                <w:sz w:val="18"/>
              </w:rPr>
              <w:tab/>
              <w:t xml:space="preserve"> </w:t>
            </w:r>
          </w:p>
        </w:tc>
        <w:tc>
          <w:tcPr>
            <w:tcW w:w="2299"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350,000 </w:t>
            </w:r>
            <w:r>
              <w:rPr>
                <w:sz w:val="18"/>
              </w:rPr>
              <w:t>新加坡元</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6552" w:type="dxa"/>
            <w:gridSpan w:val="3"/>
            <w:tcBorders>
              <w:top w:val="nil"/>
              <w:left w:val="nil"/>
              <w:bottom w:val="nil"/>
              <w:right w:val="nil"/>
            </w:tcBorders>
          </w:tcPr>
          <w:p w:rsidR="004D6F0E" w:rsidRDefault="00490F21">
            <w:pPr>
              <w:tabs>
                <w:tab w:val="center" w:pos="2834"/>
                <w:tab w:val="center" w:pos="3811"/>
                <w:tab w:val="center" w:pos="5157"/>
              </w:tabs>
              <w:spacing w:after="25" w:line="259" w:lineRule="auto"/>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r>
              <w:rPr>
                <w:rFonts w:ascii="Arial" w:eastAsia="Arial" w:hAnsi="Arial" w:cs="Arial"/>
                <w:sz w:val="18"/>
              </w:rPr>
              <w:tab/>
            </w:r>
            <w:r>
              <w:rPr>
                <w:sz w:val="18"/>
              </w:rPr>
              <w:t>新加坡元</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37,500,000 </w:t>
            </w:r>
            <w:r>
              <w:rPr>
                <w:sz w:val="18"/>
              </w:rPr>
              <w:t>新加坡元</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1409" w:type="dxa"/>
            <w:tcBorders>
              <w:top w:val="nil"/>
              <w:left w:val="nil"/>
              <w:bottom w:val="nil"/>
              <w:right w:val="nil"/>
            </w:tcBorders>
          </w:tcPr>
          <w:p w:rsidR="004D6F0E" w:rsidRDefault="00490F21">
            <w:pPr>
              <w:spacing w:after="0" w:line="259" w:lineRule="auto"/>
              <w:ind w:left="0" w:right="82" w:firstLine="0"/>
              <w:jc w:val="center"/>
            </w:pPr>
            <w:r>
              <w:rPr>
                <w:sz w:val="18"/>
              </w:rPr>
              <w:t>無</w:t>
            </w: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6552"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財政透明股份類別</w:t>
            </w:r>
            <w:r>
              <w:rPr>
                <w:rFonts w:ascii="Arial" w:eastAsia="Arial" w:hAnsi="Arial" w:cs="Arial"/>
                <w:b/>
                <w:sz w:val="18"/>
              </w:rPr>
              <w:t xml:space="preserve"> [</w:t>
            </w:r>
            <w:r>
              <w:rPr>
                <w:sz w:val="18"/>
              </w:rPr>
              <w:t>供某些經管理公司同意的合格投資者投資</w:t>
            </w:r>
            <w:r>
              <w:rPr>
                <w:rFonts w:ascii="Arial" w:eastAsia="Arial" w:hAnsi="Arial" w:cs="Arial"/>
                <w:b/>
                <w:sz w:val="18"/>
              </w:rPr>
              <w:t>]</w:t>
            </w:r>
            <w:r>
              <w:rPr>
                <w:rFonts w:ascii="Arial" w:eastAsia="Arial" w:hAnsi="Arial" w:cs="Arial"/>
                <w:sz w:val="18"/>
              </w:rPr>
              <w:t xml:space="preserve"> </w:t>
            </w:r>
          </w:p>
        </w:tc>
        <w:tc>
          <w:tcPr>
            <w:tcW w:w="1409" w:type="dxa"/>
            <w:tcBorders>
              <w:top w:val="nil"/>
              <w:left w:val="nil"/>
              <w:bottom w:val="nil"/>
              <w:right w:val="nil"/>
            </w:tcBorders>
            <w:shd w:val="clear" w:color="auto" w:fill="D9D9D9"/>
          </w:tcPr>
          <w:p w:rsidR="004D6F0E" w:rsidRDefault="004D6F0E">
            <w:pPr>
              <w:spacing w:after="160" w:line="259" w:lineRule="auto"/>
              <w:ind w:left="0" w:firstLine="0"/>
            </w:pPr>
          </w:p>
        </w:tc>
        <w:tc>
          <w:tcPr>
            <w:tcW w:w="2273"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after="255"/>
        <w:ind w:left="110" w:right="176" w:hanging="10"/>
        <w:jc w:val="both"/>
      </w:pPr>
      <w:r>
        <w:rPr>
          <w:rFonts w:ascii="Arial" w:eastAsia="Arial" w:hAnsi="Arial" w:cs="Arial"/>
          <w:sz w:val="18"/>
        </w:rPr>
        <w:t xml:space="preserve">SA GB </w:t>
      </w:r>
      <w:r>
        <w:rPr>
          <w:sz w:val="18"/>
        </w:rPr>
        <w:t>類股份</w:t>
      </w:r>
      <w:r>
        <w:rPr>
          <w:rFonts w:ascii="Arial" w:eastAsia="Arial" w:hAnsi="Arial" w:cs="Arial"/>
          <w:sz w:val="18"/>
        </w:rPr>
        <w:t xml:space="preserve"> </w:t>
      </w:r>
      <w:r>
        <w:rPr>
          <w:sz w:val="18"/>
        </w:rPr>
        <w:t>美元</w:t>
      </w:r>
      <w:r>
        <w:rPr>
          <w:rFonts w:ascii="Arial" w:eastAsia="Arial" w:hAnsi="Arial" w:cs="Arial"/>
          <w:sz w:val="18"/>
        </w:rPr>
        <w:t xml:space="preserve"> 25,000,000 </w:t>
      </w:r>
      <w:r>
        <w:rPr>
          <w:sz w:val="18"/>
        </w:rPr>
        <w:t>美元</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0.01% S1A GB </w:t>
      </w:r>
      <w:r>
        <w:rPr>
          <w:sz w:val="18"/>
        </w:rPr>
        <w:t>及</w:t>
      </w:r>
      <w:r>
        <w:rPr>
          <w:sz w:val="18"/>
        </w:rPr>
        <w:t xml:space="preserve"> </w:t>
      </w:r>
      <w:r>
        <w:rPr>
          <w:rFonts w:ascii="Arial" w:eastAsia="Arial" w:hAnsi="Arial" w:cs="Arial"/>
          <w:sz w:val="18"/>
        </w:rPr>
        <w:t xml:space="preserve">S1B GB </w:t>
      </w:r>
      <w:r>
        <w:rPr>
          <w:sz w:val="18"/>
        </w:rPr>
        <w:t>類股份</w:t>
      </w:r>
      <w:r>
        <w:rPr>
          <w:rFonts w:ascii="Arial" w:eastAsia="Arial" w:hAnsi="Arial" w:cs="Arial"/>
          <w:sz w:val="18"/>
        </w:rPr>
        <w:t xml:space="preserve"> </w:t>
      </w:r>
      <w:r>
        <w:rPr>
          <w:sz w:val="18"/>
        </w:rPr>
        <w:t>美元</w:t>
      </w:r>
      <w:r>
        <w:rPr>
          <w:rFonts w:ascii="Arial" w:eastAsia="Arial" w:hAnsi="Arial" w:cs="Arial"/>
          <w:sz w:val="18"/>
        </w:rPr>
        <w:t xml:space="preserve"> 25,000,000 </w:t>
      </w:r>
      <w:r>
        <w:rPr>
          <w:sz w:val="18"/>
        </w:rPr>
        <w:t>美元</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0.01% </w:t>
      </w:r>
    </w:p>
    <w:p w:rsidR="004D6F0E" w:rsidRDefault="00490F21">
      <w:pPr>
        <w:ind w:left="2618" w:right="13" w:hanging="2503"/>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274320</wp:posOffset>
                </wp:positionH>
                <wp:positionV relativeFrom="page">
                  <wp:posOffset>737616</wp:posOffset>
                </wp:positionV>
                <wp:extent cx="7290816" cy="18288"/>
                <wp:effectExtent l="0" t="0" r="0" b="0"/>
                <wp:wrapTopAndBottom/>
                <wp:docPr id="435375" name="Group 435375"/>
                <wp:cNvGraphicFramePr/>
                <a:graphic xmlns:a="http://schemas.openxmlformats.org/drawingml/2006/main">
                  <a:graphicData uri="http://schemas.microsoft.com/office/word/2010/wordprocessingGroup">
                    <wpg:wgp>
                      <wpg:cNvGrpSpPr/>
                      <wpg:grpSpPr>
                        <a:xfrm>
                          <a:off x="0" y="0"/>
                          <a:ext cx="7290816" cy="18288"/>
                          <a:chOff x="0" y="0"/>
                          <a:chExt cx="7290816" cy="18288"/>
                        </a:xfrm>
                      </wpg:grpSpPr>
                      <wps:wsp>
                        <wps:cNvPr id="657817" name="Shape 657817"/>
                        <wps:cNvSpPr/>
                        <wps:spPr>
                          <a:xfrm>
                            <a:off x="0" y="0"/>
                            <a:ext cx="7290816" cy="18288"/>
                          </a:xfrm>
                          <a:custGeom>
                            <a:avLst/>
                            <a:gdLst/>
                            <a:ahLst/>
                            <a:cxnLst/>
                            <a:rect l="0" t="0" r="0" b="0"/>
                            <a:pathLst>
                              <a:path w="7290816" h="18288">
                                <a:moveTo>
                                  <a:pt x="0" y="0"/>
                                </a:moveTo>
                                <a:lnTo>
                                  <a:pt x="7290816" y="0"/>
                                </a:lnTo>
                                <a:lnTo>
                                  <a:pt x="729081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375" style="width:574.08pt;height:1.44pt;position:absolute;mso-position-horizontal-relative:page;mso-position-horizontal:absolute;margin-left:21.6pt;mso-position-vertical-relative:page;margin-top:58.08pt;" coordsize="72908,182">
                <v:shape id="Shape 657818" style="position:absolute;width:72908;height:182;left:0;top:0;" coordsize="7290816,18288" path="m0,0l7290816,0l7290816,18288l0,18288l0,0">
                  <v:stroke weight="0pt" endcap="flat" joinstyle="miter" miterlimit="10" on="false" color="#000000" opacity="0"/>
                  <v:fill on="true" color="#000000"/>
                </v:shape>
                <w10:wrap type="topAndBottom"/>
              </v:group>
            </w:pict>
          </mc:Fallback>
        </mc:AlternateContent>
      </w:r>
      <w:r>
        <w:rPr>
          <w:rFonts w:ascii="Arial" w:eastAsia="Arial" w:hAnsi="Arial" w:cs="Arial"/>
          <w:b/>
          <w:sz w:val="18"/>
        </w:rPr>
        <w:t xml:space="preserve"> </w:t>
      </w:r>
      <w:r>
        <w:rPr>
          <w:rFonts w:ascii="Arial" w:eastAsia="Arial" w:hAnsi="Arial" w:cs="Arial"/>
          <w:b/>
          <w:sz w:val="18"/>
        </w:rPr>
        <w:tab/>
      </w:r>
      <w:r>
        <w:rPr>
          <w:sz w:val="18"/>
        </w:rPr>
        <w:t>盧森堡年稅</w:t>
      </w:r>
      <w:r>
        <w:t>（</w:t>
      </w:r>
      <w:r>
        <w:rPr>
          <w:rFonts w:ascii="Arial" w:eastAsia="Arial" w:hAnsi="Arial" w:cs="Arial"/>
          <w:b/>
          <w:i/>
          <w:sz w:val="18"/>
        </w:rPr>
        <w:t xml:space="preserve">Taxe </w:t>
      </w:r>
      <w:r>
        <w:rPr>
          <w:sz w:val="18"/>
        </w:rPr>
        <w:t>對沖貨幣</w:t>
      </w:r>
      <w:r>
        <w:rPr>
          <w:rFonts w:ascii="Arial" w:eastAsia="Arial" w:hAnsi="Arial" w:cs="Arial"/>
          <w:b/>
          <w:sz w:val="16"/>
        </w:rPr>
        <w:t xml:space="preserve"> </w:t>
      </w:r>
      <w:r>
        <w:rPr>
          <w:rFonts w:ascii="Arial" w:eastAsia="Arial" w:hAnsi="Arial" w:cs="Arial"/>
          <w:b/>
          <w:sz w:val="16"/>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9" w:line="259" w:lineRule="auto"/>
        <w:ind w:left="2071" w:right="-83" w:firstLine="0"/>
      </w:pPr>
      <w:r>
        <w:rPr>
          <w:rFonts w:ascii="Calibri" w:eastAsia="Calibri" w:hAnsi="Calibri" w:cs="Calibri"/>
          <w:noProof/>
          <w:sz w:val="22"/>
        </w:rPr>
        <mc:AlternateContent>
          <mc:Choice Requires="wpg">
            <w:drawing>
              <wp:inline distT="0" distB="0" distL="0" distR="0">
                <wp:extent cx="5920753" cy="6096"/>
                <wp:effectExtent l="0" t="0" r="0" b="0"/>
                <wp:docPr id="435377" name="Group 435377"/>
                <wp:cNvGraphicFramePr/>
                <a:graphic xmlns:a="http://schemas.openxmlformats.org/drawingml/2006/main">
                  <a:graphicData uri="http://schemas.microsoft.com/office/word/2010/wordprocessingGroup">
                    <wpg:wgp>
                      <wpg:cNvGrpSpPr/>
                      <wpg:grpSpPr>
                        <a:xfrm>
                          <a:off x="0" y="0"/>
                          <a:ext cx="5920753" cy="6096"/>
                          <a:chOff x="0" y="0"/>
                          <a:chExt cx="5920753" cy="6096"/>
                        </a:xfrm>
                      </wpg:grpSpPr>
                      <wps:wsp>
                        <wps:cNvPr id="657819" name="Shape 657819"/>
                        <wps:cNvSpPr/>
                        <wps:spPr>
                          <a:xfrm>
                            <a:off x="0" y="0"/>
                            <a:ext cx="1152144" cy="9144"/>
                          </a:xfrm>
                          <a:custGeom>
                            <a:avLst/>
                            <a:gdLst/>
                            <a:ahLst/>
                            <a:cxnLst/>
                            <a:rect l="0" t="0" r="0" b="0"/>
                            <a:pathLst>
                              <a:path w="1152144" h="9144">
                                <a:moveTo>
                                  <a:pt x="0" y="0"/>
                                </a:moveTo>
                                <a:lnTo>
                                  <a:pt x="1152144" y="0"/>
                                </a:lnTo>
                                <a:lnTo>
                                  <a:pt x="1152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20" name="Shape 657820"/>
                        <wps:cNvSpPr/>
                        <wps:spPr>
                          <a:xfrm>
                            <a:off x="1260348" y="0"/>
                            <a:ext cx="1420368" cy="9144"/>
                          </a:xfrm>
                          <a:custGeom>
                            <a:avLst/>
                            <a:gdLst/>
                            <a:ahLst/>
                            <a:cxnLst/>
                            <a:rect l="0" t="0" r="0" b="0"/>
                            <a:pathLst>
                              <a:path w="1420368" h="9144">
                                <a:moveTo>
                                  <a:pt x="0" y="0"/>
                                </a:moveTo>
                                <a:lnTo>
                                  <a:pt x="1420368" y="0"/>
                                </a:lnTo>
                                <a:lnTo>
                                  <a:pt x="14203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21" name="Shape 657821"/>
                        <wps:cNvSpPr/>
                        <wps:spPr>
                          <a:xfrm>
                            <a:off x="2790444" y="0"/>
                            <a:ext cx="882396" cy="9144"/>
                          </a:xfrm>
                          <a:custGeom>
                            <a:avLst/>
                            <a:gdLst/>
                            <a:ahLst/>
                            <a:cxnLst/>
                            <a:rect l="0" t="0" r="0" b="0"/>
                            <a:pathLst>
                              <a:path w="882396" h="9144">
                                <a:moveTo>
                                  <a:pt x="0" y="0"/>
                                </a:moveTo>
                                <a:lnTo>
                                  <a:pt x="882396" y="0"/>
                                </a:lnTo>
                                <a:lnTo>
                                  <a:pt x="8823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22" name="Shape 657822"/>
                        <wps:cNvSpPr/>
                        <wps:spPr>
                          <a:xfrm>
                            <a:off x="3781044" y="0"/>
                            <a:ext cx="880859" cy="9144"/>
                          </a:xfrm>
                          <a:custGeom>
                            <a:avLst/>
                            <a:gdLst/>
                            <a:ahLst/>
                            <a:cxnLst/>
                            <a:rect l="0" t="0" r="0" b="0"/>
                            <a:pathLst>
                              <a:path w="880859" h="9144">
                                <a:moveTo>
                                  <a:pt x="0" y="0"/>
                                </a:moveTo>
                                <a:lnTo>
                                  <a:pt x="880859" y="0"/>
                                </a:lnTo>
                                <a:lnTo>
                                  <a:pt x="8808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23" name="Shape 657823"/>
                        <wps:cNvSpPr/>
                        <wps:spPr>
                          <a:xfrm>
                            <a:off x="4771644" y="0"/>
                            <a:ext cx="1149109" cy="9144"/>
                          </a:xfrm>
                          <a:custGeom>
                            <a:avLst/>
                            <a:gdLst/>
                            <a:ahLst/>
                            <a:cxnLst/>
                            <a:rect l="0" t="0" r="0" b="0"/>
                            <a:pathLst>
                              <a:path w="1149109" h="9144">
                                <a:moveTo>
                                  <a:pt x="0" y="0"/>
                                </a:moveTo>
                                <a:lnTo>
                                  <a:pt x="1149109" y="0"/>
                                </a:lnTo>
                                <a:lnTo>
                                  <a:pt x="1149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5377" style="width:466.201pt;height:0.480011pt;mso-position-horizontal-relative:char;mso-position-vertical-relative:line" coordsize="59207,60">
                <v:shape id="Shape 657824" style="position:absolute;width:11521;height:91;left:0;top:0;" coordsize="1152144,9144" path="m0,0l1152144,0l1152144,9144l0,9144l0,0">
                  <v:stroke weight="0pt" endcap="flat" joinstyle="miter" miterlimit="10" on="false" color="#000000" opacity="0"/>
                  <v:fill on="true" color="#000000"/>
                </v:shape>
                <v:shape id="Shape 657825" style="position:absolute;width:14203;height:91;left:12603;top:0;" coordsize="1420368,9144" path="m0,0l1420368,0l1420368,9144l0,9144l0,0">
                  <v:stroke weight="0pt" endcap="flat" joinstyle="miter" miterlimit="10" on="false" color="#000000" opacity="0"/>
                  <v:fill on="true" color="#000000"/>
                </v:shape>
                <v:shape id="Shape 657826" style="position:absolute;width:8823;height:91;left:27904;top:0;" coordsize="882396,9144" path="m0,0l882396,0l882396,9144l0,9144l0,0">
                  <v:stroke weight="0pt" endcap="flat" joinstyle="miter" miterlimit="10" on="false" color="#000000" opacity="0"/>
                  <v:fill on="true" color="#000000"/>
                </v:shape>
                <v:shape id="Shape 657827" style="position:absolute;width:8808;height:91;left:37810;top:0;" coordsize="880859,9144" path="m0,0l880859,0l880859,9144l0,9144l0,0">
                  <v:stroke weight="0pt" endcap="flat" joinstyle="miter" miterlimit="10" on="false" color="#000000" opacity="0"/>
                  <v:fill on="true" color="#000000"/>
                </v:shape>
                <v:shape id="Shape 657828" style="position:absolute;width:11491;height:91;left:47716;top:0;" coordsize="1149109,9144" path="m0,0l1149109,0l1149109,9144l0,9144l0,0">
                  <v:stroke weight="0pt" endcap="flat" joinstyle="miter" miterlimit="10" on="false" color="#000000" opacity="0"/>
                  <v:fill on="true" color="#000000"/>
                </v:shape>
              </v:group>
            </w:pict>
          </mc:Fallback>
        </mc:AlternateContent>
      </w:r>
    </w:p>
    <w:p w:rsidR="004D6F0E" w:rsidRDefault="00490F21">
      <w:pPr>
        <w:spacing w:after="173" w:line="259" w:lineRule="auto"/>
        <w:ind w:left="115" w:firstLine="0"/>
      </w:pPr>
      <w:r>
        <w:rPr>
          <w:rFonts w:ascii="Arial" w:eastAsia="Arial" w:hAnsi="Arial" w:cs="Arial"/>
          <w:b/>
          <w:sz w:val="6"/>
        </w:rPr>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p>
    <w:p w:rsidR="004D6F0E" w:rsidRDefault="00490F21">
      <w:pPr>
        <w:shd w:val="clear" w:color="auto" w:fill="D9D9D9"/>
        <w:spacing w:after="11" w:line="250" w:lineRule="auto"/>
        <w:ind w:left="110" w:right="552" w:hanging="10"/>
      </w:pPr>
      <w:r>
        <w:rPr>
          <w:sz w:val="18"/>
        </w:rPr>
        <w:lastRenderedPageBreak/>
        <w:t>歐元對沖股份類別</w:t>
      </w:r>
      <w:r>
        <w:rPr>
          <w:rFonts w:ascii="Arial" w:eastAsia="Arial" w:hAnsi="Arial" w:cs="Arial"/>
          <w:b/>
          <w:sz w:val="18"/>
        </w:rPr>
        <w:t xml:space="preserve"> </w:t>
      </w:r>
    </w:p>
    <w:tbl>
      <w:tblPr>
        <w:tblStyle w:val="TableGrid"/>
        <w:tblW w:w="10680" w:type="dxa"/>
        <w:tblInd w:w="115" w:type="dxa"/>
        <w:tblCellMar>
          <w:top w:w="2" w:type="dxa"/>
          <w:left w:w="0" w:type="dxa"/>
          <w:bottom w:w="0" w:type="dxa"/>
          <w:right w:w="0" w:type="dxa"/>
        </w:tblCellMar>
        <w:tblLook w:val="04A0" w:firstRow="1" w:lastRow="0" w:firstColumn="1" w:lastColumn="0" w:noHBand="0" w:noVBand="1"/>
      </w:tblPr>
      <w:tblGrid>
        <w:gridCol w:w="2503"/>
        <w:gridCol w:w="1721"/>
        <w:gridCol w:w="2467"/>
        <w:gridCol w:w="1481"/>
        <w:gridCol w:w="1380"/>
        <w:gridCol w:w="1128"/>
      </w:tblGrid>
      <w:tr w:rsidR="004D6F0E">
        <w:trPr>
          <w:trHeight w:val="209"/>
        </w:trPr>
        <w:tc>
          <w:tcPr>
            <w:tcW w:w="250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17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b/>
                <w:sz w:val="18"/>
              </w:rPr>
              <w:t xml:space="preserve"> </w:t>
            </w:r>
          </w:p>
        </w:tc>
        <w:tc>
          <w:tcPr>
            <w:tcW w:w="2467" w:type="dxa"/>
            <w:tcBorders>
              <w:top w:val="nil"/>
              <w:left w:val="nil"/>
              <w:bottom w:val="nil"/>
              <w:right w:val="nil"/>
            </w:tcBorders>
          </w:tcPr>
          <w:p w:rsidR="004D6F0E" w:rsidRDefault="00490F21">
            <w:pPr>
              <w:spacing w:after="0" w:line="259" w:lineRule="auto"/>
              <w:ind w:left="408" w:firstLine="0"/>
            </w:pPr>
            <w:r>
              <w:rPr>
                <w:rFonts w:ascii="Arial" w:eastAsia="Arial" w:hAnsi="Arial" w:cs="Arial"/>
                <w:sz w:val="18"/>
              </w:rPr>
              <w:t xml:space="preserve">2,000 </w:t>
            </w:r>
            <w:r>
              <w:rPr>
                <w:sz w:val="18"/>
              </w:rPr>
              <w:t>歐元</w:t>
            </w:r>
            <w:r>
              <w:rPr>
                <w:rFonts w:ascii="Arial" w:eastAsia="Arial" w:hAnsi="Arial" w:cs="Arial"/>
                <w:b/>
                <w:sz w:val="18"/>
              </w:rPr>
              <w:t xml:space="preserve"> </w:t>
            </w:r>
          </w:p>
        </w:tc>
        <w:tc>
          <w:tcPr>
            <w:tcW w:w="148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b/>
                <w:sz w:val="18"/>
              </w:rPr>
              <w:t xml:space="preserve"> </w:t>
            </w:r>
          </w:p>
        </w:tc>
        <w:tc>
          <w:tcPr>
            <w:tcW w:w="1380" w:type="dxa"/>
            <w:tcBorders>
              <w:top w:val="nil"/>
              <w:left w:val="nil"/>
              <w:bottom w:val="nil"/>
              <w:right w:val="nil"/>
            </w:tcBorders>
          </w:tcPr>
          <w:p w:rsidR="004D6F0E" w:rsidRDefault="00490F21">
            <w:pPr>
              <w:spacing w:after="0" w:line="259" w:lineRule="auto"/>
              <w:ind w:left="341" w:firstLine="0"/>
            </w:pPr>
            <w:r>
              <w:rPr>
                <w:sz w:val="18"/>
              </w:rPr>
              <w:t>無</w:t>
            </w:r>
            <w:r>
              <w:rPr>
                <w:rFonts w:ascii="Arial" w:eastAsia="Arial" w:hAnsi="Arial" w:cs="Arial"/>
                <w:b/>
                <w:sz w:val="18"/>
              </w:rPr>
              <w:t xml:space="preserve"> </w:t>
            </w:r>
          </w:p>
        </w:tc>
        <w:tc>
          <w:tcPr>
            <w:tcW w:w="1128" w:type="dxa"/>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0.05%</w:t>
            </w:r>
            <w:r>
              <w:rPr>
                <w:rFonts w:ascii="Arial" w:eastAsia="Arial" w:hAnsi="Arial" w:cs="Arial"/>
                <w:b/>
                <w:sz w:val="18"/>
              </w:rPr>
              <w:t xml:space="preserve"> </w:t>
            </w:r>
          </w:p>
        </w:tc>
      </w:tr>
    </w:tbl>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11"/>
        </w:numPr>
        <w:ind w:right="13" w:hanging="360"/>
        <w:jc w:val="both"/>
      </w:pP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r>
      <w:r>
        <w:rPr>
          <w:rFonts w:ascii="Arial" w:eastAsia="Arial" w:hAnsi="Arial" w:cs="Arial"/>
          <w:sz w:val="18"/>
        </w:rPr>
        <w:t>***</w:t>
      </w: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p w:rsidR="004D6F0E" w:rsidRDefault="00490F21">
      <w:pPr>
        <w:spacing w:after="5143"/>
        <w:ind w:left="-3" w:right="13" w:hanging="10"/>
        <w:jc w:val="both"/>
      </w:pPr>
      <w:r>
        <w:rPr>
          <w:rFonts w:ascii="Arial" w:eastAsia="Arial" w:hAnsi="Arial" w:cs="Arial"/>
          <w:sz w:val="18"/>
        </w:rPr>
        <w:t>**</w:t>
      </w: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1173" w:firstLine="0"/>
      </w:pPr>
      <w:r>
        <w:rPr>
          <w:rFonts w:ascii="Arial" w:eastAsia="Arial" w:hAnsi="Arial" w:cs="Arial"/>
          <w:sz w:val="12"/>
        </w:rPr>
        <w:t xml:space="preserve">    </w:t>
      </w:r>
    </w:p>
    <w:p w:rsidR="004D6F0E" w:rsidRDefault="004D6F0E">
      <w:pPr>
        <w:sectPr w:rsidR="004D6F0E">
          <w:headerReference w:type="even" r:id="rId62"/>
          <w:headerReference w:type="default" r:id="rId63"/>
          <w:footerReference w:type="even" r:id="rId64"/>
          <w:footerReference w:type="default" r:id="rId65"/>
          <w:headerReference w:type="first" r:id="rId66"/>
          <w:footerReference w:type="first" r:id="rId67"/>
          <w:pgSz w:w="12240" w:h="15840"/>
          <w:pgMar w:top="1440" w:right="496" w:bottom="1440" w:left="432" w:header="720" w:footer="354" w:gutter="0"/>
          <w:cols w:space="720"/>
          <w:titlePg/>
        </w:sectPr>
      </w:pPr>
    </w:p>
    <w:p w:rsidR="004D6F0E" w:rsidRDefault="00490F21">
      <w:pPr>
        <w:spacing w:after="17" w:line="259" w:lineRule="auto"/>
        <w:ind w:left="0" w:firstLine="0"/>
      </w:pPr>
      <w:r>
        <w:rPr>
          <w:rFonts w:ascii="Arial" w:eastAsia="Arial" w:hAnsi="Arial" w:cs="Arial"/>
          <w:sz w:val="20"/>
        </w:rPr>
        <w:t xml:space="preserve"> </w:t>
      </w:r>
    </w:p>
    <w:p w:rsidR="004D6F0E" w:rsidRDefault="00490F21">
      <w:pPr>
        <w:pStyle w:val="Heading3"/>
        <w:ind w:left="14"/>
      </w:pPr>
      <w:r>
        <w:t>其他基金資料</w:t>
      </w:r>
      <w:r>
        <w:rPr>
          <w:rFonts w:ascii="Arial" w:eastAsia="Arial" w:hAnsi="Arial" w:cs="Arial"/>
        </w:rPr>
        <w:t xml:space="preserve"> </w:t>
      </w:r>
    </w:p>
    <w:p w:rsidR="004D6F0E" w:rsidRDefault="00490F21">
      <w:pPr>
        <w:spacing w:after="102"/>
        <w:ind w:left="11" w:right="2"/>
      </w:pPr>
      <w:r>
        <w:t>主要投資類別</w:t>
      </w:r>
      <w:r>
        <w:rPr>
          <w:rFonts w:ascii="Arial" w:eastAsia="Arial" w:hAnsi="Arial" w:cs="Arial"/>
          <w:b/>
        </w:rPr>
        <w:t xml:space="preserve"> </w:t>
      </w:r>
    </w:p>
    <w:p w:rsidR="004D6F0E" w:rsidRDefault="00490F21">
      <w:pPr>
        <w:spacing w:after="102" w:line="273" w:lineRule="auto"/>
        <w:ind w:left="14" w:right="41"/>
        <w:jc w:val="both"/>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65"/>
        <w:ind w:left="11" w:right="2"/>
      </w:pPr>
      <w:r>
        <w:t>風險資料</w:t>
      </w:r>
      <w:r>
        <w:rPr>
          <w:rFonts w:ascii="Arial" w:eastAsia="Arial" w:hAnsi="Arial" w:cs="Arial"/>
          <w:b/>
        </w:rPr>
        <w:t xml:space="preserve"> </w:t>
      </w:r>
    </w:p>
    <w:p w:rsidR="004D6F0E" w:rsidRDefault="00490F21">
      <w:pPr>
        <w:spacing w:after="102"/>
        <w:ind w:left="11" w:right="2"/>
      </w:pPr>
      <w:r>
        <w:rPr>
          <w:sz w:val="18"/>
        </w:rPr>
        <w:t>本基金的股本</w:t>
      </w:r>
      <w:r>
        <w:t>投資須承受股本投資固有的較高風險。一般而言，股本投資的價值或會因應個別公司的業務及業績或因難於預測的整體市場、經濟、政治及自然狀況而波動，有時甚至會大幅波動。此等因素包括突然或長期市場下滑及與個別公司相關的</w:t>
      </w:r>
      <w:r>
        <w:t>風險。一直以來，股本證券的長期回報及短期風險一向高於其他投資工具。</w:t>
      </w:r>
      <w:r>
        <w:rPr>
          <w:rFonts w:ascii="Arial" w:eastAsia="Arial" w:hAnsi="Arial" w:cs="Arial"/>
        </w:rPr>
        <w:t xml:space="preserve"> </w:t>
      </w:r>
    </w:p>
    <w:p w:rsidR="004D6F0E" w:rsidRDefault="00490F21">
      <w:pPr>
        <w:spacing w:after="100"/>
        <w:ind w:left="11" w:right="2"/>
      </w:pPr>
      <w:r>
        <w:t>本基金須承受市場、利率及貨幣波動及證券投資固有的其他風險。因此，不能保證投資目標將獲達致、投資資本將得以保全或資本得以增值。每月、每季或每年的投資業績均可能出現重大變化。本基金內的投資並非代表完整的投資計劃。</w:t>
      </w:r>
      <w:r>
        <w:rPr>
          <w:rFonts w:ascii="Arial" w:eastAsia="Arial" w:hAnsi="Arial" w:cs="Arial"/>
        </w:rPr>
        <w:t xml:space="preserve"> </w:t>
      </w:r>
    </w:p>
    <w:p w:rsidR="004D6F0E" w:rsidRDefault="00490F21">
      <w:pPr>
        <w:spacing w:after="108"/>
        <w:ind w:left="11" w:right="2"/>
      </w:pPr>
      <w:r>
        <w:t>有關概述本基金主要風險的</w:t>
      </w:r>
      <w:r>
        <w:t>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64"/>
        <w:ind w:left="11" w:right="2"/>
      </w:pPr>
      <w:r>
        <w:t>典型投資者的資料</w:t>
      </w:r>
      <w:r>
        <w:rPr>
          <w:rFonts w:ascii="Arial" w:eastAsia="Arial" w:hAnsi="Arial" w:cs="Arial"/>
          <w:b/>
        </w:rPr>
        <w:t xml:space="preserve"> </w:t>
      </w:r>
    </w:p>
    <w:p w:rsidR="004D6F0E" w:rsidRDefault="00490F21">
      <w:pPr>
        <w:spacing w:after="57"/>
        <w:ind w:left="11" w:right="2"/>
      </w:pPr>
      <w:r>
        <w:rPr>
          <w:sz w:val="18"/>
        </w:rPr>
        <w:t>本基金</w:t>
      </w:r>
      <w:r>
        <w:t>適合尋求中長期股本投資回報且能承受較高風險的投資者。有關本基金是否適合其投資需要，投資者敬請諮詢其獨立財務顧問。派息</w:t>
      </w:r>
      <w:r>
        <w:rPr>
          <w:rFonts w:ascii="Arial" w:eastAsia="Arial" w:hAnsi="Arial" w:cs="Arial"/>
          <w:b/>
        </w:rPr>
        <w:t xml:space="preserve"> </w:t>
      </w:r>
    </w:p>
    <w:p w:rsidR="004D6F0E" w:rsidRDefault="00490F21">
      <w:pPr>
        <w:spacing w:after="76"/>
        <w:ind w:left="11" w:right="2"/>
      </w:pPr>
      <w:r>
        <w:lastRenderedPageBreak/>
        <w:t>管理公司現時無意就股份派付股息。因此，股份應佔的任何淨收入及淨實現利潤均將於此等股份各自的資產淨值中反映。管理公司、行政管理人、存管人及過戶代理費用</w:t>
      </w:r>
      <w:r>
        <w:rPr>
          <w:rFonts w:ascii="Arial" w:eastAsia="Arial" w:hAnsi="Arial" w:cs="Arial"/>
          <w:b/>
        </w:rPr>
        <w:t xml:space="preserve"> </w:t>
      </w:r>
    </w:p>
    <w:p w:rsidR="004D6F0E" w:rsidRDefault="00490F21">
      <w:pPr>
        <w:spacing w:after="102" w:line="273" w:lineRule="auto"/>
        <w:ind w:left="14" w:right="41"/>
        <w:jc w:val="both"/>
      </w:pPr>
      <w:r>
        <w:t>就除</w:t>
      </w:r>
      <w:r>
        <w:t xml:space="preserve"> </w:t>
      </w:r>
      <w:r>
        <w:rPr>
          <w:rFonts w:ascii="Arial" w:eastAsia="Arial" w:hAnsi="Arial" w:cs="Arial"/>
        </w:rPr>
        <w:t xml:space="preserve">S </w:t>
      </w:r>
      <w:r>
        <w:t>及</w:t>
      </w:r>
      <w:r>
        <w:t xml:space="preserve"> </w:t>
      </w:r>
      <w:r>
        <w:rPr>
          <w:rFonts w:ascii="Arial" w:eastAsia="Arial" w:hAnsi="Arial" w:cs="Arial"/>
        </w:rPr>
        <w:t xml:space="preserve">S1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w:t>
      </w:r>
      <w:r>
        <w:t>為日均資產淨值的</w:t>
      </w:r>
      <w:r>
        <w:t xml:space="preserve"> </w:t>
      </w:r>
      <w:r>
        <w:rPr>
          <w:rFonts w:ascii="Arial" w:eastAsia="Arial" w:hAnsi="Arial" w:cs="Arial"/>
        </w:rPr>
        <w:t>0.10%</w:t>
      </w:r>
      <w:r>
        <w:t>。管理公司按</w:t>
      </w:r>
      <w:r>
        <w:t xml:space="preserve"> </w:t>
      </w:r>
      <w:r>
        <w:rPr>
          <w:rFonts w:ascii="Arial" w:eastAsia="Arial" w:hAnsi="Arial" w:cs="Arial"/>
        </w:rPr>
        <w:t xml:space="preserve">S </w:t>
      </w:r>
      <w:r>
        <w:t>及</w:t>
      </w:r>
      <w:r>
        <w:t xml:space="preserve"> </w:t>
      </w:r>
      <w:r>
        <w:rPr>
          <w:rFonts w:ascii="Arial" w:eastAsia="Arial" w:hAnsi="Arial" w:cs="Arial"/>
        </w:rPr>
        <w:t xml:space="preserve">S1 </w:t>
      </w:r>
      <w:r>
        <w:t>類股份應佔的總資產淨值自本基金資產獲付一項年費，數額為</w:t>
      </w:r>
      <w:r>
        <w:t xml:space="preserve"> </w:t>
      </w:r>
      <w:r>
        <w:rPr>
          <w:rFonts w:ascii="Arial" w:eastAsia="Arial" w:hAnsi="Arial" w:cs="Arial"/>
        </w:rPr>
        <w:t xml:space="preserve">50,000 </w:t>
      </w:r>
      <w:r>
        <w:t>美元或日均資產淨值的</w:t>
      </w:r>
      <w:r>
        <w:t xml:space="preserve"> </w:t>
      </w:r>
      <w:r>
        <w:rPr>
          <w:rFonts w:ascii="Arial" w:eastAsia="Arial" w:hAnsi="Arial" w:cs="Arial"/>
        </w:rPr>
        <w:t>0.01%</w:t>
      </w:r>
      <w:r>
        <w:t>（以較低者為準）。</w:t>
      </w:r>
      <w:r>
        <w:rPr>
          <w:rFonts w:ascii="Arial" w:eastAsia="Arial" w:hAnsi="Arial" w:cs="Arial"/>
        </w:rPr>
        <w:t xml:space="preserve"> </w:t>
      </w:r>
    </w:p>
    <w:p w:rsidR="004D6F0E" w:rsidRDefault="00490F21">
      <w:pPr>
        <w:spacing w:after="58" w:line="273" w:lineRule="auto"/>
        <w:ind w:left="14" w:right="41"/>
        <w:jc w:val="both"/>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部分「行政管理人、存管人及過戶代理費用」所規定的固定最高金額。此等費用須遵守以上「摘要資料</w:t>
      </w:r>
      <w:r>
        <w:rPr>
          <w:rFonts w:ascii="Arial" w:eastAsia="Arial" w:hAnsi="Arial" w:cs="Arial"/>
        </w:rPr>
        <w:t xml:space="preserve"> —</w:t>
      </w:r>
      <w:r>
        <w:t>股份類別費用及收費」附註</w:t>
      </w:r>
      <w:r>
        <w:t xml:space="preserve"> </w:t>
      </w:r>
      <w:r>
        <w:rPr>
          <w:rFonts w:ascii="Arial" w:eastAsia="Arial" w:hAnsi="Arial" w:cs="Arial"/>
        </w:rPr>
        <w:t xml:space="preserve">1 </w:t>
      </w:r>
      <w:r>
        <w:t>所述的開支限制，並可能減少或增加，取決於本基金的資產和交易量或其他原因。設立開支</w:t>
      </w:r>
      <w:r>
        <w:rPr>
          <w:rFonts w:ascii="Arial" w:eastAsia="Arial" w:hAnsi="Arial" w:cs="Arial"/>
          <w:b/>
        </w:rPr>
        <w:t xml:space="preserve"> </w:t>
      </w:r>
    </w:p>
    <w:p w:rsidR="004D6F0E" w:rsidRDefault="00490F21">
      <w:pPr>
        <w:spacing w:after="105"/>
        <w:ind w:left="11" w:right="2"/>
      </w:pPr>
      <w:r>
        <w:t>本基金並無未攤銷</w:t>
      </w:r>
      <w:r>
        <w:t>設立開支。</w:t>
      </w:r>
      <w:r>
        <w:rPr>
          <w:rFonts w:ascii="Arial" w:eastAsia="Arial" w:hAnsi="Arial" w:cs="Arial"/>
        </w:rPr>
        <w:t xml:space="preserve"> </w:t>
      </w:r>
    </w:p>
    <w:p w:rsidR="004D6F0E" w:rsidRDefault="00490F21">
      <w:pPr>
        <w:spacing w:after="72"/>
        <w:ind w:left="11" w:right="2"/>
      </w:pPr>
      <w:r>
        <w:t>過往表現</w:t>
      </w:r>
      <w:r>
        <w:rPr>
          <w:rFonts w:ascii="Arial" w:eastAsia="Arial" w:hAnsi="Arial" w:cs="Arial"/>
          <w:b/>
        </w:rPr>
        <w:t xml:space="preserve"> </w:t>
      </w:r>
    </w:p>
    <w:p w:rsidR="004D6F0E" w:rsidRDefault="00490F21">
      <w:pPr>
        <w:spacing w:after="122" w:line="254" w:lineRule="auto"/>
        <w:ind w:left="8" w:hanging="10"/>
      </w:pPr>
      <w:r>
        <w:t>有關本基金過往表現的資料可瀏覽</w:t>
      </w:r>
      <w:r>
        <w:t xml:space="preserve"> </w:t>
      </w:r>
      <w:hyperlink r:id="rId68">
        <w:r>
          <w:rPr>
            <w:rFonts w:ascii="Arial" w:eastAsia="Arial" w:hAnsi="Arial" w:cs="Arial"/>
            <w:color w:val="0000FF"/>
            <w:u w:val="single" w:color="0000FF"/>
          </w:rPr>
          <w:t>www.alliancebernstein.com</w:t>
        </w:r>
      </w:hyperlink>
      <w:hyperlink r:id="rId69">
        <w:r>
          <w:t>。</w:t>
        </w:r>
      </w:hyperlink>
      <w:r>
        <w:rPr>
          <w:rFonts w:ascii="Arial" w:eastAsia="Arial" w:hAnsi="Arial" w:cs="Arial"/>
        </w:rPr>
        <w:t xml:space="preserve"> </w:t>
      </w:r>
    </w:p>
    <w:p w:rsidR="004D6F0E" w:rsidRDefault="00490F21">
      <w:pPr>
        <w:spacing w:after="69"/>
        <w:ind w:left="11" w:right="2"/>
      </w:pPr>
      <w:r>
        <w:t>歷史</w:t>
      </w:r>
      <w:r>
        <w:rPr>
          <w:rFonts w:ascii="Arial" w:eastAsia="Arial" w:hAnsi="Arial" w:cs="Arial"/>
          <w:b/>
        </w:rPr>
        <w:t xml:space="preserve"> </w:t>
      </w:r>
    </w:p>
    <w:p w:rsidR="004D6F0E" w:rsidRDefault="00490F21">
      <w:pPr>
        <w:spacing w:after="102" w:line="273" w:lineRule="auto"/>
        <w:ind w:left="14" w:right="41"/>
        <w:jc w:val="both"/>
      </w:pPr>
      <w:r>
        <w:t>本基金於二零零二年七月十五日設立，作為</w:t>
      </w:r>
      <w:r>
        <w:t xml:space="preserve"> </w:t>
      </w:r>
      <w:r>
        <w:rPr>
          <w:rFonts w:ascii="Arial" w:eastAsia="Arial" w:hAnsi="Arial" w:cs="Arial"/>
        </w:rPr>
        <w:t xml:space="preserve">ACM Bernstein Blended Style Investments </w:t>
      </w:r>
      <w:r>
        <w:t>下的一項基金。</w:t>
      </w:r>
      <w:r>
        <w:rPr>
          <w:rFonts w:ascii="Arial" w:eastAsia="Arial" w:hAnsi="Arial" w:cs="Arial"/>
        </w:rPr>
        <w:t xml:space="preserve">ACM Bernstein Blended Style Investments </w:t>
      </w:r>
      <w:r>
        <w:t>乃一項由管理公司管理、根據盧森堡大公國法律成立的互惠投資基金，名為「環球股票基金」。二零零三年九月一日，</w:t>
      </w:r>
      <w:r>
        <w:rPr>
          <w:rFonts w:ascii="Arial" w:eastAsia="Arial" w:hAnsi="Arial" w:cs="Arial"/>
        </w:rPr>
        <w:t xml:space="preserve">ACM Bernstein Blended Style Investments </w:t>
      </w:r>
      <w:r>
        <w:t>併入本傘子基金，環球股票基金的資產被併入本傘子基金內新設立的基金－環球策略基金。二零零四年十一月十日，環球策略基金易名為「環球股票策略基金」。</w:t>
      </w:r>
      <w:r>
        <w:rPr>
          <w:rFonts w:ascii="Arial" w:eastAsia="Arial" w:hAnsi="Arial" w:cs="Arial"/>
        </w:rPr>
        <w:t xml:space="preserve"> </w:t>
      </w:r>
    </w:p>
    <w:p w:rsidR="004D6F0E" w:rsidRDefault="00490F21">
      <w:pPr>
        <w:spacing w:after="123" w:line="226" w:lineRule="auto"/>
        <w:ind w:left="0" w:right="5279" w:firstLine="0"/>
      </w:pPr>
      <w:r>
        <w:rPr>
          <w:rFonts w:ascii="Times New Roman" w:eastAsia="Times New Roman" w:hAnsi="Times New Roman" w:cs="Times New Roman"/>
          <w:sz w:val="18"/>
        </w:rPr>
        <w:t xml:space="preserve"> </w:t>
      </w:r>
      <w:r>
        <w:rPr>
          <w:rFonts w:ascii="SimSun" w:eastAsia="SimSun" w:hAnsi="SimSun" w:cs="SimSun"/>
        </w:rPr>
        <w:t xml:space="preserve"> </w:t>
      </w:r>
    </w:p>
    <w:p w:rsidR="004D6F0E" w:rsidRDefault="00490F21">
      <w:pPr>
        <w:pStyle w:val="Heading2"/>
        <w:spacing w:after="136" w:line="459" w:lineRule="auto"/>
        <w:ind w:left="8"/>
      </w:pPr>
      <w:r>
        <w:t>聯博</w:t>
      </w:r>
      <w:r>
        <w:rPr>
          <w:rFonts w:ascii="Arial" w:eastAsia="Arial" w:hAnsi="Arial" w:cs="Arial"/>
        </w:rPr>
        <w:t>—</w:t>
      </w:r>
      <w:r>
        <w:t>新興市場增長基金</w:t>
      </w:r>
      <w:r>
        <w:rPr>
          <w:sz w:val="23"/>
        </w:rPr>
        <w:t>投資目標及政策</w:t>
      </w:r>
      <w:r>
        <w:rPr>
          <w:rFonts w:ascii="Arial" w:eastAsia="Arial" w:hAnsi="Arial" w:cs="Arial"/>
          <w:sz w:val="23"/>
        </w:rPr>
        <w:t xml:space="preserve"> </w:t>
      </w:r>
    </w:p>
    <w:p w:rsidR="004D6F0E" w:rsidRDefault="00490F21">
      <w:pPr>
        <w:spacing w:after="123"/>
        <w:ind w:left="11" w:right="2"/>
      </w:pPr>
      <w:r>
        <w:t>投資目標</w:t>
      </w:r>
      <w:r>
        <w:rPr>
          <w:rFonts w:ascii="Arial" w:eastAsia="Arial" w:hAnsi="Arial" w:cs="Arial"/>
          <w:b/>
        </w:rPr>
        <w:t xml:space="preserve"> </w:t>
      </w:r>
    </w:p>
    <w:p w:rsidR="004D6F0E" w:rsidRDefault="00490F21">
      <w:pPr>
        <w:spacing w:after="64"/>
        <w:ind w:left="11" w:right="2"/>
      </w:pPr>
      <w:r>
        <w:t>本基金尋求長期資本增值。</w:t>
      </w:r>
      <w:r>
        <w:rPr>
          <w:rFonts w:ascii="Arial" w:eastAsia="Arial" w:hAnsi="Arial" w:cs="Arial"/>
        </w:rPr>
        <w:t xml:space="preserve"> </w:t>
      </w:r>
    </w:p>
    <w:p w:rsidR="004D6F0E" w:rsidRDefault="00490F21">
      <w:pPr>
        <w:spacing w:after="63"/>
        <w:ind w:left="11" w:right="2"/>
      </w:pPr>
      <w:r>
        <w:t>投資政策</w:t>
      </w:r>
      <w:r>
        <w:rPr>
          <w:rFonts w:ascii="Arial" w:eastAsia="Arial" w:hAnsi="Arial" w:cs="Arial"/>
          <w:b/>
        </w:rPr>
        <w:t xml:space="preserve"> </w:t>
      </w:r>
    </w:p>
    <w:p w:rsidR="004D6F0E" w:rsidRDefault="00490F21">
      <w:pPr>
        <w:spacing w:after="60" w:line="273" w:lineRule="auto"/>
        <w:ind w:left="14" w:right="41"/>
        <w:jc w:val="both"/>
      </w:pPr>
      <w:r>
        <w:t>本基金擬透過投資於新興市場公司的股本證券組合，實現其投資目標。新興市場包括但不限於</w:t>
      </w:r>
      <w:r>
        <w:t xml:space="preserve"> </w:t>
      </w:r>
      <w:r>
        <w:rPr>
          <w:rFonts w:ascii="Arial" w:eastAsia="Arial" w:hAnsi="Arial" w:cs="Arial"/>
        </w:rPr>
        <w:t xml:space="preserve">MSCI </w:t>
      </w:r>
      <w:r>
        <w:t>新興市場指數涵括的國家。本基金亦可不時投資於前緣市場。前緣市場包括但不限於標普前緣泛市場指數（</w:t>
      </w:r>
      <w:r>
        <w:rPr>
          <w:rFonts w:ascii="Arial" w:eastAsia="Arial" w:hAnsi="Arial" w:cs="Arial"/>
        </w:rPr>
        <w:t>S&amp;P Frontier Broad Market Index</w:t>
      </w:r>
      <w:r>
        <w:t>）涵括的國家。在揀選投資證券時，投資管理人尋求投資於其認為可錄得長期增長的優質發行人。</w:t>
      </w:r>
      <w:r>
        <w:rPr>
          <w:rFonts w:ascii="Arial" w:eastAsia="Arial" w:hAnsi="Arial" w:cs="Arial"/>
        </w:rPr>
        <w:t xml:space="preserve"> </w:t>
      </w:r>
    </w:p>
    <w:p w:rsidR="004D6F0E" w:rsidRDefault="00490F21">
      <w:pPr>
        <w:spacing w:after="61"/>
        <w:ind w:left="11" w:right="2"/>
      </w:pPr>
      <w:r>
        <w:t>正常市況下，投資管理人預期本基金的總資產將主要投資於新興市場及前緣市場公司的股本</w:t>
      </w:r>
      <w:r>
        <w:t>證券。本基金最少三分之二的資產將投資於新興市場發行人，最少</w:t>
      </w:r>
      <w:r>
        <w:t xml:space="preserve"> </w:t>
      </w:r>
      <w:r>
        <w:rPr>
          <w:rFonts w:ascii="Arial" w:eastAsia="Arial" w:hAnsi="Arial" w:cs="Arial"/>
        </w:rPr>
        <w:t>50%</w:t>
      </w:r>
      <w:r>
        <w:t>的淨資產投資於股本證券。新興市場及前緣市場公司包括</w:t>
      </w:r>
      <w:r>
        <w:rPr>
          <w:rFonts w:ascii="Arial" w:eastAsia="Arial" w:hAnsi="Arial" w:cs="Arial"/>
        </w:rPr>
        <w:t>(i)</w:t>
      </w:r>
      <w:r>
        <w:t>於新興市場或前緣市場註冊或成立；</w:t>
      </w:r>
      <w:r>
        <w:rPr>
          <w:rFonts w:ascii="Arial" w:eastAsia="Arial" w:hAnsi="Arial" w:cs="Arial"/>
        </w:rPr>
        <w:t>(ii)</w:t>
      </w:r>
      <w:r>
        <w:t>於新興市場或前緣市場成立並開展業務活動；</w:t>
      </w:r>
      <w:r>
        <w:rPr>
          <w:rFonts w:ascii="Arial" w:eastAsia="Arial" w:hAnsi="Arial" w:cs="Arial"/>
        </w:rPr>
        <w:t>(iii)</w:t>
      </w:r>
      <w:r>
        <w:t>於新興市場或前緣市場開展其大部分經濟活動；或</w:t>
      </w:r>
      <w:r>
        <w:rPr>
          <w:rFonts w:ascii="Arial" w:eastAsia="Arial" w:hAnsi="Arial" w:cs="Arial"/>
        </w:rPr>
        <w:t>(iv)</w:t>
      </w:r>
      <w:r>
        <w:t>擁有受新興市場或前緣市場經濟發展重大影響的業務的公司。</w:t>
      </w:r>
      <w:r>
        <w:rPr>
          <w:rFonts w:ascii="Arial" w:eastAsia="Arial" w:hAnsi="Arial" w:cs="Arial"/>
        </w:rPr>
        <w:t xml:space="preserve"> </w:t>
      </w:r>
    </w:p>
    <w:p w:rsidR="004D6F0E" w:rsidRDefault="00490F21">
      <w:pPr>
        <w:spacing w:after="61"/>
        <w:ind w:left="11" w:right="2"/>
      </w:pPr>
      <w:r>
        <w:t>本基金可投資於普通股，包括進行首次公開發售公司的股票、可轉換為普通股的證券、優先股、房地產投資信託基金（「房地產投資信託基金」）的股本證券、預託證券（包括美國預託證券及環球預託證券）、符合</w:t>
      </w:r>
      <w:r>
        <w:t xml:space="preserve"> </w:t>
      </w:r>
      <w:r>
        <w:rPr>
          <w:rFonts w:ascii="Arial" w:eastAsia="Arial" w:hAnsi="Arial" w:cs="Arial"/>
        </w:rPr>
        <w:t xml:space="preserve">UCITS </w:t>
      </w:r>
      <w:r>
        <w:t>資格或屬於《二零一零年法律》第</w:t>
      </w:r>
      <w:r>
        <w:t xml:space="preserve"> </w:t>
      </w:r>
      <w:r>
        <w:rPr>
          <w:rFonts w:ascii="Arial" w:eastAsia="Arial" w:hAnsi="Arial" w:cs="Arial"/>
        </w:rPr>
        <w:t>41(1)e)</w:t>
      </w:r>
      <w:r>
        <w:t>條所界定的合資格</w:t>
      </w:r>
      <w:r>
        <w:t xml:space="preserve"> </w:t>
      </w:r>
      <w:r>
        <w:rPr>
          <w:rFonts w:ascii="Arial" w:eastAsia="Arial" w:hAnsi="Arial" w:cs="Arial"/>
        </w:rPr>
        <w:t xml:space="preserve">UCI </w:t>
      </w:r>
      <w:r>
        <w:t>的交易所買賣基金（「交易所買賣基金」）以及金融衍生工具。</w:t>
      </w:r>
      <w:r>
        <w:rPr>
          <w:rFonts w:ascii="Arial" w:eastAsia="Arial" w:hAnsi="Arial" w:cs="Arial"/>
        </w:rPr>
        <w:t xml:space="preserve"> </w:t>
      </w:r>
    </w:p>
    <w:p w:rsidR="004D6F0E" w:rsidRDefault="00490F21">
      <w:pPr>
        <w:spacing w:after="62"/>
        <w:ind w:left="11" w:right="2"/>
      </w:pPr>
      <w:r>
        <w:t>貨幣管理。本基金可利用貨幣管理技術對沖貨幣風險或提供較相關股票持倉為多的投資機會。</w:t>
      </w:r>
      <w:r>
        <w:rPr>
          <w:rFonts w:ascii="Arial" w:eastAsia="Arial" w:hAnsi="Arial" w:cs="Arial"/>
        </w:rPr>
        <w:t xml:space="preserve"> </w:t>
      </w:r>
    </w:p>
    <w:p w:rsidR="004D6F0E" w:rsidRDefault="00490F21">
      <w:pPr>
        <w:spacing w:after="61"/>
        <w:ind w:left="11" w:right="2"/>
      </w:pPr>
      <w:r>
        <w:lastRenderedPageBreak/>
        <w:t>金融衍生工具／有效基金管理技術。投資管理人實施本基金投資策略時，或會使用衍生產品和策略。此等</w:t>
      </w:r>
      <w:r>
        <w:t>金融衍生工具（包括場外市場衍生工具和交易所買賣金融衍生工具）可能包括但不限於期權、期貨、遠期及掉期，包括股本證券及貨幣交易，以及「本地存取產品」（如股權連結票據、參與票據和權證）。該等金融衍生工具及有效基金管理技術主要</w:t>
      </w:r>
      <w:r>
        <w:rPr>
          <w:rFonts w:ascii="Arial" w:eastAsia="Arial" w:hAnsi="Arial" w:cs="Arial"/>
        </w:rPr>
        <w:t>(i)</w:t>
      </w:r>
      <w:r>
        <w:t>用作直接投資於相關投資的替代性投資，</w:t>
      </w:r>
      <w:r>
        <w:rPr>
          <w:rFonts w:ascii="Arial" w:eastAsia="Arial" w:hAnsi="Arial" w:cs="Arial"/>
        </w:rPr>
        <w:t>(ii)</w:t>
      </w:r>
      <w:r>
        <w:t>用於對沖股票市場風險、特定發行人風險和貨幣波動及</w:t>
      </w:r>
      <w:r>
        <w:rPr>
          <w:rFonts w:ascii="Arial" w:eastAsia="Arial" w:hAnsi="Arial" w:cs="Arial"/>
        </w:rPr>
        <w:t>(iii)</w:t>
      </w:r>
      <w:r>
        <w:t>用作有效基金管理用途。</w:t>
      </w:r>
      <w:r>
        <w:rPr>
          <w:rFonts w:ascii="Arial" w:eastAsia="Arial" w:hAnsi="Arial" w:cs="Arial"/>
        </w:rPr>
        <w:t xml:space="preserve"> </w:t>
      </w:r>
    </w:p>
    <w:p w:rsidR="004D6F0E" w:rsidRDefault="00490F21">
      <w:pPr>
        <w:ind w:left="11" w:right="2"/>
      </w:pPr>
      <w:r>
        <w:t>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w:t>
      </w:r>
      <w:r>
        <w:t>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tbl>
      <w:tblPr>
        <w:tblStyle w:val="TableGrid"/>
        <w:tblW w:w="5030" w:type="dxa"/>
        <w:tblInd w:w="5"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624"/>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r w:rsidR="004D6F0E">
        <w:trPr>
          <w:trHeight w:val="379"/>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bl>
    <w:p w:rsidR="004D6F0E" w:rsidRDefault="00490F21">
      <w:pPr>
        <w:spacing w:after="253" w:line="259" w:lineRule="auto"/>
        <w:ind w:left="0" w:firstLine="0"/>
      </w:pPr>
      <w:r>
        <w:rPr>
          <w:rFonts w:ascii="Arial" w:eastAsia="Arial" w:hAnsi="Arial" w:cs="Arial"/>
          <w:b/>
          <w:sz w:val="10"/>
        </w:rPr>
        <w:t xml:space="preserve"> </w:t>
      </w:r>
    </w:p>
    <w:p w:rsidR="004D6F0E" w:rsidRDefault="00490F21">
      <w:pPr>
        <w:spacing w:after="477" w:line="259" w:lineRule="auto"/>
        <w:ind w:left="0" w:firstLine="0"/>
      </w:pPr>
      <w:r>
        <w:rPr>
          <w:rFonts w:ascii="Arial" w:eastAsia="Arial" w:hAnsi="Arial" w:cs="Arial"/>
          <w:sz w:val="23"/>
        </w:rPr>
        <w:t xml:space="preserve"> </w:t>
      </w:r>
      <w:r>
        <w:rPr>
          <w:rFonts w:ascii="Arial" w:eastAsia="Arial" w:hAnsi="Arial" w:cs="Arial"/>
          <w:sz w:val="23"/>
        </w:rPr>
        <w:tab/>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37"/>
        <w:ind w:left="1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t>風險度量。用於監測使用金融衍生工具所產生的全球風險（市場風險）的方法為根據盧森堡金融業監管委員會（</w:t>
      </w:r>
      <w:r>
        <w:rPr>
          <w:rFonts w:ascii="Arial" w:eastAsia="Arial" w:hAnsi="Arial" w:cs="Arial"/>
        </w:rPr>
        <w:t>CSSF</w:t>
      </w:r>
      <w:r>
        <w:t>）</w:t>
      </w:r>
    </w:p>
    <w:p w:rsidR="004D6F0E" w:rsidRDefault="00490F21">
      <w:pPr>
        <w:spacing w:after="111"/>
        <w:ind w:left="11" w:right="2"/>
      </w:pPr>
      <w:r>
        <w:rPr>
          <w:rFonts w:ascii="Arial" w:eastAsia="Arial" w:hAnsi="Arial" w:cs="Arial"/>
        </w:rPr>
        <w:t xml:space="preserve">11/512 </w:t>
      </w:r>
      <w:r>
        <w:t>號公告採用的承擔法。</w:t>
      </w:r>
      <w:r>
        <w:rPr>
          <w:rFonts w:ascii="Arial" w:eastAsia="Arial" w:hAnsi="Arial" w:cs="Arial"/>
        </w:rPr>
        <w:t xml:space="preserve"> </w:t>
      </w:r>
    </w:p>
    <w:p w:rsidR="004D6F0E" w:rsidRDefault="00490F21">
      <w:pPr>
        <w:spacing w:after="74"/>
        <w:ind w:left="11" w:right="2"/>
      </w:pPr>
      <w:r>
        <w:t>基準。本基金的基準為</w:t>
      </w:r>
      <w:r>
        <w:t xml:space="preserve"> </w:t>
      </w:r>
      <w:r>
        <w:rPr>
          <w:rFonts w:ascii="Arial" w:eastAsia="Arial" w:hAnsi="Arial" w:cs="Arial"/>
        </w:rPr>
        <w:t xml:space="preserve">MSCI </w:t>
      </w:r>
      <w:r>
        <w:t>新興市場指數。本基金利用該基準作表現比較。本基金採取主動式管理，投資管理人於實施本基金投資策略時不受其基準限制。儘管本基金可於若干市況下由投資管理人全權酌情決定持</w:t>
      </w:r>
      <w:r>
        <w:t>有基準內的絕大部分成分證券，但不會持有基準的每項成分證券，而且亦可持有並非基準一部分的證券。</w:t>
      </w:r>
      <w:r>
        <w:rPr>
          <w:rFonts w:ascii="Arial" w:eastAsia="Arial" w:hAnsi="Arial" w:cs="Arial"/>
        </w:rPr>
        <w:t xml:space="preserve"> </w:t>
      </w:r>
    </w:p>
    <w:p w:rsidR="004D6F0E" w:rsidRDefault="00490F21">
      <w:pPr>
        <w:pStyle w:val="Heading3"/>
        <w:spacing w:after="64" w:line="259" w:lineRule="auto"/>
        <w:ind w:left="3" w:firstLine="3"/>
      </w:pPr>
      <w:r>
        <w:rPr>
          <w:sz w:val="20"/>
        </w:rPr>
        <w:t>其他投資政策</w:t>
      </w:r>
      <w:r>
        <w:rPr>
          <w:rFonts w:ascii="Arial" w:eastAsia="Arial" w:hAnsi="Arial" w:cs="Arial"/>
          <w:b/>
          <w:sz w:val="20"/>
        </w:rPr>
        <w:t xml:space="preserve"> </w:t>
      </w:r>
    </w:p>
    <w:p w:rsidR="004D6F0E" w:rsidRDefault="00490F21">
      <w:pPr>
        <w:spacing w:after="60" w:line="273" w:lineRule="auto"/>
        <w:ind w:left="14" w:right="199"/>
        <w:jc w:val="both"/>
      </w:pPr>
      <w:r>
        <w:t>缺乏流動性。本基金最多可投資淨資產的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段。因此，本基金可能會難以隨時出售該等證券。此外，轉售該等證券可能會有合約限制。</w:t>
      </w:r>
      <w:r>
        <w:rPr>
          <w:rFonts w:ascii="Arial" w:eastAsia="Arial" w:hAnsi="Arial" w:cs="Arial"/>
        </w:rPr>
        <w:t xml:space="preserve"> </w:t>
      </w:r>
    </w:p>
    <w:p w:rsidR="004D6F0E" w:rsidRDefault="00490F21">
      <w:pPr>
        <w:spacing w:after="61"/>
        <w:ind w:left="11" w:right="2"/>
      </w:pPr>
      <w:r>
        <w:t>防守性持倉</w:t>
      </w:r>
      <w:r>
        <w:rPr>
          <w:rFonts w:ascii="Arial" w:eastAsia="Arial" w:hAnsi="Arial" w:cs="Arial"/>
          <w:b/>
        </w:rPr>
        <w:t xml:space="preserve"> — </w:t>
      </w:r>
      <w:r>
        <w:t>持有現金或現金等價物。作為暫時性的防守策略或為準備資金贖回證券或在預計不同國際市場追加投資，本基金可持有現金或現金等價物及短期固定收益證券（包括貨幣市場工具）。</w:t>
      </w:r>
      <w:r>
        <w:rPr>
          <w:rFonts w:ascii="Arial" w:eastAsia="Arial" w:hAnsi="Arial" w:cs="Arial"/>
        </w:rPr>
        <w:t xml:space="preserve"> </w:t>
      </w:r>
    </w:p>
    <w:p w:rsidR="004D6F0E" w:rsidRDefault="00490F21">
      <w:pPr>
        <w:spacing w:after="62"/>
        <w:ind w:left="11" w:right="2"/>
      </w:pPr>
      <w:r>
        <w:t>未來發展。本基金可利用其他投資工具及策略作為輔助，包括該等本基金現時不擬採用的投資工具及策略，惟該等投資方法須符合本基金的投資目標並獲法律許</w:t>
      </w:r>
      <w:r>
        <w:t>可。</w:t>
      </w:r>
      <w:r>
        <w:rPr>
          <w:rFonts w:ascii="Arial" w:eastAsia="Arial" w:hAnsi="Arial" w:cs="Arial"/>
        </w:rPr>
        <w:t xml:space="preserve"> </w:t>
      </w:r>
    </w:p>
    <w:p w:rsidR="004D6F0E" w:rsidRDefault="00490F21">
      <w:pPr>
        <w:spacing w:after="63"/>
        <w:ind w:left="11" w:right="2"/>
      </w:pPr>
      <w:r>
        <w:t>貨幣對沖股份類別</w:t>
      </w:r>
      <w:r>
        <w:rPr>
          <w:rFonts w:ascii="Arial" w:eastAsia="Arial" w:hAnsi="Arial" w:cs="Arial"/>
          <w:b/>
        </w:rPr>
        <w:t xml:space="preserve"> </w:t>
      </w:r>
    </w:p>
    <w:p w:rsidR="004D6F0E" w:rsidRDefault="00490F21">
      <w:pPr>
        <w:spacing w:after="62"/>
        <w:ind w:left="11" w:right="2"/>
      </w:pPr>
      <w:r>
        <w:t>用某種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計及交易成本等實際考量因素，為投資者提供與本基金基準貨幣回報率更具相關性的回報率。採用的對沖策略在設計上是爲了降低（但未必消除）本基金基準貨幣和發售貨幣之間的貨幣風險。</w:t>
      </w:r>
      <w:r>
        <w:rPr>
          <w:rFonts w:ascii="Arial" w:eastAsia="Arial" w:hAnsi="Arial" w:cs="Arial"/>
        </w:rPr>
        <w:t xml:space="preserve"> </w:t>
      </w:r>
    </w:p>
    <w:p w:rsidR="004D6F0E" w:rsidRDefault="00490F21">
      <w:pPr>
        <w:spacing w:after="123"/>
        <w:ind w:left="11" w:right="2"/>
      </w:pPr>
      <w:r>
        <w:t>貨幣對沖股份類別並不影響本基金所屬資產的投資管理，因為用發售貨幣對沖的只是貨幣對沖股份類別的資產淨值，而非本基金所屬資產。此</w:t>
      </w:r>
      <w:r>
        <w:t>類對沖活動引起的開支由引起該等開支的貨幣對沖股份類別承擔。</w:t>
      </w:r>
      <w:r>
        <w:rPr>
          <w:rFonts w:ascii="Arial" w:eastAsia="Arial" w:hAnsi="Arial" w:cs="Arial"/>
        </w:rPr>
        <w:t xml:space="preserve"> </w:t>
      </w:r>
    </w:p>
    <w:p w:rsidR="004D6F0E" w:rsidRDefault="00490F21">
      <w:pPr>
        <w:spacing w:after="107" w:line="278" w:lineRule="auto"/>
        <w:ind w:left="0" w:right="197" w:firstLine="0"/>
        <w:jc w:val="both"/>
      </w:pPr>
      <w:r>
        <w:t>負責任投資。本基金整合</w:t>
      </w:r>
      <w:r>
        <w:rPr>
          <w:rFonts w:ascii="Arial" w:eastAsia="Arial" w:hAnsi="Arial" w:cs="Arial"/>
        </w:rPr>
        <w:t>ESG</w:t>
      </w:r>
      <w:r>
        <w:t>考慮因素。本基金應用若干排除條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70">
        <w:r>
          <w:rPr>
            <w:rFonts w:ascii="Arial" w:eastAsia="Arial" w:hAnsi="Arial" w:cs="Arial"/>
            <w:color w:val="0000FF"/>
            <w:sz w:val="20"/>
            <w:u w:val="single" w:color="0000FF"/>
          </w:rPr>
          <w:t xml:space="preserve">www.alliancebernstein.com/ </w:t>
        </w:r>
      </w:hyperlink>
      <w:hyperlink r:id="rId71">
        <w:r>
          <w:rPr>
            <w:rFonts w:ascii="Arial" w:eastAsia="Arial" w:hAnsi="Arial" w:cs="Arial"/>
            <w:color w:val="0000FF"/>
            <w:sz w:val="20"/>
            <w:u w:val="single" w:color="0000FF"/>
          </w:rPr>
          <w:t>go</w:t>
        </w:r>
        <w:r>
          <w:rPr>
            <w:rFonts w:ascii="Arial" w:eastAsia="Arial" w:hAnsi="Arial" w:cs="Arial"/>
            <w:color w:val="0000FF"/>
            <w:sz w:val="20"/>
            <w:u w:val="single" w:color="0000FF"/>
          </w:rPr>
          <w:t>/ABFCPIExclusionChart</w:t>
        </w:r>
      </w:hyperlink>
      <w:hyperlink r:id="rId72">
        <w:r>
          <w:rPr>
            <w:rFonts w:ascii="Arial" w:eastAsia="Arial" w:hAnsi="Arial" w:cs="Arial"/>
          </w:rPr>
          <w:t xml:space="preserve"> </w:t>
        </w:r>
      </w:hyperlink>
      <w:r>
        <w:t>。</w:t>
      </w: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r>
        <w:rPr>
          <w:rFonts w:ascii="Arial" w:eastAsia="Arial" w:hAnsi="Arial" w:cs="Arial"/>
        </w:rPr>
        <w:t xml:space="preserve"> </w:t>
      </w:r>
    </w:p>
    <w:p w:rsidR="004D6F0E" w:rsidRDefault="004D6F0E">
      <w:pPr>
        <w:sectPr w:rsidR="004D6F0E">
          <w:type w:val="continuous"/>
          <w:pgSz w:w="12240" w:h="15840"/>
          <w:pgMar w:top="758" w:right="521" w:bottom="493" w:left="432" w:header="720" w:footer="720" w:gutter="0"/>
          <w:cols w:num="2" w:space="659"/>
        </w:sectPr>
      </w:pPr>
    </w:p>
    <w:p w:rsidR="004D6F0E" w:rsidRDefault="00490F21">
      <w:pPr>
        <w:pStyle w:val="Heading3"/>
        <w:spacing w:after="224"/>
        <w:ind w:left="14"/>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simplePos x="0" y="0"/>
                <wp:positionH relativeFrom="margin">
                  <wp:posOffset>102</wp:posOffset>
                </wp:positionH>
                <wp:positionV relativeFrom="paragraph">
                  <wp:posOffset>281057</wp:posOffset>
                </wp:positionV>
                <wp:extent cx="7110984" cy="18288"/>
                <wp:effectExtent l="0" t="0" r="0" b="0"/>
                <wp:wrapTopAndBottom/>
                <wp:docPr id="436619" name="Group 436619"/>
                <wp:cNvGraphicFramePr/>
                <a:graphic xmlns:a="http://schemas.openxmlformats.org/drawingml/2006/main">
                  <a:graphicData uri="http://schemas.microsoft.com/office/word/2010/wordprocessingGroup">
                    <wpg:wgp>
                      <wpg:cNvGrpSpPr/>
                      <wpg:grpSpPr>
                        <a:xfrm>
                          <a:off x="0" y="0"/>
                          <a:ext cx="7110984" cy="18288"/>
                          <a:chOff x="0" y="0"/>
                          <a:chExt cx="7110984" cy="18288"/>
                        </a:xfrm>
                      </wpg:grpSpPr>
                      <wps:wsp>
                        <wps:cNvPr id="657829" name="Shape 657829"/>
                        <wps:cNvSpPr/>
                        <wps:spPr>
                          <a:xfrm>
                            <a:off x="0" y="0"/>
                            <a:ext cx="7110984" cy="18288"/>
                          </a:xfrm>
                          <a:custGeom>
                            <a:avLst/>
                            <a:gdLst/>
                            <a:ahLst/>
                            <a:cxnLst/>
                            <a:rect l="0" t="0" r="0" b="0"/>
                            <a:pathLst>
                              <a:path w="7110984" h="18288">
                                <a:moveTo>
                                  <a:pt x="0" y="0"/>
                                </a:moveTo>
                                <a:lnTo>
                                  <a:pt x="7110984" y="0"/>
                                </a:lnTo>
                                <a:lnTo>
                                  <a:pt x="71109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619" style="width:559.92pt;height:1.44pt;position:absolute;mso-position-horizontal-relative:margin;mso-position-horizontal:absolute;margin-left:0.00805855pt;mso-position-vertical-relative:text;margin-top:22.1305pt;" coordsize="71109,182">
                <v:shape id="Shape 657830" style="position:absolute;width:71109;height:182;left:0;top:0;" coordsize="7110984,18288" path="m0,0l7110984,0l7110984,18288l0,18288l0,0">
                  <v:stroke weight="0pt" endcap="flat" joinstyle="miter" miterlimit="10" on="false" color="#000000" opacity="0"/>
                  <v:fill on="true" color="#000000"/>
                </v:shape>
                <w10:wrap type="topAndBottom"/>
              </v:group>
            </w:pict>
          </mc:Fallback>
        </mc:AlternateContent>
      </w:r>
      <w:r>
        <w:t>摘要資料</w:t>
      </w:r>
      <w:r>
        <w:rPr>
          <w:rFonts w:ascii="Arial" w:eastAsia="Arial" w:hAnsi="Arial" w:cs="Arial"/>
        </w:rPr>
        <w:t xml:space="preserve"> </w:t>
      </w:r>
    </w:p>
    <w:p w:rsidR="004D6F0E" w:rsidRDefault="00490F21">
      <w:pPr>
        <w:spacing w:before="29" w:line="349" w:lineRule="auto"/>
        <w:ind w:left="118" w:right="13" w:hanging="10"/>
      </w:pPr>
      <w:r>
        <w:t>基金特色</w:t>
      </w:r>
      <w:r>
        <w:rPr>
          <w:sz w:val="18"/>
        </w:rPr>
        <w:t>基金貨幣</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p w:rsidR="004D6F0E" w:rsidRDefault="00490F21">
      <w:pPr>
        <w:ind w:left="118" w:right="13" w:hanging="10"/>
      </w:pPr>
      <w:r>
        <w:rPr>
          <w:sz w:val="18"/>
        </w:rPr>
        <w:t>資產淨值計算</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p w:rsidR="004D6F0E" w:rsidRDefault="00490F21">
      <w:pPr>
        <w:ind w:left="118" w:right="13" w:hanging="10"/>
      </w:pPr>
      <w:r>
        <w:rPr>
          <w:sz w:val="18"/>
        </w:rPr>
        <w:t>資產淨值公佈</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p w:rsidR="004D6F0E" w:rsidRDefault="00490F21">
      <w:pPr>
        <w:ind w:left="118" w:right="13" w:hanging="10"/>
      </w:pPr>
      <w:r>
        <w:rPr>
          <w:sz w:val="18"/>
        </w:rPr>
        <w:t>股份類別名稱</w:t>
      </w:r>
      <w:r>
        <w:rPr>
          <w:rFonts w:ascii="Arial" w:eastAsia="Arial" w:hAnsi="Arial" w:cs="Arial"/>
          <w:sz w:val="18"/>
        </w:rPr>
        <w:t xml:space="preserve"> </w:t>
      </w:r>
    </w:p>
    <w:p w:rsidR="004D6F0E" w:rsidRDefault="00490F21">
      <w:pPr>
        <w:tabs>
          <w:tab w:val="center" w:pos="5265"/>
          <w:tab w:val="right" w:pos="8946"/>
        </w:tabs>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r>
        <w:rPr>
          <w:sz w:val="18"/>
        </w:rPr>
        <w:t>指示截止時間</w:t>
      </w:r>
      <w:r>
        <w:rPr>
          <w:rFonts w:ascii="Arial" w:eastAsia="Arial" w:hAnsi="Arial" w:cs="Arial"/>
          <w:sz w:val="18"/>
        </w:rPr>
        <w:t xml:space="preserve"> </w:t>
      </w:r>
      <w:r>
        <w:rPr>
          <w:rFonts w:ascii="Arial" w:eastAsia="Arial" w:hAnsi="Arial" w:cs="Arial"/>
          <w:sz w:val="18"/>
        </w:rPr>
        <w:tab/>
      </w:r>
      <w:r>
        <w:t>美元計價股份類別、歐元計價股</w:t>
      </w:r>
    </w:p>
    <w:tbl>
      <w:tblPr>
        <w:tblStyle w:val="TableGrid"/>
        <w:tblW w:w="8946" w:type="dxa"/>
        <w:tblInd w:w="0" w:type="dxa"/>
        <w:tblCellMar>
          <w:top w:w="0" w:type="dxa"/>
          <w:left w:w="0" w:type="dxa"/>
          <w:bottom w:w="0" w:type="dxa"/>
          <w:right w:w="0" w:type="dxa"/>
        </w:tblCellMar>
        <w:tblLook w:val="04A0" w:firstRow="1" w:lastRow="0" w:firstColumn="1" w:lastColumn="0" w:noHBand="0" w:noVBand="1"/>
      </w:tblPr>
      <w:tblGrid>
        <w:gridCol w:w="5400"/>
        <w:gridCol w:w="434"/>
        <w:gridCol w:w="8979"/>
      </w:tblGrid>
      <w:tr w:rsidR="004D6F0E">
        <w:trPr>
          <w:trHeight w:val="1804"/>
        </w:trPr>
        <w:tc>
          <w:tcPr>
            <w:tcW w:w="458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7" w:line="259" w:lineRule="auto"/>
              <w:ind w:left="0" w:firstLine="0"/>
            </w:pPr>
            <w:r>
              <w:rPr>
                <w:sz w:val="18"/>
              </w:rPr>
              <w:t>每個營業日</w:t>
            </w:r>
            <w:r>
              <w:rPr>
                <w:rFonts w:ascii="Arial" w:eastAsia="Arial" w:hAnsi="Arial" w:cs="Arial"/>
                <w:sz w:val="18"/>
              </w:rPr>
              <w:t xml:space="preserve"> </w:t>
            </w:r>
          </w:p>
          <w:p w:rsidR="004D6F0E" w:rsidRDefault="00490F21">
            <w:pPr>
              <w:spacing w:after="10" w:line="259" w:lineRule="auto"/>
              <w:ind w:left="0" w:firstLine="0"/>
            </w:pPr>
            <w:r>
              <w:rPr>
                <w:rFonts w:ascii="Arial" w:eastAsia="Arial" w:hAnsi="Arial" w:cs="Arial"/>
                <w:sz w:val="18"/>
              </w:rPr>
              <w:t xml:space="preserve"> </w:t>
            </w:r>
          </w:p>
          <w:p w:rsidR="004D6F0E" w:rsidRDefault="00490F21">
            <w:pPr>
              <w:spacing w:after="2" w:line="259" w:lineRule="auto"/>
              <w:ind w:left="0" w:firstLine="0"/>
            </w:pPr>
            <w:r>
              <w:rPr>
                <w:sz w:val="18"/>
              </w:rPr>
              <w:t>可在</w:t>
            </w:r>
            <w:r>
              <w:rPr>
                <w:sz w:val="18"/>
              </w:rPr>
              <w:t xml:space="preserve"> </w:t>
            </w:r>
            <w:hyperlink r:id="rId73">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74">
              <w:r>
                <w:rPr>
                  <w:sz w:val="18"/>
                </w:rPr>
                <w:t>查</w:t>
              </w:r>
            </w:hyperlink>
            <w:r>
              <w:rPr>
                <w:sz w:val="18"/>
              </w:rPr>
              <w:t>閱</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 </w:t>
            </w:r>
            <w:r>
              <w:rPr>
                <w:sz w:val="18"/>
              </w:rPr>
              <w:t>貨幣對沖股份類別」和「風險因素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tc>
        <w:tc>
          <w:tcPr>
            <w:tcW w:w="970" w:type="dxa"/>
            <w:tcBorders>
              <w:top w:val="nil"/>
              <w:left w:val="nil"/>
              <w:bottom w:val="nil"/>
              <w:right w:val="nil"/>
            </w:tcBorders>
          </w:tcPr>
          <w:p w:rsidR="004D6F0E" w:rsidRDefault="00490F21">
            <w:pPr>
              <w:spacing w:after="0" w:line="259" w:lineRule="auto"/>
              <w:ind w:left="271" w:firstLine="0"/>
            </w:pPr>
            <w:r>
              <w:rPr>
                <w:rFonts w:ascii="Arial" w:eastAsia="Arial" w:hAnsi="Arial" w:cs="Arial"/>
                <w:sz w:val="18"/>
              </w:rPr>
              <w:t xml:space="preserve"> </w:t>
            </w:r>
          </w:p>
          <w:p w:rsidR="004D6F0E" w:rsidRDefault="00490F21">
            <w:pPr>
              <w:spacing w:after="0" w:line="259" w:lineRule="auto"/>
              <w:ind w:left="271" w:firstLine="0"/>
            </w:pPr>
            <w:r>
              <w:rPr>
                <w:rFonts w:ascii="Arial" w:eastAsia="Arial" w:hAnsi="Arial" w:cs="Arial"/>
                <w:sz w:val="18"/>
              </w:rPr>
              <w:t xml:space="preserve"> </w:t>
            </w:r>
          </w:p>
          <w:p w:rsidR="004D6F0E" w:rsidRDefault="00490F21">
            <w:pPr>
              <w:spacing w:after="0" w:line="259" w:lineRule="auto"/>
              <w:ind w:left="271" w:firstLine="0"/>
            </w:pPr>
            <w:r>
              <w:rPr>
                <w:rFonts w:ascii="Arial" w:eastAsia="Arial" w:hAnsi="Arial" w:cs="Arial"/>
                <w:sz w:val="18"/>
              </w:rPr>
              <w:t xml:space="preserve"> </w:t>
            </w:r>
          </w:p>
        </w:tc>
        <w:tc>
          <w:tcPr>
            <w:tcW w:w="3387" w:type="dxa"/>
            <w:tcBorders>
              <w:top w:val="nil"/>
              <w:left w:val="nil"/>
              <w:bottom w:val="nil"/>
              <w:right w:val="nil"/>
            </w:tcBorders>
          </w:tcPr>
          <w:p w:rsidR="004D6F0E" w:rsidRDefault="00490F21">
            <w:pPr>
              <w:spacing w:after="12" w:line="263" w:lineRule="auto"/>
              <w:ind w:left="739" w:firstLine="0"/>
            </w:pPr>
            <w:r>
              <w:t>份類別、英鎊計價股份類別、港元計價股份類別及新加坡元計價股份類別</w:t>
            </w:r>
            <w:r>
              <w:rPr>
                <w:sz w:val="18"/>
              </w:rPr>
              <w:t>美國東部時間各營業日下午</w:t>
            </w:r>
            <w:r>
              <w:rPr>
                <w:sz w:val="18"/>
              </w:rPr>
              <w:t xml:space="preserve"> </w:t>
            </w:r>
            <w:r>
              <w:rPr>
                <w:rFonts w:ascii="Arial" w:eastAsia="Arial" w:hAnsi="Arial" w:cs="Arial"/>
                <w:sz w:val="18"/>
              </w:rPr>
              <w:t xml:space="preserve">4:00 </w:t>
            </w:r>
          </w:p>
          <w:p w:rsidR="004D6F0E" w:rsidRDefault="00490F21">
            <w:pPr>
              <w:spacing w:after="0" w:line="259" w:lineRule="auto"/>
              <w:ind w:left="751" w:firstLine="0"/>
            </w:pPr>
            <w:r>
              <w:rPr>
                <w:rFonts w:ascii="Arial" w:eastAsia="Arial" w:hAnsi="Arial" w:cs="Arial"/>
                <w:sz w:val="18"/>
              </w:rPr>
              <w:t xml:space="preserve"> </w:t>
            </w:r>
          </w:p>
          <w:p w:rsidR="004D6F0E" w:rsidRDefault="00490F21">
            <w:pPr>
              <w:spacing w:after="0" w:line="279" w:lineRule="auto"/>
              <w:ind w:left="751" w:hanging="12"/>
            </w:pPr>
            <w:r>
              <w:t>對於貨幣對沖股份類別</w:t>
            </w:r>
            <w:r>
              <w:rPr>
                <w:sz w:val="18"/>
              </w:rPr>
              <w:t>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751" w:firstLine="0"/>
            </w:pPr>
            <w:r>
              <w:rPr>
                <w:rFonts w:ascii="Arial" w:eastAsia="Arial" w:hAnsi="Arial" w:cs="Arial"/>
                <w:sz w:val="18"/>
              </w:rPr>
              <w:t xml:space="preserve"> </w:t>
            </w:r>
          </w:p>
        </w:tc>
      </w:tr>
      <w:tr w:rsidR="004D6F0E">
        <w:trPr>
          <w:trHeight w:val="431"/>
        </w:trPr>
        <w:tc>
          <w:tcPr>
            <w:tcW w:w="4589" w:type="dxa"/>
            <w:tcBorders>
              <w:top w:val="nil"/>
              <w:left w:val="nil"/>
              <w:bottom w:val="nil"/>
              <w:right w:val="nil"/>
            </w:tcBorders>
          </w:tcPr>
          <w:p w:rsidR="004D6F0E" w:rsidRDefault="004D6F0E">
            <w:pPr>
              <w:spacing w:after="160" w:line="259" w:lineRule="auto"/>
              <w:ind w:left="0" w:firstLine="0"/>
            </w:pPr>
          </w:p>
        </w:tc>
        <w:tc>
          <w:tcPr>
            <w:tcW w:w="970" w:type="dxa"/>
            <w:tcBorders>
              <w:top w:val="nil"/>
              <w:left w:val="nil"/>
              <w:bottom w:val="nil"/>
              <w:right w:val="nil"/>
            </w:tcBorders>
          </w:tcPr>
          <w:p w:rsidR="004D6F0E" w:rsidRDefault="00490F21">
            <w:pPr>
              <w:spacing w:after="0" w:line="259" w:lineRule="auto"/>
              <w:ind w:left="3" w:firstLine="0"/>
              <w:jc w:val="center"/>
            </w:pPr>
            <w:r>
              <w:rPr>
                <w:sz w:val="18"/>
              </w:rPr>
              <w:t>派息</w:t>
            </w:r>
            <w:r>
              <w:rPr>
                <w:rFonts w:ascii="Arial" w:eastAsia="Arial" w:hAnsi="Arial" w:cs="Arial"/>
                <w:sz w:val="18"/>
              </w:rPr>
              <w:t xml:space="preserve">* </w:t>
            </w:r>
          </w:p>
        </w:tc>
        <w:tc>
          <w:tcPr>
            <w:tcW w:w="3387" w:type="dxa"/>
            <w:tcBorders>
              <w:top w:val="nil"/>
              <w:left w:val="nil"/>
              <w:bottom w:val="nil"/>
              <w:right w:val="nil"/>
            </w:tcBorders>
          </w:tcPr>
          <w:p w:rsidR="004D6F0E" w:rsidRDefault="00490F21">
            <w:pPr>
              <w:spacing w:after="0" w:line="259" w:lineRule="auto"/>
              <w:ind w:left="739" w:firstLine="12"/>
            </w:pPr>
            <w:r>
              <w:rPr>
                <w:rFonts w:ascii="Arial" w:eastAsia="Arial" w:hAnsi="Arial" w:cs="Arial"/>
                <w:i/>
                <w:sz w:val="18"/>
              </w:rPr>
              <w:t>A</w:t>
            </w:r>
            <w:r>
              <w:t>、</w:t>
            </w:r>
            <w:r>
              <w:rPr>
                <w:rFonts w:ascii="Arial" w:eastAsia="Arial" w:hAnsi="Arial" w:cs="Arial"/>
                <w:i/>
                <w:sz w:val="18"/>
              </w:rPr>
              <w:t>B</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N</w:t>
            </w:r>
            <w:r>
              <w:t>、</w:t>
            </w:r>
            <w:r>
              <w:rPr>
                <w:rFonts w:ascii="Arial" w:eastAsia="Arial" w:hAnsi="Arial" w:cs="Arial"/>
                <w:i/>
                <w:sz w:val="18"/>
              </w:rPr>
              <w:t>S</w:t>
            </w:r>
            <w:r>
              <w:t>、</w:t>
            </w:r>
            <w:r>
              <w:rPr>
                <w:rFonts w:ascii="Arial" w:eastAsia="Arial" w:hAnsi="Arial" w:cs="Arial"/>
                <w:i/>
                <w:sz w:val="18"/>
              </w:rPr>
              <w:t>S1</w:t>
            </w:r>
            <w:r>
              <w:t>及</w:t>
            </w:r>
            <w:r>
              <w:rPr>
                <w:rFonts w:ascii="Arial" w:eastAsia="Arial" w:hAnsi="Arial" w:cs="Arial"/>
                <w:i/>
                <w:sz w:val="18"/>
              </w:rPr>
              <w:t>W</w:t>
            </w:r>
            <w:r>
              <w:t>類股份</w:t>
            </w:r>
            <w:r>
              <w:rPr>
                <w:rFonts w:ascii="Arial" w:eastAsia="Arial" w:hAnsi="Arial" w:cs="Arial"/>
                <w:i/>
                <w:sz w:val="18"/>
              </w:rPr>
              <w:t xml:space="preserve"> </w:t>
            </w:r>
          </w:p>
        </w:tc>
      </w:tr>
    </w:tbl>
    <w:p w:rsidR="004D6F0E" w:rsidRDefault="00490F21">
      <w:pPr>
        <w:spacing w:line="259" w:lineRule="auto"/>
        <w:ind w:left="5895" w:right="1851" w:hanging="10"/>
        <w:jc w:val="center"/>
      </w:pPr>
      <w:r>
        <w:rPr>
          <w:sz w:val="18"/>
        </w:rPr>
        <w:t>無。</w:t>
      </w:r>
      <w:r>
        <w:rPr>
          <w:rFonts w:ascii="Arial" w:eastAsia="Arial" w:hAnsi="Arial" w:cs="Arial"/>
          <w:sz w:val="18"/>
        </w:rPr>
        <w:t xml:space="preserve"> </w:t>
      </w:r>
    </w:p>
    <w:p w:rsidR="004D6F0E" w:rsidRDefault="00490F21">
      <w:pPr>
        <w:spacing w:after="0" w:line="259" w:lineRule="auto"/>
        <w:ind w:left="3724" w:firstLine="0"/>
        <w:jc w:val="center"/>
      </w:pPr>
      <w:r>
        <w:rPr>
          <w:rFonts w:ascii="Arial" w:eastAsia="Arial" w:hAnsi="Arial" w:cs="Arial"/>
          <w:sz w:val="18"/>
        </w:rPr>
        <w:t xml:space="preserve"> </w:t>
      </w:r>
    </w:p>
    <w:p w:rsidR="004D6F0E" w:rsidRDefault="00490F21">
      <w:pPr>
        <w:ind w:left="6320" w:right="13" w:hanging="10"/>
      </w:pPr>
      <w:r>
        <w:rPr>
          <w:rFonts w:ascii="Arial" w:eastAsia="Arial" w:hAnsi="Arial" w:cs="Arial"/>
          <w:i/>
          <w:sz w:val="18"/>
        </w:rPr>
        <w:t>AD</w:t>
      </w:r>
      <w:r>
        <w:t>及</w:t>
      </w:r>
      <w:r>
        <w:rPr>
          <w:rFonts w:ascii="Arial" w:eastAsia="Arial" w:hAnsi="Arial" w:cs="Arial"/>
          <w:i/>
          <w:sz w:val="18"/>
        </w:rPr>
        <w:t>ED</w:t>
      </w:r>
      <w:r>
        <w:t>類股份</w:t>
      </w:r>
      <w:r>
        <w:rPr>
          <w:sz w:val="18"/>
        </w:rPr>
        <w:t>按月</w:t>
      </w:r>
      <w:r>
        <w:rPr>
          <w:sz w:val="18"/>
        </w:rPr>
        <w:t>宣派及派付</w:t>
      </w:r>
      <w:r>
        <w:rPr>
          <w:rFonts w:ascii="Arial" w:eastAsia="Arial" w:hAnsi="Arial" w:cs="Arial"/>
          <w:sz w:val="18"/>
        </w:rPr>
        <w:t xml:space="preserve"> </w:t>
      </w:r>
    </w:p>
    <w:p w:rsidR="004D6F0E" w:rsidRDefault="00490F21">
      <w:pPr>
        <w:spacing w:after="0" w:line="259" w:lineRule="auto"/>
        <w:ind w:left="3724" w:firstLine="0"/>
        <w:jc w:val="center"/>
      </w:pPr>
      <w:r>
        <w:rPr>
          <w:rFonts w:ascii="Arial" w:eastAsia="Arial" w:hAnsi="Arial" w:cs="Arial"/>
          <w:sz w:val="18"/>
        </w:rPr>
        <w:t xml:space="preserve"> </w:t>
      </w:r>
    </w:p>
    <w:p w:rsidR="004D6F0E" w:rsidRDefault="00490F21">
      <w:pPr>
        <w:ind w:left="6320" w:right="13" w:hanging="10"/>
      </w:pPr>
      <w:r>
        <w:rPr>
          <w:sz w:val="18"/>
        </w:rPr>
        <w:t>見下文「派息」。</w:t>
      </w:r>
      <w:r>
        <w:rPr>
          <w:rFonts w:ascii="Arial" w:eastAsia="Arial" w:hAnsi="Arial" w:cs="Arial"/>
          <w:sz w:val="18"/>
        </w:rPr>
        <w:t xml:space="preserve"> </w:t>
      </w:r>
    </w:p>
    <w:p w:rsidR="004D6F0E" w:rsidRDefault="00490F21">
      <w:pPr>
        <w:spacing w:after="0" w:line="259" w:lineRule="auto"/>
        <w:ind w:left="3724" w:firstLine="0"/>
        <w:jc w:val="center"/>
      </w:pPr>
      <w:r>
        <w:rPr>
          <w:rFonts w:ascii="Arial" w:eastAsia="Arial" w:hAnsi="Arial" w:cs="Arial"/>
          <w:sz w:val="18"/>
        </w:rPr>
        <w:t xml:space="preserve"> </w:t>
      </w:r>
    </w:p>
    <w:p w:rsidR="004D6F0E" w:rsidRDefault="00490F21">
      <w:pPr>
        <w:ind w:left="6320" w:right="13" w:hanging="10"/>
      </w:pPr>
      <w:r>
        <w:rPr>
          <w:rFonts w:ascii="Arial" w:eastAsia="Arial" w:hAnsi="Arial" w:cs="Arial"/>
          <w:sz w:val="18"/>
        </w:rPr>
        <w:t>*</w:t>
      </w:r>
      <w:r>
        <w:rPr>
          <w:sz w:val="18"/>
        </w:rPr>
        <w:t>包括對沖股份類別</w:t>
      </w:r>
      <w:r>
        <w:rPr>
          <w:rFonts w:ascii="Arial" w:eastAsia="Arial" w:hAnsi="Arial" w:cs="Arial"/>
          <w:sz w:val="18"/>
        </w:rPr>
        <w:t xml:space="preserve"> </w:t>
      </w:r>
    </w:p>
    <w:tbl>
      <w:tblPr>
        <w:tblStyle w:val="TableGrid"/>
        <w:tblpPr w:vertAnchor="text" w:horzAnchor="margin" w:tblpY="8107"/>
        <w:tblOverlap w:val="never"/>
        <w:tblW w:w="11199" w:type="dxa"/>
        <w:tblInd w:w="0" w:type="dxa"/>
        <w:tblCellMar>
          <w:top w:w="0" w:type="dxa"/>
          <w:left w:w="0" w:type="dxa"/>
          <w:bottom w:w="0" w:type="dxa"/>
          <w:right w:w="0" w:type="dxa"/>
        </w:tblCellMar>
        <w:tblLook w:val="04A0" w:firstRow="1" w:lastRow="0" w:firstColumn="1" w:lastColumn="0" w:noHBand="0" w:noVBand="1"/>
      </w:tblPr>
      <w:tblGrid>
        <w:gridCol w:w="11199"/>
      </w:tblGrid>
      <w:tr w:rsidR="004D6F0E">
        <w:trPr>
          <w:trHeight w:val="169"/>
        </w:trPr>
        <w:tc>
          <w:tcPr>
            <w:tcW w:w="50" w:type="dxa"/>
            <w:tcBorders>
              <w:top w:val="nil"/>
              <w:left w:val="nil"/>
              <w:bottom w:val="nil"/>
              <w:right w:val="nil"/>
            </w:tcBorders>
            <w:vAlign w:val="bottom"/>
          </w:tcPr>
          <w:p w:rsidR="004D6F0E" w:rsidRDefault="00490F21">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extent cx="7110985" cy="373380"/>
                      <wp:effectExtent l="0" t="0" r="0" b="0"/>
                      <wp:docPr id="436620" name="Group 436620"/>
                      <wp:cNvGraphicFramePr/>
                      <a:graphic xmlns:a="http://schemas.openxmlformats.org/drawingml/2006/main">
                        <a:graphicData uri="http://schemas.microsoft.com/office/word/2010/wordprocessingGroup">
                          <wpg:wgp>
                            <wpg:cNvGrpSpPr/>
                            <wpg:grpSpPr>
                              <a:xfrm>
                                <a:off x="0" y="0"/>
                                <a:ext cx="7110985" cy="373380"/>
                                <a:chOff x="0" y="0"/>
                                <a:chExt cx="7110985" cy="373380"/>
                              </a:xfrm>
                            </wpg:grpSpPr>
                            <wps:wsp>
                              <wps:cNvPr id="8836" name="Rectangle 8836"/>
                              <wps:cNvSpPr/>
                              <wps:spPr>
                                <a:xfrm>
                                  <a:off x="73152" y="36487"/>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8837" name="Rectangle 8837"/>
                              <wps:cNvSpPr/>
                              <wps:spPr>
                                <a:xfrm>
                                  <a:off x="1132332" y="34440"/>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8838" name="Rectangle 8838"/>
                              <wps:cNvSpPr/>
                              <wps:spPr>
                                <a:xfrm>
                                  <a:off x="1173480" y="34440"/>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833" name="Shape 657833"/>
                              <wps:cNvSpPr/>
                              <wps:spPr>
                                <a:xfrm>
                                  <a:off x="0" y="0"/>
                                  <a:ext cx="1324356" cy="18288"/>
                                </a:xfrm>
                                <a:custGeom>
                                  <a:avLst/>
                                  <a:gdLst/>
                                  <a:ahLst/>
                                  <a:cxnLst/>
                                  <a:rect l="0" t="0" r="0" b="0"/>
                                  <a:pathLst>
                                    <a:path w="1324356" h="18288">
                                      <a:moveTo>
                                        <a:pt x="0" y="0"/>
                                      </a:moveTo>
                                      <a:lnTo>
                                        <a:pt x="1324356" y="0"/>
                                      </a:lnTo>
                                      <a:lnTo>
                                        <a:pt x="132435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34" name="Shape 657834"/>
                              <wps:cNvSpPr/>
                              <wps:spPr>
                                <a:xfrm>
                                  <a:off x="132435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35" name="Shape 657835"/>
                              <wps:cNvSpPr/>
                              <wps:spPr>
                                <a:xfrm>
                                  <a:off x="1342644" y="0"/>
                                  <a:ext cx="2895600" cy="18288"/>
                                </a:xfrm>
                                <a:custGeom>
                                  <a:avLst/>
                                  <a:gdLst/>
                                  <a:ahLst/>
                                  <a:cxnLst/>
                                  <a:rect l="0" t="0" r="0" b="0"/>
                                  <a:pathLst>
                                    <a:path w="2895600" h="18288">
                                      <a:moveTo>
                                        <a:pt x="0" y="0"/>
                                      </a:moveTo>
                                      <a:lnTo>
                                        <a:pt x="2895600" y="0"/>
                                      </a:lnTo>
                                      <a:lnTo>
                                        <a:pt x="28956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36" name="Shape 657836"/>
                              <wps:cNvSpPr/>
                              <wps:spPr>
                                <a:xfrm>
                                  <a:off x="4238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37" name="Shape 657837"/>
                              <wps:cNvSpPr/>
                              <wps:spPr>
                                <a:xfrm>
                                  <a:off x="4256532" y="0"/>
                                  <a:ext cx="153924" cy="18288"/>
                                </a:xfrm>
                                <a:custGeom>
                                  <a:avLst/>
                                  <a:gdLst/>
                                  <a:ahLst/>
                                  <a:cxnLst/>
                                  <a:rect l="0" t="0" r="0" b="0"/>
                                  <a:pathLst>
                                    <a:path w="153924" h="18288">
                                      <a:moveTo>
                                        <a:pt x="0" y="0"/>
                                      </a:moveTo>
                                      <a:lnTo>
                                        <a:pt x="153924" y="0"/>
                                      </a:lnTo>
                                      <a:lnTo>
                                        <a:pt x="1539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38" name="Shape 657838"/>
                              <wps:cNvSpPr/>
                              <wps:spPr>
                                <a:xfrm>
                                  <a:off x="441045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39" name="Shape 657839"/>
                              <wps:cNvSpPr/>
                              <wps:spPr>
                                <a:xfrm>
                                  <a:off x="4428744" y="0"/>
                                  <a:ext cx="902208" cy="18288"/>
                                </a:xfrm>
                                <a:custGeom>
                                  <a:avLst/>
                                  <a:gdLst/>
                                  <a:ahLst/>
                                  <a:cxnLst/>
                                  <a:rect l="0" t="0" r="0" b="0"/>
                                  <a:pathLst>
                                    <a:path w="902208" h="18288">
                                      <a:moveTo>
                                        <a:pt x="0" y="0"/>
                                      </a:moveTo>
                                      <a:lnTo>
                                        <a:pt x="902208" y="0"/>
                                      </a:lnTo>
                                      <a:lnTo>
                                        <a:pt x="90220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40" name="Shape 657840"/>
                              <wps:cNvSpPr/>
                              <wps:spPr>
                                <a:xfrm>
                                  <a:off x="53309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41" name="Shape 657841"/>
                              <wps:cNvSpPr/>
                              <wps:spPr>
                                <a:xfrm>
                                  <a:off x="5349240" y="0"/>
                                  <a:ext cx="1761744" cy="18288"/>
                                </a:xfrm>
                                <a:custGeom>
                                  <a:avLst/>
                                  <a:gdLst/>
                                  <a:ahLst/>
                                  <a:cxnLst/>
                                  <a:rect l="0" t="0" r="0" b="0"/>
                                  <a:pathLst>
                                    <a:path w="1761744" h="18288">
                                      <a:moveTo>
                                        <a:pt x="0" y="0"/>
                                      </a:moveTo>
                                      <a:lnTo>
                                        <a:pt x="1761744" y="0"/>
                                      </a:lnTo>
                                      <a:lnTo>
                                        <a:pt x="17617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 name="Rectangle 8848"/>
                              <wps:cNvSpPr/>
                              <wps:spPr>
                                <a:xfrm>
                                  <a:off x="73152" y="262734"/>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eaVert" lIns="0" tIns="0" rIns="0" bIns="0" rtlCol="0">
                                <a:noAutofit/>
                              </wps:bodyPr>
                            </wps:wsp>
                            <wps:wsp>
                              <wps:cNvPr id="8849" name="Rectangle 8849"/>
                              <wps:cNvSpPr/>
                              <wps:spPr>
                                <a:xfrm>
                                  <a:off x="1837944" y="2239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8850" name="Rectangle 8850"/>
                              <wps:cNvSpPr/>
                              <wps:spPr>
                                <a:xfrm>
                                  <a:off x="2439924"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8851" name="Rectangle 8851"/>
                              <wps:cNvSpPr/>
                              <wps:spPr>
                                <a:xfrm>
                                  <a:off x="2481072" y="232254"/>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844" name="Shape 657844"/>
                              <wps:cNvSpPr/>
                              <wps:spPr>
                                <a:xfrm>
                                  <a:off x="1495044" y="367271"/>
                                  <a:ext cx="1330452" cy="9144"/>
                                </a:xfrm>
                                <a:custGeom>
                                  <a:avLst/>
                                  <a:gdLst/>
                                  <a:ahLst/>
                                  <a:cxnLst/>
                                  <a:rect l="0" t="0" r="0" b="0"/>
                                  <a:pathLst>
                                    <a:path w="1330452" h="9144">
                                      <a:moveTo>
                                        <a:pt x="0" y="0"/>
                                      </a:moveTo>
                                      <a:lnTo>
                                        <a:pt x="1330452" y="0"/>
                                      </a:lnTo>
                                      <a:lnTo>
                                        <a:pt x="1330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 name="Rectangle 8853"/>
                              <wps:cNvSpPr/>
                              <wps:spPr>
                                <a:xfrm>
                                  <a:off x="3438144" y="2239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8854" name="Rectangle 8854"/>
                              <wps:cNvSpPr/>
                              <wps:spPr>
                                <a:xfrm>
                                  <a:off x="3811524"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8855" name="Rectangle 8855"/>
                              <wps:cNvSpPr/>
                              <wps:spPr>
                                <a:xfrm>
                                  <a:off x="3852672" y="221892"/>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7847" name="Shape 657847"/>
                              <wps:cNvSpPr/>
                              <wps:spPr>
                                <a:xfrm>
                                  <a:off x="2935224" y="367271"/>
                                  <a:ext cx="1420368" cy="9144"/>
                                </a:xfrm>
                                <a:custGeom>
                                  <a:avLst/>
                                  <a:gdLst/>
                                  <a:ahLst/>
                                  <a:cxnLst/>
                                  <a:rect l="0" t="0" r="0" b="0"/>
                                  <a:pathLst>
                                    <a:path w="1420368" h="9144">
                                      <a:moveTo>
                                        <a:pt x="0" y="0"/>
                                      </a:moveTo>
                                      <a:lnTo>
                                        <a:pt x="1420368" y="0"/>
                                      </a:lnTo>
                                      <a:lnTo>
                                        <a:pt x="14203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7" name="Rectangle 8857"/>
                              <wps:cNvSpPr/>
                              <wps:spPr>
                                <a:xfrm>
                                  <a:off x="4922520" y="2239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8858" name="Rectangle 8858"/>
                              <wps:cNvSpPr/>
                              <wps:spPr>
                                <a:xfrm>
                                  <a:off x="5295900"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8859" name="Rectangle 8859"/>
                              <wps:cNvSpPr/>
                              <wps:spPr>
                                <a:xfrm>
                                  <a:off x="5337048" y="232254"/>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850" name="Shape 657850"/>
                              <wps:cNvSpPr/>
                              <wps:spPr>
                                <a:xfrm>
                                  <a:off x="4465320" y="367271"/>
                                  <a:ext cx="1330452" cy="9144"/>
                                </a:xfrm>
                                <a:custGeom>
                                  <a:avLst/>
                                  <a:gdLst/>
                                  <a:ahLst/>
                                  <a:cxnLst/>
                                  <a:rect l="0" t="0" r="0" b="0"/>
                                  <a:pathLst>
                                    <a:path w="1330452" h="9144">
                                      <a:moveTo>
                                        <a:pt x="0" y="0"/>
                                      </a:moveTo>
                                      <a:lnTo>
                                        <a:pt x="1330452" y="0"/>
                                      </a:lnTo>
                                      <a:lnTo>
                                        <a:pt x="1330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1" name="Rectangle 8861"/>
                              <wps:cNvSpPr/>
                              <wps:spPr>
                                <a:xfrm>
                                  <a:off x="6044184" y="223939"/>
                                  <a:ext cx="1064134"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8862" name="Rectangle 8862"/>
                              <wps:cNvSpPr/>
                              <wps:spPr>
                                <a:xfrm>
                                  <a:off x="6874764"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8863" name="Rectangle 8863"/>
                              <wps:cNvSpPr/>
                              <wps:spPr>
                                <a:xfrm>
                                  <a:off x="6915912" y="232254"/>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853" name="Shape 657853"/>
                              <wps:cNvSpPr/>
                              <wps:spPr>
                                <a:xfrm>
                                  <a:off x="5905500" y="367271"/>
                                  <a:ext cx="1150607" cy="9144"/>
                                </a:xfrm>
                                <a:custGeom>
                                  <a:avLst/>
                                  <a:gdLst/>
                                  <a:ahLst/>
                                  <a:cxnLst/>
                                  <a:rect l="0" t="0" r="0" b="0"/>
                                  <a:pathLst>
                                    <a:path w="1150607" h="9144">
                                      <a:moveTo>
                                        <a:pt x="0" y="0"/>
                                      </a:moveTo>
                                      <a:lnTo>
                                        <a:pt x="1150607" y="0"/>
                                      </a:lnTo>
                                      <a:lnTo>
                                        <a:pt x="11506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36620" o:spid="_x0000_s1097" style="width:559.9pt;height:29.4pt;mso-position-horizontal-relative:char;mso-position-vertical-relative:line" coordsize="71109,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">
                      <v:rect id="Rectangle 8836" o:spid="_x0000_s1098" style="position:absolute;left:731;top:364;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aexQAAAN0AAAAPAAAAZHJzL2Rvd25yZXYueG1sRI9Bi8Iw&#10;FITvC/6H8ARva+oK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Dea3aexQAAAN0AAAAP&#10;AAAAAAAAAAAAAAAAAAcCAABkcnMvZG93bnJldi54bWxQSwUGAAAAAAMAAwC3AAAA+QI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8837" o:spid="_x0000_s1099" style="position:absolute;left:11323;top:344;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MF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sSfTBc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8838" o:spid="_x0000_s1100" style="position:absolute;left:11734;top:344;width:28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d3xAAAAN0AAAAPAAAAZHJzL2Rvd25yZXYueG1sRE/LasJA&#10;FN0X/IfhFtzVSVuQ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MC4R3fEAAAA3Q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833" o:spid="_x0000_s1101" style="position:absolute;width:13243;height:182;visibility:visible;mso-wrap-style:square;v-text-anchor:top" coordsize="132435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" path="m,l1324356,r,18288l,18288,,e" fillcolor="black" stroked="f" strokeweight="0">
                        <v:stroke miterlimit="83231f" joinstyle="miter"/>
                        <v:path arrowok="t" textboxrect="0,0,1324356,18288"/>
                      </v:shape>
                      <v:shape id="Shape 657834" o:spid="_x0000_s1102" style="position:absolute;left:1324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" path="m,l18288,r,18288l,18288,,e" fillcolor="black" stroked="f" strokeweight="0">
                        <v:stroke miterlimit="83231f" joinstyle="miter"/>
                        <v:path arrowok="t" textboxrect="0,0,18288,18288"/>
                      </v:shape>
                      <v:shape id="Shape 657835" o:spid="_x0000_s1103" style="position:absolute;left:13426;width:28956;height:182;visibility:visible;mso-wrap-style:square;v-text-anchor:top" coordsize="28956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" path="m,l2895600,r,18288l,18288,,e" fillcolor="black" stroked="f" strokeweight="0">
                        <v:stroke miterlimit="83231f" joinstyle="miter"/>
                        <v:path arrowok="t" textboxrect="0,0,2895600,18288"/>
                      </v:shape>
                      <v:shape id="Shape 657836" o:spid="_x0000_s1104" style="position:absolute;left:4238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" path="m,l18288,r,18288l,18288,,e" fillcolor="black" stroked="f" strokeweight="0">
                        <v:stroke miterlimit="83231f" joinstyle="miter"/>
                        <v:path arrowok="t" textboxrect="0,0,18288,18288"/>
                      </v:shape>
                      <v:shape id="Shape 657837" o:spid="_x0000_s1105" style="position:absolute;left:42565;width:1539;height:182;visibility:visible;mso-wrap-style:square;v-text-anchor:top" coordsize="1539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" path="m,l153924,r,18288l,18288,,e" fillcolor="black" stroked="f" strokeweight="0">
                        <v:stroke miterlimit="83231f" joinstyle="miter"/>
                        <v:path arrowok="t" textboxrect="0,0,153924,18288"/>
                      </v:shape>
                      <v:shape id="Shape 657838" o:spid="_x0000_s1106" style="position:absolute;left:44104;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" path="m,l18288,r,18288l,18288,,e" fillcolor="black" stroked="f" strokeweight="0">
                        <v:stroke miterlimit="83231f" joinstyle="miter"/>
                        <v:path arrowok="t" textboxrect="0,0,18288,18288"/>
                      </v:shape>
                      <v:shape id="Shape 657839" o:spid="_x0000_s1107" style="position:absolute;left:44287;width:9022;height:182;visibility:visible;mso-wrap-style:square;v-text-anchor:top" coordsize="90220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" path="m,l902208,r,18288l,18288,,e" fillcolor="black" stroked="f" strokeweight="0">
                        <v:stroke miterlimit="83231f" joinstyle="miter"/>
                        <v:path arrowok="t" textboxrect="0,0,902208,18288"/>
                      </v:shape>
                      <v:shape id="Shape 657840" o:spid="_x0000_s1108" style="position:absolute;left:5330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" path="m,l18288,r,18288l,18288,,e" fillcolor="black" stroked="f" strokeweight="0">
                        <v:stroke miterlimit="83231f" joinstyle="miter"/>
                        <v:path arrowok="t" textboxrect="0,0,18288,18288"/>
                      </v:shape>
                      <v:shape id="Shape 657841" o:spid="_x0000_s1109" style="position:absolute;left:53492;width:17617;height:182;visibility:visible;mso-wrap-style:square;v-text-anchor:top" coordsize="17617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" path="m,l1761744,r,18288l,18288,,e" fillcolor="black" stroked="f" strokeweight="0">
                        <v:stroke miterlimit="83231f" joinstyle="miter"/>
                        <v:path arrowok="t" textboxrect="0,0,1761744,18288"/>
                      </v:shape>
                      <v:rect id="Rectangle 8848" o:spid="_x0000_s1110" style="position:absolute;left:731;top:2627;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" filled="f" stroked="f">
                        <v:textbox style="layout-flow:vertical-ideographic"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rect id="Rectangle 8849" o:spid="_x0000_s1111" style="position:absolute;left:18379;top:2239;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GR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9/KRkc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首次銷售費</w:t>
                              </w:r>
                            </w:p>
                          </w:txbxContent>
                        </v:textbox>
                      </v:rect>
                      <v:rect id="Rectangle 8850" o:spid="_x0000_s1112" style="position:absolute;left:24399;top:2218;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7RxAAAAN0AAAAPAAAAZHJzL2Rvd25yZXYueG1sRE/LasJA&#10;FN0X/IfhFtzVSQuV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OMRrtHEAAAA3Q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8851" o:spid="_x0000_s1113" style="position:absolute;left:24810;top:2322;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tKxQAAAN0AAAAPAAAAZHJzL2Rvd25yZXYueG1sRI9Bi8Iw&#10;FITvgv8hPGFvmrrg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CMXQtKxQAAAN0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844" o:spid="_x0000_s1114" style="position:absolute;left:14950;top:3672;width:13304;height:92;visibility:visible;mso-wrap-style:square;v-text-anchor:top" coordsize="13304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" path="m,l1330452,r,9144l,9144,,e" fillcolor="black" stroked="f" strokeweight="0">
                        <v:stroke miterlimit="83231f" joinstyle="miter"/>
                        <v:path arrowok="t" textboxrect="0,0,1330452,9144"/>
                      </v:shape>
                      <v:rect id="Rectangle 8853" o:spid="_x0000_s1115" style="position:absolute;left:34381;top:2239;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Cm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E8Mwps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管理費</w:t>
                              </w:r>
                            </w:p>
                          </w:txbxContent>
                        </v:textbox>
                      </v:rect>
                      <v:rect id="Rectangle 8854" o:spid="_x0000_s1116" style="position:absolute;left:38115;top:2218;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jS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nCqo0s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8855" o:spid="_x0000_s1117" style="position:absolute;left:38526;top:2218;width:28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1JxgAAAN0AAAAPAAAAZHJzL2Rvd25yZXYueG1sRI9Ba8JA&#10;FITvBf/D8oTe6qaF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82YNSc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7847" o:spid="_x0000_s1118" style="position:absolute;left:29352;top:3672;width:14203;height:92;visibility:visible;mso-wrap-style:square;v-text-anchor:top" coordsize="14203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" path="m,l1420368,r,9144l,9144,,e" fillcolor="black" stroked="f" strokeweight="0">
                        <v:stroke miterlimit="83231f" joinstyle="miter"/>
                        <v:path arrowok="t" textboxrect="0,0,1420368,9144"/>
                      </v:shape>
                      <v:rect id="Rectangle 8857" o:spid="_x0000_s1119" style="position:absolute;left:49225;top:2239;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l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bPg2pcYAAADdAAAA&#10;DwAAAAAAAAAAAAAAAAAHAgAAZHJzL2Rvd25yZXYueG1sUEsFBgAAAAADAAMAtwAAAPoCAAAAAA==&#10;" filled="f" stroked="f">
                        <v:textbox inset="0,0,0,0">
                          <w:txbxContent>
                            <w:p w:rsidR="004D6F0E" w:rsidRDefault="00490F21">
                              <w:pPr>
                                <w:spacing w:after="160" w:line="259" w:lineRule="auto"/>
                                <w:ind w:left="0" w:firstLine="0"/>
                              </w:pPr>
                              <w:r>
                                <w:rPr>
                                  <w:sz w:val="18"/>
                                </w:rPr>
                                <w:t>分銷費</w:t>
                              </w:r>
                            </w:p>
                          </w:txbxContent>
                        </v:textbox>
                      </v:rect>
                      <v:rect id="Rectangle 8858" o:spid="_x0000_s1120" style="position:absolute;left:52959;top:2218;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LXxAAAAN0AAAAPAAAAZHJzL2Rvd25yZXYueG1sRE/LasJA&#10;FN0X/IfhFtzVSQuV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B1notfEAAAA3Q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8859" o:spid="_x0000_s1121" style="position:absolute;left:53370;top:2322;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MxgAAAN0AAAAPAAAAZHJzL2Rvd25yZXYueG1sRI9Pa8JA&#10;FMTvgt9heYI33ShY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cisHTMYAAADd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850" o:spid="_x0000_s1122" style="position:absolute;left:44653;top:3672;width:13304;height:92;visibility:visible;mso-wrap-style:square;v-text-anchor:top" coordsize="13304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" path="m,l1330452,r,9144l,9144,,e" fillcolor="black" stroked="f" strokeweight="0">
                        <v:stroke miterlimit="83231f" joinstyle="miter"/>
                        <v:path arrowok="t" textboxrect="0,0,1330452,9144"/>
                      </v:shape>
                      <v:rect id="Rectangle 8861" o:spid="_x0000_s1123" style="position:absolute;left:60441;top:2239;width:106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" filled="f" stroked="f">
                        <v:textbox inset="0,0,0,0">
                          <w:txbxContent>
                            <w:p w:rsidR="004D6F0E" w:rsidRDefault="00490F21">
                              <w:pPr>
                                <w:spacing w:after="160" w:line="259" w:lineRule="auto"/>
                                <w:ind w:left="0" w:firstLine="0"/>
                              </w:pPr>
                              <w:r>
                                <w:rPr>
                                  <w:sz w:val="18"/>
                                </w:rPr>
                                <w:t>或有遞延銷售費</w:t>
                              </w:r>
                            </w:p>
                          </w:txbxContent>
                        </v:textbox>
                      </v:rect>
                      <v:rect id="Rectangle 8862" o:spid="_x0000_s1124" style="position:absolute;left:68747;top:2218;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A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0hOeb8ATk7AEAAP//AwBQSwECLQAUAAYACAAAACEA2+H2y+4AAACFAQAAEwAAAAAAAAAA&#10;AAAAAAAAAAAAW0NvbnRlbnRfVHlwZXNdLnhtbFBLAQItABQABgAIAAAAIQBa9CxbvwAAABUBAAAL&#10;AAAAAAAAAAAAAAAAAB8BAABfcmVscy8ucmVsc1BLAQItABQABgAIAAAAIQCy41+AxQAAAN0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8863" o:spid="_x0000_s1125" style="position:absolute;left:69159;top:2322;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bxQAAAN0AAAAPAAAAZHJzL2Rvd25yZXYueG1sRI9Bi8Iw&#10;FITvC/6H8ARva+oK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Ddr/obxQAAAN0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853" o:spid="_x0000_s1126" style="position:absolute;left:59055;top:3672;width:11506;height:92;visibility:visible;mso-wrap-style:square;v-text-anchor:top" coordsize="11506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" path="m,l1150607,r,9144l,9144,,e" fillcolor="black" stroked="f" strokeweight="0">
                        <v:stroke miterlimit="83231f" joinstyle="miter"/>
                        <v:path arrowok="t" textboxrect="0,0,1150607,9144"/>
                      </v:shape>
                      <w10:anchorlock/>
                    </v:group>
                  </w:pict>
                </mc:Fallback>
              </mc:AlternateContent>
            </w:r>
          </w:p>
          <w:tbl>
            <w:tblPr>
              <w:tblStyle w:val="TableGrid"/>
              <w:tblW w:w="11198" w:type="dxa"/>
              <w:tblInd w:w="0" w:type="dxa"/>
              <w:tblCellMar>
                <w:top w:w="27" w:type="dxa"/>
                <w:left w:w="0" w:type="dxa"/>
                <w:bottom w:w="0" w:type="dxa"/>
                <w:right w:w="221" w:type="dxa"/>
              </w:tblCellMar>
              <w:tblLook w:val="04A0" w:firstRow="1" w:lastRow="0" w:firstColumn="1" w:lastColumn="0" w:noHBand="0" w:noVBand="1"/>
            </w:tblPr>
            <w:tblGrid>
              <w:gridCol w:w="2854"/>
              <w:gridCol w:w="2630"/>
              <w:gridCol w:w="2340"/>
              <w:gridCol w:w="1658"/>
              <w:gridCol w:w="1716"/>
            </w:tblGrid>
            <w:tr w:rsidR="004D6F0E">
              <w:trPr>
                <w:trHeight w:val="290"/>
              </w:trPr>
              <w:tc>
                <w:tcPr>
                  <w:tcW w:w="2854" w:type="dxa"/>
                  <w:tcBorders>
                    <w:top w:val="nil"/>
                    <w:left w:val="nil"/>
                    <w:bottom w:val="nil"/>
                    <w:right w:val="nil"/>
                  </w:tcBorders>
                  <w:shd w:val="clear" w:color="auto" w:fill="D9D9D9"/>
                </w:tcPr>
                <w:p w:rsidR="004D6F0E" w:rsidRDefault="00490F21">
                  <w:pPr>
                    <w:framePr w:wrap="around" w:vAnchor="text" w:hAnchor="margin" w:y="8107"/>
                    <w:spacing w:after="0" w:line="259" w:lineRule="auto"/>
                    <w:ind w:left="115" w:firstLine="0"/>
                    <w:suppressOverlap/>
                  </w:pPr>
                  <w:r>
                    <w:rPr>
                      <w:sz w:val="18"/>
                    </w:rPr>
                    <w:t>美元計價股份類別</w:t>
                  </w:r>
                  <w:r>
                    <w:rPr>
                      <w:rFonts w:ascii="Arial" w:eastAsia="Arial" w:hAnsi="Arial" w:cs="Arial"/>
                      <w:b/>
                      <w:sz w:val="18"/>
                    </w:rPr>
                    <w:t xml:space="preserve"> </w:t>
                  </w:r>
                </w:p>
              </w:tc>
              <w:tc>
                <w:tcPr>
                  <w:tcW w:w="2630"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c>
                <w:tcPr>
                  <w:tcW w:w="2340"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c>
                <w:tcPr>
                  <w:tcW w:w="1658"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c>
                <w:tcPr>
                  <w:tcW w:w="1716"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r>
            <w:tr w:rsidR="004D6F0E">
              <w:trPr>
                <w:trHeight w:val="270"/>
              </w:trPr>
              <w:tc>
                <w:tcPr>
                  <w:tcW w:w="2854" w:type="dxa"/>
                  <w:tcBorders>
                    <w:top w:val="nil"/>
                    <w:left w:val="nil"/>
                    <w:bottom w:val="nil"/>
                    <w:right w:val="nil"/>
                  </w:tcBorders>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sz w:val="18"/>
                    </w:rPr>
                    <w:t>最高為</w:t>
                  </w:r>
                  <w:r>
                    <w:rPr>
                      <w:sz w:val="18"/>
                    </w:rPr>
                    <w:t xml:space="preserve"> </w:t>
                  </w:r>
                  <w:r>
                    <w:rPr>
                      <w:rFonts w:ascii="Arial" w:eastAsia="Arial" w:hAnsi="Arial" w:cs="Arial"/>
                      <w:sz w:val="18"/>
                    </w:rPr>
                    <w:t xml:space="preserve">5.00% </w:t>
                  </w:r>
                </w:p>
              </w:tc>
              <w:tc>
                <w:tcPr>
                  <w:tcW w:w="234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1.70% </w:t>
                  </w:r>
                </w:p>
              </w:tc>
              <w:tc>
                <w:tcPr>
                  <w:tcW w:w="1658"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634" w:firstLine="0"/>
                    <w:suppressOverlap/>
                  </w:pPr>
                  <w:r>
                    <w:rPr>
                      <w:sz w:val="18"/>
                    </w:rPr>
                    <w:t>無</w:t>
                  </w:r>
                  <w:r>
                    <w:rPr>
                      <w:rFonts w:ascii="Arial" w:eastAsia="Arial" w:hAnsi="Arial" w:cs="Arial"/>
                      <w:sz w:val="18"/>
                    </w:rPr>
                    <w:t xml:space="preserve"> </w:t>
                  </w:r>
                </w:p>
              </w:tc>
            </w:tr>
            <w:tr w:rsidR="004D6F0E">
              <w:trPr>
                <w:trHeight w:val="293"/>
              </w:trPr>
              <w:tc>
                <w:tcPr>
                  <w:tcW w:w="2854" w:type="dxa"/>
                  <w:tcBorders>
                    <w:top w:val="nil"/>
                    <w:left w:val="nil"/>
                    <w:bottom w:val="nil"/>
                    <w:right w:val="nil"/>
                  </w:tcBorders>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sz w:val="18"/>
                    </w:rPr>
                    <w:t>最高為</w:t>
                  </w:r>
                  <w:r>
                    <w:rPr>
                      <w:sz w:val="18"/>
                    </w:rPr>
                    <w:t xml:space="preserve"> </w:t>
                  </w:r>
                  <w:r>
                    <w:rPr>
                      <w:rFonts w:ascii="Arial" w:eastAsia="Arial" w:hAnsi="Arial" w:cs="Arial"/>
                      <w:sz w:val="18"/>
                    </w:rPr>
                    <w:t xml:space="preserve">5.00% </w:t>
                  </w:r>
                </w:p>
              </w:tc>
              <w:tc>
                <w:tcPr>
                  <w:tcW w:w="234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1.70% </w:t>
                  </w:r>
                </w:p>
              </w:tc>
              <w:tc>
                <w:tcPr>
                  <w:tcW w:w="1658"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634" w:firstLine="0"/>
                    <w:suppressOverlap/>
                  </w:pPr>
                  <w:r>
                    <w:rPr>
                      <w:sz w:val="18"/>
                    </w:rPr>
                    <w:t>無</w:t>
                  </w:r>
                  <w:r>
                    <w:rPr>
                      <w:rFonts w:ascii="Arial" w:eastAsia="Arial" w:hAnsi="Arial" w:cs="Arial"/>
                      <w:sz w:val="18"/>
                    </w:rPr>
                    <w:t xml:space="preserve"> </w:t>
                  </w:r>
                </w:p>
              </w:tc>
            </w:tr>
            <w:tr w:rsidR="004D6F0E">
              <w:trPr>
                <w:trHeight w:val="1223"/>
              </w:trPr>
              <w:tc>
                <w:tcPr>
                  <w:tcW w:w="2854" w:type="dxa"/>
                  <w:tcBorders>
                    <w:top w:val="nil"/>
                    <w:left w:val="nil"/>
                    <w:bottom w:val="nil"/>
                    <w:right w:val="nil"/>
                  </w:tcBorders>
                  <w:vAlign w:val="center"/>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B </w:t>
                  </w:r>
                  <w:r>
                    <w:rPr>
                      <w:sz w:val="18"/>
                    </w:rPr>
                    <w:t>類股份</w:t>
                  </w:r>
                  <w:r>
                    <w:rPr>
                      <w:sz w:val="18"/>
                    </w:rPr>
                    <w:t xml:space="preserve"> </w:t>
                  </w:r>
                  <w:r>
                    <w:rPr>
                      <w:rFonts w:ascii="Arial" w:eastAsia="Arial" w:hAnsi="Arial" w:cs="Arial"/>
                      <w:b/>
                      <w:sz w:val="18"/>
                      <w:vertAlign w:val="superscript"/>
                    </w:rPr>
                    <w:t>2*</w:t>
                  </w:r>
                  <w:r>
                    <w:rPr>
                      <w:rFonts w:ascii="Arial" w:eastAsia="Arial" w:hAnsi="Arial" w:cs="Arial"/>
                      <w:sz w:val="18"/>
                    </w:rPr>
                    <w:t xml:space="preserve"> </w:t>
                  </w:r>
                </w:p>
              </w:tc>
              <w:tc>
                <w:tcPr>
                  <w:tcW w:w="2630" w:type="dxa"/>
                  <w:tcBorders>
                    <w:top w:val="nil"/>
                    <w:left w:val="nil"/>
                    <w:bottom w:val="nil"/>
                    <w:right w:val="nil"/>
                  </w:tcBorders>
                  <w:vAlign w:val="center"/>
                </w:tcPr>
                <w:p w:rsidR="004D6F0E" w:rsidRDefault="00490F21">
                  <w:pPr>
                    <w:framePr w:wrap="around" w:vAnchor="text" w:hAnchor="margin" w:y="8107"/>
                    <w:spacing w:after="0" w:line="259" w:lineRule="auto"/>
                    <w:ind w:left="458" w:firstLine="0"/>
                    <w:suppressOverlap/>
                  </w:pPr>
                  <w:r>
                    <w:rPr>
                      <w:sz w:val="18"/>
                    </w:rPr>
                    <w:t>無</w:t>
                  </w:r>
                  <w:r>
                    <w:rPr>
                      <w:rFonts w:ascii="Arial" w:eastAsia="Arial" w:hAnsi="Arial" w:cs="Arial"/>
                      <w:sz w:val="18"/>
                    </w:rPr>
                    <w:t xml:space="preserve"> </w:t>
                  </w:r>
                </w:p>
              </w:tc>
              <w:tc>
                <w:tcPr>
                  <w:tcW w:w="2340" w:type="dxa"/>
                  <w:tcBorders>
                    <w:top w:val="nil"/>
                    <w:left w:val="nil"/>
                    <w:bottom w:val="nil"/>
                    <w:right w:val="nil"/>
                  </w:tcBorders>
                  <w:vAlign w:val="center"/>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1.70% </w:t>
                  </w:r>
                </w:p>
              </w:tc>
              <w:tc>
                <w:tcPr>
                  <w:tcW w:w="1658" w:type="dxa"/>
                  <w:tcBorders>
                    <w:top w:val="nil"/>
                    <w:left w:val="nil"/>
                    <w:bottom w:val="nil"/>
                    <w:right w:val="nil"/>
                  </w:tcBorders>
                  <w:vAlign w:val="center"/>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1.00% </w:t>
                  </w:r>
                </w:p>
              </w:tc>
              <w:tc>
                <w:tcPr>
                  <w:tcW w:w="1716" w:type="dxa"/>
                  <w:tcBorders>
                    <w:top w:val="nil"/>
                    <w:left w:val="nil"/>
                    <w:bottom w:val="nil"/>
                    <w:right w:val="nil"/>
                  </w:tcBorders>
                </w:tcPr>
                <w:p w:rsidR="004D6F0E" w:rsidRDefault="00490F21">
                  <w:pPr>
                    <w:framePr w:wrap="around" w:vAnchor="text" w:hAnchor="margin" w:y="8107"/>
                    <w:spacing w:after="25" w:line="259" w:lineRule="auto"/>
                    <w:ind w:left="0" w:firstLine="0"/>
                    <w:suppressOverlap/>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=4.0% </w:t>
                  </w:r>
                </w:p>
                <w:p w:rsidR="004D6F0E" w:rsidRDefault="00490F21">
                  <w:pPr>
                    <w:framePr w:wrap="around" w:vAnchor="text" w:hAnchor="margin" w:y="8107"/>
                    <w:spacing w:after="0" w:line="282" w:lineRule="auto"/>
                    <w:ind w:left="180" w:firstLine="0"/>
                    <w:suppressOverlap/>
                  </w:pPr>
                  <w:r>
                    <w:rPr>
                      <w:rFonts w:ascii="Arial" w:eastAsia="Arial" w:hAnsi="Arial" w:cs="Arial"/>
                      <w:sz w:val="18"/>
                    </w:rPr>
                    <w:t xml:space="preserve">1–2 </w:t>
                  </w:r>
                  <w:r>
                    <w:rPr>
                      <w:sz w:val="18"/>
                    </w:rPr>
                    <w:t>年</w:t>
                  </w:r>
                  <w:r>
                    <w:rPr>
                      <w:rFonts w:ascii="Arial" w:eastAsia="Arial" w:hAnsi="Arial" w:cs="Arial"/>
                      <w:sz w:val="18"/>
                    </w:rPr>
                    <w:t xml:space="preserve">=3.0% 2–3 </w:t>
                  </w:r>
                  <w:r>
                    <w:rPr>
                      <w:sz w:val="18"/>
                    </w:rPr>
                    <w:t>年</w:t>
                  </w:r>
                  <w:r>
                    <w:rPr>
                      <w:rFonts w:ascii="Arial" w:eastAsia="Arial" w:hAnsi="Arial" w:cs="Arial"/>
                      <w:sz w:val="18"/>
                    </w:rPr>
                    <w:t xml:space="preserve">=2.0% 3–4 </w:t>
                  </w:r>
                  <w:r>
                    <w:rPr>
                      <w:sz w:val="18"/>
                    </w:rPr>
                    <w:t>年</w:t>
                  </w:r>
                  <w:r>
                    <w:rPr>
                      <w:rFonts w:ascii="Arial" w:eastAsia="Arial" w:hAnsi="Arial" w:cs="Arial"/>
                      <w:sz w:val="18"/>
                    </w:rPr>
                    <w:t xml:space="preserve">=1.0% </w:t>
                  </w:r>
                </w:p>
                <w:p w:rsidR="004D6F0E" w:rsidRDefault="00490F21">
                  <w:pPr>
                    <w:framePr w:wrap="around" w:vAnchor="text" w:hAnchor="margin" w:y="8107"/>
                    <w:spacing w:after="0" w:line="259" w:lineRule="auto"/>
                    <w:ind w:left="154" w:firstLine="0"/>
                    <w:suppressOverlap/>
                  </w:pPr>
                  <w:r>
                    <w:rPr>
                      <w:rFonts w:ascii="Arial" w:eastAsia="Arial" w:hAnsi="Arial" w:cs="Arial"/>
                      <w:sz w:val="18"/>
                    </w:rPr>
                    <w:t xml:space="preserve">4 </w:t>
                  </w:r>
                  <w:r>
                    <w:rPr>
                      <w:sz w:val="18"/>
                    </w:rPr>
                    <w:t>年以上</w:t>
                  </w:r>
                  <w:r>
                    <w:rPr>
                      <w:rFonts w:ascii="Arial" w:eastAsia="Arial" w:hAnsi="Arial" w:cs="Arial"/>
                      <w:sz w:val="18"/>
                    </w:rPr>
                    <w:t xml:space="preserve"> =0% </w:t>
                  </w:r>
                </w:p>
              </w:tc>
            </w:tr>
            <w:tr w:rsidR="004D6F0E">
              <w:trPr>
                <w:trHeight w:val="526"/>
              </w:trPr>
              <w:tc>
                <w:tcPr>
                  <w:tcW w:w="2854" w:type="dxa"/>
                  <w:tcBorders>
                    <w:top w:val="nil"/>
                    <w:left w:val="nil"/>
                    <w:bottom w:val="nil"/>
                    <w:right w:val="nil"/>
                  </w:tcBorders>
                  <w:vAlign w:val="center"/>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630" w:type="dxa"/>
                  <w:tcBorders>
                    <w:top w:val="nil"/>
                    <w:left w:val="nil"/>
                    <w:bottom w:val="nil"/>
                    <w:right w:val="nil"/>
                  </w:tcBorders>
                  <w:vAlign w:val="center"/>
                </w:tcPr>
                <w:p w:rsidR="004D6F0E" w:rsidRDefault="00490F21">
                  <w:pPr>
                    <w:framePr w:wrap="around" w:vAnchor="text" w:hAnchor="margin" w:y="8107"/>
                    <w:spacing w:after="0" w:line="259" w:lineRule="auto"/>
                    <w:ind w:left="458" w:firstLine="0"/>
                    <w:suppressOverlap/>
                  </w:pPr>
                  <w:r>
                    <w:rPr>
                      <w:sz w:val="18"/>
                    </w:rPr>
                    <w:t>無</w:t>
                  </w:r>
                  <w:r>
                    <w:rPr>
                      <w:rFonts w:ascii="Arial" w:eastAsia="Arial" w:hAnsi="Arial" w:cs="Arial"/>
                      <w:sz w:val="18"/>
                    </w:rPr>
                    <w:t xml:space="preserve"> </w:t>
                  </w:r>
                </w:p>
              </w:tc>
              <w:tc>
                <w:tcPr>
                  <w:tcW w:w="2340" w:type="dxa"/>
                  <w:tcBorders>
                    <w:top w:val="nil"/>
                    <w:left w:val="nil"/>
                    <w:bottom w:val="nil"/>
                    <w:right w:val="nil"/>
                  </w:tcBorders>
                  <w:vAlign w:val="center"/>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2.15% </w:t>
                  </w:r>
                </w:p>
              </w:tc>
              <w:tc>
                <w:tcPr>
                  <w:tcW w:w="1658" w:type="dxa"/>
                  <w:tcBorders>
                    <w:top w:val="nil"/>
                    <w:left w:val="nil"/>
                    <w:bottom w:val="nil"/>
                    <w:right w:val="nil"/>
                  </w:tcBorders>
                  <w:vAlign w:val="center"/>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290" w:hanging="290"/>
                    <w:suppressOverlap/>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trHeight w:val="993"/>
              </w:trPr>
              <w:tc>
                <w:tcPr>
                  <w:tcW w:w="2854" w:type="dxa"/>
                  <w:tcBorders>
                    <w:top w:val="nil"/>
                    <w:left w:val="nil"/>
                    <w:bottom w:val="nil"/>
                    <w:right w:val="nil"/>
                  </w:tcBorders>
                  <w:vAlign w:val="center"/>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ED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630" w:type="dxa"/>
                  <w:tcBorders>
                    <w:top w:val="nil"/>
                    <w:left w:val="nil"/>
                    <w:bottom w:val="nil"/>
                    <w:right w:val="nil"/>
                  </w:tcBorders>
                  <w:vAlign w:val="center"/>
                </w:tcPr>
                <w:p w:rsidR="004D6F0E" w:rsidRDefault="00490F21">
                  <w:pPr>
                    <w:framePr w:wrap="around" w:vAnchor="text" w:hAnchor="margin" w:y="8107"/>
                    <w:spacing w:after="0" w:line="259" w:lineRule="auto"/>
                    <w:ind w:left="458" w:firstLine="0"/>
                    <w:suppressOverlap/>
                  </w:pPr>
                  <w:r>
                    <w:rPr>
                      <w:sz w:val="18"/>
                    </w:rPr>
                    <w:t>無</w:t>
                  </w:r>
                  <w:r>
                    <w:rPr>
                      <w:rFonts w:ascii="Arial" w:eastAsia="Arial" w:hAnsi="Arial" w:cs="Arial"/>
                      <w:sz w:val="18"/>
                    </w:rPr>
                    <w:t xml:space="preserve"> </w:t>
                  </w:r>
                </w:p>
              </w:tc>
              <w:tc>
                <w:tcPr>
                  <w:tcW w:w="2340" w:type="dxa"/>
                  <w:tcBorders>
                    <w:top w:val="nil"/>
                    <w:left w:val="nil"/>
                    <w:bottom w:val="nil"/>
                    <w:right w:val="nil"/>
                  </w:tcBorders>
                  <w:vAlign w:val="center"/>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1.70% </w:t>
                  </w:r>
                </w:p>
              </w:tc>
              <w:tc>
                <w:tcPr>
                  <w:tcW w:w="1658" w:type="dxa"/>
                  <w:tcBorders>
                    <w:top w:val="nil"/>
                    <w:left w:val="nil"/>
                    <w:bottom w:val="nil"/>
                    <w:right w:val="nil"/>
                  </w:tcBorders>
                  <w:vAlign w:val="center"/>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1.00% </w:t>
                  </w:r>
                </w:p>
              </w:tc>
              <w:tc>
                <w:tcPr>
                  <w:tcW w:w="1716" w:type="dxa"/>
                  <w:tcBorders>
                    <w:top w:val="nil"/>
                    <w:left w:val="nil"/>
                    <w:bottom w:val="nil"/>
                    <w:right w:val="nil"/>
                  </w:tcBorders>
                </w:tcPr>
                <w:p w:rsidR="004D6F0E" w:rsidRDefault="00490F21">
                  <w:pPr>
                    <w:framePr w:wrap="around" w:vAnchor="text" w:hAnchor="margin" w:y="8107"/>
                    <w:spacing w:after="25" w:line="259" w:lineRule="auto"/>
                    <w:ind w:left="0" w:firstLine="0"/>
                    <w:suppressOverlap/>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framePr w:wrap="around" w:vAnchor="text" w:hAnchor="margin" w:y="8107"/>
                    <w:spacing w:after="0" w:line="284" w:lineRule="auto"/>
                    <w:ind w:left="180" w:firstLine="0"/>
                    <w:suppressOverlap/>
                  </w:pPr>
                  <w:r>
                    <w:rPr>
                      <w:rFonts w:ascii="Arial" w:eastAsia="Arial" w:hAnsi="Arial" w:cs="Arial"/>
                      <w:sz w:val="18"/>
                    </w:rPr>
                    <w:t xml:space="preserve">1–2 </w:t>
                  </w:r>
                  <w:r>
                    <w:rPr>
                      <w:sz w:val="18"/>
                    </w:rPr>
                    <w:t>年</w:t>
                  </w:r>
                  <w:r>
                    <w:rPr>
                      <w:rFonts w:ascii="Arial" w:eastAsia="Arial" w:hAnsi="Arial" w:cs="Arial"/>
                      <w:sz w:val="18"/>
                    </w:rPr>
                    <w:t xml:space="preserve">=2.0% 2–3 </w:t>
                  </w:r>
                  <w:r>
                    <w:rPr>
                      <w:sz w:val="18"/>
                    </w:rPr>
                    <w:t>年</w:t>
                  </w:r>
                  <w:r>
                    <w:rPr>
                      <w:rFonts w:ascii="Arial" w:eastAsia="Arial" w:hAnsi="Arial" w:cs="Arial"/>
                      <w:sz w:val="18"/>
                    </w:rPr>
                    <w:t xml:space="preserve">=1.0% </w:t>
                  </w:r>
                </w:p>
                <w:p w:rsidR="004D6F0E" w:rsidRDefault="00490F21">
                  <w:pPr>
                    <w:framePr w:wrap="around" w:vAnchor="text" w:hAnchor="margin" w:y="8107"/>
                    <w:spacing w:after="0" w:line="259" w:lineRule="auto"/>
                    <w:ind w:left="197" w:firstLine="0"/>
                    <w:suppressOverlap/>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299"/>
              </w:trPr>
              <w:tc>
                <w:tcPr>
                  <w:tcW w:w="2854" w:type="dxa"/>
                  <w:tcBorders>
                    <w:top w:val="nil"/>
                    <w:left w:val="nil"/>
                    <w:bottom w:val="nil"/>
                    <w:right w:val="nil"/>
                  </w:tcBorders>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sz w:val="18"/>
                    </w:rPr>
                    <w:t>最高為</w:t>
                  </w:r>
                  <w:r>
                    <w:rPr>
                      <w:sz w:val="18"/>
                    </w:rPr>
                    <w:t xml:space="preserve"> </w:t>
                  </w:r>
                  <w:r>
                    <w:rPr>
                      <w:rFonts w:ascii="Arial" w:eastAsia="Arial" w:hAnsi="Arial" w:cs="Arial"/>
                      <w:sz w:val="18"/>
                    </w:rPr>
                    <w:t xml:space="preserve">1.50% </w:t>
                  </w:r>
                </w:p>
              </w:tc>
              <w:tc>
                <w:tcPr>
                  <w:tcW w:w="234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0.90% </w:t>
                  </w:r>
                </w:p>
              </w:tc>
              <w:tc>
                <w:tcPr>
                  <w:tcW w:w="1658"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634" w:firstLine="0"/>
                    <w:suppressOverlap/>
                  </w:pPr>
                  <w:r>
                    <w:rPr>
                      <w:sz w:val="18"/>
                    </w:rPr>
                    <w:t>無</w:t>
                  </w:r>
                  <w:r>
                    <w:rPr>
                      <w:rFonts w:ascii="Arial" w:eastAsia="Arial" w:hAnsi="Arial" w:cs="Arial"/>
                      <w:sz w:val="18"/>
                    </w:rPr>
                    <w:t xml:space="preserve"> </w:t>
                  </w:r>
                </w:p>
              </w:tc>
            </w:tr>
            <w:tr w:rsidR="004D6F0E">
              <w:trPr>
                <w:trHeight w:val="291"/>
              </w:trPr>
              <w:tc>
                <w:tcPr>
                  <w:tcW w:w="2854" w:type="dxa"/>
                  <w:tcBorders>
                    <w:top w:val="nil"/>
                    <w:left w:val="nil"/>
                    <w:bottom w:val="nil"/>
                    <w:right w:val="nil"/>
                  </w:tcBorders>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N </w:t>
                  </w:r>
                  <w:r>
                    <w:rPr>
                      <w:sz w:val="18"/>
                    </w:rPr>
                    <w:t>類股份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sz w:val="18"/>
                    </w:rPr>
                    <w:t>最高為</w:t>
                  </w:r>
                  <w:r>
                    <w:rPr>
                      <w:sz w:val="18"/>
                    </w:rPr>
                    <w:t xml:space="preserve"> </w:t>
                  </w:r>
                  <w:r>
                    <w:rPr>
                      <w:rFonts w:ascii="Arial" w:eastAsia="Arial" w:hAnsi="Arial" w:cs="Arial"/>
                      <w:sz w:val="18"/>
                    </w:rPr>
                    <w:t xml:space="preserve">3.00% </w:t>
                  </w:r>
                </w:p>
              </w:tc>
              <w:tc>
                <w:tcPr>
                  <w:tcW w:w="234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2.15% </w:t>
                  </w:r>
                </w:p>
              </w:tc>
              <w:tc>
                <w:tcPr>
                  <w:tcW w:w="1658"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634" w:firstLine="0"/>
                    <w:suppressOverlap/>
                  </w:pPr>
                  <w:r>
                    <w:rPr>
                      <w:sz w:val="18"/>
                    </w:rPr>
                    <w:t>無</w:t>
                  </w:r>
                  <w:r>
                    <w:rPr>
                      <w:rFonts w:ascii="Arial" w:eastAsia="Arial" w:hAnsi="Arial" w:cs="Arial"/>
                      <w:sz w:val="18"/>
                    </w:rPr>
                    <w:t xml:space="preserve"> </w:t>
                  </w:r>
                </w:p>
              </w:tc>
            </w:tr>
            <w:tr w:rsidR="004D6F0E">
              <w:trPr>
                <w:trHeight w:val="288"/>
              </w:trPr>
              <w:tc>
                <w:tcPr>
                  <w:tcW w:w="2854" w:type="dxa"/>
                  <w:tcBorders>
                    <w:top w:val="nil"/>
                    <w:left w:val="nil"/>
                    <w:bottom w:val="nil"/>
                    <w:right w:val="nil"/>
                  </w:tcBorders>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0" w:line="259" w:lineRule="auto"/>
                    <w:ind w:left="458" w:firstLine="0"/>
                    <w:suppressOverlap/>
                  </w:pPr>
                  <w:r>
                    <w:rPr>
                      <w:sz w:val="18"/>
                    </w:rPr>
                    <w:t>無</w:t>
                  </w:r>
                  <w:r>
                    <w:rPr>
                      <w:rFonts w:ascii="Arial" w:eastAsia="Arial" w:hAnsi="Arial" w:cs="Arial"/>
                      <w:sz w:val="18"/>
                    </w:rPr>
                    <w:t xml:space="preserve"> </w:t>
                  </w:r>
                </w:p>
              </w:tc>
              <w:tc>
                <w:tcPr>
                  <w:tcW w:w="2340"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658"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634" w:firstLine="0"/>
                    <w:suppressOverlap/>
                  </w:pPr>
                  <w:r>
                    <w:rPr>
                      <w:sz w:val="18"/>
                    </w:rPr>
                    <w:t>無</w:t>
                  </w:r>
                  <w:r>
                    <w:rPr>
                      <w:rFonts w:ascii="Arial" w:eastAsia="Arial" w:hAnsi="Arial" w:cs="Arial"/>
                      <w:sz w:val="18"/>
                    </w:rPr>
                    <w:t xml:space="preserve"> </w:t>
                  </w:r>
                </w:p>
              </w:tc>
            </w:tr>
            <w:tr w:rsidR="004D6F0E">
              <w:trPr>
                <w:trHeight w:val="295"/>
              </w:trPr>
              <w:tc>
                <w:tcPr>
                  <w:tcW w:w="2854" w:type="dxa"/>
                  <w:tcBorders>
                    <w:top w:val="nil"/>
                    <w:left w:val="nil"/>
                    <w:bottom w:val="nil"/>
                    <w:right w:val="nil"/>
                  </w:tcBorders>
                </w:tcPr>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0" w:line="259" w:lineRule="auto"/>
                    <w:ind w:left="458" w:firstLine="0"/>
                    <w:suppressOverlap/>
                  </w:pPr>
                  <w:r>
                    <w:rPr>
                      <w:sz w:val="18"/>
                    </w:rPr>
                    <w:t>無</w:t>
                  </w:r>
                  <w:r>
                    <w:rPr>
                      <w:rFonts w:ascii="Arial" w:eastAsia="Arial" w:hAnsi="Arial" w:cs="Arial"/>
                      <w:sz w:val="18"/>
                    </w:rPr>
                    <w:t xml:space="preserve"> </w:t>
                  </w:r>
                </w:p>
              </w:tc>
              <w:tc>
                <w:tcPr>
                  <w:tcW w:w="2340"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0.90% </w:t>
                  </w:r>
                </w:p>
              </w:tc>
              <w:tc>
                <w:tcPr>
                  <w:tcW w:w="1658" w:type="dxa"/>
                  <w:tcBorders>
                    <w:top w:val="nil"/>
                    <w:left w:val="nil"/>
                    <w:bottom w:val="nil"/>
                    <w:right w:val="nil"/>
                  </w:tcBorders>
                </w:tcPr>
                <w:p w:rsidR="004D6F0E" w:rsidRDefault="00490F21">
                  <w:pPr>
                    <w:framePr w:wrap="around" w:vAnchor="text" w:hAnchor="margin" w:y="8107"/>
                    <w:spacing w:after="0" w:line="259" w:lineRule="auto"/>
                    <w:ind w:left="166" w:firstLine="0"/>
                    <w:suppressOverlap/>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0" w:line="259" w:lineRule="auto"/>
                    <w:ind w:left="634" w:firstLine="0"/>
                    <w:suppressOverlap/>
                  </w:pPr>
                  <w:r>
                    <w:rPr>
                      <w:sz w:val="18"/>
                    </w:rPr>
                    <w:t>無</w:t>
                  </w:r>
                  <w:r>
                    <w:rPr>
                      <w:rFonts w:ascii="Arial" w:eastAsia="Arial" w:hAnsi="Arial" w:cs="Arial"/>
                      <w:sz w:val="18"/>
                    </w:rPr>
                    <w:t xml:space="preserve"> </w:t>
                  </w:r>
                </w:p>
              </w:tc>
            </w:tr>
            <w:tr w:rsidR="004D6F0E">
              <w:trPr>
                <w:trHeight w:val="581"/>
              </w:trPr>
              <w:tc>
                <w:tcPr>
                  <w:tcW w:w="2854" w:type="dxa"/>
                  <w:tcBorders>
                    <w:top w:val="nil"/>
                    <w:left w:val="nil"/>
                    <w:bottom w:val="nil"/>
                    <w:right w:val="nil"/>
                  </w:tcBorders>
                </w:tcPr>
                <w:p w:rsidR="004D6F0E" w:rsidRDefault="00490F21">
                  <w:pPr>
                    <w:framePr w:wrap="around" w:vAnchor="text" w:hAnchor="margin" w:y="8107"/>
                    <w:spacing w:after="88" w:line="259" w:lineRule="auto"/>
                    <w:ind w:left="115" w:firstLine="0"/>
                    <w:suppressOverlap/>
                  </w:pPr>
                  <w:r>
                    <w:rPr>
                      <w:rFonts w:ascii="Arial" w:eastAsia="Arial" w:hAnsi="Arial" w:cs="Arial"/>
                      <w:sz w:val="18"/>
                    </w:rPr>
                    <w:t xml:space="preserve">W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framePr w:wrap="around" w:vAnchor="text" w:hAnchor="margin" w:y="8107"/>
                    <w:spacing w:after="0" w:line="259" w:lineRule="auto"/>
                    <w:ind w:left="115" w:firstLine="0"/>
                    <w:suppressOverlap/>
                  </w:pPr>
                  <w:r>
                    <w:rPr>
                      <w:rFonts w:ascii="Arial" w:eastAsia="Arial" w:hAnsi="Arial" w:cs="Arial"/>
                      <w:sz w:val="18"/>
                    </w:rPr>
                    <w:t xml:space="preserve"> </w:t>
                  </w:r>
                </w:p>
              </w:tc>
              <w:tc>
                <w:tcPr>
                  <w:tcW w:w="2630" w:type="dxa"/>
                  <w:tcBorders>
                    <w:top w:val="nil"/>
                    <w:left w:val="nil"/>
                    <w:bottom w:val="nil"/>
                    <w:right w:val="nil"/>
                  </w:tcBorders>
                </w:tcPr>
                <w:p w:rsidR="004D6F0E" w:rsidRDefault="00490F21">
                  <w:pPr>
                    <w:framePr w:wrap="around" w:vAnchor="text" w:hAnchor="margin" w:y="8107"/>
                    <w:spacing w:after="67" w:line="259" w:lineRule="auto"/>
                    <w:ind w:left="458" w:firstLine="0"/>
                    <w:suppressOverlap/>
                  </w:pPr>
                  <w:r>
                    <w:rPr>
                      <w:sz w:val="18"/>
                    </w:rPr>
                    <w:t>無</w:t>
                  </w:r>
                  <w:r>
                    <w:rPr>
                      <w:rFonts w:ascii="Arial" w:eastAsia="Arial" w:hAnsi="Arial" w:cs="Arial"/>
                      <w:sz w:val="18"/>
                    </w:rPr>
                    <w:t xml:space="preserve"> </w:t>
                  </w:r>
                </w:p>
                <w:p w:rsidR="004D6F0E" w:rsidRDefault="00490F21">
                  <w:pPr>
                    <w:framePr w:wrap="around" w:vAnchor="text" w:hAnchor="margin" w:y="8107"/>
                    <w:spacing w:after="0" w:line="259" w:lineRule="auto"/>
                    <w:ind w:left="547" w:firstLine="0"/>
                    <w:suppressOverlap/>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framePr w:wrap="around" w:vAnchor="text" w:hAnchor="margin" w:y="8107"/>
                    <w:spacing w:after="55" w:line="259" w:lineRule="auto"/>
                    <w:ind w:left="0" w:firstLine="0"/>
                    <w:suppressOverlap/>
                  </w:pPr>
                  <w:r>
                    <w:rPr>
                      <w:rFonts w:ascii="Arial" w:eastAsia="Arial" w:hAnsi="Arial" w:cs="Arial"/>
                      <w:sz w:val="18"/>
                    </w:rPr>
                    <w:t xml:space="preserve">0.70% </w:t>
                  </w:r>
                </w:p>
                <w:p w:rsidR="004D6F0E" w:rsidRDefault="00490F21">
                  <w:pPr>
                    <w:framePr w:wrap="around" w:vAnchor="text" w:hAnchor="margin" w:y="8107"/>
                    <w:spacing w:after="0" w:line="259" w:lineRule="auto"/>
                    <w:ind w:left="257" w:firstLine="0"/>
                    <w:suppressOverlap/>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framePr w:wrap="around" w:vAnchor="text" w:hAnchor="margin" w:y="8107"/>
                    <w:spacing w:after="67" w:line="259" w:lineRule="auto"/>
                    <w:ind w:left="166" w:firstLine="0"/>
                    <w:suppressOverlap/>
                  </w:pPr>
                  <w:r>
                    <w:rPr>
                      <w:sz w:val="18"/>
                    </w:rPr>
                    <w:t>無</w:t>
                  </w:r>
                  <w:r>
                    <w:rPr>
                      <w:rFonts w:ascii="Arial" w:eastAsia="Arial" w:hAnsi="Arial" w:cs="Arial"/>
                      <w:sz w:val="18"/>
                    </w:rPr>
                    <w:t xml:space="preserve"> </w:t>
                  </w:r>
                </w:p>
                <w:p w:rsidR="004D6F0E" w:rsidRDefault="00490F21">
                  <w:pPr>
                    <w:framePr w:wrap="around" w:vAnchor="text" w:hAnchor="margin" w:y="8107"/>
                    <w:spacing w:after="0" w:line="259" w:lineRule="auto"/>
                    <w:ind w:left="254" w:firstLine="0"/>
                    <w:suppressOverlap/>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framePr w:wrap="around" w:vAnchor="text" w:hAnchor="margin" w:y="8107"/>
                    <w:spacing w:after="67" w:line="259" w:lineRule="auto"/>
                    <w:ind w:left="634" w:firstLine="0"/>
                    <w:suppressOverlap/>
                  </w:pPr>
                  <w:r>
                    <w:rPr>
                      <w:sz w:val="18"/>
                    </w:rPr>
                    <w:t>無</w:t>
                  </w:r>
                  <w:r>
                    <w:rPr>
                      <w:rFonts w:ascii="Arial" w:eastAsia="Arial" w:hAnsi="Arial" w:cs="Arial"/>
                      <w:sz w:val="18"/>
                    </w:rPr>
                    <w:t xml:space="preserve"> </w:t>
                  </w:r>
                </w:p>
                <w:p w:rsidR="004D6F0E" w:rsidRDefault="00490F21">
                  <w:pPr>
                    <w:framePr w:wrap="around" w:vAnchor="text" w:hAnchor="margin" w:y="8107"/>
                    <w:spacing w:after="0" w:line="259" w:lineRule="auto"/>
                    <w:ind w:left="722" w:firstLine="0"/>
                    <w:suppressOverlap/>
                  </w:pPr>
                  <w:r>
                    <w:rPr>
                      <w:rFonts w:ascii="Arial" w:eastAsia="Arial" w:hAnsi="Arial" w:cs="Arial"/>
                      <w:sz w:val="18"/>
                    </w:rPr>
                    <w:t xml:space="preserve"> </w:t>
                  </w:r>
                </w:p>
              </w:tc>
            </w:tr>
            <w:tr w:rsidR="004D6F0E">
              <w:trPr>
                <w:trHeight w:val="293"/>
              </w:trPr>
              <w:tc>
                <w:tcPr>
                  <w:tcW w:w="2854" w:type="dxa"/>
                  <w:tcBorders>
                    <w:top w:val="nil"/>
                    <w:left w:val="nil"/>
                    <w:bottom w:val="nil"/>
                    <w:right w:val="nil"/>
                  </w:tcBorders>
                  <w:shd w:val="clear" w:color="auto" w:fill="D9D9D9"/>
                </w:tcPr>
                <w:p w:rsidR="004D6F0E" w:rsidRDefault="00490F21">
                  <w:pPr>
                    <w:framePr w:wrap="around" w:vAnchor="text" w:hAnchor="margin" w:y="8107"/>
                    <w:spacing w:after="0" w:line="259" w:lineRule="auto"/>
                    <w:ind w:left="115" w:firstLine="0"/>
                    <w:suppressOverlap/>
                  </w:pPr>
                  <w:r>
                    <w:rPr>
                      <w:sz w:val="18"/>
                    </w:rPr>
                    <w:t>歐元計價股份類別</w:t>
                  </w:r>
                  <w:r>
                    <w:rPr>
                      <w:rFonts w:ascii="Arial" w:eastAsia="Arial" w:hAnsi="Arial" w:cs="Arial"/>
                      <w:sz w:val="18"/>
                    </w:rPr>
                    <w:t xml:space="preserve"> </w:t>
                  </w:r>
                </w:p>
              </w:tc>
              <w:tc>
                <w:tcPr>
                  <w:tcW w:w="2630"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c>
                <w:tcPr>
                  <w:tcW w:w="2340"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c>
                <w:tcPr>
                  <w:tcW w:w="1658"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c>
                <w:tcPr>
                  <w:tcW w:w="1716" w:type="dxa"/>
                  <w:tcBorders>
                    <w:top w:val="nil"/>
                    <w:left w:val="nil"/>
                    <w:bottom w:val="nil"/>
                    <w:right w:val="nil"/>
                  </w:tcBorders>
                  <w:shd w:val="clear" w:color="auto" w:fill="D9D9D9"/>
                </w:tcPr>
                <w:p w:rsidR="004D6F0E" w:rsidRDefault="004D6F0E">
                  <w:pPr>
                    <w:framePr w:wrap="around" w:vAnchor="text" w:hAnchor="margin" w:y="8107"/>
                    <w:spacing w:after="160" w:line="259" w:lineRule="auto"/>
                    <w:ind w:left="0" w:firstLine="0"/>
                    <w:suppressOverlap/>
                  </w:pPr>
                </w:p>
              </w:tc>
            </w:tr>
          </w:tbl>
          <w:p w:rsidR="004D6F0E" w:rsidRDefault="004D6F0E">
            <w:pPr>
              <w:spacing w:after="0" w:line="259" w:lineRule="auto"/>
              <w:ind w:left="-432" w:right="264" w:firstLine="0"/>
            </w:pPr>
          </w:p>
          <w:tbl>
            <w:tblPr>
              <w:tblStyle w:val="TableGrid"/>
              <w:tblW w:w="10819" w:type="dxa"/>
              <w:tblInd w:w="115" w:type="dxa"/>
              <w:tblCellMar>
                <w:top w:w="3" w:type="dxa"/>
                <w:left w:w="0" w:type="dxa"/>
                <w:bottom w:w="0" w:type="dxa"/>
                <w:right w:w="0" w:type="dxa"/>
              </w:tblCellMar>
              <w:tblLook w:val="04A0" w:firstRow="1" w:lastRow="0" w:firstColumn="1" w:lastColumn="0" w:noHBand="0" w:noVBand="1"/>
            </w:tblPr>
            <w:tblGrid>
              <w:gridCol w:w="2078"/>
              <w:gridCol w:w="3221"/>
              <w:gridCol w:w="1368"/>
              <w:gridCol w:w="2700"/>
              <w:gridCol w:w="1452"/>
            </w:tblGrid>
            <w:tr w:rsidR="004D6F0E">
              <w:trPr>
                <w:trHeight w:val="244"/>
              </w:trPr>
              <w:tc>
                <w:tcPr>
                  <w:tcW w:w="2078"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3221" w:type="dxa"/>
                  <w:tcBorders>
                    <w:top w:val="nil"/>
                    <w:left w:val="nil"/>
                    <w:bottom w:val="nil"/>
                    <w:right w:val="nil"/>
                  </w:tcBorders>
                </w:tcPr>
                <w:p w:rsidR="004D6F0E" w:rsidRDefault="00490F21">
                  <w:pPr>
                    <w:framePr w:wrap="around" w:vAnchor="text" w:hAnchor="margin" w:y="8107"/>
                    <w:spacing w:after="0" w:line="259" w:lineRule="auto"/>
                    <w:ind w:left="660" w:firstLine="0"/>
                    <w:suppressOverlap/>
                  </w:pPr>
                  <w:r>
                    <w:rPr>
                      <w:sz w:val="18"/>
                    </w:rPr>
                    <w:t>最高為</w:t>
                  </w:r>
                  <w:r>
                    <w:rPr>
                      <w:sz w:val="18"/>
                    </w:rPr>
                    <w:t xml:space="preserve"> </w:t>
                  </w:r>
                  <w:r>
                    <w:rPr>
                      <w:rFonts w:ascii="Arial" w:eastAsia="Arial" w:hAnsi="Arial" w:cs="Arial"/>
                      <w:sz w:val="18"/>
                    </w:rPr>
                    <w:t xml:space="preserve">5.00% </w:t>
                  </w:r>
                </w:p>
              </w:tc>
              <w:tc>
                <w:tcPr>
                  <w:tcW w:w="1368" w:type="dxa"/>
                  <w:tcBorders>
                    <w:top w:val="nil"/>
                    <w:left w:val="nil"/>
                    <w:bottom w:val="nil"/>
                    <w:right w:val="nil"/>
                  </w:tcBorders>
                </w:tcPr>
                <w:p w:rsidR="004D6F0E" w:rsidRDefault="00490F21">
                  <w:pPr>
                    <w:framePr w:wrap="around" w:vAnchor="text" w:hAnchor="margin" w:y="8107"/>
                    <w:spacing w:after="0" w:line="259" w:lineRule="auto"/>
                    <w:ind w:left="70" w:firstLine="0"/>
                    <w:suppressOverlap/>
                  </w:pPr>
                  <w:r>
                    <w:rPr>
                      <w:rFonts w:ascii="Arial" w:eastAsia="Arial" w:hAnsi="Arial" w:cs="Arial"/>
                      <w:sz w:val="18"/>
                    </w:rPr>
                    <w:t xml:space="preserve">1.70% </w:t>
                  </w:r>
                </w:p>
              </w:tc>
              <w:tc>
                <w:tcPr>
                  <w:tcW w:w="2700" w:type="dxa"/>
                  <w:tcBorders>
                    <w:top w:val="nil"/>
                    <w:left w:val="nil"/>
                    <w:bottom w:val="nil"/>
                    <w:right w:val="nil"/>
                  </w:tcBorders>
                </w:tcPr>
                <w:p w:rsidR="004D6F0E" w:rsidRDefault="00490F21">
                  <w:pPr>
                    <w:framePr w:wrap="around" w:vAnchor="text" w:hAnchor="margin" w:y="8107"/>
                    <w:spacing w:after="0" w:line="259" w:lineRule="auto"/>
                    <w:ind w:left="0" w:right="106" w:firstLine="0"/>
                    <w:suppressOverlap/>
                    <w:jc w:val="center"/>
                  </w:pPr>
                  <w:r>
                    <w:rPr>
                      <w:sz w:val="18"/>
                    </w:rPr>
                    <w:t>無</w:t>
                  </w:r>
                  <w:r>
                    <w:rPr>
                      <w:rFonts w:ascii="Arial" w:eastAsia="Arial" w:hAnsi="Arial" w:cs="Arial"/>
                      <w:sz w:val="18"/>
                    </w:rPr>
                    <w:t xml:space="preserve"> </w:t>
                  </w:r>
                </w:p>
              </w:tc>
              <w:tc>
                <w:tcPr>
                  <w:tcW w:w="1452" w:type="dxa"/>
                  <w:tcBorders>
                    <w:top w:val="nil"/>
                    <w:left w:val="nil"/>
                    <w:bottom w:val="nil"/>
                    <w:right w:val="nil"/>
                  </w:tcBorders>
                </w:tcPr>
                <w:p w:rsidR="004D6F0E" w:rsidRDefault="00490F21">
                  <w:pPr>
                    <w:framePr w:wrap="around" w:vAnchor="text" w:hAnchor="margin" w:y="8107"/>
                    <w:spacing w:after="0" w:line="259" w:lineRule="auto"/>
                    <w:ind w:left="0" w:right="4" w:firstLine="0"/>
                    <w:suppressOverlap/>
                    <w:jc w:val="center"/>
                  </w:pPr>
                  <w:r>
                    <w:rPr>
                      <w:sz w:val="18"/>
                    </w:rPr>
                    <w:t>無</w:t>
                  </w:r>
                  <w:r>
                    <w:rPr>
                      <w:rFonts w:ascii="Arial" w:eastAsia="Arial" w:hAnsi="Arial" w:cs="Arial"/>
                      <w:sz w:val="18"/>
                    </w:rPr>
                    <w:t xml:space="preserve"> </w:t>
                  </w:r>
                </w:p>
              </w:tc>
            </w:tr>
            <w:tr w:rsidR="004D6F0E">
              <w:trPr>
                <w:trHeight w:val="518"/>
              </w:trPr>
              <w:tc>
                <w:tcPr>
                  <w:tcW w:w="2078" w:type="dxa"/>
                  <w:tcBorders>
                    <w:top w:val="nil"/>
                    <w:left w:val="nil"/>
                    <w:bottom w:val="nil"/>
                    <w:right w:val="nil"/>
                  </w:tcBorders>
                  <w:vAlign w:val="center"/>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3221" w:type="dxa"/>
                  <w:tcBorders>
                    <w:top w:val="nil"/>
                    <w:left w:val="nil"/>
                    <w:bottom w:val="nil"/>
                    <w:right w:val="nil"/>
                  </w:tcBorders>
                  <w:vAlign w:val="center"/>
                </w:tcPr>
                <w:p w:rsidR="004D6F0E" w:rsidRDefault="00490F21">
                  <w:pPr>
                    <w:framePr w:wrap="around" w:vAnchor="text" w:hAnchor="margin" w:y="8107"/>
                    <w:spacing w:after="0" w:line="259" w:lineRule="auto"/>
                    <w:ind w:left="1119" w:firstLine="0"/>
                    <w:suppressOverlap/>
                  </w:pPr>
                  <w:r>
                    <w:rPr>
                      <w:sz w:val="18"/>
                    </w:rPr>
                    <w:t>無</w:t>
                  </w:r>
                  <w:r>
                    <w:rPr>
                      <w:rFonts w:ascii="Arial" w:eastAsia="Arial" w:hAnsi="Arial" w:cs="Arial"/>
                      <w:sz w:val="18"/>
                    </w:rPr>
                    <w:t xml:space="preserve"> </w:t>
                  </w:r>
                </w:p>
              </w:tc>
              <w:tc>
                <w:tcPr>
                  <w:tcW w:w="1368" w:type="dxa"/>
                  <w:tcBorders>
                    <w:top w:val="nil"/>
                    <w:left w:val="nil"/>
                    <w:bottom w:val="nil"/>
                    <w:right w:val="nil"/>
                  </w:tcBorders>
                  <w:vAlign w:val="center"/>
                </w:tcPr>
                <w:p w:rsidR="004D6F0E" w:rsidRDefault="00490F21">
                  <w:pPr>
                    <w:framePr w:wrap="around" w:vAnchor="text" w:hAnchor="margin" w:y="8107"/>
                    <w:spacing w:after="0" w:line="259" w:lineRule="auto"/>
                    <w:ind w:left="70" w:firstLine="0"/>
                    <w:suppressOverlap/>
                  </w:pPr>
                  <w:r>
                    <w:rPr>
                      <w:rFonts w:ascii="Arial" w:eastAsia="Arial" w:hAnsi="Arial" w:cs="Arial"/>
                      <w:sz w:val="18"/>
                    </w:rPr>
                    <w:t xml:space="preserve">2.15% </w:t>
                  </w:r>
                </w:p>
              </w:tc>
              <w:tc>
                <w:tcPr>
                  <w:tcW w:w="2700" w:type="dxa"/>
                  <w:tcBorders>
                    <w:top w:val="nil"/>
                    <w:left w:val="nil"/>
                    <w:bottom w:val="nil"/>
                    <w:right w:val="nil"/>
                  </w:tcBorders>
                  <w:vAlign w:val="center"/>
                </w:tcPr>
                <w:p w:rsidR="004D6F0E" w:rsidRDefault="00490F21">
                  <w:pPr>
                    <w:framePr w:wrap="around" w:vAnchor="text" w:hAnchor="margin" w:y="8107"/>
                    <w:spacing w:after="0" w:line="259" w:lineRule="auto"/>
                    <w:ind w:left="0" w:right="105" w:firstLine="0"/>
                    <w:suppressOverlap/>
                    <w:jc w:val="center"/>
                  </w:pPr>
                  <w:r>
                    <w:rPr>
                      <w:sz w:val="18"/>
                    </w:rPr>
                    <w:t>無</w:t>
                  </w:r>
                  <w:r>
                    <w:rPr>
                      <w:rFonts w:ascii="Arial" w:eastAsia="Arial" w:hAnsi="Arial" w:cs="Arial"/>
                      <w:sz w:val="18"/>
                    </w:rPr>
                    <w:t xml:space="preserve"> </w:t>
                  </w:r>
                </w:p>
              </w:tc>
              <w:tc>
                <w:tcPr>
                  <w:tcW w:w="1452" w:type="dxa"/>
                  <w:tcBorders>
                    <w:top w:val="nil"/>
                    <w:left w:val="nil"/>
                    <w:bottom w:val="nil"/>
                    <w:right w:val="nil"/>
                  </w:tcBorders>
                </w:tcPr>
                <w:p w:rsidR="004D6F0E" w:rsidRDefault="00490F21">
                  <w:pPr>
                    <w:framePr w:wrap="around" w:vAnchor="text" w:hAnchor="margin" w:y="8107"/>
                    <w:spacing w:after="0" w:line="259" w:lineRule="auto"/>
                    <w:ind w:left="0" w:firstLine="0"/>
                    <w:suppressOverlap/>
                    <w:jc w:val="center"/>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300"/>
              </w:trPr>
              <w:tc>
                <w:tcPr>
                  <w:tcW w:w="2078"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3221" w:type="dxa"/>
                  <w:tcBorders>
                    <w:top w:val="nil"/>
                    <w:left w:val="nil"/>
                    <w:bottom w:val="nil"/>
                    <w:right w:val="nil"/>
                  </w:tcBorders>
                </w:tcPr>
                <w:p w:rsidR="004D6F0E" w:rsidRDefault="00490F21">
                  <w:pPr>
                    <w:framePr w:wrap="around" w:vAnchor="text" w:hAnchor="margin" w:y="8107"/>
                    <w:spacing w:after="0" w:line="259" w:lineRule="auto"/>
                    <w:ind w:left="660" w:firstLine="0"/>
                    <w:suppressOverlap/>
                  </w:pPr>
                  <w:r>
                    <w:rPr>
                      <w:sz w:val="18"/>
                    </w:rPr>
                    <w:t>最高為</w:t>
                  </w:r>
                  <w:r>
                    <w:rPr>
                      <w:sz w:val="18"/>
                    </w:rPr>
                    <w:t xml:space="preserve"> </w:t>
                  </w:r>
                  <w:r>
                    <w:rPr>
                      <w:rFonts w:ascii="Arial" w:eastAsia="Arial" w:hAnsi="Arial" w:cs="Arial"/>
                      <w:sz w:val="18"/>
                    </w:rPr>
                    <w:t xml:space="preserve">1.50% </w:t>
                  </w:r>
                </w:p>
              </w:tc>
              <w:tc>
                <w:tcPr>
                  <w:tcW w:w="1368" w:type="dxa"/>
                  <w:tcBorders>
                    <w:top w:val="nil"/>
                    <w:left w:val="nil"/>
                    <w:bottom w:val="nil"/>
                    <w:right w:val="nil"/>
                  </w:tcBorders>
                </w:tcPr>
                <w:p w:rsidR="004D6F0E" w:rsidRDefault="00490F21">
                  <w:pPr>
                    <w:framePr w:wrap="around" w:vAnchor="text" w:hAnchor="margin" w:y="8107"/>
                    <w:spacing w:after="0" w:line="259" w:lineRule="auto"/>
                    <w:ind w:left="70" w:firstLine="0"/>
                    <w:suppressOverlap/>
                  </w:pPr>
                  <w:r>
                    <w:rPr>
                      <w:rFonts w:ascii="Arial" w:eastAsia="Arial" w:hAnsi="Arial" w:cs="Arial"/>
                      <w:sz w:val="18"/>
                    </w:rPr>
                    <w:t xml:space="preserve">0.90% </w:t>
                  </w:r>
                </w:p>
              </w:tc>
              <w:tc>
                <w:tcPr>
                  <w:tcW w:w="2700" w:type="dxa"/>
                  <w:tcBorders>
                    <w:top w:val="nil"/>
                    <w:left w:val="nil"/>
                    <w:bottom w:val="nil"/>
                    <w:right w:val="nil"/>
                  </w:tcBorders>
                </w:tcPr>
                <w:p w:rsidR="004D6F0E" w:rsidRDefault="00490F21">
                  <w:pPr>
                    <w:framePr w:wrap="around" w:vAnchor="text" w:hAnchor="margin" w:y="8107"/>
                    <w:spacing w:after="0" w:line="259" w:lineRule="auto"/>
                    <w:ind w:left="0" w:right="106" w:firstLine="0"/>
                    <w:suppressOverlap/>
                    <w:jc w:val="center"/>
                  </w:pPr>
                  <w:r>
                    <w:rPr>
                      <w:sz w:val="18"/>
                    </w:rPr>
                    <w:t>無</w:t>
                  </w:r>
                  <w:r>
                    <w:rPr>
                      <w:rFonts w:ascii="Arial" w:eastAsia="Arial" w:hAnsi="Arial" w:cs="Arial"/>
                      <w:sz w:val="18"/>
                    </w:rPr>
                    <w:t xml:space="preserve"> </w:t>
                  </w:r>
                </w:p>
              </w:tc>
              <w:tc>
                <w:tcPr>
                  <w:tcW w:w="1452" w:type="dxa"/>
                  <w:tcBorders>
                    <w:top w:val="nil"/>
                    <w:left w:val="nil"/>
                    <w:bottom w:val="nil"/>
                    <w:right w:val="nil"/>
                  </w:tcBorders>
                </w:tcPr>
                <w:p w:rsidR="004D6F0E" w:rsidRDefault="00490F21">
                  <w:pPr>
                    <w:framePr w:wrap="around" w:vAnchor="text" w:hAnchor="margin" w:y="8107"/>
                    <w:spacing w:after="0" w:line="259" w:lineRule="auto"/>
                    <w:ind w:left="0" w:right="4" w:firstLine="0"/>
                    <w:suppressOverlap/>
                    <w:jc w:val="center"/>
                  </w:pPr>
                  <w:r>
                    <w:rPr>
                      <w:sz w:val="18"/>
                    </w:rPr>
                    <w:t>無</w:t>
                  </w:r>
                  <w:r>
                    <w:rPr>
                      <w:rFonts w:ascii="Arial" w:eastAsia="Arial" w:hAnsi="Arial" w:cs="Arial"/>
                      <w:sz w:val="18"/>
                    </w:rPr>
                    <w:t xml:space="preserve"> </w:t>
                  </w:r>
                </w:p>
              </w:tc>
            </w:tr>
            <w:tr w:rsidR="004D6F0E">
              <w:trPr>
                <w:trHeight w:val="297"/>
              </w:trPr>
              <w:tc>
                <w:tcPr>
                  <w:tcW w:w="2078"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3221" w:type="dxa"/>
                  <w:tcBorders>
                    <w:top w:val="nil"/>
                    <w:left w:val="nil"/>
                    <w:bottom w:val="nil"/>
                    <w:right w:val="nil"/>
                  </w:tcBorders>
                </w:tcPr>
                <w:p w:rsidR="004D6F0E" w:rsidRDefault="00490F21">
                  <w:pPr>
                    <w:framePr w:wrap="around" w:vAnchor="text" w:hAnchor="margin" w:y="8107"/>
                    <w:spacing w:after="0" w:line="259" w:lineRule="auto"/>
                    <w:ind w:left="1119" w:firstLine="0"/>
                    <w:suppressOverlap/>
                  </w:pPr>
                  <w:r>
                    <w:rPr>
                      <w:sz w:val="18"/>
                    </w:rPr>
                    <w:t>無</w:t>
                  </w:r>
                  <w:r>
                    <w:rPr>
                      <w:rFonts w:ascii="Arial" w:eastAsia="Arial" w:hAnsi="Arial" w:cs="Arial"/>
                      <w:sz w:val="18"/>
                    </w:rPr>
                    <w:t xml:space="preserve"> </w:t>
                  </w:r>
                </w:p>
              </w:tc>
              <w:tc>
                <w:tcPr>
                  <w:tcW w:w="1368" w:type="dxa"/>
                  <w:tcBorders>
                    <w:top w:val="nil"/>
                    <w:left w:val="nil"/>
                    <w:bottom w:val="nil"/>
                    <w:right w:val="nil"/>
                  </w:tcBorders>
                </w:tcPr>
                <w:p w:rsidR="004D6F0E" w:rsidRDefault="00490F21">
                  <w:pPr>
                    <w:framePr w:wrap="around" w:vAnchor="text" w:hAnchor="margin" w:y="8107"/>
                    <w:spacing w:after="0" w:line="259" w:lineRule="auto"/>
                    <w:ind w:left="70" w:firstLine="0"/>
                    <w:suppressOverlap/>
                  </w:pPr>
                  <w:r>
                    <w:rPr>
                      <w:rFonts w:ascii="Arial" w:eastAsia="Arial" w:hAnsi="Arial" w:cs="Arial"/>
                      <w:sz w:val="18"/>
                    </w:rPr>
                    <w:t xml:space="preserve">0.90% </w:t>
                  </w:r>
                </w:p>
              </w:tc>
              <w:tc>
                <w:tcPr>
                  <w:tcW w:w="2700" w:type="dxa"/>
                  <w:tcBorders>
                    <w:top w:val="nil"/>
                    <w:left w:val="nil"/>
                    <w:bottom w:val="nil"/>
                    <w:right w:val="nil"/>
                  </w:tcBorders>
                </w:tcPr>
                <w:p w:rsidR="004D6F0E" w:rsidRDefault="00490F21">
                  <w:pPr>
                    <w:framePr w:wrap="around" w:vAnchor="text" w:hAnchor="margin" w:y="8107"/>
                    <w:spacing w:after="0" w:line="259" w:lineRule="auto"/>
                    <w:ind w:left="0" w:right="106" w:firstLine="0"/>
                    <w:suppressOverlap/>
                    <w:jc w:val="center"/>
                  </w:pPr>
                  <w:r>
                    <w:rPr>
                      <w:sz w:val="18"/>
                    </w:rPr>
                    <w:t>無</w:t>
                  </w:r>
                  <w:r>
                    <w:rPr>
                      <w:rFonts w:ascii="Arial" w:eastAsia="Arial" w:hAnsi="Arial" w:cs="Arial"/>
                      <w:sz w:val="18"/>
                    </w:rPr>
                    <w:t xml:space="preserve"> </w:t>
                  </w:r>
                </w:p>
              </w:tc>
              <w:tc>
                <w:tcPr>
                  <w:tcW w:w="1452" w:type="dxa"/>
                  <w:tcBorders>
                    <w:top w:val="nil"/>
                    <w:left w:val="nil"/>
                    <w:bottom w:val="nil"/>
                    <w:right w:val="nil"/>
                  </w:tcBorders>
                </w:tcPr>
                <w:p w:rsidR="004D6F0E" w:rsidRDefault="00490F21">
                  <w:pPr>
                    <w:framePr w:wrap="around" w:vAnchor="text" w:hAnchor="margin" w:y="8107"/>
                    <w:spacing w:after="0" w:line="259" w:lineRule="auto"/>
                    <w:ind w:left="0" w:right="4" w:firstLine="0"/>
                    <w:suppressOverlap/>
                    <w:jc w:val="center"/>
                  </w:pPr>
                  <w:r>
                    <w:rPr>
                      <w:sz w:val="18"/>
                    </w:rPr>
                    <w:t>無</w:t>
                  </w:r>
                  <w:r>
                    <w:rPr>
                      <w:rFonts w:ascii="Arial" w:eastAsia="Arial" w:hAnsi="Arial" w:cs="Arial"/>
                      <w:sz w:val="18"/>
                    </w:rPr>
                    <w:t xml:space="preserve"> </w:t>
                  </w:r>
                </w:p>
              </w:tc>
            </w:tr>
            <w:tr w:rsidR="004D6F0E">
              <w:trPr>
                <w:trHeight w:val="328"/>
              </w:trPr>
              <w:tc>
                <w:tcPr>
                  <w:tcW w:w="2078" w:type="dxa"/>
                  <w:tcBorders>
                    <w:top w:val="nil"/>
                    <w:left w:val="nil"/>
                    <w:bottom w:val="nil"/>
                    <w:right w:val="nil"/>
                  </w:tcBorders>
                </w:tcPr>
                <w:p w:rsidR="004D6F0E" w:rsidRDefault="00490F21">
                  <w:pPr>
                    <w:framePr w:wrap="around" w:vAnchor="text" w:hAnchor="margin" w:y="8107"/>
                    <w:spacing w:after="0" w:line="259" w:lineRule="auto"/>
                    <w:ind w:left="0" w:firstLine="0"/>
                    <w:suppressOverlap/>
                  </w:pPr>
                  <w:r>
                    <w:rPr>
                      <w:rFonts w:ascii="Arial" w:eastAsia="Arial" w:hAnsi="Arial" w:cs="Arial"/>
                      <w:sz w:val="18"/>
                    </w:rPr>
                    <w:t xml:space="preserve"> </w:t>
                  </w:r>
                </w:p>
              </w:tc>
              <w:tc>
                <w:tcPr>
                  <w:tcW w:w="3221" w:type="dxa"/>
                  <w:tcBorders>
                    <w:top w:val="nil"/>
                    <w:left w:val="nil"/>
                    <w:bottom w:val="nil"/>
                    <w:right w:val="nil"/>
                  </w:tcBorders>
                  <w:vAlign w:val="bottom"/>
                </w:tcPr>
                <w:p w:rsidR="004D6F0E" w:rsidRDefault="00490F21">
                  <w:pPr>
                    <w:framePr w:wrap="around" w:vAnchor="text" w:hAnchor="margin" w:y="8107"/>
                    <w:spacing w:after="0" w:line="259" w:lineRule="auto"/>
                    <w:ind w:left="1207" w:firstLine="0"/>
                    <w:suppressOverlap/>
                  </w:pPr>
                  <w:r>
                    <w:rPr>
                      <w:rFonts w:ascii="Arial" w:eastAsia="Arial" w:hAnsi="Arial" w:cs="Arial"/>
                      <w:sz w:val="18"/>
                    </w:rPr>
                    <w:t xml:space="preserve"> </w:t>
                  </w:r>
                </w:p>
              </w:tc>
              <w:tc>
                <w:tcPr>
                  <w:tcW w:w="1368" w:type="dxa"/>
                  <w:tcBorders>
                    <w:top w:val="nil"/>
                    <w:left w:val="nil"/>
                    <w:bottom w:val="nil"/>
                    <w:right w:val="nil"/>
                  </w:tcBorders>
                  <w:vAlign w:val="bottom"/>
                </w:tcPr>
                <w:p w:rsidR="004D6F0E" w:rsidRDefault="00490F21">
                  <w:pPr>
                    <w:framePr w:wrap="around" w:vAnchor="text" w:hAnchor="margin" w:y="8107"/>
                    <w:spacing w:after="0" w:line="259" w:lineRule="auto"/>
                    <w:ind w:left="326" w:firstLine="0"/>
                    <w:suppressOverlap/>
                  </w:pPr>
                  <w:r>
                    <w:rPr>
                      <w:rFonts w:ascii="Arial" w:eastAsia="Arial" w:hAnsi="Arial" w:cs="Arial"/>
                      <w:sz w:val="18"/>
                    </w:rPr>
                    <w:t xml:space="preserve"> </w:t>
                  </w:r>
                </w:p>
              </w:tc>
              <w:tc>
                <w:tcPr>
                  <w:tcW w:w="2700" w:type="dxa"/>
                  <w:tcBorders>
                    <w:top w:val="nil"/>
                    <w:left w:val="nil"/>
                    <w:bottom w:val="nil"/>
                    <w:right w:val="nil"/>
                  </w:tcBorders>
                  <w:vAlign w:val="bottom"/>
                </w:tcPr>
                <w:p w:rsidR="004D6F0E" w:rsidRDefault="00490F21">
                  <w:pPr>
                    <w:framePr w:wrap="around" w:vAnchor="text" w:hAnchor="margin" w:y="8107"/>
                    <w:spacing w:after="0" w:line="259" w:lineRule="auto"/>
                    <w:ind w:left="0" w:right="58" w:firstLine="0"/>
                    <w:suppressOverlap/>
                    <w:jc w:val="center"/>
                  </w:pPr>
                  <w:r>
                    <w:rPr>
                      <w:rFonts w:ascii="Arial" w:eastAsia="Arial" w:hAnsi="Arial" w:cs="Arial"/>
                      <w:sz w:val="18"/>
                    </w:rPr>
                    <w:t xml:space="preserve"> </w:t>
                  </w:r>
                </w:p>
              </w:tc>
              <w:tc>
                <w:tcPr>
                  <w:tcW w:w="1452" w:type="dxa"/>
                  <w:tcBorders>
                    <w:top w:val="nil"/>
                    <w:left w:val="nil"/>
                    <w:bottom w:val="nil"/>
                    <w:right w:val="nil"/>
                  </w:tcBorders>
                  <w:vAlign w:val="bottom"/>
                </w:tcPr>
                <w:p w:rsidR="004D6F0E" w:rsidRDefault="00490F21">
                  <w:pPr>
                    <w:framePr w:wrap="around" w:vAnchor="text" w:hAnchor="margin" w:y="8107"/>
                    <w:spacing w:after="0" w:line="259" w:lineRule="auto"/>
                    <w:ind w:left="43" w:firstLine="0"/>
                    <w:suppressOverlap/>
                    <w:jc w:val="center"/>
                  </w:pPr>
                  <w:r>
                    <w:rPr>
                      <w:rFonts w:ascii="Arial" w:eastAsia="Arial" w:hAnsi="Arial" w:cs="Arial"/>
                      <w:sz w:val="18"/>
                    </w:rPr>
                    <w:t xml:space="preserve"> </w:t>
                  </w:r>
                </w:p>
              </w:tc>
            </w:tr>
          </w:tbl>
          <w:p w:rsidR="004D6F0E" w:rsidRDefault="004D6F0E">
            <w:pPr>
              <w:spacing w:after="160" w:line="259" w:lineRule="auto"/>
              <w:ind w:left="0" w:firstLine="0"/>
            </w:pPr>
          </w:p>
        </w:tc>
      </w:tr>
    </w:tbl>
    <w:p w:rsidR="004D6F0E" w:rsidRDefault="00490F21">
      <w:pPr>
        <w:spacing w:after="0" w:line="259" w:lineRule="auto"/>
        <w:ind w:left="3724" w:firstLine="0"/>
        <w:jc w:val="center"/>
      </w:pPr>
      <w:r>
        <w:rPr>
          <w:rFonts w:ascii="Arial" w:eastAsia="Arial" w:hAnsi="Arial" w:cs="Arial"/>
          <w:sz w:val="18"/>
        </w:rPr>
        <w:t xml:space="preserve"> </w:t>
      </w:r>
      <w:r>
        <w:br w:type="page"/>
      </w:r>
    </w:p>
    <w:p w:rsidR="004D6F0E" w:rsidRDefault="00490F21">
      <w:pPr>
        <w:numPr>
          <w:ilvl w:val="0"/>
          <w:numId w:val="12"/>
        </w:numPr>
        <w:ind w:right="13" w:hanging="360"/>
        <w:jc w:val="both"/>
      </w:pPr>
      <w:r>
        <w:rPr>
          <w:sz w:val="16"/>
        </w:rPr>
        <w:lastRenderedPageBreak/>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w:t>
      </w:r>
      <w:r>
        <w:rPr>
          <w:sz w:val="16"/>
        </w:rPr>
        <w:t>盧森堡年稅，但不包括某些其他稅項、經紀佣金（如適用）和借款利息）超出本基金以</w:t>
      </w:r>
      <w:r>
        <w:rPr>
          <w:sz w:val="16"/>
        </w:rPr>
        <w:t>下類別股份應佔本基金該財政年度平均資產淨值的百分比：</w:t>
      </w:r>
      <w:r>
        <w:rPr>
          <w:rFonts w:ascii="Arial" w:eastAsia="Arial" w:hAnsi="Arial" w:cs="Arial"/>
          <w:sz w:val="16"/>
        </w:rPr>
        <w:t xml:space="preserve">S </w:t>
      </w:r>
      <w:r>
        <w:rPr>
          <w:sz w:val="16"/>
        </w:rPr>
        <w:t>類股份</w:t>
      </w:r>
      <w:r>
        <w:rPr>
          <w:rFonts w:ascii="Arial" w:eastAsia="Arial" w:hAnsi="Arial" w:cs="Arial"/>
          <w:sz w:val="16"/>
        </w:rPr>
        <w:t>(0.30%)</w:t>
      </w:r>
      <w:r>
        <w:rPr>
          <w:sz w:val="16"/>
        </w:rPr>
        <w:t>、</w:t>
      </w:r>
      <w:r>
        <w:rPr>
          <w:rFonts w:ascii="Arial" w:eastAsia="Arial" w:hAnsi="Arial" w:cs="Arial"/>
          <w:sz w:val="16"/>
        </w:rPr>
        <w:t xml:space="preserve">S1 </w:t>
      </w:r>
      <w:r>
        <w:rPr>
          <w:sz w:val="16"/>
        </w:rPr>
        <w:t>類股份</w:t>
      </w:r>
      <w:r>
        <w:rPr>
          <w:rFonts w:ascii="Arial" w:eastAsia="Arial" w:hAnsi="Arial" w:cs="Arial"/>
          <w:sz w:val="16"/>
        </w:rPr>
        <w:t>(1.20%)</w:t>
      </w:r>
      <w:r>
        <w:rPr>
          <w:sz w:val="16"/>
        </w:rPr>
        <w:t>及</w:t>
      </w:r>
      <w:r>
        <w:rPr>
          <w:sz w:val="16"/>
        </w:rPr>
        <w:t xml:space="preserve"> </w:t>
      </w:r>
      <w:r>
        <w:rPr>
          <w:rFonts w:ascii="Arial" w:eastAsia="Arial" w:hAnsi="Arial" w:cs="Arial"/>
          <w:sz w:val="16"/>
        </w:rPr>
        <w:t xml:space="preserve">W </w:t>
      </w:r>
      <w:r>
        <w:rPr>
          <w:sz w:val="16"/>
        </w:rPr>
        <w:t>類股份</w:t>
      </w:r>
      <w:r>
        <w:rPr>
          <w:rFonts w:ascii="Arial" w:eastAsia="Arial" w:hAnsi="Arial" w:cs="Arial"/>
          <w:sz w:val="16"/>
        </w:rPr>
        <w:t>(0.99%)</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2"/>
        </w:numPr>
        <w:ind w:right="13" w:hanging="360"/>
        <w:jc w:val="both"/>
      </w:pPr>
      <w:r>
        <w:rPr>
          <w:rFonts w:ascii="Arial" w:eastAsia="Arial" w:hAnsi="Arial" w:cs="Arial"/>
          <w:sz w:val="16"/>
        </w:rPr>
        <w:t xml:space="preserve">B </w:t>
      </w:r>
      <w:r>
        <w:rPr>
          <w:sz w:val="16"/>
        </w:rPr>
        <w:t>類股份自認購日起六年後合資格轉入</w:t>
      </w:r>
      <w:r>
        <w:rPr>
          <w:sz w:val="16"/>
        </w:rPr>
        <w:t xml:space="preserve"> </w:t>
      </w:r>
      <w:r>
        <w:rPr>
          <w:rFonts w:ascii="Arial" w:eastAsia="Arial" w:hAnsi="Arial" w:cs="Arial"/>
          <w:sz w:val="16"/>
        </w:rPr>
        <w:t xml:space="preserve">A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12"/>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12"/>
        </w:numPr>
        <w:spacing w:after="100"/>
        <w:ind w:right="13" w:hanging="360"/>
        <w:jc w:val="both"/>
      </w:pPr>
      <w:r>
        <w:rPr>
          <w:sz w:val="16"/>
        </w:rPr>
        <w:t>佔每日平均資產淨值的年百分比。就某些類股份而言，管理費亦可包括支付給分銷商</w:t>
      </w:r>
      <w:r>
        <w:rPr>
          <w:sz w:val="16"/>
        </w:rPr>
        <w:t>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spacing w:after="0" w:line="259" w:lineRule="auto"/>
        <w:ind w:left="0" w:firstLine="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tbl>
      <w:tblPr>
        <w:tblStyle w:val="TableGrid"/>
        <w:tblpPr w:vertAnchor="text" w:horzAnchor="margin"/>
        <w:tblOverlap w:val="never"/>
        <w:tblW w:w="11198" w:type="dxa"/>
        <w:tblInd w:w="0" w:type="dxa"/>
        <w:tblCellMar>
          <w:top w:w="23" w:type="dxa"/>
          <w:left w:w="0" w:type="dxa"/>
          <w:bottom w:w="0" w:type="dxa"/>
          <w:right w:w="103" w:type="dxa"/>
        </w:tblCellMar>
        <w:tblLook w:val="04A0" w:firstRow="1" w:lastRow="0" w:firstColumn="1" w:lastColumn="0" w:noHBand="0" w:noVBand="1"/>
      </w:tblPr>
      <w:tblGrid>
        <w:gridCol w:w="2854"/>
        <w:gridCol w:w="2630"/>
        <w:gridCol w:w="2340"/>
        <w:gridCol w:w="1658"/>
        <w:gridCol w:w="1716"/>
      </w:tblGrid>
      <w:tr w:rsidR="004D6F0E">
        <w:trPr>
          <w:trHeight w:val="296"/>
        </w:trPr>
        <w:tc>
          <w:tcPr>
            <w:tcW w:w="2854" w:type="dxa"/>
            <w:tcBorders>
              <w:top w:val="single" w:sz="4" w:space="0" w:color="000000"/>
              <w:left w:val="nil"/>
              <w:bottom w:val="nil"/>
              <w:right w:val="nil"/>
            </w:tcBorders>
            <w:shd w:val="clear" w:color="auto" w:fill="D9D9D9"/>
          </w:tcPr>
          <w:p w:rsidR="004D6F0E" w:rsidRDefault="00490F21">
            <w:pPr>
              <w:spacing w:after="0" w:line="259" w:lineRule="auto"/>
              <w:ind w:left="115" w:firstLine="0"/>
            </w:pPr>
            <w:r>
              <w:rPr>
                <w:sz w:val="18"/>
              </w:rPr>
              <w:lastRenderedPageBreak/>
              <w:t>英鎊計價股份類別</w:t>
            </w:r>
            <w:r>
              <w:rPr>
                <w:rFonts w:ascii="Arial" w:eastAsia="Arial" w:hAnsi="Arial" w:cs="Arial"/>
                <w:sz w:val="18"/>
              </w:rPr>
              <w:t xml:space="preserve"> </w:t>
            </w:r>
          </w:p>
        </w:tc>
        <w:tc>
          <w:tcPr>
            <w:tcW w:w="2630" w:type="dxa"/>
            <w:tcBorders>
              <w:top w:val="single" w:sz="4" w:space="0" w:color="000000"/>
              <w:left w:val="nil"/>
              <w:bottom w:val="nil"/>
              <w:right w:val="nil"/>
            </w:tcBorders>
            <w:shd w:val="clear" w:color="auto" w:fill="D9D9D9"/>
          </w:tcPr>
          <w:p w:rsidR="004D6F0E" w:rsidRDefault="004D6F0E">
            <w:pPr>
              <w:spacing w:after="160" w:line="259" w:lineRule="auto"/>
              <w:ind w:left="0" w:firstLine="0"/>
            </w:pPr>
          </w:p>
        </w:tc>
        <w:tc>
          <w:tcPr>
            <w:tcW w:w="2340" w:type="dxa"/>
            <w:tcBorders>
              <w:top w:val="single" w:sz="4" w:space="0" w:color="000000"/>
              <w:left w:val="nil"/>
              <w:bottom w:val="nil"/>
              <w:right w:val="nil"/>
            </w:tcBorders>
            <w:shd w:val="clear" w:color="auto" w:fill="D9D9D9"/>
          </w:tcPr>
          <w:p w:rsidR="004D6F0E" w:rsidRDefault="004D6F0E">
            <w:pPr>
              <w:spacing w:after="160" w:line="259" w:lineRule="auto"/>
              <w:ind w:left="0" w:firstLine="0"/>
            </w:pPr>
          </w:p>
        </w:tc>
        <w:tc>
          <w:tcPr>
            <w:tcW w:w="1658" w:type="dxa"/>
            <w:tcBorders>
              <w:top w:val="single" w:sz="4" w:space="0" w:color="000000"/>
              <w:left w:val="nil"/>
              <w:bottom w:val="nil"/>
              <w:right w:val="nil"/>
            </w:tcBorders>
            <w:shd w:val="clear" w:color="auto" w:fill="D9D9D9"/>
          </w:tcPr>
          <w:p w:rsidR="004D6F0E" w:rsidRDefault="004D6F0E">
            <w:pPr>
              <w:spacing w:after="160" w:line="259" w:lineRule="auto"/>
              <w:ind w:left="0" w:firstLine="0"/>
            </w:pPr>
          </w:p>
        </w:tc>
        <w:tc>
          <w:tcPr>
            <w:tcW w:w="1716" w:type="dxa"/>
            <w:tcBorders>
              <w:top w:val="single" w:sz="4" w:space="0" w:color="000000"/>
              <w:left w:val="nil"/>
              <w:bottom w:val="nil"/>
              <w:right w:val="nil"/>
            </w:tcBorders>
            <w:shd w:val="clear" w:color="auto" w:fill="D9D9D9"/>
          </w:tcPr>
          <w:p w:rsidR="004D6F0E" w:rsidRDefault="004D6F0E">
            <w:pPr>
              <w:spacing w:after="160" w:line="259" w:lineRule="auto"/>
              <w:ind w:left="0" w:firstLine="0"/>
            </w:pPr>
          </w:p>
        </w:tc>
      </w:tr>
      <w:tr w:rsidR="004D6F0E">
        <w:trPr>
          <w:trHeight w:val="518"/>
        </w:trPr>
        <w:tc>
          <w:tcPr>
            <w:tcW w:w="2854" w:type="dxa"/>
            <w:tcBorders>
              <w:top w:val="nil"/>
              <w:left w:val="nil"/>
              <w:bottom w:val="nil"/>
              <w:right w:val="nil"/>
            </w:tcBorders>
          </w:tcPr>
          <w:p w:rsidR="004D6F0E" w:rsidRDefault="00490F21">
            <w:pPr>
              <w:spacing w:after="7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65"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0.90% </w:t>
            </w:r>
          </w:p>
          <w:p w:rsidR="004D6F0E" w:rsidRDefault="00490F21">
            <w:pPr>
              <w:spacing w:after="0" w:line="259" w:lineRule="auto"/>
              <w:ind w:left="257" w:firstLine="0"/>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65"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65"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93"/>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2630" w:type="dxa"/>
            <w:tcBorders>
              <w:top w:val="nil"/>
              <w:left w:val="nil"/>
              <w:bottom w:val="nil"/>
              <w:right w:val="nil"/>
            </w:tcBorders>
            <w:shd w:val="clear" w:color="auto" w:fill="D9D9D9"/>
          </w:tcPr>
          <w:p w:rsidR="004D6F0E" w:rsidRDefault="004D6F0E">
            <w:pPr>
              <w:spacing w:after="160" w:line="259" w:lineRule="auto"/>
              <w:ind w:left="0" w:firstLine="0"/>
            </w:pPr>
          </w:p>
        </w:tc>
        <w:tc>
          <w:tcPr>
            <w:tcW w:w="2340" w:type="dxa"/>
            <w:tcBorders>
              <w:top w:val="nil"/>
              <w:left w:val="nil"/>
              <w:bottom w:val="nil"/>
              <w:right w:val="nil"/>
            </w:tcBorders>
            <w:shd w:val="clear" w:color="auto" w:fill="D9D9D9"/>
          </w:tcPr>
          <w:p w:rsidR="004D6F0E" w:rsidRDefault="004D6F0E">
            <w:pPr>
              <w:spacing w:after="160" w:line="259" w:lineRule="auto"/>
              <w:ind w:left="0" w:firstLine="0"/>
            </w:pPr>
          </w:p>
        </w:tc>
        <w:tc>
          <w:tcPr>
            <w:tcW w:w="1658" w:type="dxa"/>
            <w:tcBorders>
              <w:top w:val="nil"/>
              <w:left w:val="nil"/>
              <w:bottom w:val="nil"/>
              <w:right w:val="nil"/>
            </w:tcBorders>
            <w:shd w:val="clear" w:color="auto" w:fill="D9D9D9"/>
          </w:tcPr>
          <w:p w:rsidR="004D6F0E" w:rsidRDefault="004D6F0E">
            <w:pPr>
              <w:spacing w:after="160" w:line="259" w:lineRule="auto"/>
              <w:ind w:left="0" w:firstLine="0"/>
            </w:pP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99"/>
        </w:trPr>
        <w:tc>
          <w:tcPr>
            <w:tcW w:w="2854" w:type="dxa"/>
            <w:tcBorders>
              <w:top w:val="nil"/>
              <w:left w:val="nil"/>
              <w:bottom w:val="nil"/>
              <w:right w:val="nil"/>
            </w:tcBorders>
          </w:tcPr>
          <w:p w:rsidR="004D6F0E" w:rsidRDefault="00490F21">
            <w:pPr>
              <w:spacing w:after="88"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630" w:type="dxa"/>
            <w:tcBorders>
              <w:top w:val="nil"/>
              <w:left w:val="nil"/>
              <w:bottom w:val="nil"/>
              <w:right w:val="nil"/>
            </w:tcBorders>
          </w:tcPr>
          <w:p w:rsidR="004D6F0E" w:rsidRDefault="00490F21">
            <w:pPr>
              <w:spacing w:after="72"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18" w:firstLine="0"/>
              <w:jc w:val="center"/>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1.70% </w:t>
            </w:r>
          </w:p>
          <w:p w:rsidR="004D6F0E" w:rsidRDefault="00490F21">
            <w:pPr>
              <w:spacing w:after="0" w:line="259" w:lineRule="auto"/>
              <w:ind w:left="967" w:firstLine="0"/>
              <w:jc w:val="center"/>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6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b/>
                <w:sz w:val="18"/>
              </w:rPr>
              <w:t xml:space="preserve"> </w:t>
            </w:r>
          </w:p>
        </w:tc>
        <w:tc>
          <w:tcPr>
            <w:tcW w:w="2630" w:type="dxa"/>
            <w:tcBorders>
              <w:top w:val="nil"/>
              <w:left w:val="nil"/>
              <w:bottom w:val="nil"/>
              <w:right w:val="nil"/>
            </w:tcBorders>
            <w:shd w:val="clear" w:color="auto" w:fill="D9D9D9"/>
          </w:tcPr>
          <w:p w:rsidR="004D6F0E" w:rsidRDefault="004D6F0E">
            <w:pPr>
              <w:spacing w:after="160" w:line="259" w:lineRule="auto"/>
              <w:ind w:left="0" w:firstLine="0"/>
            </w:pPr>
          </w:p>
        </w:tc>
        <w:tc>
          <w:tcPr>
            <w:tcW w:w="2340" w:type="dxa"/>
            <w:tcBorders>
              <w:top w:val="nil"/>
              <w:left w:val="nil"/>
              <w:bottom w:val="nil"/>
              <w:right w:val="nil"/>
            </w:tcBorders>
            <w:shd w:val="clear" w:color="auto" w:fill="D9D9D9"/>
          </w:tcPr>
          <w:p w:rsidR="004D6F0E" w:rsidRDefault="004D6F0E">
            <w:pPr>
              <w:spacing w:after="160" w:line="259" w:lineRule="auto"/>
              <w:ind w:left="0" w:firstLine="0"/>
            </w:pPr>
          </w:p>
        </w:tc>
        <w:tc>
          <w:tcPr>
            <w:tcW w:w="1658" w:type="dxa"/>
            <w:tcBorders>
              <w:top w:val="nil"/>
              <w:left w:val="nil"/>
              <w:bottom w:val="nil"/>
              <w:right w:val="nil"/>
            </w:tcBorders>
            <w:shd w:val="clear" w:color="auto" w:fill="D9D9D9"/>
          </w:tcPr>
          <w:p w:rsidR="004D6F0E" w:rsidRDefault="004D6F0E">
            <w:pPr>
              <w:spacing w:after="160" w:line="259" w:lineRule="auto"/>
              <w:ind w:left="0" w:firstLine="0"/>
            </w:pP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99"/>
        </w:trPr>
        <w:tc>
          <w:tcPr>
            <w:tcW w:w="2854" w:type="dxa"/>
            <w:tcBorders>
              <w:top w:val="nil"/>
              <w:left w:val="nil"/>
              <w:bottom w:val="nil"/>
              <w:right w:val="nil"/>
            </w:tcBorders>
          </w:tcPr>
          <w:p w:rsidR="004D6F0E" w:rsidRDefault="00490F21">
            <w:pPr>
              <w:spacing w:after="86"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630" w:type="dxa"/>
            <w:tcBorders>
              <w:top w:val="nil"/>
              <w:left w:val="nil"/>
              <w:bottom w:val="nil"/>
              <w:right w:val="nil"/>
            </w:tcBorders>
          </w:tcPr>
          <w:p w:rsidR="004D6F0E" w:rsidRDefault="00490F21">
            <w:pPr>
              <w:spacing w:after="69"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18" w:firstLine="0"/>
              <w:jc w:val="center"/>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1.70% </w:t>
            </w:r>
          </w:p>
          <w:p w:rsidR="004D6F0E" w:rsidRDefault="00490F21">
            <w:pPr>
              <w:spacing w:after="0" w:line="259" w:lineRule="auto"/>
              <w:ind w:left="967" w:firstLine="0"/>
              <w:jc w:val="center"/>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65"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b/>
                <w:sz w:val="18"/>
              </w:rPr>
              <w:t xml:space="preserve"> </w:t>
            </w:r>
          </w:p>
        </w:tc>
        <w:tc>
          <w:tcPr>
            <w:tcW w:w="2630" w:type="dxa"/>
            <w:tcBorders>
              <w:top w:val="nil"/>
              <w:left w:val="nil"/>
              <w:bottom w:val="nil"/>
              <w:right w:val="nil"/>
            </w:tcBorders>
            <w:shd w:val="clear" w:color="auto" w:fill="D9D9D9"/>
          </w:tcPr>
          <w:p w:rsidR="004D6F0E" w:rsidRDefault="004D6F0E">
            <w:pPr>
              <w:spacing w:after="160" w:line="259" w:lineRule="auto"/>
              <w:ind w:left="0" w:firstLine="0"/>
            </w:pPr>
          </w:p>
        </w:tc>
        <w:tc>
          <w:tcPr>
            <w:tcW w:w="2340" w:type="dxa"/>
            <w:tcBorders>
              <w:top w:val="nil"/>
              <w:left w:val="nil"/>
              <w:bottom w:val="nil"/>
              <w:right w:val="nil"/>
            </w:tcBorders>
            <w:shd w:val="clear" w:color="auto" w:fill="D9D9D9"/>
          </w:tcPr>
          <w:p w:rsidR="004D6F0E" w:rsidRDefault="004D6F0E">
            <w:pPr>
              <w:spacing w:after="160" w:line="259" w:lineRule="auto"/>
              <w:ind w:left="0" w:firstLine="0"/>
            </w:pPr>
          </w:p>
        </w:tc>
        <w:tc>
          <w:tcPr>
            <w:tcW w:w="1658" w:type="dxa"/>
            <w:tcBorders>
              <w:top w:val="nil"/>
              <w:left w:val="nil"/>
              <w:bottom w:val="nil"/>
              <w:right w:val="nil"/>
            </w:tcBorders>
            <w:shd w:val="clear" w:color="auto" w:fill="D9D9D9"/>
          </w:tcPr>
          <w:p w:rsidR="004D6F0E" w:rsidRDefault="004D6F0E">
            <w:pPr>
              <w:spacing w:after="160" w:line="259" w:lineRule="auto"/>
              <w:ind w:left="0" w:firstLine="0"/>
            </w:pP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65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65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63"/>
        </w:trPr>
        <w:tc>
          <w:tcPr>
            <w:tcW w:w="2854"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630"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4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2.15% </w:t>
            </w:r>
          </w:p>
        </w:tc>
        <w:tc>
          <w:tcPr>
            <w:tcW w:w="1658"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936"/>
        </w:trPr>
        <w:tc>
          <w:tcPr>
            <w:tcW w:w="2854"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630"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4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65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716" w:type="dxa"/>
            <w:tcBorders>
              <w:top w:val="nil"/>
              <w:left w:val="nil"/>
              <w:bottom w:val="nil"/>
              <w:right w:val="nil"/>
            </w:tcBorders>
          </w:tcPr>
          <w:p w:rsidR="004D6F0E" w:rsidRDefault="00490F21">
            <w:pPr>
              <w:spacing w:after="27"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0" w:line="284" w:lineRule="auto"/>
              <w:ind w:left="180" w:firstLine="0"/>
            </w:pPr>
            <w:r>
              <w:rPr>
                <w:rFonts w:ascii="Arial" w:eastAsia="Arial" w:hAnsi="Arial" w:cs="Arial"/>
                <w:sz w:val="18"/>
              </w:rPr>
              <w:t xml:space="preserve">1–2 </w:t>
            </w:r>
            <w:r>
              <w:rPr>
                <w:sz w:val="18"/>
              </w:rPr>
              <w:t>年</w:t>
            </w:r>
            <w:r>
              <w:rPr>
                <w:rFonts w:ascii="Arial" w:eastAsia="Arial" w:hAnsi="Arial" w:cs="Arial"/>
                <w:sz w:val="18"/>
              </w:rPr>
              <w:t xml:space="preserve">=2.0% 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41"/>
        </w:trPr>
        <w:tc>
          <w:tcPr>
            <w:tcW w:w="2854" w:type="dxa"/>
            <w:tcBorders>
              <w:top w:val="nil"/>
              <w:left w:val="nil"/>
              <w:bottom w:val="nil"/>
              <w:right w:val="nil"/>
            </w:tcBorders>
          </w:tcPr>
          <w:p w:rsidR="004D6F0E" w:rsidRDefault="00490F21">
            <w:pPr>
              <w:spacing w:after="38"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630"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118" w:firstLine="0"/>
              <w:jc w:val="center"/>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p w:rsidR="004D6F0E" w:rsidRDefault="00490F21">
            <w:pPr>
              <w:spacing w:after="0" w:line="259" w:lineRule="auto"/>
              <w:ind w:left="967" w:firstLine="0"/>
              <w:jc w:val="center"/>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54"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新加坡元對沖股份類別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630" w:type="dxa"/>
            <w:tcBorders>
              <w:top w:val="nil"/>
              <w:left w:val="nil"/>
              <w:bottom w:val="nil"/>
              <w:right w:val="nil"/>
            </w:tcBorders>
            <w:shd w:val="clear" w:color="auto" w:fill="D9D9D9"/>
          </w:tcPr>
          <w:p w:rsidR="004D6F0E" w:rsidRDefault="00490F21">
            <w:pPr>
              <w:spacing w:after="0" w:line="259" w:lineRule="auto"/>
              <w:ind w:left="1118" w:firstLine="0"/>
              <w:jc w:val="center"/>
            </w:pPr>
            <w:r>
              <w:rPr>
                <w:rFonts w:ascii="Arial" w:eastAsia="Arial" w:hAnsi="Arial" w:cs="Arial"/>
                <w:sz w:val="18"/>
              </w:rPr>
              <w:t xml:space="preserve"> </w:t>
            </w:r>
          </w:p>
        </w:tc>
        <w:tc>
          <w:tcPr>
            <w:tcW w:w="2340" w:type="dxa"/>
            <w:tcBorders>
              <w:top w:val="nil"/>
              <w:left w:val="nil"/>
              <w:bottom w:val="nil"/>
              <w:right w:val="nil"/>
            </w:tcBorders>
            <w:shd w:val="clear" w:color="auto" w:fill="D9D9D9"/>
          </w:tcPr>
          <w:p w:rsidR="004D6F0E" w:rsidRDefault="00490F21">
            <w:pPr>
              <w:spacing w:after="0" w:line="259" w:lineRule="auto"/>
              <w:ind w:left="967" w:firstLine="0"/>
              <w:jc w:val="center"/>
            </w:pPr>
            <w:r>
              <w:rPr>
                <w:rFonts w:ascii="Arial" w:eastAsia="Arial" w:hAnsi="Arial" w:cs="Arial"/>
                <w:sz w:val="18"/>
              </w:rPr>
              <w:t xml:space="preserve"> </w:t>
            </w:r>
          </w:p>
        </w:tc>
        <w:tc>
          <w:tcPr>
            <w:tcW w:w="1658"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61"/>
        </w:trPr>
        <w:tc>
          <w:tcPr>
            <w:tcW w:w="2854" w:type="dxa"/>
            <w:tcBorders>
              <w:top w:val="nil"/>
              <w:left w:val="nil"/>
              <w:bottom w:val="nil"/>
              <w:right w:val="nil"/>
            </w:tcBorders>
          </w:tcPr>
          <w:p w:rsidR="004D6F0E" w:rsidRDefault="00490F21">
            <w:pPr>
              <w:spacing w:after="4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630" w:type="dxa"/>
            <w:tcBorders>
              <w:top w:val="nil"/>
              <w:left w:val="nil"/>
              <w:bottom w:val="nil"/>
              <w:right w:val="nil"/>
            </w:tcBorders>
          </w:tcPr>
          <w:p w:rsidR="004D6F0E" w:rsidRDefault="00490F21">
            <w:pPr>
              <w:spacing w:after="2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18" w:firstLine="0"/>
              <w:jc w:val="center"/>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7" w:line="259" w:lineRule="auto"/>
              <w:ind w:left="0" w:firstLine="0"/>
            </w:pPr>
            <w:r>
              <w:rPr>
                <w:rFonts w:ascii="Arial" w:eastAsia="Arial" w:hAnsi="Arial" w:cs="Arial"/>
                <w:sz w:val="18"/>
              </w:rPr>
              <w:t xml:space="preserve">1.70% </w:t>
            </w:r>
          </w:p>
          <w:p w:rsidR="004D6F0E" w:rsidRDefault="00490F21">
            <w:pPr>
              <w:spacing w:after="0" w:line="259" w:lineRule="auto"/>
              <w:ind w:left="967" w:firstLine="0"/>
              <w:jc w:val="center"/>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1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854"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瑞士法郎對沖股份類別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630" w:type="dxa"/>
            <w:tcBorders>
              <w:top w:val="nil"/>
              <w:left w:val="nil"/>
              <w:bottom w:val="nil"/>
              <w:right w:val="nil"/>
            </w:tcBorders>
            <w:shd w:val="clear" w:color="auto" w:fill="D9D9D9"/>
          </w:tcPr>
          <w:p w:rsidR="004D6F0E" w:rsidRDefault="00490F21">
            <w:pPr>
              <w:spacing w:after="0" w:line="259" w:lineRule="auto"/>
              <w:ind w:left="1118" w:firstLine="0"/>
              <w:jc w:val="center"/>
            </w:pPr>
            <w:r>
              <w:rPr>
                <w:rFonts w:ascii="Arial" w:eastAsia="Arial" w:hAnsi="Arial" w:cs="Arial"/>
                <w:sz w:val="18"/>
              </w:rPr>
              <w:t xml:space="preserve"> </w:t>
            </w:r>
          </w:p>
        </w:tc>
        <w:tc>
          <w:tcPr>
            <w:tcW w:w="2340" w:type="dxa"/>
            <w:tcBorders>
              <w:top w:val="nil"/>
              <w:left w:val="nil"/>
              <w:bottom w:val="nil"/>
              <w:right w:val="nil"/>
            </w:tcBorders>
            <w:shd w:val="clear" w:color="auto" w:fill="D9D9D9"/>
          </w:tcPr>
          <w:p w:rsidR="004D6F0E" w:rsidRDefault="00490F21">
            <w:pPr>
              <w:spacing w:after="0" w:line="259" w:lineRule="auto"/>
              <w:ind w:left="967" w:firstLine="0"/>
              <w:jc w:val="center"/>
            </w:pPr>
            <w:r>
              <w:rPr>
                <w:rFonts w:ascii="Arial" w:eastAsia="Arial" w:hAnsi="Arial" w:cs="Arial"/>
                <w:sz w:val="18"/>
              </w:rPr>
              <w:t xml:space="preserve"> </w:t>
            </w:r>
          </w:p>
        </w:tc>
        <w:tc>
          <w:tcPr>
            <w:tcW w:w="1658"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65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7"/>
        </w:trPr>
        <w:tc>
          <w:tcPr>
            <w:tcW w:w="2854" w:type="dxa"/>
            <w:tcBorders>
              <w:top w:val="nil"/>
              <w:left w:val="nil"/>
              <w:bottom w:val="nil"/>
              <w:right w:val="nil"/>
            </w:tcBorders>
          </w:tcPr>
          <w:p w:rsidR="004D6F0E" w:rsidRDefault="00490F21">
            <w:pPr>
              <w:spacing w:after="22"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p w:rsidR="004D6F0E" w:rsidRDefault="00490F21">
            <w:pPr>
              <w:spacing w:after="0" w:line="259" w:lineRule="auto"/>
              <w:ind w:left="257" w:firstLine="0"/>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3"/>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2630" w:type="dxa"/>
            <w:tcBorders>
              <w:top w:val="nil"/>
              <w:left w:val="nil"/>
              <w:bottom w:val="nil"/>
              <w:right w:val="nil"/>
            </w:tcBorders>
            <w:shd w:val="clear" w:color="auto" w:fill="D9D9D9"/>
          </w:tcPr>
          <w:p w:rsidR="004D6F0E" w:rsidRDefault="004D6F0E">
            <w:pPr>
              <w:spacing w:after="160" w:line="259" w:lineRule="auto"/>
              <w:ind w:left="0" w:firstLine="0"/>
            </w:pPr>
          </w:p>
        </w:tc>
        <w:tc>
          <w:tcPr>
            <w:tcW w:w="2340" w:type="dxa"/>
            <w:tcBorders>
              <w:top w:val="nil"/>
              <w:left w:val="nil"/>
              <w:bottom w:val="nil"/>
              <w:right w:val="nil"/>
            </w:tcBorders>
            <w:shd w:val="clear" w:color="auto" w:fill="D9D9D9"/>
          </w:tcPr>
          <w:p w:rsidR="004D6F0E" w:rsidRDefault="004D6F0E">
            <w:pPr>
              <w:spacing w:after="160" w:line="259" w:lineRule="auto"/>
              <w:ind w:left="0" w:firstLine="0"/>
            </w:pPr>
          </w:p>
        </w:tc>
        <w:tc>
          <w:tcPr>
            <w:tcW w:w="1658" w:type="dxa"/>
            <w:tcBorders>
              <w:top w:val="nil"/>
              <w:left w:val="nil"/>
              <w:bottom w:val="nil"/>
              <w:right w:val="nil"/>
            </w:tcBorders>
            <w:shd w:val="clear" w:color="auto" w:fill="D9D9D9"/>
          </w:tcPr>
          <w:p w:rsidR="004D6F0E" w:rsidRDefault="004D6F0E">
            <w:pPr>
              <w:spacing w:after="160" w:line="259" w:lineRule="auto"/>
              <w:ind w:left="0" w:firstLine="0"/>
            </w:pP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9"/>
        </w:trPr>
        <w:tc>
          <w:tcPr>
            <w:tcW w:w="2854" w:type="dxa"/>
            <w:tcBorders>
              <w:top w:val="nil"/>
              <w:left w:val="nil"/>
              <w:bottom w:val="nil"/>
              <w:right w:val="nil"/>
            </w:tcBorders>
          </w:tcPr>
          <w:p w:rsidR="004D6F0E" w:rsidRDefault="00490F21">
            <w:pPr>
              <w:spacing w:after="17"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17"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257" w:firstLine="0"/>
            </w:pPr>
            <w:r>
              <w:rPr>
                <w:rFonts w:ascii="Arial" w:eastAsia="Arial" w:hAnsi="Arial" w:cs="Arial"/>
                <w:sz w:val="18"/>
              </w:rPr>
              <w:t xml:space="preserve"> </w:t>
            </w:r>
          </w:p>
        </w:tc>
        <w:tc>
          <w:tcPr>
            <w:tcW w:w="1658" w:type="dxa"/>
            <w:tcBorders>
              <w:top w:val="nil"/>
              <w:left w:val="nil"/>
              <w:bottom w:val="nil"/>
              <w:right w:val="nil"/>
            </w:tcBorders>
          </w:tcPr>
          <w:p w:rsidR="004D6F0E" w:rsidRDefault="00490F21">
            <w:pPr>
              <w:spacing w:after="12"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716" w:type="dxa"/>
            <w:tcBorders>
              <w:top w:val="nil"/>
              <w:left w:val="nil"/>
              <w:bottom w:val="nil"/>
              <w:right w:val="nil"/>
            </w:tcBorders>
          </w:tcPr>
          <w:p w:rsidR="004D6F0E" w:rsidRDefault="00490F21">
            <w:pPr>
              <w:spacing w:after="12"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b/>
                <w:sz w:val="18"/>
              </w:rPr>
              <w:t xml:space="preserve"> </w:t>
            </w:r>
          </w:p>
        </w:tc>
        <w:tc>
          <w:tcPr>
            <w:tcW w:w="2630" w:type="dxa"/>
            <w:tcBorders>
              <w:top w:val="nil"/>
              <w:left w:val="nil"/>
              <w:bottom w:val="nil"/>
              <w:right w:val="nil"/>
            </w:tcBorders>
            <w:shd w:val="clear" w:color="auto" w:fill="D9D9D9"/>
          </w:tcPr>
          <w:p w:rsidR="004D6F0E" w:rsidRDefault="004D6F0E">
            <w:pPr>
              <w:spacing w:after="160" w:line="259" w:lineRule="auto"/>
              <w:ind w:left="0" w:firstLine="0"/>
            </w:pPr>
          </w:p>
        </w:tc>
        <w:tc>
          <w:tcPr>
            <w:tcW w:w="2340" w:type="dxa"/>
            <w:tcBorders>
              <w:top w:val="nil"/>
              <w:left w:val="nil"/>
              <w:bottom w:val="nil"/>
              <w:right w:val="nil"/>
            </w:tcBorders>
            <w:shd w:val="clear" w:color="auto" w:fill="D9D9D9"/>
          </w:tcPr>
          <w:p w:rsidR="004D6F0E" w:rsidRDefault="004D6F0E">
            <w:pPr>
              <w:spacing w:after="160" w:line="259" w:lineRule="auto"/>
              <w:ind w:left="0" w:firstLine="0"/>
            </w:pPr>
          </w:p>
        </w:tc>
        <w:tc>
          <w:tcPr>
            <w:tcW w:w="1658" w:type="dxa"/>
            <w:tcBorders>
              <w:top w:val="nil"/>
              <w:left w:val="nil"/>
              <w:bottom w:val="nil"/>
              <w:right w:val="nil"/>
            </w:tcBorders>
            <w:shd w:val="clear" w:color="auto" w:fill="D9D9D9"/>
          </w:tcPr>
          <w:p w:rsidR="004D6F0E" w:rsidRDefault="004D6F0E">
            <w:pPr>
              <w:spacing w:after="160" w:line="259" w:lineRule="auto"/>
              <w:ind w:left="0" w:firstLine="0"/>
            </w:pPr>
          </w:p>
        </w:tc>
        <w:tc>
          <w:tcPr>
            <w:tcW w:w="1716" w:type="dxa"/>
            <w:tcBorders>
              <w:top w:val="nil"/>
              <w:left w:val="nil"/>
              <w:bottom w:val="nil"/>
              <w:right w:val="nil"/>
            </w:tcBorders>
            <w:shd w:val="clear" w:color="auto" w:fill="D9D9D9"/>
          </w:tcPr>
          <w:p w:rsidR="004D6F0E" w:rsidRDefault="004D6F0E">
            <w:pPr>
              <w:spacing w:after="160" w:line="259" w:lineRule="auto"/>
              <w:ind w:left="0" w:firstLine="0"/>
            </w:pPr>
          </w:p>
        </w:tc>
      </w:tr>
    </w:tbl>
    <w:tbl>
      <w:tblPr>
        <w:tblStyle w:val="TableGrid"/>
        <w:tblpPr w:vertAnchor="text" w:horzAnchor="margin" w:tblpX="115"/>
        <w:tblOverlap w:val="never"/>
        <w:tblW w:w="10862" w:type="dxa"/>
        <w:tblInd w:w="0" w:type="dxa"/>
        <w:tblCellMar>
          <w:top w:w="3" w:type="dxa"/>
          <w:left w:w="0" w:type="dxa"/>
          <w:bottom w:w="0" w:type="dxa"/>
          <w:right w:w="0" w:type="dxa"/>
        </w:tblCellMar>
        <w:tblLook w:val="04A0" w:firstRow="1" w:lastRow="0" w:firstColumn="1" w:lastColumn="0" w:noHBand="0" w:noVBand="1"/>
      </w:tblPr>
      <w:tblGrid>
        <w:gridCol w:w="2739"/>
        <w:gridCol w:w="2630"/>
        <w:gridCol w:w="2340"/>
        <w:gridCol w:w="1505"/>
        <w:gridCol w:w="1648"/>
      </w:tblGrid>
      <w:tr w:rsidR="004D6F0E">
        <w:trPr>
          <w:trHeight w:val="215"/>
        </w:trPr>
        <w:tc>
          <w:tcPr>
            <w:tcW w:w="273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2630"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50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648" w:type="dxa"/>
            <w:tcBorders>
              <w:top w:val="nil"/>
              <w:left w:val="nil"/>
              <w:bottom w:val="nil"/>
              <w:right w:val="nil"/>
            </w:tcBorders>
          </w:tcPr>
          <w:p w:rsidR="004D6F0E" w:rsidRDefault="00490F21">
            <w:pPr>
              <w:spacing w:after="0" w:line="259" w:lineRule="auto"/>
              <w:ind w:left="106" w:firstLine="0"/>
              <w:jc w:val="center"/>
            </w:pPr>
            <w:r>
              <w:rPr>
                <w:sz w:val="18"/>
              </w:rPr>
              <w:t>無</w:t>
            </w:r>
            <w:r>
              <w:rPr>
                <w:rFonts w:ascii="Arial" w:eastAsia="Arial" w:hAnsi="Arial" w:cs="Arial"/>
                <w:sz w:val="18"/>
              </w:rPr>
              <w:t xml:space="preserve"> </w:t>
            </w:r>
          </w:p>
        </w:tc>
      </w:tr>
      <w:tr w:rsidR="004D6F0E">
        <w:trPr>
          <w:trHeight w:val="671"/>
        </w:trPr>
        <w:tc>
          <w:tcPr>
            <w:tcW w:w="2738"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南非蘭特股份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630" w:type="dxa"/>
            <w:tcBorders>
              <w:top w:val="nil"/>
              <w:left w:val="nil"/>
              <w:bottom w:val="nil"/>
              <w:right w:val="nil"/>
            </w:tcBorders>
            <w:vAlign w:val="bottom"/>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40"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18"/>
              </w:rPr>
              <w:t xml:space="preserve">1.70% </w:t>
            </w:r>
          </w:p>
        </w:tc>
        <w:tc>
          <w:tcPr>
            <w:tcW w:w="1505"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18"/>
              </w:rPr>
              <w:t xml:space="preserve">1.00% </w:t>
            </w:r>
          </w:p>
        </w:tc>
        <w:tc>
          <w:tcPr>
            <w:tcW w:w="1648" w:type="dxa"/>
            <w:tcBorders>
              <w:top w:val="nil"/>
              <w:left w:val="nil"/>
              <w:bottom w:val="nil"/>
              <w:right w:val="nil"/>
            </w:tcBorders>
          </w:tcPr>
          <w:p w:rsidR="004D6F0E" w:rsidRDefault="00490F21">
            <w:pPr>
              <w:spacing w:after="28" w:line="259" w:lineRule="auto"/>
              <w:ind w:left="154"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105"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0" w:line="259" w:lineRule="auto"/>
              <w:ind w:left="105"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tc>
      </w:tr>
    </w:tbl>
    <w:p w:rsidR="004D6F0E" w:rsidRDefault="00490F21">
      <w:pPr>
        <w:spacing w:after="206" w:line="259" w:lineRule="auto"/>
        <w:ind w:right="407" w:hanging="10"/>
        <w:jc w:val="right"/>
      </w:pPr>
      <w:r>
        <w:rPr>
          <w:rFonts w:ascii="Arial" w:eastAsia="Arial" w:hAnsi="Arial" w:cs="Arial"/>
          <w:sz w:val="18"/>
        </w:rPr>
        <w:t xml:space="preserve">3 </w:t>
      </w:r>
      <w:r>
        <w:rPr>
          <w:sz w:val="18"/>
        </w:rPr>
        <w:t>年以上</w:t>
      </w:r>
      <w:r>
        <w:rPr>
          <w:rFonts w:ascii="Arial" w:eastAsia="Arial" w:hAnsi="Arial" w:cs="Arial"/>
          <w:sz w:val="18"/>
        </w:rPr>
        <w:t xml:space="preserve">=0% </w:t>
      </w:r>
    </w:p>
    <w:p w:rsidR="004D6F0E" w:rsidRDefault="00490F21">
      <w:pPr>
        <w:numPr>
          <w:ilvl w:val="0"/>
          <w:numId w:val="12"/>
        </w:numPr>
        <w:ind w:right="13" w:hanging="360"/>
        <w:jc w:val="both"/>
      </w:pPr>
      <w:r>
        <w:rPr>
          <w:sz w:val="16"/>
        </w:rPr>
        <w:lastRenderedPageBreak/>
        <w:t>佔每日平均資產淨值的年百分比。</w:t>
      </w:r>
      <w:r>
        <w:rPr>
          <w:rFonts w:ascii="Arial" w:eastAsia="Arial" w:hAnsi="Arial" w:cs="Arial"/>
          <w:sz w:val="16"/>
        </w:rPr>
        <w:t xml:space="preserve"> </w:t>
      </w:r>
    </w:p>
    <w:p w:rsidR="004D6F0E" w:rsidRDefault="00490F21">
      <w:pPr>
        <w:numPr>
          <w:ilvl w:val="0"/>
          <w:numId w:val="12"/>
        </w:numPr>
        <w:ind w:right="13" w:hanging="360"/>
        <w:jc w:val="both"/>
      </w:pPr>
      <w:r>
        <w:rPr>
          <w:sz w:val="16"/>
        </w:rPr>
        <w:t>佔所贖回股份的現行資產淨值或原始成本此兩數字中較低者的有關百分比，並視乎該等股份的持有時間而定。</w:t>
      </w:r>
      <w:r>
        <w:rPr>
          <w:rFonts w:ascii="Arial" w:eastAsia="Arial" w:hAnsi="Arial" w:cs="Arial"/>
          <w:sz w:val="16"/>
        </w:rPr>
        <w:t>CDS</w:t>
      </w:r>
      <w:r>
        <w:rPr>
          <w:rFonts w:ascii="Arial" w:eastAsia="Arial" w:hAnsi="Arial" w:cs="Arial"/>
          <w:sz w:val="16"/>
        </w:rPr>
        <w:t xml:space="preserve">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類股份（及相應</w:t>
      </w:r>
      <w:r>
        <w:rPr>
          <w:sz w:val="16"/>
        </w:rPr>
        <w:t xml:space="preserve"> </w:t>
      </w:r>
      <w:r>
        <w:rPr>
          <w:rFonts w:ascii="Arial" w:eastAsia="Arial" w:hAnsi="Arial" w:cs="Arial"/>
          <w:sz w:val="16"/>
        </w:rPr>
        <w:t xml:space="preserve">H </w:t>
      </w:r>
      <w:r>
        <w:rPr>
          <w:sz w:val="16"/>
        </w:rPr>
        <w:t>類股份類別</w:t>
      </w:r>
    </w:p>
    <w:p w:rsidR="004D6F0E" w:rsidRDefault="00490F21">
      <w:pPr>
        <w:ind w:left="370" w:right="13" w:hanging="10"/>
        <w:jc w:val="both"/>
      </w:pPr>
      <w:r>
        <w:rPr>
          <w:sz w:val="16"/>
        </w:rPr>
        <w:t>）而言，交易商可在某些情況下選擇減免或有遞延銷售費。</w:t>
      </w:r>
      <w:r>
        <w:rPr>
          <w:rFonts w:ascii="Arial" w:eastAsia="Arial" w:hAnsi="Arial" w:cs="Arial"/>
          <w:sz w:val="16"/>
        </w:rPr>
        <w:t xml:space="preserve"> </w:t>
      </w:r>
    </w:p>
    <w:p w:rsidR="004D6F0E" w:rsidRDefault="00490F21">
      <w:pPr>
        <w:numPr>
          <w:ilvl w:val="0"/>
          <w:numId w:val="12"/>
        </w:numPr>
        <w:ind w:right="13" w:hanging="360"/>
        <w:jc w:val="both"/>
      </w:pPr>
      <w:r>
        <w:rPr>
          <w:rFonts w:ascii="Arial" w:eastAsia="Arial" w:hAnsi="Arial" w:cs="Arial"/>
          <w:sz w:val="16"/>
        </w:rPr>
        <w:t xml:space="preserve">S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2"/>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numPr>
          <w:ilvl w:val="0"/>
          <w:numId w:val="12"/>
        </w:numPr>
        <w:ind w:right="13" w:hanging="360"/>
        <w:jc w:val="both"/>
      </w:pPr>
      <w:r>
        <w:rPr>
          <w:rFonts w:ascii="Arial" w:eastAsia="Arial" w:hAnsi="Arial" w:cs="Arial"/>
          <w:sz w:val="16"/>
        </w:rPr>
        <w:t xml:space="preserve">ED </w:t>
      </w:r>
      <w:r>
        <w:rPr>
          <w:sz w:val="16"/>
        </w:rPr>
        <w:t>類股份（及相應</w:t>
      </w:r>
      <w:r>
        <w:rPr>
          <w:sz w:val="16"/>
        </w:rPr>
        <w:t xml:space="preserve"> </w:t>
      </w:r>
      <w:r>
        <w:rPr>
          <w:rFonts w:ascii="Arial" w:eastAsia="Arial" w:hAnsi="Arial" w:cs="Arial"/>
          <w:sz w:val="16"/>
        </w:rPr>
        <w:t xml:space="preserve">H </w:t>
      </w:r>
      <w:r>
        <w:rPr>
          <w:sz w:val="16"/>
        </w:rPr>
        <w:t>類股份）自認購日起三年後將轉入</w:t>
      </w:r>
      <w:r>
        <w:rPr>
          <w:sz w:val="16"/>
        </w:rPr>
        <w:t xml:space="preserve"> </w:t>
      </w:r>
      <w:r>
        <w:rPr>
          <w:rFonts w:ascii="Arial" w:eastAsia="Arial" w:hAnsi="Arial" w:cs="Arial"/>
          <w:sz w:val="16"/>
        </w:rPr>
        <w:t xml:space="preserve">AD </w:t>
      </w:r>
      <w:r>
        <w:rPr>
          <w:sz w:val="16"/>
        </w:rPr>
        <w:t>類股份（及相應</w:t>
      </w:r>
      <w:r>
        <w:rPr>
          <w:sz w:val="16"/>
        </w:rPr>
        <w:t xml:space="preserve"> </w:t>
      </w:r>
      <w:r>
        <w:rPr>
          <w:rFonts w:ascii="Arial" w:eastAsia="Arial" w:hAnsi="Arial" w:cs="Arial"/>
          <w:sz w:val="16"/>
        </w:rPr>
        <w:t xml:space="preserve">H </w:t>
      </w:r>
      <w:r>
        <w:rPr>
          <w:sz w:val="16"/>
        </w:rPr>
        <w:t>類股份），本傘子基金和管理公司均不會因此收取費用。欲進一步了解換股詳情，請</w:t>
      </w:r>
      <w:r>
        <w:rPr>
          <w:sz w:val="16"/>
        </w:rPr>
        <w:t>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16"/>
        </w:rPr>
        <w:t xml:space="preserve"> </w:t>
      </w:r>
    </w:p>
    <w:p w:rsidR="004D6F0E" w:rsidRDefault="00490F21">
      <w:pPr>
        <w:ind w:left="347" w:right="13" w:hanging="360"/>
        <w:jc w:val="both"/>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color w:val="FF0000"/>
          <w:sz w:val="18"/>
        </w:rPr>
        <w:t xml:space="preserve"> </w:t>
      </w:r>
    </w:p>
    <w:p w:rsidR="004D6F0E" w:rsidRDefault="004D6F0E">
      <w:pPr>
        <w:sectPr w:rsidR="004D6F0E">
          <w:headerReference w:type="even" r:id="rId75"/>
          <w:headerReference w:type="default" r:id="rId76"/>
          <w:footerReference w:type="even" r:id="rId77"/>
          <w:footerReference w:type="default" r:id="rId78"/>
          <w:headerReference w:type="first" r:id="rId79"/>
          <w:footerReference w:type="first" r:id="rId80"/>
          <w:pgSz w:w="12240" w:h="15840"/>
          <w:pgMar w:top="1194" w:right="669" w:bottom="1210" w:left="432" w:header="746" w:footer="354" w:gutter="0"/>
          <w:cols w:num="2" w:space="720" w:equalWidth="0">
            <w:col w:w="1238" w:space="956"/>
            <w:col w:w="8946"/>
          </w:cols>
        </w:sectPr>
      </w:pPr>
    </w:p>
    <w:p w:rsidR="004D6F0E" w:rsidRDefault="00490F21">
      <w:pPr>
        <w:spacing w:after="26" w:line="259" w:lineRule="auto"/>
        <w:ind w:left="0" w:right="-153" w:firstLine="0"/>
      </w:pPr>
      <w:r>
        <w:rPr>
          <w:rFonts w:ascii="Calibri" w:eastAsia="Calibri" w:hAnsi="Calibri" w:cs="Calibri"/>
          <w:noProof/>
          <w:sz w:val="22"/>
        </w:rPr>
        <mc:AlternateContent>
          <mc:Choice Requires="wpg">
            <w:drawing>
              <wp:inline distT="0" distB="0" distL="0" distR="0">
                <wp:extent cx="7200900" cy="18288"/>
                <wp:effectExtent l="0" t="0" r="0" b="0"/>
                <wp:docPr id="448504" name="Group 448504"/>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7879" name="Shape 657879"/>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8504" style="width:567pt;height:1.44pt;mso-position-horizontal-relative:char;mso-position-vertical-relative:line" coordsize="72009,182">
                <v:shape id="Shape 657880" style="position:absolute;width:72009;height:182;left:0;top:0;" coordsize="7200900,18288" path="m0,0l7200900,0l7200900,18288l0,18288l0,0">
                  <v:stroke weight="0pt" endcap="flat" joinstyle="miter" miterlimit="10" on="false" color="#000000" opacity="0"/>
                  <v:fill on="true" color="#000000"/>
                </v:shape>
              </v:group>
            </w:pict>
          </mc:Fallback>
        </mc:AlternateContent>
      </w:r>
    </w:p>
    <w:p w:rsidR="004D6F0E" w:rsidRDefault="00490F21">
      <w:pPr>
        <w:spacing w:after="1" w:line="265" w:lineRule="auto"/>
        <w:ind w:right="34" w:hanging="10"/>
        <w:jc w:val="right"/>
      </w:pPr>
      <w:r>
        <w:t>其他股份類別特色</w:t>
      </w:r>
      <w:r>
        <w:rPr>
          <w:sz w:val="18"/>
        </w:rPr>
        <w:t>盧森堡年稅</w:t>
      </w:r>
      <w:r>
        <w:t>（</w:t>
      </w:r>
      <w:r>
        <w:rPr>
          <w:rFonts w:ascii="Arial" w:eastAsia="Arial" w:hAnsi="Arial" w:cs="Arial"/>
          <w:b/>
          <w:i/>
          <w:sz w:val="18"/>
        </w:rPr>
        <w:t xml:space="preserve">Taxe </w:t>
      </w:r>
    </w:p>
    <w:p w:rsidR="004D6F0E" w:rsidRDefault="00490F21">
      <w:pPr>
        <w:spacing w:after="0" w:line="259" w:lineRule="auto"/>
        <w:ind w:left="115" w:firstLine="0"/>
      </w:pPr>
      <w:r>
        <w:rPr>
          <w:rFonts w:ascii="Arial" w:eastAsia="Arial" w:hAnsi="Arial" w:cs="Arial"/>
          <w:b/>
          <w:sz w:val="18"/>
        </w:rPr>
        <w:t xml:space="preserve"> </w:t>
      </w:r>
    </w:p>
    <w:p w:rsidR="004D6F0E" w:rsidRDefault="00490F21">
      <w:pPr>
        <w:tabs>
          <w:tab w:val="center" w:pos="2923"/>
          <w:tab w:val="center" w:pos="4711"/>
          <w:tab w:val="center" w:pos="6588"/>
          <w:tab w:val="center" w:pos="8452"/>
          <w:tab w:val="right" w:pos="11187"/>
        </w:tabs>
        <w:spacing w:after="4" w:line="265" w:lineRule="auto"/>
        <w:ind w:left="0" w:firstLine="0"/>
      </w:pPr>
      <w:r>
        <w:rPr>
          <w:rFonts w:ascii="Calibri" w:eastAsia="Calibri" w:hAnsi="Calibri" w:cs="Calibri"/>
          <w:sz w:val="22"/>
        </w:rPr>
        <w:tab/>
      </w:r>
      <w:r>
        <w:rPr>
          <w:sz w:val="18"/>
        </w:rPr>
        <w:t>發售貨幣</w:t>
      </w:r>
      <w:r>
        <w:rPr>
          <w:rFonts w:ascii="Arial" w:eastAsia="Arial" w:hAnsi="Arial" w:cs="Arial"/>
          <w:b/>
          <w:sz w:val="18"/>
        </w:rPr>
        <w:t xml:space="preserve"> </w:t>
      </w:r>
      <w:r>
        <w:rPr>
          <w:rFonts w:ascii="Arial" w:eastAsia="Arial" w:hAnsi="Arial" w:cs="Arial"/>
          <w:b/>
          <w:sz w:val="18"/>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rFonts w:ascii="Arial" w:eastAsia="Arial" w:hAnsi="Arial" w:cs="Arial"/>
          <w:b/>
          <w:sz w:val="18"/>
        </w:rPr>
        <w:tab/>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69" w:line="259" w:lineRule="auto"/>
        <w:ind w:left="2179" w:right="-67" w:firstLine="0"/>
      </w:pPr>
      <w:r>
        <w:rPr>
          <w:rFonts w:ascii="Calibri" w:eastAsia="Calibri" w:hAnsi="Calibri" w:cs="Calibri"/>
          <w:noProof/>
          <w:sz w:val="22"/>
        </w:rPr>
        <mc:AlternateContent>
          <mc:Choice Requires="wpg">
            <w:drawing>
              <wp:inline distT="0" distB="0" distL="0" distR="0">
                <wp:extent cx="5762245" cy="6109"/>
                <wp:effectExtent l="0" t="0" r="0" b="0"/>
                <wp:docPr id="448505" name="Group 448505"/>
                <wp:cNvGraphicFramePr/>
                <a:graphic xmlns:a="http://schemas.openxmlformats.org/drawingml/2006/main">
                  <a:graphicData uri="http://schemas.microsoft.com/office/word/2010/wordprocessingGroup">
                    <wpg:wgp>
                      <wpg:cNvGrpSpPr/>
                      <wpg:grpSpPr>
                        <a:xfrm>
                          <a:off x="0" y="0"/>
                          <a:ext cx="5762245" cy="6109"/>
                          <a:chOff x="0" y="0"/>
                          <a:chExt cx="5762245" cy="6109"/>
                        </a:xfrm>
                      </wpg:grpSpPr>
                      <wps:wsp>
                        <wps:cNvPr id="657881" name="Shape 657881"/>
                        <wps:cNvSpPr/>
                        <wps:spPr>
                          <a:xfrm>
                            <a:off x="0" y="0"/>
                            <a:ext cx="946404" cy="9144"/>
                          </a:xfrm>
                          <a:custGeom>
                            <a:avLst/>
                            <a:gdLst/>
                            <a:ahLst/>
                            <a:cxnLst/>
                            <a:rect l="0" t="0" r="0" b="0"/>
                            <a:pathLst>
                              <a:path w="946404" h="9144">
                                <a:moveTo>
                                  <a:pt x="0" y="0"/>
                                </a:moveTo>
                                <a:lnTo>
                                  <a:pt x="946404" y="0"/>
                                </a:lnTo>
                                <a:lnTo>
                                  <a:pt x="946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82" name="Shape 657882"/>
                        <wps:cNvSpPr/>
                        <wps:spPr>
                          <a:xfrm>
                            <a:off x="1056132" y="0"/>
                            <a:ext cx="1103376" cy="9144"/>
                          </a:xfrm>
                          <a:custGeom>
                            <a:avLst/>
                            <a:gdLst/>
                            <a:ahLst/>
                            <a:cxnLst/>
                            <a:rect l="0" t="0" r="0" b="0"/>
                            <a:pathLst>
                              <a:path w="1103376" h="9144">
                                <a:moveTo>
                                  <a:pt x="0" y="0"/>
                                </a:moveTo>
                                <a:lnTo>
                                  <a:pt x="1103376" y="0"/>
                                </a:lnTo>
                                <a:lnTo>
                                  <a:pt x="110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83" name="Shape 657883"/>
                        <wps:cNvSpPr/>
                        <wps:spPr>
                          <a:xfrm>
                            <a:off x="2269236" y="0"/>
                            <a:ext cx="1062228" cy="9144"/>
                          </a:xfrm>
                          <a:custGeom>
                            <a:avLst/>
                            <a:gdLst/>
                            <a:ahLst/>
                            <a:cxnLst/>
                            <a:rect l="0" t="0" r="0" b="0"/>
                            <a:pathLst>
                              <a:path w="1062228" h="9144">
                                <a:moveTo>
                                  <a:pt x="0" y="0"/>
                                </a:moveTo>
                                <a:lnTo>
                                  <a:pt x="1062228" y="0"/>
                                </a:lnTo>
                                <a:lnTo>
                                  <a:pt x="1062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84" name="Shape 657884"/>
                        <wps:cNvSpPr/>
                        <wps:spPr>
                          <a:xfrm>
                            <a:off x="3441192" y="0"/>
                            <a:ext cx="1083564" cy="9144"/>
                          </a:xfrm>
                          <a:custGeom>
                            <a:avLst/>
                            <a:gdLst/>
                            <a:ahLst/>
                            <a:cxnLst/>
                            <a:rect l="0" t="0" r="0" b="0"/>
                            <a:pathLst>
                              <a:path w="1083564" h="9144">
                                <a:moveTo>
                                  <a:pt x="0" y="0"/>
                                </a:moveTo>
                                <a:lnTo>
                                  <a:pt x="1083564" y="0"/>
                                </a:lnTo>
                                <a:lnTo>
                                  <a:pt x="1083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85" name="Shape 657885"/>
                        <wps:cNvSpPr/>
                        <wps:spPr>
                          <a:xfrm>
                            <a:off x="4634484" y="0"/>
                            <a:ext cx="1127760" cy="9144"/>
                          </a:xfrm>
                          <a:custGeom>
                            <a:avLst/>
                            <a:gdLst/>
                            <a:ahLst/>
                            <a:cxnLst/>
                            <a:rect l="0" t="0" r="0" b="0"/>
                            <a:pathLst>
                              <a:path w="1127760" h="9144">
                                <a:moveTo>
                                  <a:pt x="0" y="0"/>
                                </a:moveTo>
                                <a:lnTo>
                                  <a:pt x="1127760" y="0"/>
                                </a:lnTo>
                                <a:lnTo>
                                  <a:pt x="1127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8505" style="width:453.72pt;height:0.481018pt;mso-position-horizontal-relative:char;mso-position-vertical-relative:line" coordsize="57622,61">
                <v:shape id="Shape 657886" style="position:absolute;width:9464;height:91;left:0;top:0;" coordsize="946404,9144" path="m0,0l946404,0l946404,9144l0,9144l0,0">
                  <v:stroke weight="0pt" endcap="flat" joinstyle="miter" miterlimit="10" on="false" color="#000000" opacity="0"/>
                  <v:fill on="true" color="#000000"/>
                </v:shape>
                <v:shape id="Shape 657887" style="position:absolute;width:11033;height:91;left:10561;top:0;" coordsize="1103376,9144" path="m0,0l1103376,0l1103376,9144l0,9144l0,0">
                  <v:stroke weight="0pt" endcap="flat" joinstyle="miter" miterlimit="10" on="false" color="#000000" opacity="0"/>
                  <v:fill on="true" color="#000000"/>
                </v:shape>
                <v:shape id="Shape 657888" style="position:absolute;width:10622;height:91;left:22692;top:0;" coordsize="1062228,9144" path="m0,0l1062228,0l1062228,9144l0,9144l0,0">
                  <v:stroke weight="0pt" endcap="flat" joinstyle="miter" miterlimit="10" on="false" color="#000000" opacity="0"/>
                  <v:fill on="true" color="#000000"/>
                </v:shape>
                <v:shape id="Shape 657889" style="position:absolute;width:10835;height:91;left:34411;top:0;" coordsize="1083564,9144" path="m0,0l1083564,0l1083564,9144l0,9144l0,0">
                  <v:stroke weight="0pt" endcap="flat" joinstyle="miter" miterlimit="10" on="false" color="#000000" opacity="0"/>
                  <v:fill on="true" color="#000000"/>
                </v:shape>
                <v:shape id="Shape 657890" style="position:absolute;width:11277;height:91;left:46344;top:0;" coordsize="1127760,9144" path="m0,0l1127760,0l1127760,9144l0,9144l0,0">
                  <v:stroke weight="0pt" endcap="flat" joinstyle="miter" miterlimit="10" on="false" color="#000000" opacity="0"/>
                  <v:fill on="true" color="#000000"/>
                </v:shape>
              </v:group>
            </w:pict>
          </mc:Fallback>
        </mc:AlternateContent>
      </w:r>
    </w:p>
    <w:tbl>
      <w:tblPr>
        <w:tblStyle w:val="TableGrid"/>
        <w:tblW w:w="11340" w:type="dxa"/>
        <w:tblInd w:w="0" w:type="dxa"/>
        <w:tblCellMar>
          <w:top w:w="0" w:type="dxa"/>
          <w:left w:w="0" w:type="dxa"/>
          <w:bottom w:w="0" w:type="dxa"/>
          <w:right w:w="115" w:type="dxa"/>
        </w:tblCellMar>
        <w:tblLook w:val="04A0" w:firstRow="1" w:lastRow="0" w:firstColumn="1" w:lastColumn="0" w:noHBand="0" w:noVBand="1"/>
      </w:tblPr>
      <w:tblGrid>
        <w:gridCol w:w="2744"/>
        <w:gridCol w:w="1243"/>
        <w:gridCol w:w="2174"/>
        <w:gridCol w:w="1762"/>
        <w:gridCol w:w="2186"/>
        <w:gridCol w:w="1231"/>
      </w:tblGrid>
      <w:tr w:rsidR="004D6F0E">
        <w:trPr>
          <w:trHeight w:val="385"/>
        </w:trPr>
        <w:tc>
          <w:tcPr>
            <w:tcW w:w="2743" w:type="dxa"/>
            <w:tcBorders>
              <w:top w:val="nil"/>
              <w:left w:val="nil"/>
              <w:bottom w:val="nil"/>
              <w:right w:val="nil"/>
            </w:tcBorders>
          </w:tcPr>
          <w:p w:rsidR="004D6F0E" w:rsidRDefault="00490F21">
            <w:pPr>
              <w:spacing w:after="174" w:line="259" w:lineRule="auto"/>
              <w:ind w:left="115" w:firstLine="0"/>
            </w:pPr>
            <w:r>
              <w:rPr>
                <w:rFonts w:ascii="Arial" w:eastAsia="Arial" w:hAnsi="Arial" w:cs="Arial"/>
                <w:sz w:val="6"/>
              </w:rPr>
              <w:t xml:space="preserve"> </w:t>
            </w:r>
          </w:p>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169" w:line="259" w:lineRule="auto"/>
              <w:ind w:left="180" w:firstLine="0"/>
            </w:pPr>
            <w:r>
              <w:rPr>
                <w:rFonts w:ascii="Arial" w:eastAsia="Arial" w:hAnsi="Arial" w:cs="Arial"/>
                <w:sz w:val="6"/>
              </w:rPr>
              <w:t xml:space="preserve"> </w:t>
            </w:r>
          </w:p>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178" w:line="259" w:lineRule="auto"/>
              <w:ind w:left="725" w:firstLine="0"/>
            </w:pPr>
            <w:r>
              <w:rPr>
                <w:rFonts w:ascii="Arial" w:eastAsia="Arial" w:hAnsi="Arial" w:cs="Arial"/>
                <w:sz w:val="6"/>
              </w:rPr>
              <w:t xml:space="preserve"> </w:t>
            </w:r>
          </w:p>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177" w:line="259" w:lineRule="auto"/>
              <w:ind w:left="427" w:firstLine="0"/>
            </w:pPr>
            <w:r>
              <w:rPr>
                <w:rFonts w:ascii="Arial" w:eastAsia="Arial" w:hAnsi="Arial" w:cs="Arial"/>
                <w:sz w:val="6"/>
              </w:rPr>
              <w:t xml:space="preserve"> </w:t>
            </w:r>
          </w:p>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171" w:line="259" w:lineRule="auto"/>
              <w:ind w:left="528" w:firstLine="0"/>
            </w:pPr>
            <w:r>
              <w:rPr>
                <w:rFonts w:ascii="Arial" w:eastAsia="Arial" w:hAnsi="Arial" w:cs="Arial"/>
                <w:sz w:val="6"/>
              </w:rPr>
              <w:t xml:space="preserve"> </w:t>
            </w:r>
          </w:p>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180" w:line="259" w:lineRule="auto"/>
              <w:ind w:left="257" w:firstLine="0"/>
            </w:pPr>
            <w:r>
              <w:rPr>
                <w:rFonts w:ascii="Arial" w:eastAsia="Arial" w:hAnsi="Arial" w:cs="Arial"/>
                <w:sz w:val="6"/>
              </w:rPr>
              <w:t xml:space="preserve"> </w:t>
            </w:r>
          </w:p>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ED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2"/>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581"/>
        </w:trPr>
        <w:tc>
          <w:tcPr>
            <w:tcW w:w="2743" w:type="dxa"/>
            <w:tcBorders>
              <w:top w:val="nil"/>
              <w:left w:val="nil"/>
              <w:bottom w:val="nil"/>
              <w:right w:val="nil"/>
            </w:tcBorders>
          </w:tcPr>
          <w:p w:rsidR="004D6F0E" w:rsidRDefault="00490F21">
            <w:pPr>
              <w:spacing w:after="70" w:line="259" w:lineRule="auto"/>
              <w:ind w:left="115" w:firstLine="0"/>
            </w:pPr>
            <w:r>
              <w:rPr>
                <w:rFonts w:ascii="Arial" w:eastAsia="Arial" w:hAnsi="Arial" w:cs="Arial"/>
                <w:sz w:val="18"/>
              </w:rPr>
              <w:t xml:space="preserve">W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65"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69"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65" w:line="259" w:lineRule="auto"/>
              <w:ind w:left="338"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65"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90"/>
        </w:trPr>
        <w:tc>
          <w:tcPr>
            <w:tcW w:w="2743"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1243"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shd w:val="clear" w:color="auto" w:fill="D9D9D9"/>
          </w:tcPr>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270"/>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1"/>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4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581"/>
        </w:trPr>
        <w:tc>
          <w:tcPr>
            <w:tcW w:w="2743" w:type="dxa"/>
            <w:tcBorders>
              <w:top w:val="nil"/>
              <w:left w:val="nil"/>
              <w:bottom w:val="nil"/>
              <w:right w:val="nil"/>
            </w:tcBorders>
          </w:tcPr>
          <w:p w:rsidR="004D6F0E" w:rsidRDefault="00490F21">
            <w:pPr>
              <w:spacing w:after="7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65"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69"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65" w:line="259" w:lineRule="auto"/>
              <w:ind w:left="338"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65"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90"/>
        </w:trPr>
        <w:tc>
          <w:tcPr>
            <w:tcW w:w="2743" w:type="dxa"/>
            <w:tcBorders>
              <w:top w:val="nil"/>
              <w:left w:val="nil"/>
              <w:bottom w:val="nil"/>
              <w:right w:val="nil"/>
            </w:tcBorders>
            <w:shd w:val="clear" w:color="auto" w:fill="D9D9D9"/>
          </w:tcPr>
          <w:p w:rsidR="004D6F0E" w:rsidRDefault="00490F21">
            <w:pPr>
              <w:spacing w:after="0" w:line="259" w:lineRule="auto"/>
              <w:ind w:left="115" w:firstLine="0"/>
            </w:pPr>
            <w:r>
              <w:rPr>
                <w:sz w:val="18"/>
              </w:rPr>
              <w:t>英鎊計價股份類別</w:t>
            </w:r>
            <w:r>
              <w:rPr>
                <w:rFonts w:ascii="Arial" w:eastAsia="Arial" w:hAnsi="Arial" w:cs="Arial"/>
                <w:sz w:val="18"/>
              </w:rPr>
              <w:t xml:space="preserve"> </w:t>
            </w:r>
          </w:p>
        </w:tc>
        <w:tc>
          <w:tcPr>
            <w:tcW w:w="1243"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shd w:val="clear" w:color="auto" w:fill="D9D9D9"/>
          </w:tcPr>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559"/>
        </w:trPr>
        <w:tc>
          <w:tcPr>
            <w:tcW w:w="2743" w:type="dxa"/>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67" w:line="259" w:lineRule="auto"/>
              <w:ind w:left="0" w:firstLine="0"/>
            </w:pPr>
            <w:r>
              <w:rPr>
                <w:sz w:val="18"/>
              </w:rPr>
              <w:t>英鎊</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71" w:line="259" w:lineRule="auto"/>
              <w:ind w:left="0" w:firstLine="0"/>
            </w:pPr>
            <w:r>
              <w:rPr>
                <w:rFonts w:ascii="Arial" w:eastAsia="Arial" w:hAnsi="Arial" w:cs="Arial"/>
                <w:sz w:val="18"/>
              </w:rPr>
              <w:t xml:space="preserve">15,000,000 </w:t>
            </w:r>
            <w:r>
              <w:rPr>
                <w:sz w:val="18"/>
              </w:rPr>
              <w:t>英鎊</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67" w:line="259" w:lineRule="auto"/>
              <w:ind w:left="338"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6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90"/>
        </w:trPr>
        <w:tc>
          <w:tcPr>
            <w:tcW w:w="2743"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港元計價股份類別</w:t>
            </w:r>
            <w:r>
              <w:rPr>
                <w:rFonts w:ascii="Arial" w:eastAsia="Arial" w:hAnsi="Arial" w:cs="Arial"/>
                <w:sz w:val="18"/>
              </w:rPr>
              <w:t xml:space="preserve"> </w:t>
            </w:r>
          </w:p>
        </w:tc>
        <w:tc>
          <w:tcPr>
            <w:tcW w:w="1243"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shd w:val="clear" w:color="auto" w:fill="D9D9D9"/>
          </w:tcPr>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557"/>
        </w:trPr>
        <w:tc>
          <w:tcPr>
            <w:tcW w:w="2743" w:type="dxa"/>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43" w:type="dxa"/>
            <w:tcBorders>
              <w:top w:val="nil"/>
              <w:left w:val="nil"/>
              <w:bottom w:val="nil"/>
              <w:right w:val="nil"/>
            </w:tcBorders>
          </w:tcPr>
          <w:p w:rsidR="004D6F0E" w:rsidRDefault="00490F21">
            <w:pPr>
              <w:spacing w:after="67" w:line="259" w:lineRule="auto"/>
              <w:ind w:left="0" w:firstLine="0"/>
            </w:pPr>
            <w:r>
              <w:rPr>
                <w:sz w:val="18"/>
              </w:rPr>
              <w:t>港元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tcPr>
          <w:p w:rsidR="004D6F0E" w:rsidRDefault="00490F21">
            <w:pPr>
              <w:spacing w:after="72" w:line="259" w:lineRule="auto"/>
              <w:ind w:left="247" w:firstLine="0"/>
            </w:pPr>
            <w:r>
              <w:rPr>
                <w:rFonts w:ascii="Arial" w:eastAsia="Arial" w:hAnsi="Arial" w:cs="Arial"/>
                <w:sz w:val="18"/>
              </w:rPr>
              <w:t xml:space="preserve">15,000 </w:t>
            </w:r>
            <w:r>
              <w:rPr>
                <w:sz w:val="18"/>
              </w:rPr>
              <w:t>港元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tcPr>
          <w:p w:rsidR="004D6F0E" w:rsidRDefault="00490F21">
            <w:pPr>
              <w:spacing w:after="72"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6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93"/>
        </w:trPr>
        <w:tc>
          <w:tcPr>
            <w:tcW w:w="2743"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1243"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174" w:type="dxa"/>
            <w:tcBorders>
              <w:top w:val="nil"/>
              <w:left w:val="nil"/>
              <w:bottom w:val="nil"/>
              <w:right w:val="nil"/>
            </w:tcBorders>
            <w:shd w:val="clear" w:color="auto" w:fill="D9D9D9"/>
          </w:tcPr>
          <w:p w:rsidR="004D6F0E" w:rsidRDefault="00490F21">
            <w:pPr>
              <w:spacing w:after="0" w:line="259" w:lineRule="auto"/>
              <w:ind w:left="725" w:firstLine="0"/>
            </w:pPr>
            <w:r>
              <w:rPr>
                <w:rFonts w:ascii="Arial" w:eastAsia="Arial" w:hAnsi="Arial" w:cs="Arial"/>
                <w:sz w:val="18"/>
              </w:rPr>
              <w:t xml:space="preserve"> </w:t>
            </w:r>
          </w:p>
        </w:tc>
        <w:tc>
          <w:tcPr>
            <w:tcW w:w="1762"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31"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bl>
    <w:p w:rsidR="004D6F0E" w:rsidRDefault="00490F21">
      <w:pPr>
        <w:tabs>
          <w:tab w:val="center" w:pos="2923"/>
          <w:tab w:val="center" w:pos="4712"/>
          <w:tab w:val="center" w:pos="6589"/>
          <w:tab w:val="center" w:pos="8452"/>
          <w:tab w:val="center" w:pos="10365"/>
        </w:tabs>
        <w:spacing w:after="83"/>
        <w:ind w:left="0" w:firstLine="0"/>
      </w:pPr>
      <w:r>
        <w:rPr>
          <w:rFonts w:ascii="Arial" w:eastAsia="Arial" w:hAnsi="Arial" w:cs="Arial"/>
          <w:sz w:val="18"/>
        </w:rPr>
        <w:t xml:space="preserve">A </w:t>
      </w:r>
      <w:r>
        <w:rPr>
          <w:sz w:val="18"/>
        </w:rPr>
        <w:t>類股份</w:t>
      </w:r>
      <w:r>
        <w:rPr>
          <w:rFonts w:ascii="Arial" w:eastAsia="Arial" w:hAnsi="Arial" w:cs="Arial"/>
          <w:sz w:val="18"/>
        </w:rPr>
        <w:t xml:space="preserve"> </w:t>
      </w:r>
      <w:r>
        <w:rPr>
          <w:rFonts w:ascii="Arial" w:eastAsia="Arial" w:hAnsi="Arial" w:cs="Arial"/>
          <w:sz w:val="18"/>
        </w:rPr>
        <w:tab/>
      </w:r>
      <w:r>
        <w:rPr>
          <w:sz w:val="18"/>
        </w:rPr>
        <w:t>新加坡元</w:t>
      </w:r>
      <w:r>
        <w:rPr>
          <w:rFonts w:ascii="Arial" w:eastAsia="Arial" w:hAnsi="Arial" w:cs="Arial"/>
          <w:sz w:val="18"/>
        </w:rPr>
        <w:t xml:space="preserve"> </w:t>
      </w:r>
      <w:r>
        <w:rPr>
          <w:rFonts w:ascii="Arial" w:eastAsia="Arial" w:hAnsi="Arial" w:cs="Arial"/>
          <w:sz w:val="18"/>
        </w:rPr>
        <w:tab/>
        <w:t xml:space="preserve">3,000 </w:t>
      </w:r>
      <w:r>
        <w:rPr>
          <w:sz w:val="18"/>
        </w:rPr>
        <w:t>新加坡元</w:t>
      </w:r>
      <w:r>
        <w:rPr>
          <w:rFonts w:ascii="Arial" w:eastAsia="Arial" w:hAnsi="Arial" w:cs="Arial"/>
          <w:sz w:val="18"/>
        </w:rPr>
        <w:t xml:space="preserve"> </w:t>
      </w:r>
      <w:r>
        <w:rPr>
          <w:rFonts w:ascii="Arial" w:eastAsia="Arial" w:hAnsi="Arial" w:cs="Arial"/>
          <w:sz w:val="18"/>
        </w:rPr>
        <w:tab/>
      </w:r>
      <w:r>
        <w:rPr>
          <w:rFonts w:ascii="Arial" w:eastAsia="Arial" w:hAnsi="Arial" w:cs="Arial"/>
          <w:sz w:val="18"/>
        </w:rPr>
        <w:t xml:space="preserve">1,000 </w:t>
      </w:r>
      <w:r>
        <w:rPr>
          <w:sz w:val="18"/>
        </w:rPr>
        <w:t>新加坡元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52"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after="0" w:line="259" w:lineRule="auto"/>
        <w:ind w:left="115" w:firstLine="0"/>
      </w:pPr>
      <w:r>
        <w:rPr>
          <w:rFonts w:ascii="Arial" w:eastAsia="Arial" w:hAnsi="Arial" w:cs="Arial"/>
          <w:b/>
          <w:sz w:val="18"/>
        </w:rPr>
        <w:t xml:space="preserve"> </w:t>
      </w:r>
    </w:p>
    <w:p w:rsidR="004D6F0E" w:rsidRDefault="00490F21">
      <w:pPr>
        <w:tabs>
          <w:tab w:val="center" w:pos="2923"/>
          <w:tab w:val="center" w:pos="4711"/>
          <w:tab w:val="center" w:pos="6588"/>
          <w:tab w:val="center" w:pos="8452"/>
          <w:tab w:val="right" w:pos="11187"/>
        </w:tabs>
        <w:spacing w:after="4" w:line="265" w:lineRule="auto"/>
        <w:ind w:left="0" w:firstLine="0"/>
      </w:pPr>
      <w:r>
        <w:rPr>
          <w:rFonts w:ascii="Calibri" w:eastAsia="Calibri" w:hAnsi="Calibri" w:cs="Calibri"/>
          <w:sz w:val="22"/>
        </w:rPr>
        <w:tab/>
      </w:r>
      <w:r>
        <w:rPr>
          <w:sz w:val="18"/>
        </w:rPr>
        <w:t>對沖貨幣</w:t>
      </w:r>
      <w:r>
        <w:rPr>
          <w:rFonts w:ascii="Arial" w:eastAsia="Arial" w:hAnsi="Arial" w:cs="Arial"/>
          <w:b/>
          <w:sz w:val="18"/>
        </w:rPr>
        <w:t xml:space="preserve"> </w:t>
      </w:r>
      <w:r>
        <w:rPr>
          <w:rFonts w:ascii="Arial" w:eastAsia="Arial" w:hAnsi="Arial" w:cs="Arial"/>
          <w:b/>
          <w:sz w:val="18"/>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rFonts w:ascii="Arial" w:eastAsia="Arial" w:hAnsi="Arial" w:cs="Arial"/>
          <w:b/>
          <w:sz w:val="18"/>
        </w:rPr>
        <w:tab/>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58" w:line="259" w:lineRule="auto"/>
        <w:ind w:left="2179" w:right="-67" w:firstLine="0"/>
      </w:pPr>
      <w:r>
        <w:rPr>
          <w:rFonts w:ascii="Calibri" w:eastAsia="Calibri" w:hAnsi="Calibri" w:cs="Calibri"/>
          <w:noProof/>
          <w:sz w:val="22"/>
        </w:rPr>
        <mc:AlternateContent>
          <mc:Choice Requires="wpg">
            <w:drawing>
              <wp:inline distT="0" distB="0" distL="0" distR="0">
                <wp:extent cx="5762245" cy="6109"/>
                <wp:effectExtent l="0" t="0" r="0" b="0"/>
                <wp:docPr id="448506" name="Group 448506"/>
                <wp:cNvGraphicFramePr/>
                <a:graphic xmlns:a="http://schemas.openxmlformats.org/drawingml/2006/main">
                  <a:graphicData uri="http://schemas.microsoft.com/office/word/2010/wordprocessingGroup">
                    <wpg:wgp>
                      <wpg:cNvGrpSpPr/>
                      <wpg:grpSpPr>
                        <a:xfrm>
                          <a:off x="0" y="0"/>
                          <a:ext cx="5762245" cy="6109"/>
                          <a:chOff x="0" y="0"/>
                          <a:chExt cx="5762245" cy="6109"/>
                        </a:xfrm>
                      </wpg:grpSpPr>
                      <wps:wsp>
                        <wps:cNvPr id="657891" name="Shape 657891"/>
                        <wps:cNvSpPr/>
                        <wps:spPr>
                          <a:xfrm>
                            <a:off x="0" y="0"/>
                            <a:ext cx="946404" cy="9144"/>
                          </a:xfrm>
                          <a:custGeom>
                            <a:avLst/>
                            <a:gdLst/>
                            <a:ahLst/>
                            <a:cxnLst/>
                            <a:rect l="0" t="0" r="0" b="0"/>
                            <a:pathLst>
                              <a:path w="946404" h="9144">
                                <a:moveTo>
                                  <a:pt x="0" y="0"/>
                                </a:moveTo>
                                <a:lnTo>
                                  <a:pt x="946404" y="0"/>
                                </a:lnTo>
                                <a:lnTo>
                                  <a:pt x="946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92" name="Shape 657892"/>
                        <wps:cNvSpPr/>
                        <wps:spPr>
                          <a:xfrm>
                            <a:off x="1056132" y="0"/>
                            <a:ext cx="1103376" cy="9144"/>
                          </a:xfrm>
                          <a:custGeom>
                            <a:avLst/>
                            <a:gdLst/>
                            <a:ahLst/>
                            <a:cxnLst/>
                            <a:rect l="0" t="0" r="0" b="0"/>
                            <a:pathLst>
                              <a:path w="1103376" h="9144">
                                <a:moveTo>
                                  <a:pt x="0" y="0"/>
                                </a:moveTo>
                                <a:lnTo>
                                  <a:pt x="1103376" y="0"/>
                                </a:lnTo>
                                <a:lnTo>
                                  <a:pt x="110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93" name="Shape 657893"/>
                        <wps:cNvSpPr/>
                        <wps:spPr>
                          <a:xfrm>
                            <a:off x="2269236" y="0"/>
                            <a:ext cx="1062228" cy="9144"/>
                          </a:xfrm>
                          <a:custGeom>
                            <a:avLst/>
                            <a:gdLst/>
                            <a:ahLst/>
                            <a:cxnLst/>
                            <a:rect l="0" t="0" r="0" b="0"/>
                            <a:pathLst>
                              <a:path w="1062228" h="9144">
                                <a:moveTo>
                                  <a:pt x="0" y="0"/>
                                </a:moveTo>
                                <a:lnTo>
                                  <a:pt x="1062228" y="0"/>
                                </a:lnTo>
                                <a:lnTo>
                                  <a:pt x="1062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94" name="Shape 657894"/>
                        <wps:cNvSpPr/>
                        <wps:spPr>
                          <a:xfrm>
                            <a:off x="3441192" y="0"/>
                            <a:ext cx="1083564" cy="9144"/>
                          </a:xfrm>
                          <a:custGeom>
                            <a:avLst/>
                            <a:gdLst/>
                            <a:ahLst/>
                            <a:cxnLst/>
                            <a:rect l="0" t="0" r="0" b="0"/>
                            <a:pathLst>
                              <a:path w="1083564" h="9144">
                                <a:moveTo>
                                  <a:pt x="0" y="0"/>
                                </a:moveTo>
                                <a:lnTo>
                                  <a:pt x="1083564" y="0"/>
                                </a:lnTo>
                                <a:lnTo>
                                  <a:pt x="1083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95" name="Shape 657895"/>
                        <wps:cNvSpPr/>
                        <wps:spPr>
                          <a:xfrm>
                            <a:off x="4634484" y="0"/>
                            <a:ext cx="1127760" cy="9144"/>
                          </a:xfrm>
                          <a:custGeom>
                            <a:avLst/>
                            <a:gdLst/>
                            <a:ahLst/>
                            <a:cxnLst/>
                            <a:rect l="0" t="0" r="0" b="0"/>
                            <a:pathLst>
                              <a:path w="1127760" h="9144">
                                <a:moveTo>
                                  <a:pt x="0" y="0"/>
                                </a:moveTo>
                                <a:lnTo>
                                  <a:pt x="1127760" y="0"/>
                                </a:lnTo>
                                <a:lnTo>
                                  <a:pt x="1127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8506" style="width:453.72pt;height:0.480988pt;mso-position-horizontal-relative:char;mso-position-vertical-relative:line" coordsize="57622,61">
                <v:shape id="Shape 657896" style="position:absolute;width:9464;height:91;left:0;top:0;" coordsize="946404,9144" path="m0,0l946404,0l946404,9144l0,9144l0,0">
                  <v:stroke weight="0pt" endcap="flat" joinstyle="miter" miterlimit="10" on="false" color="#000000" opacity="0"/>
                  <v:fill on="true" color="#000000"/>
                </v:shape>
                <v:shape id="Shape 657897" style="position:absolute;width:11033;height:91;left:10561;top:0;" coordsize="1103376,9144" path="m0,0l1103376,0l1103376,9144l0,9144l0,0">
                  <v:stroke weight="0pt" endcap="flat" joinstyle="miter" miterlimit="10" on="false" color="#000000" opacity="0"/>
                  <v:fill on="true" color="#000000"/>
                </v:shape>
                <v:shape id="Shape 657898" style="position:absolute;width:10622;height:91;left:22692;top:0;" coordsize="1062228,9144" path="m0,0l1062228,0l1062228,9144l0,9144l0,0">
                  <v:stroke weight="0pt" endcap="flat" joinstyle="miter" miterlimit="10" on="false" color="#000000" opacity="0"/>
                  <v:fill on="true" color="#000000"/>
                </v:shape>
                <v:shape id="Shape 657899" style="position:absolute;width:10835;height:91;left:34411;top:0;" coordsize="1083564,9144" path="m0,0l1083564,0l1083564,9144l0,9144l0,0">
                  <v:stroke weight="0pt" endcap="flat" joinstyle="miter" miterlimit="10" on="false" color="#000000" opacity="0"/>
                  <v:fill on="true" color="#000000"/>
                </v:shape>
                <v:shape id="Shape 657900" style="position:absolute;width:11277;height:91;left:46344;top:0;" coordsize="1127760,9144" path="m0,0l1127760,0l1127760,9144l0,9144l0,0">
                  <v:stroke weight="0pt" endcap="flat" joinstyle="miter" miterlimit="10" on="false" color="#000000" opacity="0"/>
                  <v:fill on="true" color="#000000"/>
                </v:shape>
              </v:group>
            </w:pict>
          </mc:Fallback>
        </mc:AlternateContent>
      </w:r>
    </w:p>
    <w:tbl>
      <w:tblPr>
        <w:tblStyle w:val="TableGrid"/>
        <w:tblW w:w="11340" w:type="dxa"/>
        <w:tblInd w:w="0" w:type="dxa"/>
        <w:tblCellMar>
          <w:top w:w="21" w:type="dxa"/>
          <w:left w:w="0" w:type="dxa"/>
          <w:bottom w:w="0" w:type="dxa"/>
          <w:right w:w="115" w:type="dxa"/>
        </w:tblCellMar>
        <w:tblLook w:val="04A0" w:firstRow="1" w:lastRow="0" w:firstColumn="1" w:lastColumn="0" w:noHBand="0" w:noVBand="1"/>
      </w:tblPr>
      <w:tblGrid>
        <w:gridCol w:w="2541"/>
        <w:gridCol w:w="1294"/>
        <w:gridCol w:w="2146"/>
        <w:gridCol w:w="2381"/>
        <w:gridCol w:w="1747"/>
        <w:gridCol w:w="1231"/>
      </w:tblGrid>
      <w:tr w:rsidR="004D6F0E">
        <w:trPr>
          <w:trHeight w:val="235"/>
        </w:trPr>
        <w:tc>
          <w:tcPr>
            <w:tcW w:w="2542" w:type="dxa"/>
            <w:tcBorders>
              <w:top w:val="nil"/>
              <w:left w:val="nil"/>
              <w:bottom w:val="nil"/>
              <w:right w:val="nil"/>
            </w:tcBorders>
            <w:shd w:val="clear" w:color="auto" w:fill="D9D9D9"/>
          </w:tcPr>
          <w:p w:rsidR="004D6F0E" w:rsidRDefault="00490F21">
            <w:pPr>
              <w:tabs>
                <w:tab w:val="center" w:pos="2208"/>
              </w:tabs>
              <w:spacing w:after="0" w:line="259" w:lineRule="auto"/>
              <w:ind w:left="0" w:firstLine="0"/>
            </w:pPr>
            <w:r>
              <w:rPr>
                <w:sz w:val="18"/>
              </w:rPr>
              <w:t>澳元對沖股份類別</w:t>
            </w:r>
            <w:r>
              <w:rPr>
                <w:rFonts w:ascii="Arial" w:eastAsia="Arial" w:hAnsi="Arial" w:cs="Arial"/>
                <w:b/>
                <w:sz w:val="18"/>
              </w:rPr>
              <w:t xml:space="preserve"> </w:t>
            </w:r>
            <w:r>
              <w:rPr>
                <w:rFonts w:ascii="Arial" w:eastAsia="Arial" w:hAnsi="Arial" w:cs="Arial"/>
                <w:b/>
                <w:sz w:val="18"/>
              </w:rPr>
              <w:tab/>
              <w:t xml:space="preserve"> </w:t>
            </w:r>
          </w:p>
        </w:tc>
        <w:tc>
          <w:tcPr>
            <w:tcW w:w="1294" w:type="dxa"/>
            <w:tcBorders>
              <w:top w:val="nil"/>
              <w:left w:val="nil"/>
              <w:bottom w:val="nil"/>
              <w:right w:val="nil"/>
            </w:tcBorders>
            <w:shd w:val="clear" w:color="auto" w:fill="D9D9D9"/>
          </w:tcPr>
          <w:p w:rsidR="004D6F0E" w:rsidRDefault="004D6F0E">
            <w:pPr>
              <w:spacing w:after="160" w:line="259" w:lineRule="auto"/>
              <w:ind w:left="0" w:firstLine="0"/>
            </w:pPr>
          </w:p>
        </w:tc>
        <w:tc>
          <w:tcPr>
            <w:tcW w:w="2146" w:type="dxa"/>
            <w:tcBorders>
              <w:top w:val="nil"/>
              <w:left w:val="nil"/>
              <w:bottom w:val="nil"/>
              <w:right w:val="nil"/>
            </w:tcBorders>
            <w:shd w:val="clear" w:color="auto" w:fill="D9D9D9"/>
          </w:tcPr>
          <w:p w:rsidR="004D6F0E" w:rsidRDefault="00490F21">
            <w:pPr>
              <w:spacing w:after="0" w:line="259" w:lineRule="auto"/>
              <w:ind w:left="-7" w:firstLine="0"/>
            </w:pPr>
            <w:r>
              <w:rPr>
                <w:rFonts w:ascii="Arial" w:eastAsia="Arial" w:hAnsi="Arial" w:cs="Arial"/>
                <w:b/>
                <w:sz w:val="18"/>
              </w:rPr>
              <w:t xml:space="preserve"> </w:t>
            </w:r>
            <w:r>
              <w:rPr>
                <w:rFonts w:ascii="Arial" w:eastAsia="Arial" w:hAnsi="Arial" w:cs="Arial"/>
                <w:b/>
                <w:sz w:val="18"/>
              </w:rPr>
              <w:tab/>
              <w:t xml:space="preserve"> </w:t>
            </w:r>
          </w:p>
        </w:tc>
        <w:tc>
          <w:tcPr>
            <w:tcW w:w="2381" w:type="dxa"/>
            <w:tcBorders>
              <w:top w:val="nil"/>
              <w:left w:val="nil"/>
              <w:bottom w:val="nil"/>
              <w:right w:val="nil"/>
            </w:tcBorders>
            <w:shd w:val="clear" w:color="auto" w:fill="D9D9D9"/>
          </w:tcPr>
          <w:p w:rsidR="004D6F0E" w:rsidRDefault="00490F21">
            <w:pPr>
              <w:spacing w:after="0" w:line="259" w:lineRule="auto"/>
              <w:ind w:left="1077" w:firstLine="0"/>
              <w:jc w:val="center"/>
            </w:pPr>
            <w:r>
              <w:rPr>
                <w:rFonts w:ascii="Arial" w:eastAsia="Arial" w:hAnsi="Arial" w:cs="Arial"/>
                <w:b/>
                <w:sz w:val="18"/>
              </w:rPr>
              <w:t xml:space="preserve"> </w:t>
            </w:r>
          </w:p>
        </w:tc>
        <w:tc>
          <w:tcPr>
            <w:tcW w:w="1747" w:type="dxa"/>
            <w:tcBorders>
              <w:top w:val="nil"/>
              <w:left w:val="nil"/>
              <w:bottom w:val="nil"/>
              <w:right w:val="nil"/>
            </w:tcBorders>
            <w:shd w:val="clear" w:color="auto" w:fill="D9D9D9"/>
          </w:tcPr>
          <w:p w:rsidR="004D6F0E" w:rsidRDefault="00490F21">
            <w:pPr>
              <w:spacing w:after="0" w:line="259" w:lineRule="auto"/>
              <w:ind w:left="708" w:firstLine="0"/>
              <w:jc w:val="center"/>
            </w:pPr>
            <w:r>
              <w:rPr>
                <w:rFonts w:ascii="Arial" w:eastAsia="Arial" w:hAnsi="Arial" w:cs="Arial"/>
                <w:b/>
                <w:sz w:val="18"/>
              </w:rPr>
              <w:t xml:space="preserve"> </w:t>
            </w:r>
          </w:p>
        </w:tc>
        <w:tc>
          <w:tcPr>
            <w:tcW w:w="123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5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294"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1"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294"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1"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294"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1"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294"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1"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542" w:type="dxa"/>
            <w:tcBorders>
              <w:top w:val="nil"/>
              <w:left w:val="nil"/>
              <w:bottom w:val="nil"/>
              <w:right w:val="nil"/>
            </w:tcBorders>
          </w:tcPr>
          <w:p w:rsidR="004D6F0E" w:rsidRDefault="00490F21">
            <w:pPr>
              <w:spacing w:after="13"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94" w:type="dxa"/>
            <w:tcBorders>
              <w:top w:val="nil"/>
              <w:left w:val="nil"/>
              <w:bottom w:val="nil"/>
              <w:right w:val="nil"/>
            </w:tcBorders>
          </w:tcPr>
          <w:p w:rsidR="004D6F0E" w:rsidRDefault="00490F21">
            <w:pPr>
              <w:spacing w:after="7" w:line="259" w:lineRule="auto"/>
              <w:ind w:left="180" w:firstLine="0"/>
            </w:pPr>
            <w:r>
              <w:rPr>
                <w:sz w:val="18"/>
              </w:rPr>
              <w:t>澳元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11"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p w:rsidR="004D6F0E" w:rsidRDefault="00490F21">
            <w:pPr>
              <w:spacing w:after="0" w:line="259" w:lineRule="auto"/>
              <w:ind w:left="854" w:firstLine="0"/>
            </w:pPr>
            <w:r>
              <w:rPr>
                <w:rFonts w:ascii="Arial" w:eastAsia="Arial" w:hAnsi="Arial" w:cs="Arial"/>
                <w:sz w:val="18"/>
              </w:rPr>
              <w:t xml:space="preserve"> </w:t>
            </w:r>
          </w:p>
        </w:tc>
        <w:tc>
          <w:tcPr>
            <w:tcW w:w="2381" w:type="dxa"/>
            <w:tcBorders>
              <w:top w:val="nil"/>
              <w:left w:val="nil"/>
              <w:bottom w:val="nil"/>
              <w:right w:val="nil"/>
            </w:tcBorders>
          </w:tcPr>
          <w:p w:rsidR="004D6F0E" w:rsidRDefault="00490F21">
            <w:pPr>
              <w:spacing w:after="7"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3"/>
        </w:trPr>
        <w:tc>
          <w:tcPr>
            <w:tcW w:w="2542" w:type="dxa"/>
            <w:tcBorders>
              <w:top w:val="nil"/>
              <w:left w:val="nil"/>
              <w:bottom w:val="nil"/>
              <w:right w:val="nil"/>
            </w:tcBorders>
            <w:shd w:val="clear" w:color="auto" w:fill="D9D9D9"/>
          </w:tcPr>
          <w:p w:rsidR="004D6F0E" w:rsidRDefault="00490F21">
            <w:pPr>
              <w:tabs>
                <w:tab w:val="center" w:pos="2208"/>
              </w:tabs>
              <w:spacing w:after="0" w:line="259" w:lineRule="auto"/>
              <w:ind w:left="0" w:firstLine="0"/>
            </w:pPr>
            <w:r>
              <w:rPr>
                <w:sz w:val="18"/>
              </w:rPr>
              <w:t>新加坡元對沖股份類別</w:t>
            </w:r>
            <w:r>
              <w:rPr>
                <w:rFonts w:ascii="Arial" w:eastAsia="Arial" w:hAnsi="Arial" w:cs="Arial"/>
                <w:sz w:val="18"/>
              </w:rPr>
              <w:t xml:space="preserve"> </w:t>
            </w:r>
            <w:r>
              <w:rPr>
                <w:rFonts w:ascii="Arial" w:eastAsia="Arial" w:hAnsi="Arial" w:cs="Arial"/>
                <w:sz w:val="18"/>
              </w:rPr>
              <w:tab/>
              <w:t xml:space="preserve"> </w:t>
            </w:r>
          </w:p>
        </w:tc>
        <w:tc>
          <w:tcPr>
            <w:tcW w:w="1294" w:type="dxa"/>
            <w:tcBorders>
              <w:top w:val="nil"/>
              <w:left w:val="nil"/>
              <w:bottom w:val="nil"/>
              <w:right w:val="nil"/>
            </w:tcBorders>
            <w:shd w:val="clear" w:color="auto" w:fill="D9D9D9"/>
          </w:tcPr>
          <w:p w:rsidR="004D6F0E" w:rsidRDefault="004D6F0E">
            <w:pPr>
              <w:spacing w:after="160" w:line="259" w:lineRule="auto"/>
              <w:ind w:left="0" w:firstLine="0"/>
            </w:pPr>
          </w:p>
        </w:tc>
        <w:tc>
          <w:tcPr>
            <w:tcW w:w="2146" w:type="dxa"/>
            <w:tcBorders>
              <w:top w:val="nil"/>
              <w:left w:val="nil"/>
              <w:bottom w:val="nil"/>
              <w:right w:val="nil"/>
            </w:tcBorders>
            <w:shd w:val="clear" w:color="auto" w:fill="D9D9D9"/>
          </w:tcPr>
          <w:p w:rsidR="004D6F0E" w:rsidRDefault="00490F21">
            <w:pPr>
              <w:spacing w:after="0" w:line="259" w:lineRule="auto"/>
              <w:ind w:left="-7" w:firstLine="0"/>
            </w:pPr>
            <w:r>
              <w:rPr>
                <w:rFonts w:ascii="Arial" w:eastAsia="Arial" w:hAnsi="Arial" w:cs="Arial"/>
                <w:sz w:val="18"/>
              </w:rPr>
              <w:t xml:space="preserve"> </w:t>
            </w:r>
            <w:r>
              <w:rPr>
                <w:rFonts w:ascii="Arial" w:eastAsia="Arial" w:hAnsi="Arial" w:cs="Arial"/>
                <w:sz w:val="18"/>
              </w:rPr>
              <w:tab/>
              <w:t xml:space="preserve"> </w:t>
            </w:r>
          </w:p>
        </w:tc>
        <w:tc>
          <w:tcPr>
            <w:tcW w:w="2381" w:type="dxa"/>
            <w:tcBorders>
              <w:top w:val="nil"/>
              <w:left w:val="nil"/>
              <w:bottom w:val="nil"/>
              <w:right w:val="nil"/>
            </w:tcBorders>
            <w:shd w:val="clear" w:color="auto" w:fill="D9D9D9"/>
          </w:tcPr>
          <w:p w:rsidR="004D6F0E" w:rsidRDefault="00490F21">
            <w:pPr>
              <w:spacing w:after="0" w:line="259" w:lineRule="auto"/>
              <w:ind w:left="1077" w:firstLine="0"/>
              <w:jc w:val="center"/>
            </w:pPr>
            <w:r>
              <w:rPr>
                <w:rFonts w:ascii="Arial" w:eastAsia="Arial" w:hAnsi="Arial" w:cs="Arial"/>
                <w:sz w:val="18"/>
              </w:rPr>
              <w:t xml:space="preserve"> </w:t>
            </w:r>
          </w:p>
        </w:tc>
        <w:tc>
          <w:tcPr>
            <w:tcW w:w="1747" w:type="dxa"/>
            <w:tcBorders>
              <w:top w:val="nil"/>
              <w:left w:val="nil"/>
              <w:bottom w:val="nil"/>
              <w:right w:val="nil"/>
            </w:tcBorders>
            <w:shd w:val="clear" w:color="auto" w:fill="D9D9D9"/>
          </w:tcPr>
          <w:p w:rsidR="004D6F0E" w:rsidRDefault="00490F21">
            <w:pPr>
              <w:spacing w:after="0" w:line="259" w:lineRule="auto"/>
              <w:ind w:left="708" w:firstLine="0"/>
              <w:jc w:val="center"/>
            </w:pPr>
            <w:r>
              <w:rPr>
                <w:rFonts w:ascii="Arial" w:eastAsia="Arial" w:hAnsi="Arial" w:cs="Arial"/>
                <w:sz w:val="18"/>
              </w:rPr>
              <w:t xml:space="preserve"> </w:t>
            </w:r>
          </w:p>
        </w:tc>
        <w:tc>
          <w:tcPr>
            <w:tcW w:w="123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542"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294"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30" w:line="259" w:lineRule="auto"/>
              <w:ind w:left="247"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p w:rsidR="004D6F0E" w:rsidRDefault="00490F21">
            <w:pPr>
              <w:spacing w:after="0" w:line="259" w:lineRule="auto"/>
              <w:ind w:left="-7" w:firstLine="0"/>
            </w:pPr>
            <w:r>
              <w:rPr>
                <w:rFonts w:ascii="Arial" w:eastAsia="Arial" w:hAnsi="Arial" w:cs="Arial"/>
                <w:sz w:val="18"/>
              </w:rPr>
              <w:t xml:space="preserve"> </w:t>
            </w:r>
            <w:r>
              <w:rPr>
                <w:rFonts w:ascii="Arial" w:eastAsia="Arial" w:hAnsi="Arial" w:cs="Arial"/>
                <w:sz w:val="18"/>
              </w:rPr>
              <w:tab/>
              <w:t xml:space="preserve"> </w:t>
            </w:r>
          </w:p>
        </w:tc>
        <w:tc>
          <w:tcPr>
            <w:tcW w:w="2381" w:type="dxa"/>
            <w:tcBorders>
              <w:top w:val="nil"/>
              <w:left w:val="nil"/>
              <w:bottom w:val="nil"/>
              <w:right w:val="nil"/>
            </w:tcBorders>
          </w:tcPr>
          <w:p w:rsidR="004D6F0E" w:rsidRDefault="00490F21">
            <w:pPr>
              <w:spacing w:after="15"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p w:rsidR="004D6F0E" w:rsidRDefault="00490F21">
            <w:pPr>
              <w:spacing w:after="0" w:line="259" w:lineRule="auto"/>
              <w:ind w:left="1077" w:firstLine="0"/>
              <w:jc w:val="center"/>
            </w:pP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708" w:firstLine="0"/>
              <w:jc w:val="center"/>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42" w:type="dxa"/>
            <w:tcBorders>
              <w:top w:val="nil"/>
              <w:left w:val="nil"/>
              <w:bottom w:val="nil"/>
              <w:right w:val="nil"/>
            </w:tcBorders>
            <w:shd w:val="clear" w:color="auto" w:fill="D9D9D9"/>
          </w:tcPr>
          <w:p w:rsidR="004D6F0E" w:rsidRDefault="00490F21">
            <w:pPr>
              <w:tabs>
                <w:tab w:val="center" w:pos="2208"/>
              </w:tabs>
              <w:spacing w:after="0" w:line="259" w:lineRule="auto"/>
              <w:ind w:left="0" w:firstLine="0"/>
            </w:pPr>
            <w:r>
              <w:rPr>
                <w:sz w:val="18"/>
              </w:rPr>
              <w:t>瑞士法郎對沖股份類別</w:t>
            </w:r>
            <w:r>
              <w:rPr>
                <w:rFonts w:ascii="Arial" w:eastAsia="Arial" w:hAnsi="Arial" w:cs="Arial"/>
                <w:sz w:val="18"/>
              </w:rPr>
              <w:t xml:space="preserve"> </w:t>
            </w:r>
            <w:r>
              <w:rPr>
                <w:rFonts w:ascii="Arial" w:eastAsia="Arial" w:hAnsi="Arial" w:cs="Arial"/>
                <w:sz w:val="18"/>
              </w:rPr>
              <w:tab/>
              <w:t xml:space="preserve"> </w:t>
            </w:r>
          </w:p>
        </w:tc>
        <w:tc>
          <w:tcPr>
            <w:tcW w:w="1294" w:type="dxa"/>
            <w:tcBorders>
              <w:top w:val="nil"/>
              <w:left w:val="nil"/>
              <w:bottom w:val="nil"/>
              <w:right w:val="nil"/>
            </w:tcBorders>
            <w:shd w:val="clear" w:color="auto" w:fill="D9D9D9"/>
          </w:tcPr>
          <w:p w:rsidR="004D6F0E" w:rsidRDefault="004D6F0E">
            <w:pPr>
              <w:spacing w:after="160" w:line="259" w:lineRule="auto"/>
              <w:ind w:left="0" w:firstLine="0"/>
            </w:pPr>
          </w:p>
        </w:tc>
        <w:tc>
          <w:tcPr>
            <w:tcW w:w="2146" w:type="dxa"/>
            <w:tcBorders>
              <w:top w:val="nil"/>
              <w:left w:val="nil"/>
              <w:bottom w:val="nil"/>
              <w:right w:val="nil"/>
            </w:tcBorders>
            <w:shd w:val="clear" w:color="auto" w:fill="D9D9D9"/>
          </w:tcPr>
          <w:p w:rsidR="004D6F0E" w:rsidRDefault="00490F21">
            <w:pPr>
              <w:spacing w:after="0" w:line="259" w:lineRule="auto"/>
              <w:ind w:left="-7" w:firstLine="0"/>
            </w:pPr>
            <w:r>
              <w:rPr>
                <w:rFonts w:ascii="Arial" w:eastAsia="Arial" w:hAnsi="Arial" w:cs="Arial"/>
                <w:sz w:val="18"/>
              </w:rPr>
              <w:t xml:space="preserve"> </w:t>
            </w:r>
            <w:r>
              <w:rPr>
                <w:rFonts w:ascii="Arial" w:eastAsia="Arial" w:hAnsi="Arial" w:cs="Arial"/>
                <w:sz w:val="18"/>
              </w:rPr>
              <w:tab/>
              <w:t xml:space="preserve"> </w:t>
            </w:r>
          </w:p>
        </w:tc>
        <w:tc>
          <w:tcPr>
            <w:tcW w:w="2381" w:type="dxa"/>
            <w:tcBorders>
              <w:top w:val="nil"/>
              <w:left w:val="nil"/>
              <w:bottom w:val="nil"/>
              <w:right w:val="nil"/>
            </w:tcBorders>
            <w:shd w:val="clear" w:color="auto" w:fill="D9D9D9"/>
          </w:tcPr>
          <w:p w:rsidR="004D6F0E" w:rsidRDefault="00490F21">
            <w:pPr>
              <w:spacing w:after="0" w:line="259" w:lineRule="auto"/>
              <w:ind w:left="1077" w:firstLine="0"/>
              <w:jc w:val="center"/>
            </w:pPr>
            <w:r>
              <w:rPr>
                <w:rFonts w:ascii="Arial" w:eastAsia="Arial" w:hAnsi="Arial" w:cs="Arial"/>
                <w:sz w:val="18"/>
              </w:rPr>
              <w:t xml:space="preserve"> </w:t>
            </w:r>
          </w:p>
        </w:tc>
        <w:tc>
          <w:tcPr>
            <w:tcW w:w="1747" w:type="dxa"/>
            <w:tcBorders>
              <w:top w:val="nil"/>
              <w:left w:val="nil"/>
              <w:bottom w:val="nil"/>
              <w:right w:val="nil"/>
            </w:tcBorders>
            <w:shd w:val="clear" w:color="auto" w:fill="D9D9D9"/>
          </w:tcPr>
          <w:p w:rsidR="004D6F0E" w:rsidRDefault="00490F21">
            <w:pPr>
              <w:spacing w:after="0" w:line="259" w:lineRule="auto"/>
              <w:ind w:left="708" w:firstLine="0"/>
              <w:jc w:val="center"/>
            </w:pPr>
            <w:r>
              <w:rPr>
                <w:rFonts w:ascii="Arial" w:eastAsia="Arial" w:hAnsi="Arial" w:cs="Arial"/>
                <w:sz w:val="18"/>
              </w:rPr>
              <w:t xml:space="preserve"> </w:t>
            </w:r>
          </w:p>
        </w:tc>
        <w:tc>
          <w:tcPr>
            <w:tcW w:w="123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5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294" w:type="dxa"/>
            <w:tcBorders>
              <w:top w:val="nil"/>
              <w:left w:val="nil"/>
              <w:bottom w:val="nil"/>
              <w:right w:val="nil"/>
            </w:tcBorders>
          </w:tcPr>
          <w:p w:rsidR="004D6F0E" w:rsidRDefault="00490F21">
            <w:pPr>
              <w:spacing w:after="0" w:line="259" w:lineRule="auto"/>
              <w:ind w:left="0" w:firstLine="0"/>
            </w:pPr>
            <w:r>
              <w:rPr>
                <w:sz w:val="18"/>
              </w:rPr>
              <w:t>瑞士法郎</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2,000 </w:t>
            </w:r>
            <w:r>
              <w:rPr>
                <w:sz w:val="18"/>
              </w:rPr>
              <w:t>瑞士法郎</w:t>
            </w:r>
            <w:r>
              <w:rPr>
                <w:rFonts w:ascii="Arial" w:eastAsia="Arial" w:hAnsi="Arial" w:cs="Arial"/>
                <w:sz w:val="18"/>
              </w:rPr>
              <w:t xml:space="preserve"> </w:t>
            </w:r>
          </w:p>
        </w:tc>
        <w:tc>
          <w:tcPr>
            <w:tcW w:w="238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瑞士法郎</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542"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294" w:type="dxa"/>
            <w:tcBorders>
              <w:top w:val="nil"/>
              <w:left w:val="nil"/>
              <w:bottom w:val="nil"/>
              <w:right w:val="nil"/>
            </w:tcBorders>
          </w:tcPr>
          <w:p w:rsidR="004D6F0E" w:rsidRDefault="00490F21">
            <w:pPr>
              <w:spacing w:after="0" w:line="259" w:lineRule="auto"/>
              <w:ind w:left="0" w:firstLine="0"/>
            </w:pPr>
            <w:r>
              <w:rPr>
                <w:sz w:val="18"/>
              </w:rPr>
              <w:t>瑞士法郎</w:t>
            </w:r>
            <w:r>
              <w:rPr>
                <w:rFonts w:ascii="Arial" w:eastAsia="Arial" w:hAnsi="Arial" w:cs="Arial"/>
                <w:sz w:val="18"/>
              </w:rPr>
              <w:t xml:space="preserve"> </w:t>
            </w:r>
          </w:p>
        </w:tc>
        <w:tc>
          <w:tcPr>
            <w:tcW w:w="2146" w:type="dxa"/>
            <w:tcBorders>
              <w:top w:val="nil"/>
              <w:left w:val="nil"/>
              <w:bottom w:val="nil"/>
              <w:right w:val="nil"/>
            </w:tcBorders>
          </w:tcPr>
          <w:p w:rsidR="004D6F0E" w:rsidRDefault="00490F21">
            <w:pPr>
              <w:spacing w:after="30" w:line="259" w:lineRule="auto"/>
              <w:ind w:left="0" w:firstLine="0"/>
            </w:pPr>
            <w:r>
              <w:rPr>
                <w:rFonts w:ascii="Arial" w:eastAsia="Arial" w:hAnsi="Arial" w:cs="Arial"/>
                <w:sz w:val="18"/>
              </w:rPr>
              <w:t xml:space="preserve">1,000,000 </w:t>
            </w:r>
            <w:r>
              <w:rPr>
                <w:sz w:val="18"/>
              </w:rPr>
              <w:t>瑞士法郎</w:t>
            </w:r>
            <w:r>
              <w:rPr>
                <w:rFonts w:ascii="Arial" w:eastAsia="Arial" w:hAnsi="Arial" w:cs="Arial"/>
                <w:sz w:val="18"/>
              </w:rPr>
              <w:t xml:space="preserve">** </w:t>
            </w:r>
          </w:p>
          <w:p w:rsidR="004D6F0E" w:rsidRDefault="00490F21">
            <w:pPr>
              <w:spacing w:after="0" w:line="259" w:lineRule="auto"/>
              <w:ind w:left="-7" w:firstLine="0"/>
            </w:pPr>
            <w:r>
              <w:rPr>
                <w:rFonts w:ascii="Arial" w:eastAsia="Arial" w:hAnsi="Arial" w:cs="Arial"/>
                <w:sz w:val="18"/>
              </w:rPr>
              <w:t xml:space="preserve"> </w:t>
            </w:r>
            <w:r>
              <w:rPr>
                <w:rFonts w:ascii="Arial" w:eastAsia="Arial" w:hAnsi="Arial" w:cs="Arial"/>
                <w:sz w:val="18"/>
              </w:rPr>
              <w:tab/>
              <w:t xml:space="preserve"> </w:t>
            </w:r>
          </w:p>
        </w:tc>
        <w:tc>
          <w:tcPr>
            <w:tcW w:w="2381" w:type="dxa"/>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1077" w:firstLine="0"/>
              <w:jc w:val="center"/>
            </w:pP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708" w:firstLine="0"/>
              <w:jc w:val="center"/>
            </w:pPr>
            <w:r>
              <w:rPr>
                <w:rFonts w:ascii="Arial" w:eastAsia="Arial" w:hAnsi="Arial" w:cs="Arial"/>
                <w:sz w:val="18"/>
              </w:rPr>
              <w:t xml:space="preserve"> </w:t>
            </w:r>
          </w:p>
        </w:tc>
        <w:tc>
          <w:tcPr>
            <w:tcW w:w="123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42"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b/>
                <w:sz w:val="18"/>
              </w:rPr>
              <w:t xml:space="preserve"> </w:t>
            </w:r>
          </w:p>
        </w:tc>
        <w:tc>
          <w:tcPr>
            <w:tcW w:w="1294" w:type="dxa"/>
            <w:tcBorders>
              <w:top w:val="nil"/>
              <w:left w:val="nil"/>
              <w:bottom w:val="nil"/>
              <w:right w:val="nil"/>
            </w:tcBorders>
            <w:shd w:val="clear" w:color="auto" w:fill="D9D9D9"/>
          </w:tcPr>
          <w:p w:rsidR="004D6F0E" w:rsidRDefault="004D6F0E">
            <w:pPr>
              <w:spacing w:after="160" w:line="259" w:lineRule="auto"/>
              <w:ind w:left="0" w:firstLine="0"/>
            </w:pPr>
          </w:p>
        </w:tc>
        <w:tc>
          <w:tcPr>
            <w:tcW w:w="2146" w:type="dxa"/>
            <w:tcBorders>
              <w:top w:val="nil"/>
              <w:left w:val="nil"/>
              <w:bottom w:val="nil"/>
              <w:right w:val="nil"/>
            </w:tcBorders>
            <w:shd w:val="clear" w:color="auto" w:fill="D9D9D9"/>
          </w:tcPr>
          <w:p w:rsidR="004D6F0E" w:rsidRDefault="004D6F0E">
            <w:pPr>
              <w:spacing w:after="160" w:line="259" w:lineRule="auto"/>
              <w:ind w:left="0" w:firstLine="0"/>
            </w:pPr>
          </w:p>
        </w:tc>
        <w:tc>
          <w:tcPr>
            <w:tcW w:w="2381" w:type="dxa"/>
            <w:tcBorders>
              <w:top w:val="nil"/>
              <w:left w:val="nil"/>
              <w:bottom w:val="nil"/>
              <w:right w:val="nil"/>
            </w:tcBorders>
            <w:shd w:val="clear" w:color="auto" w:fill="D9D9D9"/>
          </w:tcPr>
          <w:p w:rsidR="004D6F0E" w:rsidRDefault="004D6F0E">
            <w:pPr>
              <w:spacing w:after="160" w:line="259" w:lineRule="auto"/>
              <w:ind w:left="0" w:firstLine="0"/>
            </w:pPr>
          </w:p>
        </w:tc>
        <w:tc>
          <w:tcPr>
            <w:tcW w:w="1747" w:type="dxa"/>
            <w:tcBorders>
              <w:top w:val="nil"/>
              <w:left w:val="nil"/>
              <w:bottom w:val="nil"/>
              <w:right w:val="nil"/>
            </w:tcBorders>
            <w:shd w:val="clear" w:color="auto" w:fill="D9D9D9"/>
          </w:tcPr>
          <w:p w:rsidR="004D6F0E" w:rsidRDefault="004D6F0E">
            <w:pPr>
              <w:spacing w:after="160" w:line="259" w:lineRule="auto"/>
              <w:ind w:left="0" w:firstLine="0"/>
            </w:pPr>
          </w:p>
        </w:tc>
        <w:tc>
          <w:tcPr>
            <w:tcW w:w="1231"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ind w:left="125" w:right="13" w:hanging="1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sz w:val="18"/>
        </w:rPr>
        <w:t>波蘭茲羅提</w:t>
      </w:r>
      <w:r>
        <w:rPr>
          <w:rFonts w:ascii="Arial" w:eastAsia="Arial" w:hAnsi="Arial" w:cs="Arial"/>
          <w:sz w:val="18"/>
        </w:rPr>
        <w:t xml:space="preserve"> </w:t>
      </w:r>
      <w:r>
        <w:rPr>
          <w:rFonts w:ascii="Arial" w:eastAsia="Arial" w:hAnsi="Arial" w:cs="Arial"/>
          <w:sz w:val="18"/>
        </w:rPr>
        <w:tab/>
        <w:t xml:space="preserve">7,500 </w:t>
      </w:r>
      <w:r>
        <w:rPr>
          <w:sz w:val="18"/>
        </w:rPr>
        <w:t>波蘭茲羅提</w:t>
      </w:r>
      <w:r>
        <w:rPr>
          <w:rFonts w:ascii="Arial" w:eastAsia="Arial" w:hAnsi="Arial" w:cs="Arial"/>
          <w:sz w:val="18"/>
        </w:rPr>
        <w:t xml:space="preserve"> </w:t>
      </w:r>
      <w:r>
        <w:rPr>
          <w:rFonts w:ascii="Arial" w:eastAsia="Arial" w:hAnsi="Arial" w:cs="Arial"/>
          <w:sz w:val="18"/>
        </w:rPr>
        <w:tab/>
        <w:t xml:space="preserve">3,000 </w:t>
      </w:r>
      <w:r>
        <w:rPr>
          <w:sz w:val="18"/>
        </w:rPr>
        <w:t>波蘭茲羅提</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r>
        <w:rPr>
          <w:sz w:val="18"/>
        </w:rPr>
        <w:t>南非蘭特對沖股份類別</w:t>
      </w:r>
      <w:r>
        <w:rPr>
          <w:rFonts w:ascii="Arial" w:eastAsia="Arial" w:hAnsi="Arial" w:cs="Arial"/>
          <w:b/>
          <w:sz w:val="18"/>
        </w:rPr>
        <w:t xml:space="preserve"> </w:t>
      </w:r>
    </w:p>
    <w:tbl>
      <w:tblPr>
        <w:tblStyle w:val="TableGrid"/>
        <w:tblW w:w="10670" w:type="dxa"/>
        <w:tblInd w:w="0" w:type="dxa"/>
        <w:tblCellMar>
          <w:top w:w="3" w:type="dxa"/>
          <w:left w:w="0" w:type="dxa"/>
          <w:bottom w:w="0" w:type="dxa"/>
          <w:right w:w="0" w:type="dxa"/>
        </w:tblCellMar>
        <w:tblLook w:val="04A0" w:firstRow="1" w:lastRow="0" w:firstColumn="1" w:lastColumn="0" w:noHBand="0" w:noVBand="1"/>
      </w:tblPr>
      <w:tblGrid>
        <w:gridCol w:w="3857"/>
        <w:gridCol w:w="4505"/>
        <w:gridCol w:w="1747"/>
        <w:gridCol w:w="561"/>
      </w:tblGrid>
      <w:tr w:rsidR="004D6F0E">
        <w:trPr>
          <w:trHeight w:val="215"/>
        </w:trPr>
        <w:tc>
          <w:tcPr>
            <w:tcW w:w="3857" w:type="dxa"/>
            <w:tcBorders>
              <w:top w:val="nil"/>
              <w:left w:val="nil"/>
              <w:bottom w:val="nil"/>
              <w:right w:val="nil"/>
            </w:tcBorders>
          </w:tcPr>
          <w:p w:rsidR="004D6F0E" w:rsidRDefault="00490F21">
            <w:pPr>
              <w:tabs>
                <w:tab w:val="center" w:pos="2902"/>
              </w:tabs>
              <w:spacing w:after="0" w:line="259" w:lineRule="auto"/>
              <w:ind w:left="0"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r>
              <w:rPr>
                <w:rFonts w:ascii="Arial" w:eastAsia="Arial" w:hAnsi="Arial" w:cs="Arial"/>
                <w:sz w:val="18"/>
              </w:rPr>
              <w:tab/>
            </w:r>
            <w:r>
              <w:rPr>
                <w:sz w:val="18"/>
              </w:rPr>
              <w:t>南非蘭特</w:t>
            </w:r>
            <w:r>
              <w:rPr>
                <w:rFonts w:ascii="Arial" w:eastAsia="Arial" w:hAnsi="Arial" w:cs="Arial"/>
                <w:sz w:val="18"/>
              </w:rPr>
              <w:t xml:space="preserve"> </w:t>
            </w:r>
          </w:p>
        </w:tc>
        <w:tc>
          <w:tcPr>
            <w:tcW w:w="4505" w:type="dxa"/>
            <w:tcBorders>
              <w:top w:val="nil"/>
              <w:left w:val="nil"/>
              <w:bottom w:val="nil"/>
              <w:right w:val="nil"/>
            </w:tcBorders>
          </w:tcPr>
          <w:p w:rsidR="004D6F0E" w:rsidRDefault="00490F21">
            <w:pPr>
              <w:tabs>
                <w:tab w:val="center" w:pos="2732"/>
              </w:tabs>
              <w:spacing w:after="0" w:line="259" w:lineRule="auto"/>
              <w:ind w:left="0"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r>
              <w:rPr>
                <w:rFonts w:ascii="Arial" w:eastAsia="Arial" w:hAnsi="Arial" w:cs="Arial"/>
                <w:sz w:val="18"/>
              </w:rPr>
              <w:tab/>
              <w:t xml:space="preserve">7,000 </w:t>
            </w:r>
            <w:r>
              <w:rPr>
                <w:sz w:val="18"/>
              </w:rPr>
              <w:t>南非蘭特</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454"/>
        </w:trPr>
        <w:tc>
          <w:tcPr>
            <w:tcW w:w="3857" w:type="dxa"/>
            <w:tcBorders>
              <w:top w:val="nil"/>
              <w:left w:val="nil"/>
              <w:bottom w:val="nil"/>
              <w:right w:val="nil"/>
            </w:tcBorders>
          </w:tcPr>
          <w:p w:rsidR="004D6F0E" w:rsidRDefault="00490F21">
            <w:pPr>
              <w:tabs>
                <w:tab w:val="center" w:pos="2902"/>
              </w:tabs>
              <w:spacing w:after="15" w:line="259" w:lineRule="auto"/>
              <w:ind w:left="0"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r>
              <w:rPr>
                <w:rFonts w:ascii="Arial" w:eastAsia="Arial" w:hAnsi="Arial" w:cs="Arial"/>
                <w:sz w:val="18"/>
              </w:rPr>
              <w:tab/>
            </w:r>
            <w:r>
              <w:rPr>
                <w:sz w:val="18"/>
              </w:rPr>
              <w:t>南非蘭特</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4505" w:type="dxa"/>
            <w:tcBorders>
              <w:top w:val="nil"/>
              <w:left w:val="nil"/>
              <w:bottom w:val="nil"/>
              <w:right w:val="nil"/>
            </w:tcBorders>
          </w:tcPr>
          <w:p w:rsidR="004D6F0E" w:rsidRDefault="00490F21">
            <w:pPr>
              <w:tabs>
                <w:tab w:val="center" w:pos="2732"/>
              </w:tabs>
              <w:spacing w:after="0" w:line="259" w:lineRule="auto"/>
              <w:ind w:left="0"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r>
              <w:rPr>
                <w:rFonts w:ascii="Arial" w:eastAsia="Arial" w:hAnsi="Arial" w:cs="Arial"/>
                <w:sz w:val="18"/>
              </w:rPr>
              <w:tab/>
              <w:t xml:space="preserve">7,000 </w:t>
            </w:r>
            <w:r>
              <w:rPr>
                <w:sz w:val="18"/>
              </w:rPr>
              <w:t>南非蘭特</w:t>
            </w:r>
            <w:r>
              <w:rPr>
                <w:rFonts w:ascii="Arial" w:eastAsia="Arial" w:hAnsi="Arial" w:cs="Arial"/>
                <w:sz w:val="18"/>
              </w:rPr>
              <w:t xml:space="preserve"> </w:t>
            </w:r>
          </w:p>
        </w:tc>
        <w:tc>
          <w:tcPr>
            <w:tcW w:w="174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188"/>
        </w:trPr>
        <w:tc>
          <w:tcPr>
            <w:tcW w:w="3857" w:type="dxa"/>
            <w:tcBorders>
              <w:top w:val="nil"/>
              <w:left w:val="nil"/>
              <w:bottom w:val="nil"/>
              <w:right w:val="nil"/>
            </w:tcBorders>
          </w:tcPr>
          <w:p w:rsidR="004D6F0E" w:rsidRDefault="00490F21">
            <w:pPr>
              <w:tabs>
                <w:tab w:val="center" w:pos="3374"/>
              </w:tabs>
              <w:spacing w:after="0" w:line="259" w:lineRule="auto"/>
              <w:ind w:left="0" w:firstLine="0"/>
            </w:pPr>
            <w:r>
              <w:rPr>
                <w:rFonts w:ascii="Arial" w:eastAsia="Arial" w:hAnsi="Arial" w:cs="Arial"/>
                <w:i/>
                <w:sz w:val="18"/>
              </w:rPr>
              <w:t>*</w:t>
            </w: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p>
        </w:tc>
        <w:tc>
          <w:tcPr>
            <w:tcW w:w="4505" w:type="dxa"/>
            <w:tcBorders>
              <w:top w:val="nil"/>
              <w:left w:val="nil"/>
              <w:bottom w:val="nil"/>
              <w:right w:val="nil"/>
            </w:tcBorders>
          </w:tcPr>
          <w:p w:rsidR="004D6F0E" w:rsidRDefault="00490F21">
            <w:pPr>
              <w:spacing w:after="0" w:line="259" w:lineRule="auto"/>
              <w:ind w:left="0" w:firstLine="0"/>
            </w:pPr>
            <w:r>
              <w:rPr>
                <w:rFonts w:ascii="Arial" w:eastAsia="Arial" w:hAnsi="Arial" w:cs="Arial"/>
                <w:i/>
                <w:sz w:val="18"/>
              </w:rPr>
              <w:t>***</w:t>
            </w: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tc>
        <w:tc>
          <w:tcPr>
            <w:tcW w:w="1747"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D6F0E">
            <w:pPr>
              <w:spacing w:after="160" w:line="259" w:lineRule="auto"/>
              <w:ind w:left="0" w:firstLine="0"/>
            </w:pPr>
          </w:p>
        </w:tc>
      </w:tr>
    </w:tbl>
    <w:p w:rsidR="004D6F0E" w:rsidRDefault="00490F21">
      <w:pPr>
        <w:ind w:left="-3" w:right="13" w:hanging="10"/>
        <w:jc w:val="both"/>
      </w:pPr>
      <w:r>
        <w:rPr>
          <w:rFonts w:ascii="Arial" w:eastAsia="Arial" w:hAnsi="Arial" w:cs="Arial"/>
          <w:i/>
          <w:sz w:val="18"/>
        </w:rPr>
        <w:t>**</w:t>
      </w: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D6F0E">
      <w:pPr>
        <w:sectPr w:rsidR="004D6F0E">
          <w:type w:val="continuous"/>
          <w:pgSz w:w="12240" w:h="15840"/>
          <w:pgMar w:top="1188" w:right="621" w:bottom="1537" w:left="432" w:header="720" w:footer="720" w:gutter="0"/>
          <w:cols w:space="720"/>
        </w:sectPr>
      </w:pPr>
    </w:p>
    <w:p w:rsidR="004D6F0E" w:rsidRDefault="00490F21">
      <w:pPr>
        <w:pStyle w:val="Heading3"/>
        <w:ind w:left="14"/>
      </w:pPr>
      <w:r>
        <w:lastRenderedPageBreak/>
        <w:t>其他基金資料</w:t>
      </w:r>
      <w:r>
        <w:rPr>
          <w:rFonts w:ascii="Arial" w:eastAsia="Arial" w:hAnsi="Arial" w:cs="Arial"/>
        </w:rPr>
        <w:t xml:space="preserve"> </w:t>
      </w:r>
    </w:p>
    <w:p w:rsidR="004D6F0E" w:rsidRDefault="00490F21">
      <w:pPr>
        <w:spacing w:after="63"/>
        <w:ind w:left="11" w:right="2"/>
      </w:pPr>
      <w:r>
        <w:t>主要投資類別</w:t>
      </w:r>
      <w:r>
        <w:rPr>
          <w:rFonts w:ascii="Arial" w:eastAsia="Arial" w:hAnsi="Arial" w:cs="Arial"/>
          <w:b/>
        </w:rPr>
        <w:t xml:space="preserve"> </w:t>
      </w:r>
    </w:p>
    <w:p w:rsidR="004D6F0E" w:rsidRDefault="00490F21">
      <w:pPr>
        <w:spacing w:after="102" w:line="273" w:lineRule="auto"/>
        <w:ind w:left="14" w:right="41"/>
        <w:jc w:val="both"/>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67"/>
        <w:ind w:left="11" w:right="2"/>
      </w:pPr>
      <w:r>
        <w:t>風險資料</w:t>
      </w:r>
      <w:r>
        <w:rPr>
          <w:rFonts w:ascii="Arial" w:eastAsia="Arial" w:hAnsi="Arial" w:cs="Arial"/>
          <w:b/>
        </w:rPr>
        <w:t xml:space="preserve"> </w:t>
      </w:r>
    </w:p>
    <w:p w:rsidR="004D6F0E" w:rsidRDefault="00490F21">
      <w:pPr>
        <w:ind w:left="11" w:right="2"/>
      </w:pPr>
      <w:r>
        <w:t>按計劃，本基金將使用金融衍生工具。第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p>
    <w:p w:rsidR="004D6F0E" w:rsidRDefault="00490F21">
      <w:pPr>
        <w:spacing w:after="103"/>
        <w:ind w:left="11" w:right="2"/>
      </w:pPr>
      <w:r>
        <w:rPr>
          <w:rFonts w:ascii="Arial" w:eastAsia="Arial" w:hAnsi="Arial" w:cs="Arial"/>
        </w:rPr>
        <w:t>(9)</w:t>
      </w:r>
      <w:r>
        <w:t>至</w:t>
      </w:r>
      <w:r>
        <w:rPr>
          <w:rFonts w:ascii="Arial" w:eastAsia="Arial" w:hAnsi="Arial" w:cs="Arial"/>
        </w:rPr>
        <w:t>(13)</w:t>
      </w:r>
      <w:r>
        <w:t>項投資限制不適用於本基金。</w:t>
      </w:r>
      <w:r>
        <w:rPr>
          <w:rFonts w:ascii="Arial" w:eastAsia="Arial" w:hAnsi="Arial" w:cs="Arial"/>
        </w:rPr>
        <w:t xml:space="preserve"> </w:t>
      </w:r>
    </w:p>
    <w:p w:rsidR="004D6F0E" w:rsidRDefault="00490F21">
      <w:pPr>
        <w:spacing w:after="101"/>
        <w:ind w:left="11" w:right="2"/>
      </w:pPr>
      <w:r>
        <w:t>本基金的股本投資須承受股本投資固有的較高風險。一般而言，股本投資的價值或會因應個別公司的業務及業績或因難於預測的整體市場、經濟、政治及自然狀況而波動，有時甚至會大幅波動。此等因素包括突然或長期市場下滑及與個別公司相關的風險。一直以來，股本證券的長期回報及短期風險一向高於其他投資工具。本基金將投資的固定收益證券須承受發售此等證券的私營及公營機構的信用風險，且其市值會受利率變動影響。本基金不能保證會作出任何分派﹐而且本基金並無特定償還期。</w:t>
      </w:r>
      <w:r>
        <w:rPr>
          <w:rFonts w:ascii="Arial" w:eastAsia="Arial" w:hAnsi="Arial" w:cs="Arial"/>
        </w:rPr>
        <w:t xml:space="preserve"> </w:t>
      </w:r>
    </w:p>
    <w:p w:rsidR="004D6F0E" w:rsidRDefault="00490F21">
      <w:pPr>
        <w:spacing w:after="100"/>
        <w:ind w:left="11" w:right="2"/>
      </w:pPr>
      <w:r>
        <w:t>本基金須承受市場、利率及貨幣波動及證券投資固有的其他風險。因此，不能保</w:t>
      </w:r>
      <w:r>
        <w:t>證投資目標將獲達致、投資資本將得以保全或資本得以增值。每月、每季或每年的投資業績均可能出現重大變化。本基金內的投資並非代表完整的投資計劃。</w:t>
      </w:r>
      <w:r>
        <w:rPr>
          <w:rFonts w:ascii="Arial" w:eastAsia="Arial" w:hAnsi="Arial" w:cs="Arial"/>
        </w:rPr>
        <w:t xml:space="preserve"> </w:t>
      </w:r>
    </w:p>
    <w:p w:rsidR="004D6F0E" w:rsidRDefault="00490F21">
      <w:pPr>
        <w:spacing w:after="108"/>
        <w:ind w:left="11" w:right="2"/>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64"/>
        <w:ind w:left="11" w:right="2"/>
      </w:pPr>
      <w:r>
        <w:t>典型投資者的資料</w:t>
      </w:r>
      <w:r>
        <w:rPr>
          <w:rFonts w:ascii="Arial" w:eastAsia="Arial" w:hAnsi="Arial" w:cs="Arial"/>
          <w:b/>
        </w:rPr>
        <w:t xml:space="preserve"> </w:t>
      </w:r>
    </w:p>
    <w:p w:rsidR="004D6F0E" w:rsidRDefault="00490F21">
      <w:pPr>
        <w:spacing w:after="63"/>
        <w:ind w:left="11" w:right="2"/>
      </w:pPr>
      <w:r>
        <w:rPr>
          <w:sz w:val="18"/>
        </w:rPr>
        <w:t>本基金</w:t>
      </w:r>
      <w:r>
        <w:t>適合尋求中長期股本投資回報且能承受較高風險的投資者。有關本基金股份是否適合其投資需要，投資者敬請諮詢其獨立財務顧問。派息</w:t>
      </w:r>
      <w:r>
        <w:rPr>
          <w:rFonts w:ascii="Arial" w:eastAsia="Arial" w:hAnsi="Arial" w:cs="Arial"/>
          <w:b/>
        </w:rPr>
        <w:t xml:space="preserve"> </w:t>
      </w:r>
    </w:p>
    <w:p w:rsidR="004D6F0E" w:rsidRDefault="00490F21">
      <w:pPr>
        <w:ind w:left="11" w:right="2"/>
      </w:pPr>
      <w:r>
        <w:t>就</w:t>
      </w:r>
      <w:r>
        <w:t xml:space="preserve"> </w:t>
      </w:r>
      <w:r>
        <w:rPr>
          <w:rFonts w:ascii="Arial" w:eastAsia="Arial" w:hAnsi="Arial" w:cs="Arial"/>
        </w:rPr>
        <w:t>A</w:t>
      </w:r>
      <w:r>
        <w:t>、</w:t>
      </w:r>
      <w:r>
        <w:rPr>
          <w:rFonts w:ascii="Arial" w:eastAsia="Arial" w:hAnsi="Arial" w:cs="Arial"/>
        </w:rPr>
        <w:t>B</w:t>
      </w:r>
      <w:r>
        <w:t>、</w:t>
      </w:r>
      <w:r>
        <w:rPr>
          <w:rFonts w:ascii="Arial" w:eastAsia="Arial" w:hAnsi="Arial" w:cs="Arial"/>
        </w:rPr>
        <w:t>C</w:t>
      </w:r>
      <w:r>
        <w:t>、</w:t>
      </w:r>
      <w:r>
        <w:rPr>
          <w:rFonts w:ascii="Arial" w:eastAsia="Arial" w:hAnsi="Arial" w:cs="Arial"/>
        </w:rPr>
        <w:t>I</w:t>
      </w:r>
      <w:r>
        <w:t>、</w:t>
      </w:r>
      <w:r>
        <w:rPr>
          <w:rFonts w:ascii="Arial" w:eastAsia="Arial" w:hAnsi="Arial" w:cs="Arial"/>
        </w:rPr>
        <w:t>N</w:t>
      </w:r>
      <w:r>
        <w:t>、</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W </w:t>
      </w:r>
      <w:r>
        <w:t>類股份（及相應</w:t>
      </w:r>
      <w:r>
        <w:t xml:space="preserve"> </w:t>
      </w:r>
      <w:r>
        <w:rPr>
          <w:rFonts w:ascii="Arial" w:eastAsia="Arial" w:hAnsi="Arial" w:cs="Arial"/>
        </w:rPr>
        <w:t xml:space="preserve">H </w:t>
      </w:r>
      <w:r>
        <w:t>類股份）而言，管理公司現時無意就股份派付股息。因此，</w:t>
      </w:r>
      <w:r>
        <w:t>股份應佔的任何淨收入及淨實現利潤均將於此等股份各自的資產淨值中反映。</w:t>
      </w:r>
      <w:r>
        <w:rPr>
          <w:rFonts w:ascii="Arial" w:eastAsia="Arial" w:hAnsi="Arial" w:cs="Arial"/>
        </w:rPr>
        <w:t xml:space="preserve"> </w:t>
      </w:r>
    </w:p>
    <w:p w:rsidR="004D6F0E" w:rsidRDefault="00490F21">
      <w:pPr>
        <w:spacing w:after="197" w:line="259" w:lineRule="auto"/>
        <w:ind w:left="0" w:right="3" w:firstLine="0"/>
        <w:jc w:val="right"/>
      </w:pPr>
      <w:r>
        <w:rPr>
          <w:rFonts w:ascii="Arial" w:eastAsia="Arial" w:hAnsi="Arial" w:cs="Arial"/>
          <w:sz w:val="20"/>
        </w:rPr>
        <w:t xml:space="preserve"> </w:t>
      </w:r>
    </w:p>
    <w:p w:rsidR="004D6F0E" w:rsidRDefault="00490F21">
      <w:pPr>
        <w:spacing w:after="36" w:line="368" w:lineRule="auto"/>
        <w:ind w:left="0" w:right="5384" w:firstLine="0"/>
      </w:pPr>
      <w:r>
        <w:rPr>
          <w:rFonts w:ascii="Arial" w:eastAsia="Arial" w:hAnsi="Arial" w:cs="Arial"/>
          <w:sz w:val="16"/>
        </w:rPr>
        <w:t xml:space="preserve">  </w:t>
      </w:r>
    </w:p>
    <w:p w:rsidR="004D6F0E" w:rsidRDefault="00490F21">
      <w:pPr>
        <w:spacing w:after="51"/>
        <w:ind w:left="11" w:right="2"/>
      </w:pPr>
      <w:r>
        <w:t>就</w:t>
      </w:r>
      <w:r>
        <w:t xml:space="preserve"> </w:t>
      </w:r>
      <w:r>
        <w:rPr>
          <w:rFonts w:ascii="Arial" w:eastAsia="Arial" w:hAnsi="Arial" w:cs="Arial"/>
        </w:rPr>
        <w:t xml:space="preserve">AD </w:t>
      </w:r>
      <w:r>
        <w:t>及</w:t>
      </w:r>
      <w:r>
        <w:t xml:space="preserve"> </w:t>
      </w:r>
      <w:r>
        <w:rPr>
          <w:rFonts w:ascii="Arial" w:eastAsia="Arial" w:hAnsi="Arial" w:cs="Arial"/>
        </w:rPr>
        <w:t xml:space="preserve">ED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因此派息率將來自未扣除費用及開支前的總收入、已變現及未變現的收益及有關股份類別應佔的資本。超過淨收入（扣除費用及開支後的總收入）的派息相當於退還投資者的原本投資金額，因此可能導致有關類別的每股資產淨值減少。</w:t>
      </w:r>
      <w:r>
        <w:rPr>
          <w:rFonts w:ascii="Arial" w:eastAsia="Arial" w:hAnsi="Arial" w:cs="Arial"/>
        </w:rPr>
        <w:t xml:space="preserve">  </w:t>
      </w:r>
      <w:r>
        <w:rPr>
          <w:rFonts w:ascii="Arial" w:eastAsia="Arial" w:hAnsi="Arial" w:cs="Arial"/>
          <w:sz w:val="24"/>
        </w:rPr>
        <w:t xml:space="preserve"> </w:t>
      </w:r>
    </w:p>
    <w:p w:rsidR="004D6F0E" w:rsidRDefault="00490F21">
      <w:pPr>
        <w:spacing w:after="103"/>
        <w:ind w:left="11" w:right="2"/>
      </w:pPr>
      <w:r>
        <w:t>管理公司亦可決定派息是否包括或在多大程度上包括已變現資本收益及／或是否從相關股份類別應佔的資本中支付。派息可按股東的選擇自動再投資。</w:t>
      </w:r>
      <w:r>
        <w:rPr>
          <w:rFonts w:ascii="Arial" w:eastAsia="Arial" w:hAnsi="Arial" w:cs="Arial"/>
        </w:rPr>
        <w:t xml:space="preserve"> </w:t>
      </w:r>
    </w:p>
    <w:p w:rsidR="004D6F0E" w:rsidRDefault="00490F21">
      <w:pPr>
        <w:spacing w:after="67"/>
        <w:ind w:left="11" w:right="2"/>
      </w:pPr>
      <w:r>
        <w:t>管理公司、行政管理人、存管人及過戶代理費用</w:t>
      </w:r>
      <w:r>
        <w:rPr>
          <w:rFonts w:ascii="Arial" w:eastAsia="Arial" w:hAnsi="Arial" w:cs="Arial"/>
          <w:b/>
        </w:rPr>
        <w:t xml:space="preserve"> </w:t>
      </w:r>
    </w:p>
    <w:p w:rsidR="004D6F0E" w:rsidRDefault="00490F21">
      <w:pPr>
        <w:spacing w:after="8" w:line="273" w:lineRule="auto"/>
        <w:ind w:left="14" w:right="41"/>
        <w:jc w:val="both"/>
      </w:pPr>
      <w:r>
        <w:t>就除</w:t>
      </w:r>
      <w:r>
        <w:t xml:space="preserve"> </w:t>
      </w:r>
      <w:r>
        <w:rPr>
          <w:rFonts w:ascii="Arial" w:eastAsia="Arial" w:hAnsi="Arial" w:cs="Arial"/>
        </w:rPr>
        <w:t xml:space="preserve">S </w:t>
      </w:r>
      <w:r>
        <w:t>及</w:t>
      </w:r>
      <w:r>
        <w:t xml:space="preserve"> </w:t>
      </w:r>
      <w:r>
        <w:rPr>
          <w:rFonts w:ascii="Arial" w:eastAsia="Arial" w:hAnsi="Arial" w:cs="Arial"/>
        </w:rPr>
        <w:t xml:space="preserve">S1 </w:t>
      </w:r>
      <w:r>
        <w:t>類股份（及相應</w:t>
      </w:r>
      <w:r>
        <w:t xml:space="preserve"> </w:t>
      </w:r>
      <w:r>
        <w:rPr>
          <w:rFonts w:ascii="Arial" w:eastAsia="Arial" w:hAnsi="Arial" w:cs="Arial"/>
        </w:rPr>
        <w:t xml:space="preserve">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0.10%</w:t>
      </w:r>
      <w:r>
        <w:t>。管理公司按</w:t>
      </w:r>
      <w:r>
        <w:t xml:space="preserve"> </w:t>
      </w:r>
      <w:r>
        <w:rPr>
          <w:rFonts w:ascii="Arial" w:eastAsia="Arial" w:hAnsi="Arial" w:cs="Arial"/>
        </w:rPr>
        <w:t xml:space="preserve">S </w:t>
      </w:r>
      <w:r>
        <w:t>及</w:t>
      </w:r>
      <w:r>
        <w:t xml:space="preserve"> </w:t>
      </w:r>
      <w:r>
        <w:rPr>
          <w:rFonts w:ascii="Arial" w:eastAsia="Arial" w:hAnsi="Arial" w:cs="Arial"/>
        </w:rPr>
        <w:t xml:space="preserve">S1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美元或日均資產淨值的</w:t>
      </w:r>
    </w:p>
    <w:p w:rsidR="004D6F0E" w:rsidRDefault="00490F21">
      <w:pPr>
        <w:spacing w:after="103"/>
        <w:ind w:left="11" w:right="2"/>
      </w:pPr>
      <w:r>
        <w:rPr>
          <w:rFonts w:ascii="Arial" w:eastAsia="Arial" w:hAnsi="Arial" w:cs="Arial"/>
        </w:rPr>
        <w:t>0.01%</w:t>
      </w:r>
      <w:r>
        <w:t>（以較低者為準）。</w:t>
      </w:r>
      <w:r>
        <w:rPr>
          <w:rFonts w:ascii="Arial" w:eastAsia="Arial" w:hAnsi="Arial" w:cs="Arial"/>
        </w:rPr>
        <w:t xml:space="preserve"> </w:t>
      </w:r>
    </w:p>
    <w:p w:rsidR="004D6F0E" w:rsidRDefault="00490F21">
      <w:pPr>
        <w:spacing w:after="95"/>
        <w:ind w:left="11" w:right="2"/>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部分「行政管理人、存管人及過戶代理費用」所規定的固定最高金額。此等費用的增減是取決於本基金資產及交易量或其他原因。</w:t>
      </w:r>
      <w:r>
        <w:rPr>
          <w:rFonts w:ascii="Arial" w:eastAsia="Arial" w:hAnsi="Arial" w:cs="Arial"/>
          <w:sz w:val="20"/>
        </w:rPr>
        <w:t xml:space="preserve"> </w:t>
      </w:r>
    </w:p>
    <w:p w:rsidR="004D6F0E" w:rsidRDefault="00490F21">
      <w:pPr>
        <w:spacing w:after="63"/>
        <w:ind w:left="11" w:right="2"/>
      </w:pPr>
      <w:r>
        <w:t>設立開支</w:t>
      </w:r>
      <w:r>
        <w:rPr>
          <w:rFonts w:ascii="Arial" w:eastAsia="Arial" w:hAnsi="Arial" w:cs="Arial"/>
          <w:b/>
        </w:rPr>
        <w:t xml:space="preserve"> </w:t>
      </w:r>
    </w:p>
    <w:p w:rsidR="004D6F0E" w:rsidRDefault="00490F21">
      <w:pPr>
        <w:spacing w:after="102"/>
        <w:ind w:left="11" w:right="2"/>
      </w:pPr>
      <w:r>
        <w:t>本基金並無未攤銷設立開支。</w:t>
      </w:r>
      <w:r>
        <w:rPr>
          <w:rFonts w:ascii="Arial" w:eastAsia="Arial" w:hAnsi="Arial" w:cs="Arial"/>
        </w:rPr>
        <w:t xml:space="preserve"> </w:t>
      </w:r>
    </w:p>
    <w:p w:rsidR="004D6F0E" w:rsidRDefault="00490F21">
      <w:pPr>
        <w:spacing w:after="72"/>
        <w:ind w:left="11" w:right="2"/>
      </w:pPr>
      <w:r>
        <w:t>過往表現</w:t>
      </w:r>
      <w:r>
        <w:rPr>
          <w:rFonts w:ascii="Arial" w:eastAsia="Arial" w:hAnsi="Arial" w:cs="Arial"/>
          <w:b/>
        </w:rPr>
        <w:t xml:space="preserve"> </w:t>
      </w:r>
    </w:p>
    <w:p w:rsidR="004D6F0E" w:rsidRDefault="00490F21">
      <w:pPr>
        <w:spacing w:after="122" w:line="254" w:lineRule="auto"/>
        <w:ind w:left="8" w:hanging="10"/>
      </w:pPr>
      <w:r>
        <w:t>有關本基金過往表現的資料可瀏覽</w:t>
      </w:r>
      <w:r>
        <w:t xml:space="preserve"> </w:t>
      </w:r>
      <w:hyperlink r:id="rId81">
        <w:r>
          <w:rPr>
            <w:rFonts w:ascii="Arial" w:eastAsia="Arial" w:hAnsi="Arial" w:cs="Arial"/>
            <w:color w:val="0000FF"/>
            <w:u w:val="single" w:color="0000FF"/>
          </w:rPr>
          <w:t>www.alliancebernstein.com</w:t>
        </w:r>
      </w:hyperlink>
      <w:hyperlink r:id="rId82">
        <w:r>
          <w:t>。</w:t>
        </w:r>
      </w:hyperlink>
      <w:r>
        <w:rPr>
          <w:rFonts w:ascii="Arial" w:eastAsia="Arial" w:hAnsi="Arial" w:cs="Arial"/>
        </w:rPr>
        <w:t xml:space="preserve"> </w:t>
      </w:r>
    </w:p>
    <w:p w:rsidR="004D6F0E" w:rsidRDefault="00490F21">
      <w:pPr>
        <w:spacing w:after="63"/>
        <w:ind w:left="11" w:right="2"/>
      </w:pPr>
      <w:r>
        <w:t>歷史</w:t>
      </w:r>
      <w:r>
        <w:rPr>
          <w:rFonts w:ascii="Arial" w:eastAsia="Arial" w:hAnsi="Arial" w:cs="Arial"/>
          <w:b/>
        </w:rPr>
        <w:t xml:space="preserve"> </w:t>
      </w:r>
    </w:p>
    <w:p w:rsidR="004D6F0E" w:rsidRDefault="00490F21">
      <w:pPr>
        <w:ind w:left="11" w:right="2"/>
      </w:pPr>
      <w:r>
        <w:lastRenderedPageBreak/>
        <w:t>本基金於一九九二年十月三十日設立，作為本傘子基金下的基金，名為「新興市場基金」。本基金於二零零四年八月十六日易名為</w:t>
      </w:r>
      <w:r>
        <w:rPr>
          <w:rFonts w:ascii="Arial" w:eastAsia="Arial" w:hAnsi="Arial" w:cs="Arial"/>
        </w:rPr>
        <w:t xml:space="preserve">  </w:t>
      </w:r>
    </w:p>
    <w:p w:rsidR="004D6F0E" w:rsidRDefault="00490F21">
      <w:pPr>
        <w:ind w:left="11" w:right="2"/>
      </w:pPr>
      <w:r>
        <w:t>「新興市場增長基金」。</w:t>
      </w:r>
    </w:p>
    <w:p w:rsidR="004D6F0E" w:rsidRDefault="004D6F0E">
      <w:pPr>
        <w:sectPr w:rsidR="004D6F0E">
          <w:headerReference w:type="even" r:id="rId83"/>
          <w:headerReference w:type="default" r:id="rId84"/>
          <w:footerReference w:type="even" r:id="rId85"/>
          <w:footerReference w:type="default" r:id="rId86"/>
          <w:headerReference w:type="first" r:id="rId87"/>
          <w:footerReference w:type="first" r:id="rId88"/>
          <w:pgSz w:w="12240" w:h="15840"/>
          <w:pgMar w:top="1440" w:right="672" w:bottom="1440" w:left="432" w:header="720" w:footer="720" w:gutter="0"/>
          <w:cols w:num="2" w:space="276"/>
          <w:titlePg/>
        </w:sectPr>
      </w:pPr>
    </w:p>
    <w:p w:rsidR="004D6F0E" w:rsidRDefault="00490F21">
      <w:pPr>
        <w:spacing w:after="3" w:line="259" w:lineRule="auto"/>
        <w:ind w:right="46" w:hanging="10"/>
        <w:jc w:val="right"/>
      </w:pPr>
      <w:r>
        <w:rPr>
          <w:rFonts w:ascii="Times New Roman" w:eastAsia="Times New Roman" w:hAnsi="Times New Roman" w:cs="Times New Roman"/>
          <w:sz w:val="20"/>
        </w:rPr>
        <w:t xml:space="preserve">I-18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5555" w:firstLine="0"/>
        <w:jc w:val="right"/>
      </w:pPr>
      <w:r>
        <w:rPr>
          <w:rFonts w:ascii="Arial" w:eastAsia="Arial" w:hAnsi="Arial" w:cs="Arial"/>
          <w:sz w:val="12"/>
        </w:rPr>
        <w:t xml:space="preserve">    </w:t>
      </w:r>
    </w:p>
    <w:p w:rsidR="004D6F0E" w:rsidRDefault="00490F21">
      <w:pPr>
        <w:spacing w:after="0" w:line="259" w:lineRule="auto"/>
        <w:ind w:left="0" w:firstLine="0"/>
        <w:jc w:val="both"/>
      </w:pPr>
      <w:r>
        <w:rPr>
          <w:rFonts w:ascii="Times New Roman" w:eastAsia="Times New Roman" w:hAnsi="Times New Roman" w:cs="Times New Roman"/>
          <w:sz w:val="18"/>
        </w:rPr>
        <w:t xml:space="preserve"> </w:t>
      </w:r>
    </w:p>
    <w:p w:rsidR="004D6F0E" w:rsidRDefault="004D6F0E">
      <w:pPr>
        <w:sectPr w:rsidR="004D6F0E">
          <w:type w:val="continuous"/>
          <w:pgSz w:w="12240" w:h="15840"/>
          <w:pgMar w:top="758" w:right="6100" w:bottom="354" w:left="432" w:header="720" w:footer="720" w:gutter="0"/>
          <w:cols w:space="720"/>
        </w:sectPr>
      </w:pPr>
    </w:p>
    <w:p w:rsidR="004D6F0E" w:rsidRDefault="00490F21">
      <w:pPr>
        <w:spacing w:after="0" w:line="259" w:lineRule="auto"/>
        <w:ind w:left="0" w:firstLine="0"/>
        <w:jc w:val="both"/>
      </w:pPr>
      <w:r>
        <w:rPr>
          <w:rFonts w:ascii="Times New Roman" w:eastAsia="Times New Roman" w:hAnsi="Times New Roman" w:cs="Times New Roman"/>
          <w:b/>
          <w:sz w:val="18"/>
        </w:rPr>
        <w:t xml:space="preserve"> </w:t>
      </w:r>
    </w:p>
    <w:p w:rsidR="004D6F0E" w:rsidRDefault="004D6F0E">
      <w:pPr>
        <w:sectPr w:rsidR="004D6F0E">
          <w:type w:val="continuous"/>
          <w:pgSz w:w="12240" w:h="15840"/>
          <w:pgMar w:top="758" w:right="675" w:bottom="546" w:left="11520" w:header="720" w:footer="720" w:gutter="0"/>
          <w:cols w:space="720"/>
        </w:sectPr>
      </w:pPr>
    </w:p>
    <w:p w:rsidR="004D6F0E" w:rsidRDefault="00490F21">
      <w:pPr>
        <w:pStyle w:val="Heading2"/>
        <w:spacing w:line="388" w:lineRule="auto"/>
        <w:ind w:left="8"/>
      </w:pPr>
      <w:r>
        <w:t>聯博</w:t>
      </w:r>
      <w:r>
        <w:rPr>
          <w:rFonts w:ascii="Arial" w:eastAsia="Arial" w:hAnsi="Arial" w:cs="Arial"/>
        </w:rPr>
        <w:t>—</w:t>
      </w:r>
      <w:r>
        <w:t>亞洲（日本以外）股票基金</w:t>
      </w:r>
      <w:r>
        <w:rPr>
          <w:sz w:val="23"/>
        </w:rPr>
        <w:t>投資目標及政策</w:t>
      </w:r>
      <w:r>
        <w:rPr>
          <w:rFonts w:ascii="Arial" w:eastAsia="Arial" w:hAnsi="Arial" w:cs="Arial"/>
          <w:sz w:val="23"/>
        </w:rPr>
        <w:t xml:space="preserve"> </w:t>
      </w:r>
    </w:p>
    <w:p w:rsidR="004D6F0E" w:rsidRDefault="00490F21">
      <w:pPr>
        <w:spacing w:after="44"/>
        <w:ind w:left="11" w:right="2"/>
      </w:pPr>
      <w:r>
        <w:t>投資目標</w:t>
      </w:r>
      <w:r>
        <w:rPr>
          <w:rFonts w:ascii="Arial" w:eastAsia="Arial" w:hAnsi="Arial" w:cs="Arial"/>
          <w:b/>
        </w:rPr>
        <w:t xml:space="preserve"> </w:t>
      </w:r>
    </w:p>
    <w:p w:rsidR="004D6F0E" w:rsidRDefault="00490F21">
      <w:pPr>
        <w:spacing w:after="104"/>
        <w:ind w:left="11" w:right="2"/>
      </w:pPr>
      <w:r>
        <w:t>本基金的投資目標是獲取長期資本增值和收益。</w:t>
      </w:r>
      <w:r>
        <w:rPr>
          <w:rFonts w:ascii="Arial" w:eastAsia="Arial" w:hAnsi="Arial" w:cs="Arial"/>
        </w:rPr>
        <w:t xml:space="preserve"> </w:t>
      </w:r>
    </w:p>
    <w:p w:rsidR="004D6F0E" w:rsidRDefault="00490F21">
      <w:pPr>
        <w:spacing w:after="102"/>
        <w:ind w:left="11" w:right="2"/>
      </w:pPr>
      <w:r>
        <w:t>投資規則和程序</w:t>
      </w:r>
      <w:r>
        <w:rPr>
          <w:rFonts w:ascii="Arial" w:eastAsia="Arial" w:hAnsi="Arial" w:cs="Arial"/>
          <w:b/>
        </w:rPr>
        <w:t xml:space="preserve"> </w:t>
      </w:r>
    </w:p>
    <w:p w:rsidR="004D6F0E" w:rsidRDefault="00490F21">
      <w:pPr>
        <w:spacing w:after="9" w:line="273" w:lineRule="auto"/>
        <w:ind w:left="14" w:right="239"/>
        <w:jc w:val="both"/>
      </w:pPr>
      <w:r>
        <w:t>本基金擬透過投資於投資管理人確定為估值偏低的亞洲地區（日本以外）股本證券組合，實現其投資目標。本基金的投資範圍是</w:t>
      </w:r>
      <w:r>
        <w:t xml:space="preserve"> </w:t>
      </w:r>
      <w:r>
        <w:rPr>
          <w:rFonts w:ascii="Arial" w:eastAsia="Arial" w:hAnsi="Arial" w:cs="Arial"/>
        </w:rPr>
        <w:t xml:space="preserve">MSCI </w:t>
      </w:r>
      <w:r>
        <w:t>所有國家亞洲（日本以外）指數和</w:t>
      </w:r>
      <w:r>
        <w:t xml:space="preserve"> </w:t>
      </w:r>
      <w:r>
        <w:rPr>
          <w:rFonts w:ascii="Arial" w:eastAsia="Arial" w:hAnsi="Arial" w:cs="Arial"/>
        </w:rPr>
        <w:t xml:space="preserve">MSCI </w:t>
      </w:r>
      <w:r>
        <w:t>前緣市場指數涵括的國家</w:t>
      </w:r>
    </w:p>
    <w:p w:rsidR="004D6F0E" w:rsidRDefault="00490F21">
      <w:pPr>
        <w:ind w:left="11" w:right="2"/>
      </w:pPr>
      <w:r>
        <w:t>，不過本基金也可投資於</w:t>
      </w:r>
      <w:r>
        <w:t xml:space="preserve"> </w:t>
      </w:r>
      <w:r>
        <w:rPr>
          <w:rFonts w:ascii="Arial" w:eastAsia="Arial" w:hAnsi="Arial" w:cs="Arial"/>
        </w:rPr>
        <w:t xml:space="preserve">MSCI </w:t>
      </w:r>
      <w:r>
        <w:t>所有國家亞洲（日本以外）指數和</w:t>
      </w:r>
    </w:p>
    <w:p w:rsidR="004D6F0E" w:rsidRDefault="00490F21">
      <w:pPr>
        <w:spacing w:after="109"/>
        <w:ind w:left="11" w:right="2"/>
      </w:pPr>
      <w:r>
        <w:rPr>
          <w:rFonts w:ascii="Arial" w:eastAsia="Arial" w:hAnsi="Arial" w:cs="Arial"/>
        </w:rPr>
        <w:t xml:space="preserve">MSCI </w:t>
      </w:r>
      <w:r>
        <w:t>前緣市場指數之外的證券。</w:t>
      </w:r>
      <w:r>
        <w:rPr>
          <w:rFonts w:ascii="Arial" w:eastAsia="Arial" w:hAnsi="Arial" w:cs="Arial"/>
        </w:rPr>
        <w:t xml:space="preserve"> </w:t>
      </w:r>
    </w:p>
    <w:p w:rsidR="004D6F0E" w:rsidRDefault="00490F21">
      <w:pPr>
        <w:spacing w:after="92"/>
        <w:ind w:left="11" w:right="2"/>
      </w:pPr>
      <w:r>
        <w:t>投資管理人認為，公司的股價最終將反映其內在經濟價值。投資管理人關於股本投資的基本價值方法通常是參照按證券現價與長期盈利前景衡量的其內在經濟價值的關係來界定價值。</w:t>
      </w:r>
      <w:r>
        <w:rPr>
          <w:rFonts w:ascii="Arial" w:eastAsia="Arial" w:hAnsi="Arial" w:cs="Arial"/>
          <w:sz w:val="20"/>
        </w:rPr>
        <w:t xml:space="preserve"> </w:t>
      </w:r>
    </w:p>
    <w:p w:rsidR="004D6F0E" w:rsidRDefault="00490F21">
      <w:pPr>
        <w:spacing w:after="99"/>
        <w:ind w:left="11" w:right="2"/>
      </w:pPr>
      <w:r>
        <w:t>此方法首先尋求識別一系列被認為估值偏低的亞洲（日本以外）地區證券，原因為其價格相對於未來盈利能力而言極為吸引。因此，預測企業盈利及產生現金的能力是基本價值方法的核心。</w:t>
      </w:r>
      <w:r>
        <w:rPr>
          <w:rFonts w:ascii="Arial" w:eastAsia="Arial" w:hAnsi="Arial" w:cs="Arial"/>
          <w:sz w:val="20"/>
        </w:rPr>
        <w:t xml:space="preserve"> </w:t>
      </w:r>
    </w:p>
    <w:p w:rsidR="004D6F0E" w:rsidRDefault="00490F21">
      <w:pPr>
        <w:spacing w:after="101"/>
        <w:ind w:left="11" w:right="2"/>
      </w:pPr>
      <w:r>
        <w:t>正常市況下，本基金將投資於約由</w:t>
      </w:r>
      <w:r>
        <w:t xml:space="preserve"> </w:t>
      </w:r>
      <w:r>
        <w:rPr>
          <w:rFonts w:ascii="Arial" w:eastAsia="Arial" w:hAnsi="Arial" w:cs="Arial"/>
        </w:rPr>
        <w:t xml:space="preserve">60 </w:t>
      </w:r>
      <w:r>
        <w:t>至</w:t>
      </w:r>
      <w:r>
        <w:t xml:space="preserve"> </w:t>
      </w:r>
      <w:r>
        <w:rPr>
          <w:rFonts w:ascii="Arial" w:eastAsia="Arial" w:hAnsi="Arial" w:cs="Arial"/>
        </w:rPr>
        <w:t xml:space="preserve">100 </w:t>
      </w:r>
      <w:r>
        <w:t>間公司組成的投資組合。</w:t>
      </w:r>
      <w:r>
        <w:rPr>
          <w:rFonts w:ascii="Arial" w:eastAsia="Arial" w:hAnsi="Arial" w:cs="Arial"/>
        </w:rPr>
        <w:t xml:space="preserve"> </w:t>
      </w:r>
    </w:p>
    <w:p w:rsidR="004D6F0E" w:rsidRDefault="00490F21">
      <w:pPr>
        <w:spacing w:after="94"/>
        <w:ind w:left="11" w:right="2"/>
      </w:pPr>
      <w:r>
        <w:t>投資管理人的價值分析在很大程度上依賴內部研究小組及基本公司及產業研究。由於在相同產業內，全球各地的公司普遍具有類似的盈利及市場變化趨勢，故投資管理人的分析員按環球產業小組劃分，而非按地區或資產類別劃分。公司及產業分析員研究以專有定量回報模式研究亞洲（日本以外）公司，以預測該等公司於未來五年的盈利、現金流量及財務實力。如果公司涉及多種業務，分析員就各種業務進行分析，部分根據公司的產品或服務於現時及未來的需求決定因素，為該公司建立綜合預測。分析員亦評估該等公司在爭取市場佔有率時採用的定價策略。最後，就各公司施行</w:t>
      </w:r>
      <w:r>
        <w:t>企業策略的管理及財務能力進行評估，為分析提供附加資料。</w:t>
      </w:r>
      <w:r>
        <w:rPr>
          <w:rFonts w:ascii="Arial" w:eastAsia="Arial" w:hAnsi="Arial" w:cs="Arial"/>
          <w:sz w:val="20"/>
        </w:rPr>
        <w:t xml:space="preserve"> </w:t>
      </w:r>
    </w:p>
    <w:p w:rsidR="004D6F0E" w:rsidRDefault="00490F21">
      <w:pPr>
        <w:spacing w:after="102"/>
        <w:ind w:left="11" w:right="2"/>
      </w:pPr>
      <w:r>
        <w:t>投資管理人根據公司的內在經濟價值及股價之間的差距尋求估值偏低的證券，差距最大的公司被認為估值最低。</w:t>
      </w:r>
      <w:r>
        <w:rPr>
          <w:rFonts w:ascii="Arial" w:eastAsia="Arial" w:hAnsi="Arial" w:cs="Arial"/>
        </w:rPr>
        <w:t xml:space="preserve"> </w:t>
      </w:r>
    </w:p>
    <w:p w:rsidR="004D6F0E" w:rsidRDefault="00490F21">
      <w:pPr>
        <w:spacing w:after="92"/>
        <w:ind w:left="11" w:right="2"/>
      </w:pPr>
      <w:r>
        <w:t>投資管理人在決定為基金購買各種證券的數量時，考慮基金的整體組合特色。投資管理人的定量分析員會建立價值及風險模型以確保基金組合的風險及回報已有效取得平衡。透過評估整體產業集中性、估值偏低程度及投資項目之間的其他不明顯的類似特徵，投資管理人透過選擇具吸引力並可分散基金風險的證券，以尋求將基金整體波動減至最低。</w:t>
      </w:r>
      <w:r>
        <w:rPr>
          <w:rFonts w:ascii="Arial" w:eastAsia="Arial" w:hAnsi="Arial" w:cs="Arial"/>
          <w:sz w:val="20"/>
        </w:rPr>
        <w:t xml:space="preserve"> </w:t>
      </w:r>
    </w:p>
    <w:p w:rsidR="004D6F0E" w:rsidRDefault="00490F21">
      <w:pPr>
        <w:spacing w:after="95"/>
        <w:ind w:left="11" w:right="2"/>
      </w:pPr>
      <w:r>
        <w:t>市場對近期事件或趨勢的負面、短期反應可能會</w:t>
      </w:r>
      <w:r>
        <w:t>令公司目前的股價及內在價值評估產生（至少部分）差距。為減低在該等負面反應出現前購入估值偏低證券的風險，投資管理人亦監察分析員的盈利預測修訂及相對回報趨勢（亦稱為「價格動力」）。</w:t>
      </w:r>
      <w:r>
        <w:rPr>
          <w:rFonts w:ascii="Arial" w:eastAsia="Arial" w:hAnsi="Arial" w:cs="Arial"/>
          <w:b/>
          <w:sz w:val="20"/>
        </w:rPr>
        <w:t xml:space="preserve"> </w:t>
      </w:r>
    </w:p>
    <w:p w:rsidR="004D6F0E" w:rsidRDefault="00490F21">
      <w:pPr>
        <w:spacing w:after="96"/>
        <w:ind w:left="11" w:right="2"/>
      </w:pPr>
      <w:r>
        <w:t>貨幣策略說明</w:t>
      </w:r>
      <w:r>
        <w:rPr>
          <w:rFonts w:ascii="Arial" w:eastAsia="Arial" w:hAnsi="Arial" w:cs="Arial"/>
          <w:sz w:val="20"/>
        </w:rPr>
        <w:t xml:space="preserve"> </w:t>
      </w:r>
    </w:p>
    <w:p w:rsidR="004D6F0E" w:rsidRDefault="00490F21">
      <w:pPr>
        <w:spacing w:after="131"/>
        <w:ind w:left="11" w:right="2"/>
      </w:pPr>
      <w:r>
        <w:lastRenderedPageBreak/>
        <w:t>投資管理人可採用貨幣分離管理策略。該策略涉及基金各類貨幣曝險的調整，以便考量基金基準貨幣和其他貨幣的風險回報前景。因此投資管理人可在任何時候根據其研究顯示的可能預期回報和風險特點調整基金的貨幣曝險。</w:t>
      </w: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23"/>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I-19 </w:t>
      </w:r>
    </w:p>
    <w:p w:rsidR="004D6F0E" w:rsidRDefault="00490F21">
      <w:pPr>
        <w:spacing w:after="86"/>
        <w:ind w:left="11" w:right="2"/>
      </w:pPr>
      <w:r>
        <w:t>投資管理人的貨幣分離管理策略可能透過某些貨幣相關衍生工具交易實現，如遠期匯兌合約、貨幣期貨、貨幣期權、貨幣期貨期權和貨幣調期，旨在保障基金不受貨幣的負面影響及／或根據不同貨幣的風險回報前景尋求積極投資機會。例如，當投資管理人的研究顯示，某種貨幣的預期回報率將低於基準貨幣，投資管理人可能訂立</w:t>
      </w:r>
      <w:r>
        <w:t>遠期匯兌合約，出售部分預期回報率將下降的貨幣。當投資管理人的研究顯示某種貨幣可能提供有吸引力的回報，此等金融工具也可用於增加基金對該貨幣的持有量，使基金持有的這種貨幣超過基金以該貨幣計價的證券價值（有時基金的證券組合中沒有以該貨幣計價的證券）。投資管理人使用專為此目的開發的內部模型及基於其基本面研究的前景預測。</w:t>
      </w:r>
      <w:r>
        <w:rPr>
          <w:rFonts w:ascii="Arial" w:eastAsia="Arial" w:hAnsi="Arial" w:cs="Arial"/>
          <w:sz w:val="24"/>
        </w:rPr>
        <w:t xml:space="preserve"> </w:t>
      </w:r>
    </w:p>
    <w:p w:rsidR="004D6F0E" w:rsidRDefault="00490F21">
      <w:pPr>
        <w:spacing w:after="122"/>
        <w:ind w:left="11" w:right="2"/>
      </w:pPr>
      <w:r>
        <w:t>在這種貨幣分離管理的架構內，投資管理人將控制基金的貨幣風險，以確保選股始終是基金投資表現的主要動力，並努力確保貨幣風險與此等貨幣預期帶來的回報機會相匹配。</w:t>
      </w:r>
      <w:r>
        <w:rPr>
          <w:rFonts w:ascii="Arial" w:eastAsia="Arial" w:hAnsi="Arial" w:cs="Arial"/>
        </w:rPr>
        <w:t xml:space="preserve"> </w:t>
      </w:r>
    </w:p>
    <w:p w:rsidR="004D6F0E" w:rsidRDefault="00490F21">
      <w:pPr>
        <w:spacing w:after="104"/>
        <w:ind w:left="11" w:right="2"/>
      </w:pPr>
      <w:r>
        <w:t>金融衍生工具／有效基金管理技術</w:t>
      </w:r>
      <w:r>
        <w:rPr>
          <w:rFonts w:ascii="Arial" w:eastAsia="Arial" w:hAnsi="Arial" w:cs="Arial"/>
          <w:b/>
        </w:rPr>
        <w:t xml:space="preserve"> </w:t>
      </w:r>
    </w:p>
    <w:p w:rsidR="004D6F0E" w:rsidRDefault="00490F21">
      <w:pPr>
        <w:ind w:left="11" w:right="2"/>
      </w:pPr>
      <w:r>
        <w:t>一般</w:t>
      </w:r>
      <w:r>
        <w:t>。出於投資、有效管理及對沖等目的，投資管理人可使用金融衍生工具及有效基金管理技術。此等金融衍生工具可能包括但不限於「本地存取產品」（如股權連結票據、參與票據和權證）和可轉換為普通股的證券、期貨及股票指數期貨期權。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tbl>
      <w:tblPr>
        <w:tblStyle w:val="TableGrid"/>
        <w:tblW w:w="5030" w:type="dxa"/>
        <w:tblInd w:w="5"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624"/>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bl>
    <w:p w:rsidR="004D6F0E" w:rsidRDefault="00490F21">
      <w:pPr>
        <w:spacing w:after="204" w:line="259" w:lineRule="auto"/>
        <w:ind w:left="0" w:firstLine="0"/>
      </w:pPr>
      <w:r>
        <w:rPr>
          <w:rFonts w:ascii="Arial" w:eastAsia="Arial" w:hAnsi="Arial" w:cs="Arial"/>
          <w:b/>
          <w:sz w:val="10"/>
        </w:rPr>
        <w:t xml:space="preserve"> </w:t>
      </w:r>
    </w:p>
    <w:p w:rsidR="004D6F0E" w:rsidRDefault="00490F21">
      <w:pPr>
        <w:spacing w:after="102"/>
        <w:ind w:left="1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：有關金融衍生工具、金融技術及工具以及抵押品管理的額外資料」。風險度量。用於監測使用金融衍生工具所產生的全球風險（市場風險）的方法為根據盧森堡金融業監管委員會（</w:t>
      </w:r>
      <w:r>
        <w:rPr>
          <w:rFonts w:ascii="Arial" w:eastAsia="Arial" w:hAnsi="Arial" w:cs="Arial"/>
        </w:rPr>
        <w:t>CSSF</w:t>
      </w:r>
      <w:r>
        <w:t>）</w:t>
      </w:r>
      <w:r>
        <w:rPr>
          <w:rFonts w:ascii="Arial" w:eastAsia="Arial" w:hAnsi="Arial" w:cs="Arial"/>
        </w:rPr>
        <w:t xml:space="preserve">11/512 </w:t>
      </w:r>
      <w:r>
        <w:t>號公告採用的承擔法。</w:t>
      </w:r>
      <w:r>
        <w:rPr>
          <w:rFonts w:ascii="Arial" w:eastAsia="Arial" w:hAnsi="Arial" w:cs="Arial"/>
        </w:rPr>
        <w:t xml:space="preserve"> </w:t>
      </w:r>
    </w:p>
    <w:p w:rsidR="004D6F0E" w:rsidRDefault="00490F21">
      <w:pPr>
        <w:spacing w:after="37"/>
        <w:ind w:left="11" w:right="2"/>
      </w:pPr>
      <w:r>
        <w:t>基準。本基金的基準為</w:t>
      </w:r>
      <w:r>
        <w:t xml:space="preserve"> </w:t>
      </w:r>
      <w:r>
        <w:rPr>
          <w:rFonts w:ascii="Arial" w:eastAsia="Arial" w:hAnsi="Arial" w:cs="Arial"/>
        </w:rPr>
        <w:t xml:space="preserve">MSCI </w:t>
      </w:r>
      <w:r>
        <w:t>所有國家亞洲（日本以外）指數。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w:t>
      </w:r>
      <w:r>
        <w:rPr>
          <w:sz w:val="20"/>
        </w:rPr>
        <w:t>。</w:t>
      </w:r>
      <w:r>
        <w:t>其他投資政策</w:t>
      </w:r>
      <w:r>
        <w:rPr>
          <w:rFonts w:ascii="Arial" w:eastAsia="Arial" w:hAnsi="Arial" w:cs="Arial"/>
          <w:b/>
        </w:rPr>
        <w:t xml:space="preserve"> </w:t>
      </w:r>
    </w:p>
    <w:p w:rsidR="004D6F0E" w:rsidRDefault="00490F21">
      <w:pPr>
        <w:ind w:left="11" w:right="2"/>
      </w:pPr>
      <w:r>
        <w:t>作為暫時性的防守策略或為準備資金贖回證券，本基金可不受限制地持有現金、現金等價物或短期固定收益債務（包括貨幣市場工具）。</w:t>
      </w:r>
      <w:r>
        <w:rPr>
          <w:rFonts w:ascii="Arial" w:eastAsia="Arial" w:hAnsi="Arial" w:cs="Arial"/>
        </w:rPr>
        <w:t xml:space="preserve"> </w:t>
      </w:r>
    </w:p>
    <w:p w:rsidR="004D6F0E" w:rsidRDefault="00490F21">
      <w:pPr>
        <w:spacing w:after="95"/>
        <w:ind w:left="11" w:right="2"/>
      </w:pPr>
      <w:r>
        <w:t>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w:t>
      </w:r>
      <w:r>
        <w:t>此，本基金可能會難以隨時出售該等證券。此外，轉售該等證券可能會有合約限制。</w:t>
      </w:r>
      <w:r>
        <w:rPr>
          <w:rFonts w:ascii="Arial" w:eastAsia="Arial" w:hAnsi="Arial" w:cs="Arial"/>
          <w:sz w:val="20"/>
        </w:rPr>
        <w:t xml:space="preserve"> </w:t>
      </w:r>
    </w:p>
    <w:p w:rsidR="004D6F0E" w:rsidRDefault="00490F21">
      <w:pPr>
        <w:spacing w:after="102"/>
        <w:ind w:left="11" w:right="2"/>
      </w:pPr>
      <w:r>
        <w:t>投資管理人預期，任何時候本基金至少有</w:t>
      </w:r>
      <w:r>
        <w:t xml:space="preserve"> </w:t>
      </w:r>
      <w:r>
        <w:rPr>
          <w:rFonts w:ascii="Arial" w:eastAsia="Arial" w:hAnsi="Arial" w:cs="Arial"/>
        </w:rPr>
        <w:t>80%</w:t>
      </w:r>
      <w:r>
        <w:t>的總資產投資於亞洲（日本以外）公司的股本證券，而在任何情況下，本基金投資於該等證券的總資產將不會少於其總資產的三分之二。</w:t>
      </w:r>
      <w:r>
        <w:rPr>
          <w:rFonts w:ascii="Arial" w:eastAsia="Arial" w:hAnsi="Arial" w:cs="Arial"/>
        </w:rPr>
        <w:t xml:space="preserve"> </w:t>
      </w:r>
    </w:p>
    <w:p w:rsidR="004D6F0E" w:rsidRDefault="00490F21">
      <w:pPr>
        <w:spacing w:after="93"/>
        <w:ind w:left="11" w:right="2"/>
      </w:pPr>
      <w:r>
        <w:t>貨幣對沖股份類別</w:t>
      </w:r>
      <w:r>
        <w:rPr>
          <w:rFonts w:ascii="Arial" w:eastAsia="Arial" w:hAnsi="Arial" w:cs="Arial"/>
          <w:b/>
          <w:sz w:val="20"/>
        </w:rPr>
        <w:t xml:space="preserve">  </w:t>
      </w:r>
    </w:p>
    <w:p w:rsidR="004D6F0E" w:rsidRDefault="00490F21">
      <w:pPr>
        <w:spacing w:after="103"/>
        <w:ind w:left="11" w:right="2"/>
      </w:pPr>
      <w:r>
        <w:t>用某種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計及交易成本等實際考量因素，</w:t>
      </w:r>
      <w:r>
        <w:t>為投資者提供與本基金基準貨幣回報率更具相關性的回報率。採用的對沖策略在設計上是爲了降低（但未必消除）本基金基準貨幣和發售貨幣之間的貨幣風險。</w:t>
      </w:r>
      <w:r>
        <w:rPr>
          <w:rFonts w:ascii="Arial" w:eastAsia="Arial" w:hAnsi="Arial" w:cs="Arial"/>
        </w:rPr>
        <w:t xml:space="preserve"> </w:t>
      </w:r>
    </w:p>
    <w:p w:rsidR="004D6F0E" w:rsidRDefault="00490F21">
      <w:pPr>
        <w:spacing w:after="106"/>
        <w:ind w:left="11" w:right="2"/>
      </w:pPr>
      <w:r>
        <w:lastRenderedPageBreak/>
        <w:t>貨幣對沖股份類別並不影響本基金所屬資產的投資管理，因為用發售貨幣對沖的只是貨幣對沖股份類別的資產淨值，而非本基金所屬資產。此類對沖活動引起的開支由引起該項開支的貨幣對沖股份類別承擔。</w:t>
      </w:r>
      <w:r>
        <w:rPr>
          <w:rFonts w:ascii="Arial" w:eastAsia="Arial" w:hAnsi="Arial" w:cs="Arial"/>
        </w:rPr>
        <w:t xml:space="preserve"> </w:t>
      </w:r>
    </w:p>
    <w:p w:rsidR="004D6F0E" w:rsidRDefault="00490F21">
      <w:pPr>
        <w:ind w:left="11" w:right="2"/>
      </w:pPr>
      <w:r>
        <w:t>欲進一步了解股份類別對沖詳情，請參閱第</w:t>
      </w:r>
      <w:r>
        <w:t xml:space="preserve"> </w:t>
      </w:r>
      <w:r>
        <w:rPr>
          <w:rFonts w:ascii="Arial" w:eastAsia="Arial" w:hAnsi="Arial" w:cs="Arial"/>
        </w:rPr>
        <w:t xml:space="preserve">II </w:t>
      </w:r>
      <w:r>
        <w:t>部分「如何購買股份</w:t>
      </w:r>
      <w:r>
        <w:rPr>
          <w:rFonts w:ascii="Arial" w:eastAsia="Arial" w:hAnsi="Arial" w:cs="Arial"/>
        </w:rPr>
        <w:t xml:space="preserve"> </w:t>
      </w:r>
    </w:p>
    <w:p w:rsidR="004D6F0E" w:rsidRDefault="00490F21">
      <w:pPr>
        <w:spacing w:after="93"/>
        <w:ind w:left="11" w:right="2"/>
      </w:pPr>
      <w:r>
        <w:rPr>
          <w:rFonts w:ascii="Arial" w:eastAsia="Arial" w:hAnsi="Arial" w:cs="Arial"/>
        </w:rPr>
        <w:t xml:space="preserve">– </w:t>
      </w:r>
      <w:r>
        <w:t>貨幣對沖股份類別」。</w:t>
      </w:r>
      <w:r>
        <w:rPr>
          <w:rFonts w:ascii="Arial" w:eastAsia="Arial" w:hAnsi="Arial" w:cs="Arial"/>
          <w:sz w:val="20"/>
        </w:rPr>
        <w:t xml:space="preserve"> </w:t>
      </w:r>
    </w:p>
    <w:p w:rsidR="004D6F0E" w:rsidRDefault="00490F21">
      <w:pPr>
        <w:spacing w:after="434"/>
        <w:ind w:left="11" w:right="2"/>
      </w:pPr>
      <w:r>
        <w:t>與人民幣對沖股份類別掛鈎的風險因素。自二零零五年起，人民幣匯率不再與美元掛鈎。人民幣現</w:t>
      </w:r>
      <w:r>
        <w:t>已轉為參照一籃子外幣並基於市場供應及需求，採用受管控浮動匯率制度。人民幣於銀行間外</w:t>
      </w:r>
    </w:p>
    <w:p w:rsidR="004D6F0E" w:rsidRDefault="00490F21">
      <w:pPr>
        <w:spacing w:after="6723" w:line="259" w:lineRule="auto"/>
        <w:ind w:left="0" w:firstLine="0"/>
      </w:pPr>
      <w:r>
        <w:rPr>
          <w:rFonts w:ascii="Arial" w:eastAsia="Arial" w:hAnsi="Arial" w:cs="Arial"/>
        </w:rPr>
        <w:t xml:space="preserve"> </w:t>
      </w:r>
      <w:r>
        <w:rPr>
          <w:rFonts w:ascii="Arial" w:eastAsia="Arial" w:hAnsi="Arial" w:cs="Arial"/>
        </w:rPr>
        <w:tab/>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I-20 </w:t>
      </w:r>
    </w:p>
    <w:p w:rsidR="004D6F0E" w:rsidRDefault="00490F21">
      <w:pPr>
        <w:spacing w:after="0" w:line="259" w:lineRule="auto"/>
        <w:ind w:left="0" w:firstLine="0"/>
      </w:pPr>
      <w:r>
        <w:rPr>
          <w:rFonts w:ascii="Times New Roman" w:eastAsia="Times New Roman" w:hAnsi="Times New Roman" w:cs="Times New Roman"/>
          <w:sz w:val="16"/>
        </w:rPr>
        <w:t xml:space="preserve"> </w:t>
      </w:r>
    </w:p>
    <w:p w:rsidR="004D6F0E" w:rsidRDefault="00490F21">
      <w:pPr>
        <w:spacing w:after="4" w:line="265" w:lineRule="auto"/>
        <w:ind w:right="63" w:hanging="10"/>
        <w:jc w:val="right"/>
      </w:pPr>
      <w:r>
        <w:rPr>
          <w:sz w:val="18"/>
        </w:rPr>
        <w:t>聯博</w:t>
      </w:r>
      <w:r>
        <w:rPr>
          <w:sz w:val="18"/>
        </w:rPr>
        <w:t>—</w:t>
      </w:r>
      <w:r>
        <w:rPr>
          <w:sz w:val="18"/>
        </w:rPr>
        <w:t>亞洲（日本以外）股票基金</w:t>
      </w:r>
      <w:r>
        <w:rPr>
          <w:sz w:val="18"/>
        </w:rPr>
        <w:t xml:space="preserve"> </w:t>
      </w:r>
    </w:p>
    <w:p w:rsidR="004D6F0E" w:rsidRDefault="00490F21">
      <w:pPr>
        <w:spacing w:after="0" w:line="273" w:lineRule="auto"/>
        <w:ind w:left="5" w:right="41" w:firstLine="5285"/>
        <w:jc w:val="both"/>
      </w:pPr>
      <w:r>
        <w:rPr>
          <w:rFonts w:ascii="Times New Roman" w:eastAsia="Times New Roman" w:hAnsi="Times New Roman" w:cs="Times New Roman"/>
        </w:rPr>
        <w:t xml:space="preserve"> </w:t>
      </w:r>
      <w:r>
        <w:t>匯市場兌其他主要貨幣的每日買賣價可在中國人民銀行公佈的中間價附近窄幅浮動。從離岸人民幣兌換為在岸人民幣的人民幣可兌換性是一個受管控的貨幣流程，須遵守中國政府在與香港金融管理局（香港</w:t>
      </w:r>
      <w:r>
        <w:t>金管局）的協調下頒佈的外匯管制政策及匯回限制。由於多個因素，離岸人民幣的價值可能會與在岸人民幣的價值相異而有關差異可能重大，該等因素包括但不限於中國政府不時實施的外匯管制政策及匯回限制以及其他外部市場力量。</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自二零零五年起，中國政府實施的外匯管制政策已導致人民幣（包括離岸人民幣及在岸人民幣）整體升值。有關升值情況可能會亦可能</w:t>
      </w:r>
      <w:r>
        <w:t>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05"/>
        <w:ind w:left="11" w:right="2"/>
      </w:pPr>
      <w:r>
        <w:rPr>
          <w:rFonts w:ascii="Arial" w:eastAsia="Arial" w:hAnsi="Arial" w:cs="Arial"/>
        </w:rPr>
        <w:t xml:space="preserve">H </w:t>
      </w:r>
      <w:r>
        <w:t>人民幣股份參與離岸人民幣市場，允許投資者在中國內地以外與香港市場內的核准銀行（獲香港金管局核准的銀行）自由交易離岸人民幣。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rPr>
        <w:t xml:space="preserve"> </w:t>
      </w:r>
    </w:p>
    <w:p w:rsidR="004D6F0E" w:rsidRDefault="00490F21">
      <w:pPr>
        <w:spacing w:after="104"/>
        <w:ind w:left="11" w:right="2"/>
      </w:pPr>
      <w:r>
        <w:t>負責任投資。本基金整合</w:t>
      </w:r>
      <w:r>
        <w:t xml:space="preserve"> </w:t>
      </w:r>
      <w:r>
        <w:rPr>
          <w:rFonts w:ascii="Arial" w:eastAsia="Arial" w:hAnsi="Arial" w:cs="Arial"/>
        </w:rPr>
        <w:t xml:space="preserve">ESG </w:t>
      </w:r>
      <w:r>
        <w:t>考慮因素。本基金應用若干排除</w:t>
      </w:r>
      <w:r>
        <w:t xml:space="preserve"> </w:t>
      </w:r>
      <w:r>
        <w:t>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r>
        <w:rPr>
          <w:rFonts w:ascii="Arial" w:eastAsia="Arial" w:hAnsi="Arial" w:cs="Arial"/>
          <w:color w:val="0000FF"/>
          <w:u w:val="single" w:color="0000FF"/>
        </w:rPr>
        <w:t>www.alliancebernstein.com</w:t>
      </w:r>
    </w:p>
    <w:p w:rsidR="004D6F0E" w:rsidRDefault="00490F21">
      <w:pPr>
        <w:spacing w:after="4" w:line="254" w:lineRule="auto"/>
        <w:ind w:left="8" w:hanging="10"/>
      </w:pPr>
      <w:r>
        <w:rPr>
          <w:rFonts w:ascii="Arial" w:eastAsia="Arial" w:hAnsi="Arial" w:cs="Arial"/>
          <w:color w:val="0000FF"/>
          <w:u w:val="single" w:color="0000FF"/>
        </w:rPr>
        <w:t>/go/ABFCPIExclusionChart</w:t>
      </w:r>
      <w:r>
        <w:rPr>
          <w:sz w:val="24"/>
        </w:rPr>
        <w:t>。</w:t>
      </w:r>
      <w:r>
        <w:rPr>
          <w:rFonts w:ascii="Arial" w:eastAsia="Arial" w:hAnsi="Arial" w:cs="Arial"/>
        </w:rPr>
        <w:t xml:space="preserve"> </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p>
    <w:p w:rsidR="004D6F0E" w:rsidRDefault="004D6F0E">
      <w:pPr>
        <w:sectPr w:rsidR="004D6F0E">
          <w:type w:val="continuous"/>
          <w:pgSz w:w="12240" w:h="15840"/>
          <w:pgMar w:top="746" w:right="428" w:bottom="546" w:left="432" w:header="720" w:footer="720" w:gutter="0"/>
          <w:cols w:num="2" w:space="720" w:equalWidth="0">
            <w:col w:w="5765" w:space="289"/>
            <w:col w:w="5326"/>
          </w:cols>
        </w:sectPr>
      </w:pPr>
    </w:p>
    <w:p w:rsidR="004D6F0E" w:rsidRDefault="00490F21">
      <w:pPr>
        <w:spacing w:after="4" w:line="265" w:lineRule="auto"/>
        <w:ind w:hanging="10"/>
        <w:jc w:val="right"/>
      </w:pPr>
      <w:r>
        <w:rPr>
          <w:sz w:val="18"/>
        </w:rPr>
        <w:lastRenderedPageBreak/>
        <w:t>聯博</w:t>
      </w:r>
      <w:r>
        <w:rPr>
          <w:sz w:val="18"/>
        </w:rPr>
        <w:t>—</w:t>
      </w:r>
      <w:r>
        <w:rPr>
          <w:sz w:val="18"/>
        </w:rPr>
        <w:t>亞洲（日本以外）股票基金</w:t>
      </w:r>
      <w:r>
        <w:rPr>
          <w:sz w:val="18"/>
        </w:rPr>
        <w:t xml:space="preserve"> </w:t>
      </w:r>
    </w:p>
    <w:p w:rsidR="004D6F0E" w:rsidRDefault="00490F21">
      <w:pPr>
        <w:spacing w:after="29" w:line="259" w:lineRule="auto"/>
        <w:ind w:left="0" w:firstLine="0"/>
      </w:pPr>
      <w:r>
        <w:rPr>
          <w:rFonts w:ascii="Times New Roman" w:eastAsia="Times New Roman" w:hAnsi="Times New Roman" w:cs="Times New Roman"/>
        </w:rPr>
        <w:t xml:space="preserve"> </w:t>
      </w:r>
    </w:p>
    <w:p w:rsidR="004D6F0E" w:rsidRDefault="00490F21">
      <w:pPr>
        <w:pStyle w:val="Heading3"/>
        <w:spacing w:after="11"/>
        <w:ind w:left="14"/>
      </w:pPr>
      <w:r>
        <w:t>摘要資料</w:t>
      </w:r>
      <w:r>
        <w:rPr>
          <w:rFonts w:ascii="Arial" w:eastAsia="Arial" w:hAnsi="Arial" w:cs="Arial"/>
          <w:sz w:val="19"/>
        </w:rPr>
        <w:t xml:space="preserve"> </w:t>
      </w:r>
    </w:p>
    <w:p w:rsidR="004D6F0E" w:rsidRDefault="00490F21">
      <w:pPr>
        <w:spacing w:after="37" w:line="259" w:lineRule="auto"/>
        <w:ind w:left="0" w:right="-187" w:firstLine="0"/>
      </w:pPr>
      <w:r>
        <w:rPr>
          <w:rFonts w:ascii="Calibri" w:eastAsia="Calibri" w:hAnsi="Calibri" w:cs="Calibri"/>
          <w:noProof/>
          <w:sz w:val="22"/>
        </w:rPr>
        <mc:AlternateContent>
          <mc:Choice Requires="wpg">
            <w:drawing>
              <wp:inline distT="0" distB="0" distL="0" distR="0">
                <wp:extent cx="7159752" cy="18288"/>
                <wp:effectExtent l="0" t="0" r="0" b="0"/>
                <wp:docPr id="444884" name="Group 444884"/>
                <wp:cNvGraphicFramePr/>
                <a:graphic xmlns:a="http://schemas.openxmlformats.org/drawingml/2006/main">
                  <a:graphicData uri="http://schemas.microsoft.com/office/word/2010/wordprocessingGroup">
                    <wpg:wgp>
                      <wpg:cNvGrpSpPr/>
                      <wpg:grpSpPr>
                        <a:xfrm>
                          <a:off x="0" y="0"/>
                          <a:ext cx="7159752" cy="18288"/>
                          <a:chOff x="0" y="0"/>
                          <a:chExt cx="7159752" cy="18288"/>
                        </a:xfrm>
                      </wpg:grpSpPr>
                      <wps:wsp>
                        <wps:cNvPr id="657901" name="Shape 657901"/>
                        <wps:cNvSpPr/>
                        <wps:spPr>
                          <a:xfrm>
                            <a:off x="0" y="0"/>
                            <a:ext cx="7159752" cy="18288"/>
                          </a:xfrm>
                          <a:custGeom>
                            <a:avLst/>
                            <a:gdLst/>
                            <a:ahLst/>
                            <a:cxnLst/>
                            <a:rect l="0" t="0" r="0" b="0"/>
                            <a:pathLst>
                              <a:path w="7159752" h="18288">
                                <a:moveTo>
                                  <a:pt x="0" y="0"/>
                                </a:moveTo>
                                <a:lnTo>
                                  <a:pt x="7159752" y="0"/>
                                </a:lnTo>
                                <a:lnTo>
                                  <a:pt x="71597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4884" style="width:563.76pt;height:1.44pt;mso-position-horizontal-relative:char;mso-position-vertical-relative:line" coordsize="71597,182">
                <v:shape id="Shape 657902" style="position:absolute;width:71597;height:182;left:0;top:0;" coordsize="7159752,18288" path="m0,0l7159752,0l7159752,18288l0,18288l0,0">
                  <v:stroke weight="0pt" endcap="flat" joinstyle="miter" miterlimit="10" on="false" color="#000000" opacity="0"/>
                  <v:fill on="true" color="#000000"/>
                </v:shape>
              </v:group>
            </w:pict>
          </mc:Fallback>
        </mc:AlternateContent>
      </w:r>
    </w:p>
    <w:p w:rsidR="004D6F0E" w:rsidRDefault="00490F21">
      <w:pPr>
        <w:pStyle w:val="Heading3"/>
        <w:spacing w:after="6" w:line="257" w:lineRule="auto"/>
        <w:ind w:left="118"/>
      </w:pPr>
      <w:r>
        <w:rPr>
          <w:sz w:val="24"/>
        </w:rPr>
        <w:t>基金特色</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6"/>
        </w:rPr>
        <w:t xml:space="preserve"> </w:t>
      </w:r>
    </w:p>
    <w:tbl>
      <w:tblPr>
        <w:tblStyle w:val="TableGrid"/>
        <w:tblW w:w="10754" w:type="dxa"/>
        <w:tblInd w:w="101" w:type="dxa"/>
        <w:tblCellMar>
          <w:top w:w="0" w:type="dxa"/>
          <w:left w:w="0" w:type="dxa"/>
          <w:bottom w:w="0" w:type="dxa"/>
          <w:right w:w="0" w:type="dxa"/>
        </w:tblCellMar>
        <w:tblLook w:val="04A0" w:firstRow="1" w:lastRow="0" w:firstColumn="1" w:lastColumn="0" w:noHBand="0" w:noVBand="1"/>
      </w:tblPr>
      <w:tblGrid>
        <w:gridCol w:w="516"/>
        <w:gridCol w:w="2152"/>
        <w:gridCol w:w="653"/>
        <w:gridCol w:w="515"/>
        <w:gridCol w:w="7151"/>
      </w:tblGrid>
      <w:tr w:rsidR="004D6F0E">
        <w:trPr>
          <w:trHeight w:val="2033"/>
        </w:trPr>
        <w:tc>
          <w:tcPr>
            <w:tcW w:w="1644" w:type="dxa"/>
            <w:vMerge w:val="restart"/>
            <w:tcBorders>
              <w:top w:val="nil"/>
              <w:left w:val="nil"/>
              <w:bottom w:val="nil"/>
              <w:right w:val="nil"/>
            </w:tcBorders>
          </w:tcPr>
          <w:p w:rsidR="004D6F0E" w:rsidRDefault="00490F21">
            <w:pPr>
              <w:spacing w:after="7" w:line="259" w:lineRule="auto"/>
              <w:ind w:left="0" w:firstLine="0"/>
            </w:pPr>
            <w:r>
              <w:rPr>
                <w:sz w:val="18"/>
              </w:rPr>
              <w:t>基金貨幣</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7" w:line="259" w:lineRule="auto"/>
              <w:ind w:left="0" w:firstLine="0"/>
            </w:pPr>
            <w:r>
              <w:rPr>
                <w:sz w:val="18"/>
              </w:rPr>
              <w:t>資產淨值計算</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股份類別名稱</w:t>
            </w:r>
            <w:r>
              <w:rPr>
                <w:rFonts w:ascii="Arial" w:eastAsia="Arial" w:hAnsi="Arial" w:cs="Arial"/>
                <w:sz w:val="18"/>
              </w:rPr>
              <w:t xml:space="preserve"> </w:t>
            </w:r>
          </w:p>
        </w:tc>
        <w:tc>
          <w:tcPr>
            <w:tcW w:w="4270" w:type="dxa"/>
            <w:gridSpan w:val="2"/>
            <w:tcBorders>
              <w:top w:val="nil"/>
              <w:left w:val="nil"/>
              <w:bottom w:val="nil"/>
              <w:right w:val="nil"/>
            </w:tcBorders>
          </w:tcPr>
          <w:p w:rsidR="004D6F0E" w:rsidRDefault="00490F21">
            <w:pPr>
              <w:tabs>
                <w:tab w:val="center" w:pos="4001"/>
              </w:tabs>
              <w:spacing w:after="14"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7" w:line="259" w:lineRule="auto"/>
              <w:ind w:left="0" w:firstLine="0"/>
            </w:pPr>
            <w:r>
              <w:rPr>
                <w:sz w:val="18"/>
              </w:rPr>
              <w:t>每個營業日</w:t>
            </w:r>
            <w:r>
              <w:rPr>
                <w:rFonts w:ascii="Arial" w:eastAsia="Arial" w:hAnsi="Arial" w:cs="Arial"/>
                <w:sz w:val="18"/>
              </w:rPr>
              <w:t xml:space="preserve"> </w:t>
            </w:r>
          </w:p>
          <w:p w:rsidR="004D6F0E" w:rsidRDefault="00490F21">
            <w:pPr>
              <w:spacing w:after="8" w:line="259" w:lineRule="auto"/>
              <w:ind w:left="0" w:firstLine="0"/>
            </w:pPr>
            <w:r>
              <w:rPr>
                <w:rFonts w:ascii="Arial" w:eastAsia="Arial" w:hAnsi="Arial" w:cs="Arial"/>
                <w:sz w:val="18"/>
              </w:rPr>
              <w:t xml:space="preserve"> </w:t>
            </w:r>
          </w:p>
          <w:p w:rsidR="004D6F0E" w:rsidRDefault="00490F21">
            <w:pPr>
              <w:spacing w:after="4" w:line="259" w:lineRule="auto"/>
              <w:ind w:left="0" w:firstLine="0"/>
            </w:pPr>
            <w:r>
              <w:rPr>
                <w:sz w:val="18"/>
              </w:rPr>
              <w:t>可在</w:t>
            </w:r>
            <w:r>
              <w:rPr>
                <w:sz w:val="18"/>
              </w:rPr>
              <w:t xml:space="preserve"> </w:t>
            </w:r>
            <w:hyperlink r:id="rId89">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90">
              <w:r>
                <w:rPr>
                  <w:sz w:val="18"/>
                </w:rPr>
                <w:t>查</w:t>
              </w:r>
            </w:hyperlink>
            <w:r>
              <w:rPr>
                <w:sz w:val="18"/>
              </w:rPr>
              <w:t>閱。</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right="483" w:firstLine="0"/>
              <w:jc w:val="both"/>
            </w:pP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 </w:t>
            </w:r>
            <w:r>
              <w:rPr>
                <w:sz w:val="18"/>
              </w:rPr>
              <w:t>貨幣對沖股份類別」和「風險因素</w:t>
            </w:r>
            <w:r>
              <w:rPr>
                <w:rFonts w:ascii="Arial" w:eastAsia="Arial" w:hAnsi="Arial" w:cs="Arial"/>
                <w:sz w:val="18"/>
              </w:rPr>
              <w:t xml:space="preserve"> – </w:t>
            </w:r>
            <w:r>
              <w:rPr>
                <w:sz w:val="18"/>
              </w:rPr>
              <w:t>貨幣對沖股</w:t>
            </w:r>
          </w:p>
        </w:tc>
        <w:tc>
          <w:tcPr>
            <w:tcW w:w="1133" w:type="dxa"/>
            <w:vMerge w:val="restart"/>
            <w:tcBorders>
              <w:top w:val="nil"/>
              <w:left w:val="nil"/>
              <w:bottom w:val="nil"/>
              <w:right w:val="nil"/>
            </w:tcBorders>
          </w:tcPr>
          <w:p w:rsidR="004D6F0E" w:rsidRDefault="00490F21">
            <w:pPr>
              <w:spacing w:after="0" w:line="259" w:lineRule="auto"/>
              <w:ind w:left="0" w:firstLine="0"/>
              <w:jc w:val="both"/>
            </w:pPr>
            <w:r>
              <w:rPr>
                <w:sz w:val="18"/>
              </w:rPr>
              <w:t>指示截止時間</w:t>
            </w:r>
            <w:r>
              <w:rPr>
                <w:rFonts w:ascii="Arial" w:eastAsia="Arial" w:hAnsi="Arial" w:cs="Arial"/>
                <w:sz w:val="18"/>
              </w:rPr>
              <w:t xml:space="preserve"> </w:t>
            </w:r>
          </w:p>
        </w:tc>
        <w:tc>
          <w:tcPr>
            <w:tcW w:w="3708" w:type="dxa"/>
            <w:vMerge w:val="restart"/>
            <w:tcBorders>
              <w:top w:val="nil"/>
              <w:left w:val="nil"/>
              <w:bottom w:val="nil"/>
              <w:right w:val="nil"/>
            </w:tcBorders>
          </w:tcPr>
          <w:p w:rsidR="004D6F0E" w:rsidRDefault="00490F21">
            <w:pPr>
              <w:spacing w:after="13" w:line="261" w:lineRule="auto"/>
              <w:ind w:left="295" w:firstLine="0"/>
            </w:pPr>
            <w:r>
              <w:t>美元計價股份類別、日圓計價股份類別、英鎊計價股份類別、歐元計價股份類別、港元計價股份類別及貨幣對沖股份類別（人民幣對沖股份類別除外）</w:t>
            </w:r>
            <w:r>
              <w:rPr>
                <w:sz w:val="18"/>
              </w:rPr>
              <w:t>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307" w:firstLine="0"/>
            </w:pPr>
            <w:r>
              <w:rPr>
                <w:rFonts w:ascii="Arial" w:eastAsia="Arial" w:hAnsi="Arial" w:cs="Arial"/>
                <w:sz w:val="18"/>
              </w:rPr>
              <w:t xml:space="preserve"> </w:t>
            </w:r>
          </w:p>
          <w:p w:rsidR="004D6F0E" w:rsidRDefault="00490F21">
            <w:pPr>
              <w:spacing w:after="0" w:line="259" w:lineRule="auto"/>
              <w:ind w:left="307" w:hanging="12"/>
            </w:pPr>
            <w:r>
              <w:t>人民幣對沖股份類別</w:t>
            </w:r>
            <w:r>
              <w:rPr>
                <w:sz w:val="18"/>
              </w:rPr>
              <w:t>歐洲中部時間各營業日下午</w:t>
            </w:r>
            <w:r>
              <w:rPr>
                <w:sz w:val="18"/>
              </w:rPr>
              <w:t xml:space="preserve"> </w:t>
            </w:r>
            <w:r>
              <w:rPr>
                <w:rFonts w:ascii="Arial" w:eastAsia="Arial" w:hAnsi="Arial" w:cs="Arial"/>
                <w:sz w:val="18"/>
              </w:rPr>
              <w:t xml:space="preserve">1:00 </w:t>
            </w:r>
          </w:p>
        </w:tc>
      </w:tr>
      <w:tr w:rsidR="004D6F0E">
        <w:trPr>
          <w:trHeight w:val="207"/>
        </w:trPr>
        <w:tc>
          <w:tcPr>
            <w:tcW w:w="0" w:type="auto"/>
            <w:vMerge/>
            <w:tcBorders>
              <w:top w:val="nil"/>
              <w:left w:val="nil"/>
              <w:bottom w:val="nil"/>
              <w:right w:val="nil"/>
            </w:tcBorders>
          </w:tcPr>
          <w:p w:rsidR="004D6F0E" w:rsidRDefault="004D6F0E">
            <w:pPr>
              <w:spacing w:after="160" w:line="259" w:lineRule="auto"/>
              <w:ind w:left="0" w:firstLine="0"/>
            </w:pPr>
          </w:p>
        </w:tc>
        <w:tc>
          <w:tcPr>
            <w:tcW w:w="3353" w:type="dxa"/>
            <w:tcBorders>
              <w:top w:val="nil"/>
              <w:left w:val="nil"/>
              <w:bottom w:val="nil"/>
              <w:right w:val="nil"/>
            </w:tcBorders>
          </w:tcPr>
          <w:p w:rsidR="004D6F0E" w:rsidRDefault="00490F21">
            <w:pPr>
              <w:spacing w:after="0" w:line="259" w:lineRule="auto"/>
              <w:ind w:left="0" w:firstLine="0"/>
            </w:pPr>
            <w:r>
              <w:rPr>
                <w:sz w:val="18"/>
              </w:rPr>
              <w:t>份類別風險」</w:t>
            </w:r>
            <w:r>
              <w:rPr>
                <w:rFonts w:ascii="Arial" w:eastAsia="Arial" w:hAnsi="Arial" w:cs="Arial"/>
                <w:sz w:val="18"/>
              </w:rPr>
              <w:t xml:space="preserve"> </w:t>
            </w:r>
          </w:p>
        </w:tc>
        <w:tc>
          <w:tcPr>
            <w:tcW w:w="917" w:type="dxa"/>
            <w:tcBorders>
              <w:top w:val="nil"/>
              <w:left w:val="nil"/>
              <w:bottom w:val="nil"/>
              <w:right w:val="nil"/>
            </w:tcBorders>
          </w:tcPr>
          <w:p w:rsidR="004D6F0E" w:rsidRDefault="004D6F0E">
            <w:pPr>
              <w:spacing w:after="160" w:line="259" w:lineRule="auto"/>
              <w:ind w:left="0" w:firstLine="0"/>
            </w:pPr>
          </w:p>
        </w:tc>
        <w:tc>
          <w:tcPr>
            <w:tcW w:w="0" w:type="auto"/>
            <w:vMerge/>
            <w:tcBorders>
              <w:top w:val="nil"/>
              <w:left w:val="nil"/>
              <w:bottom w:val="nil"/>
              <w:right w:val="nil"/>
            </w:tcBorders>
          </w:tcPr>
          <w:p w:rsidR="004D6F0E" w:rsidRDefault="004D6F0E">
            <w:pPr>
              <w:spacing w:after="160" w:line="259" w:lineRule="auto"/>
              <w:ind w:left="0" w:firstLine="0"/>
            </w:pPr>
          </w:p>
        </w:tc>
        <w:tc>
          <w:tcPr>
            <w:tcW w:w="0" w:type="auto"/>
            <w:vMerge/>
            <w:tcBorders>
              <w:top w:val="nil"/>
              <w:left w:val="nil"/>
              <w:bottom w:val="nil"/>
              <w:right w:val="nil"/>
            </w:tcBorders>
          </w:tcPr>
          <w:p w:rsidR="004D6F0E" w:rsidRDefault="004D6F0E">
            <w:pPr>
              <w:spacing w:after="160" w:line="259" w:lineRule="auto"/>
              <w:ind w:left="0" w:firstLine="0"/>
            </w:pPr>
          </w:p>
        </w:tc>
      </w:tr>
      <w:tr w:rsidR="004D6F0E">
        <w:trPr>
          <w:trHeight w:val="2703"/>
        </w:trPr>
        <w:tc>
          <w:tcPr>
            <w:tcW w:w="164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335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917" w:type="dxa"/>
            <w:tcBorders>
              <w:top w:val="nil"/>
              <w:left w:val="nil"/>
              <w:bottom w:val="nil"/>
              <w:right w:val="nil"/>
            </w:tcBorders>
          </w:tcPr>
          <w:p w:rsidR="004D6F0E" w:rsidRDefault="00490F21">
            <w:pPr>
              <w:spacing w:after="0" w:line="259" w:lineRule="auto"/>
              <w:ind w:left="429" w:firstLine="0"/>
              <w:jc w:val="center"/>
            </w:pPr>
            <w:r>
              <w:rPr>
                <w:rFonts w:ascii="Arial" w:eastAsia="Arial" w:hAnsi="Arial" w:cs="Arial"/>
                <w:sz w:val="18"/>
              </w:rPr>
              <w:t xml:space="preserve"> </w:t>
            </w:r>
          </w:p>
        </w:tc>
        <w:tc>
          <w:tcPr>
            <w:tcW w:w="1133" w:type="dxa"/>
            <w:tcBorders>
              <w:top w:val="nil"/>
              <w:left w:val="nil"/>
              <w:bottom w:val="nil"/>
              <w:right w:val="nil"/>
            </w:tcBorders>
          </w:tcPr>
          <w:p w:rsidR="004D6F0E" w:rsidRDefault="00490F21">
            <w:pPr>
              <w:spacing w:after="0" w:line="259" w:lineRule="auto"/>
              <w:ind w:left="0" w:firstLine="0"/>
            </w:pPr>
            <w:r>
              <w:rPr>
                <w:sz w:val="18"/>
              </w:rPr>
              <w:t>派息</w:t>
            </w:r>
            <w:r>
              <w:rPr>
                <w:rFonts w:ascii="Arial" w:eastAsia="Arial" w:hAnsi="Arial" w:cs="Arial"/>
                <w:sz w:val="18"/>
              </w:rPr>
              <w:t xml:space="preserve">* </w:t>
            </w:r>
          </w:p>
        </w:tc>
        <w:tc>
          <w:tcPr>
            <w:tcW w:w="3708" w:type="dxa"/>
            <w:tcBorders>
              <w:top w:val="nil"/>
              <w:left w:val="nil"/>
              <w:bottom w:val="nil"/>
              <w:right w:val="nil"/>
            </w:tcBorders>
          </w:tcPr>
          <w:p w:rsidR="004D6F0E" w:rsidRDefault="00490F21">
            <w:pPr>
              <w:spacing w:after="0" w:line="278" w:lineRule="auto"/>
              <w:ind w:left="307" w:right="1135" w:firstLine="0"/>
            </w:pPr>
            <w:r>
              <w:rPr>
                <w:rFonts w:ascii="Arial" w:eastAsia="Arial" w:hAnsi="Arial" w:cs="Arial"/>
                <w:i/>
                <w:sz w:val="18"/>
              </w:rPr>
              <w:t>A</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S</w:t>
            </w:r>
            <w:r>
              <w:t>及</w:t>
            </w:r>
            <w:r>
              <w:rPr>
                <w:rFonts w:ascii="Arial" w:eastAsia="Arial" w:hAnsi="Arial" w:cs="Arial"/>
                <w:i/>
                <w:sz w:val="18"/>
              </w:rPr>
              <w:t>S1</w:t>
            </w:r>
            <w:r>
              <w:t>類股份</w:t>
            </w:r>
            <w:r>
              <w:rPr>
                <w:sz w:val="18"/>
              </w:rPr>
              <w:t>無</w:t>
            </w:r>
            <w:r>
              <w:rPr>
                <w:rFonts w:ascii="Arial" w:eastAsia="Arial" w:hAnsi="Arial" w:cs="Arial"/>
                <w:sz w:val="18"/>
              </w:rPr>
              <w:t xml:space="preserve">  </w:t>
            </w:r>
          </w:p>
          <w:p w:rsidR="004D6F0E" w:rsidRDefault="00490F21">
            <w:pPr>
              <w:spacing w:after="0" w:line="259" w:lineRule="auto"/>
              <w:ind w:left="307" w:firstLine="0"/>
            </w:pPr>
            <w:r>
              <w:rPr>
                <w:rFonts w:ascii="Arial" w:eastAsia="Arial" w:hAnsi="Arial" w:cs="Arial"/>
                <w:i/>
                <w:sz w:val="18"/>
              </w:rPr>
              <w:t xml:space="preserve"> </w:t>
            </w:r>
          </w:p>
          <w:p w:rsidR="004D6F0E" w:rsidRDefault="00490F21">
            <w:pPr>
              <w:spacing w:after="0" w:line="259" w:lineRule="auto"/>
              <w:ind w:left="307" w:firstLine="0"/>
            </w:pPr>
            <w:r>
              <w:rPr>
                <w:rFonts w:ascii="Arial" w:eastAsia="Arial" w:hAnsi="Arial" w:cs="Arial"/>
                <w:i/>
                <w:sz w:val="18"/>
              </w:rPr>
              <w:t>AD</w:t>
            </w:r>
            <w:r>
              <w:t>、</w:t>
            </w:r>
            <w:r>
              <w:rPr>
                <w:rFonts w:ascii="Arial" w:eastAsia="Arial" w:hAnsi="Arial" w:cs="Arial"/>
                <w:i/>
                <w:sz w:val="18"/>
              </w:rPr>
              <w:t>ED</w:t>
            </w:r>
            <w:r>
              <w:t>、</w:t>
            </w:r>
            <w:r>
              <w:rPr>
                <w:rFonts w:ascii="Arial" w:eastAsia="Arial" w:hAnsi="Arial" w:cs="Arial"/>
                <w:i/>
                <w:sz w:val="18"/>
              </w:rPr>
              <w:t>ID</w:t>
            </w:r>
            <w:r>
              <w:t>及</w:t>
            </w:r>
            <w:r>
              <w:rPr>
                <w:rFonts w:ascii="Arial" w:eastAsia="Arial" w:hAnsi="Arial" w:cs="Arial"/>
                <w:i/>
                <w:sz w:val="18"/>
              </w:rPr>
              <w:t>SD</w:t>
            </w:r>
            <w:r>
              <w:t>類股份</w:t>
            </w:r>
            <w:r>
              <w:rPr>
                <w:rFonts w:ascii="Arial" w:eastAsia="Arial" w:hAnsi="Arial" w:cs="Arial"/>
                <w:i/>
                <w:sz w:val="18"/>
              </w:rPr>
              <w:t xml:space="preserve"> </w:t>
            </w:r>
          </w:p>
          <w:p w:rsidR="004D6F0E" w:rsidRDefault="00490F21">
            <w:pPr>
              <w:spacing w:after="10" w:line="259" w:lineRule="auto"/>
              <w:ind w:left="307" w:firstLine="0"/>
            </w:pPr>
            <w:r>
              <w:rPr>
                <w:sz w:val="18"/>
              </w:rPr>
              <w:t>按月宣派及派付</w:t>
            </w:r>
            <w:r>
              <w:rPr>
                <w:rFonts w:ascii="Arial" w:eastAsia="Arial" w:hAnsi="Arial" w:cs="Arial"/>
                <w:sz w:val="18"/>
              </w:rPr>
              <w:t xml:space="preserve"> </w:t>
            </w:r>
          </w:p>
          <w:p w:rsidR="004D6F0E" w:rsidRDefault="00490F21">
            <w:pPr>
              <w:spacing w:after="0" w:line="259" w:lineRule="auto"/>
              <w:ind w:left="307" w:firstLine="0"/>
            </w:pPr>
            <w:r>
              <w:rPr>
                <w:rFonts w:ascii="Arial" w:eastAsia="Arial" w:hAnsi="Arial" w:cs="Arial"/>
                <w:sz w:val="18"/>
              </w:rPr>
              <w:t xml:space="preserve"> </w:t>
            </w:r>
          </w:p>
          <w:p w:rsidR="004D6F0E" w:rsidRDefault="00490F21">
            <w:pPr>
              <w:spacing w:after="0" w:line="273" w:lineRule="auto"/>
              <w:ind w:left="307" w:firstLine="0"/>
            </w:pPr>
            <w:r>
              <w:rPr>
                <w:rFonts w:ascii="Arial" w:eastAsia="Arial" w:hAnsi="Arial" w:cs="Arial"/>
                <w:i/>
                <w:sz w:val="18"/>
              </w:rPr>
              <w:t>AY</w:t>
            </w:r>
            <w:r>
              <w:t>類及</w:t>
            </w:r>
            <w:r>
              <w:rPr>
                <w:rFonts w:ascii="Arial" w:eastAsia="Arial" w:hAnsi="Arial" w:cs="Arial"/>
                <w:i/>
                <w:sz w:val="18"/>
              </w:rPr>
              <w:t>BY</w:t>
            </w:r>
            <w:r>
              <w:t>類股份</w:t>
            </w:r>
            <w:r>
              <w:rPr>
                <w:sz w:val="18"/>
              </w:rPr>
              <w:t>由管理公司酌情宣派和派付</w:t>
            </w:r>
            <w:r>
              <w:rPr>
                <w:rFonts w:ascii="Arial" w:eastAsia="Arial" w:hAnsi="Arial" w:cs="Arial"/>
                <w:sz w:val="18"/>
              </w:rPr>
              <w:t xml:space="preserve"> </w:t>
            </w:r>
          </w:p>
          <w:p w:rsidR="004D6F0E" w:rsidRDefault="00490F21">
            <w:pPr>
              <w:spacing w:after="0" w:line="259" w:lineRule="auto"/>
              <w:ind w:left="307" w:firstLine="0"/>
            </w:pPr>
            <w:r>
              <w:rPr>
                <w:rFonts w:ascii="Arial" w:eastAsia="Arial" w:hAnsi="Arial" w:cs="Arial"/>
                <w:sz w:val="18"/>
              </w:rPr>
              <w:t xml:space="preserve"> </w:t>
            </w:r>
          </w:p>
          <w:p w:rsidR="004D6F0E" w:rsidRDefault="00490F21">
            <w:pPr>
              <w:spacing w:after="10" w:line="259" w:lineRule="auto"/>
              <w:ind w:left="307" w:firstLine="0"/>
            </w:pPr>
            <w:r>
              <w:rPr>
                <w:sz w:val="18"/>
              </w:rPr>
              <w:t>見下文「派息」。</w:t>
            </w:r>
            <w:r>
              <w:rPr>
                <w:rFonts w:ascii="Arial" w:eastAsia="Arial" w:hAnsi="Arial" w:cs="Arial"/>
                <w:sz w:val="18"/>
              </w:rPr>
              <w:t xml:space="preserve"> </w:t>
            </w:r>
          </w:p>
          <w:p w:rsidR="004D6F0E" w:rsidRDefault="00490F21">
            <w:pPr>
              <w:spacing w:after="0" w:line="259" w:lineRule="auto"/>
              <w:ind w:left="307" w:firstLine="0"/>
            </w:pPr>
            <w:r>
              <w:rPr>
                <w:rFonts w:ascii="Arial" w:eastAsia="Arial" w:hAnsi="Arial" w:cs="Arial"/>
                <w:sz w:val="18"/>
              </w:rPr>
              <w:t xml:space="preserve"> </w:t>
            </w:r>
          </w:p>
          <w:p w:rsidR="004D6F0E" w:rsidRDefault="00490F21">
            <w:pPr>
              <w:spacing w:after="0" w:line="259" w:lineRule="auto"/>
              <w:ind w:left="307" w:firstLine="0"/>
            </w:pPr>
            <w:r>
              <w:rPr>
                <w:rFonts w:ascii="Arial" w:eastAsia="Arial" w:hAnsi="Arial" w:cs="Arial"/>
                <w:sz w:val="18"/>
              </w:rPr>
              <w:t>*</w:t>
            </w:r>
            <w:r>
              <w:rPr>
                <w:sz w:val="18"/>
              </w:rPr>
              <w:t>包括對沖股份類別</w:t>
            </w:r>
            <w:r>
              <w:rPr>
                <w:rFonts w:ascii="Arial" w:eastAsia="Arial" w:hAnsi="Arial" w:cs="Arial"/>
                <w:i/>
                <w:sz w:val="18"/>
              </w:rPr>
              <w:t xml:space="preserve"> </w:t>
            </w:r>
          </w:p>
        </w:tc>
      </w:tr>
      <w:tr w:rsidR="004D6F0E">
        <w:trPr>
          <w:trHeight w:val="179"/>
        </w:trPr>
        <w:tc>
          <w:tcPr>
            <w:tcW w:w="164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p>
        </w:tc>
        <w:tc>
          <w:tcPr>
            <w:tcW w:w="335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p>
        </w:tc>
        <w:tc>
          <w:tcPr>
            <w:tcW w:w="917" w:type="dxa"/>
            <w:tcBorders>
              <w:top w:val="nil"/>
              <w:left w:val="nil"/>
              <w:bottom w:val="nil"/>
              <w:right w:val="nil"/>
            </w:tcBorders>
          </w:tcPr>
          <w:p w:rsidR="004D6F0E" w:rsidRDefault="004D6F0E">
            <w:pPr>
              <w:spacing w:after="160" w:line="259" w:lineRule="auto"/>
              <w:ind w:left="0" w:firstLine="0"/>
            </w:pPr>
          </w:p>
        </w:tc>
        <w:tc>
          <w:tcPr>
            <w:tcW w:w="1133" w:type="dxa"/>
            <w:tcBorders>
              <w:top w:val="nil"/>
              <w:left w:val="nil"/>
              <w:bottom w:val="nil"/>
              <w:right w:val="nil"/>
            </w:tcBorders>
          </w:tcPr>
          <w:p w:rsidR="004D6F0E" w:rsidRDefault="004D6F0E">
            <w:pPr>
              <w:spacing w:after="160" w:line="259" w:lineRule="auto"/>
              <w:ind w:left="0" w:firstLine="0"/>
            </w:pPr>
          </w:p>
        </w:tc>
        <w:tc>
          <w:tcPr>
            <w:tcW w:w="3708" w:type="dxa"/>
            <w:tcBorders>
              <w:top w:val="nil"/>
              <w:left w:val="nil"/>
              <w:bottom w:val="nil"/>
              <w:right w:val="nil"/>
            </w:tcBorders>
          </w:tcPr>
          <w:p w:rsidR="004D6F0E" w:rsidRDefault="00490F21">
            <w:pPr>
              <w:spacing w:after="0" w:line="259" w:lineRule="auto"/>
              <w:ind w:left="3022" w:firstLine="0"/>
            </w:pPr>
            <w:r>
              <w:rPr>
                <w:rFonts w:ascii="Arial" w:eastAsia="Arial" w:hAnsi="Arial" w:cs="Arial"/>
                <w:sz w:val="16"/>
              </w:rPr>
              <w:t xml:space="preserve"> </w:t>
            </w:r>
          </w:p>
        </w:tc>
      </w:tr>
    </w:tbl>
    <w:p w:rsidR="004D6F0E" w:rsidRDefault="00490F21">
      <w:pPr>
        <w:spacing w:after="28" w:line="259" w:lineRule="auto"/>
        <w:ind w:left="-14" w:firstLine="0"/>
      </w:pPr>
      <w:r>
        <w:rPr>
          <w:rFonts w:ascii="Calibri" w:eastAsia="Calibri" w:hAnsi="Calibri" w:cs="Calibri"/>
          <w:noProof/>
          <w:sz w:val="22"/>
        </w:rPr>
        <mc:AlternateContent>
          <mc:Choice Requires="wpg">
            <w:drawing>
              <wp:inline distT="0" distB="0" distL="0" distR="0">
                <wp:extent cx="6940296" cy="18288"/>
                <wp:effectExtent l="0" t="0" r="0" b="0"/>
                <wp:docPr id="444885" name="Group 444885"/>
                <wp:cNvGraphicFramePr/>
                <a:graphic xmlns:a="http://schemas.openxmlformats.org/drawingml/2006/main">
                  <a:graphicData uri="http://schemas.microsoft.com/office/word/2010/wordprocessingGroup">
                    <wpg:wgp>
                      <wpg:cNvGrpSpPr/>
                      <wpg:grpSpPr>
                        <a:xfrm>
                          <a:off x="0" y="0"/>
                          <a:ext cx="6940296" cy="18288"/>
                          <a:chOff x="0" y="0"/>
                          <a:chExt cx="6940296" cy="18288"/>
                        </a:xfrm>
                      </wpg:grpSpPr>
                      <wps:wsp>
                        <wps:cNvPr id="657903" name="Shape 65790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04" name="Shape 657904"/>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05" name="Shape 657905"/>
                        <wps:cNvSpPr/>
                        <wps:spPr>
                          <a:xfrm>
                            <a:off x="22860" y="0"/>
                            <a:ext cx="1025652" cy="18288"/>
                          </a:xfrm>
                          <a:custGeom>
                            <a:avLst/>
                            <a:gdLst/>
                            <a:ahLst/>
                            <a:cxnLst/>
                            <a:rect l="0" t="0" r="0" b="0"/>
                            <a:pathLst>
                              <a:path w="1025652" h="18288">
                                <a:moveTo>
                                  <a:pt x="0" y="0"/>
                                </a:moveTo>
                                <a:lnTo>
                                  <a:pt x="1025652" y="0"/>
                                </a:lnTo>
                                <a:lnTo>
                                  <a:pt x="10256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06" name="Shape 657906"/>
                        <wps:cNvSpPr/>
                        <wps:spPr>
                          <a:xfrm>
                            <a:off x="10485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07" name="Shape 657907"/>
                        <wps:cNvSpPr/>
                        <wps:spPr>
                          <a:xfrm>
                            <a:off x="1066800" y="0"/>
                            <a:ext cx="5330952" cy="18288"/>
                          </a:xfrm>
                          <a:custGeom>
                            <a:avLst/>
                            <a:gdLst/>
                            <a:ahLst/>
                            <a:cxnLst/>
                            <a:rect l="0" t="0" r="0" b="0"/>
                            <a:pathLst>
                              <a:path w="5330952" h="18288">
                                <a:moveTo>
                                  <a:pt x="0" y="0"/>
                                </a:moveTo>
                                <a:lnTo>
                                  <a:pt x="5330952" y="0"/>
                                </a:lnTo>
                                <a:lnTo>
                                  <a:pt x="53309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08" name="Shape 657908"/>
                        <wps:cNvSpPr/>
                        <wps:spPr>
                          <a:xfrm>
                            <a:off x="63977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09" name="Shape 657909"/>
                        <wps:cNvSpPr/>
                        <wps:spPr>
                          <a:xfrm>
                            <a:off x="6416040" y="0"/>
                            <a:ext cx="524256" cy="18288"/>
                          </a:xfrm>
                          <a:custGeom>
                            <a:avLst/>
                            <a:gdLst/>
                            <a:ahLst/>
                            <a:cxnLst/>
                            <a:rect l="0" t="0" r="0" b="0"/>
                            <a:pathLst>
                              <a:path w="524256" h="18288">
                                <a:moveTo>
                                  <a:pt x="0" y="0"/>
                                </a:moveTo>
                                <a:lnTo>
                                  <a:pt x="524256" y="0"/>
                                </a:lnTo>
                                <a:lnTo>
                                  <a:pt x="52425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4885" style="width:546.48pt;height:1.44pt;mso-position-horizontal-relative:char;mso-position-vertical-relative:line" coordsize="69402,182">
                <v:shape id="Shape 657910" style="position:absolute;width:91;height:182;left:0;top:0;" coordsize="9144,18288" path="m0,0l9144,0l9144,18288l0,18288l0,0">
                  <v:stroke weight="0pt" endcap="flat" joinstyle="miter" miterlimit="10" on="false" color="#000000" opacity="0"/>
                  <v:fill on="true" color="#000000"/>
                </v:shape>
                <v:shape id="Shape 657911" style="position:absolute;width:182;height:182;left:45;top:0;" coordsize="18288,18288" path="m0,0l18288,0l18288,18288l0,18288l0,0">
                  <v:stroke weight="0pt" endcap="flat" joinstyle="miter" miterlimit="10" on="false" color="#000000" opacity="0"/>
                  <v:fill on="true" color="#000000"/>
                </v:shape>
                <v:shape id="Shape 657912" style="position:absolute;width:10256;height:182;left:228;top:0;" coordsize="1025652,18288" path="m0,0l1025652,0l1025652,18288l0,18288l0,0">
                  <v:stroke weight="0pt" endcap="flat" joinstyle="miter" miterlimit="10" on="false" color="#000000" opacity="0"/>
                  <v:fill on="true" color="#000000"/>
                </v:shape>
                <v:shape id="Shape 657913" style="position:absolute;width:182;height:182;left:10485;top:0;" coordsize="18288,18288" path="m0,0l18288,0l18288,18288l0,18288l0,0">
                  <v:stroke weight="0pt" endcap="flat" joinstyle="miter" miterlimit="10" on="false" color="#000000" opacity="0"/>
                  <v:fill on="true" color="#000000"/>
                </v:shape>
                <v:shape id="Shape 657914" style="position:absolute;width:53309;height:182;left:10668;top:0;" coordsize="5330952,18288" path="m0,0l5330952,0l5330952,18288l0,18288l0,0">
                  <v:stroke weight="0pt" endcap="flat" joinstyle="miter" miterlimit="10" on="false" color="#000000" opacity="0"/>
                  <v:fill on="true" color="#000000"/>
                </v:shape>
                <v:shape id="Shape 657915" style="position:absolute;width:182;height:182;left:63977;top:0;" coordsize="18288,18288" path="m0,0l18288,0l18288,18288l0,18288l0,0">
                  <v:stroke weight="0pt" endcap="flat" joinstyle="miter" miterlimit="10" on="false" color="#000000" opacity="0"/>
                  <v:fill on="true" color="#000000"/>
                </v:shape>
                <v:shape id="Shape 657916" style="position:absolute;width:5242;height:182;left:64160;top:0;" coordsize="524256,18288" path="m0,0l524256,0l524256,18288l0,18288l0,0">
                  <v:stroke weight="0pt" endcap="flat" joinstyle="miter" miterlimit="10" on="false" color="#000000" opacity="0"/>
                  <v:fill on="true" color="#000000"/>
                </v:shape>
              </v:group>
            </w:pict>
          </mc:Fallback>
        </mc:AlternateContent>
      </w:r>
    </w:p>
    <w:p w:rsidR="004D6F0E" w:rsidRDefault="00490F21">
      <w:pPr>
        <w:spacing w:after="138"/>
        <w:ind w:left="111" w:right="13" w:hanging="10"/>
      </w:pPr>
      <w:r>
        <w:rPr>
          <w:sz w:val="18"/>
        </w:rPr>
        <w:t>股份類別費用及收費</w:t>
      </w:r>
      <w:r>
        <w:rPr>
          <w:sz w:val="18"/>
        </w:rPr>
        <w:t xml:space="preserve"> </w:t>
      </w:r>
      <w:r>
        <w:rPr>
          <w:rFonts w:ascii="Arial" w:eastAsia="Arial" w:hAnsi="Arial" w:cs="Arial"/>
          <w:b/>
          <w:sz w:val="18"/>
          <w:vertAlign w:val="superscript"/>
        </w:rPr>
        <w:t>1</w:t>
      </w:r>
      <w:r>
        <w:rPr>
          <w:rFonts w:ascii="Arial" w:eastAsia="Arial" w:hAnsi="Arial" w:cs="Arial"/>
          <w:b/>
          <w:sz w:val="22"/>
        </w:rPr>
        <w:t xml:space="preserve"> </w:t>
      </w:r>
    </w:p>
    <w:p w:rsidR="004D6F0E" w:rsidRDefault="00490F21">
      <w:pPr>
        <w:tabs>
          <w:tab w:val="center" w:pos="3375"/>
          <w:tab w:val="center" w:pos="5425"/>
          <w:tab w:val="center" w:pos="7475"/>
          <w:tab w:val="center" w:pos="9759"/>
        </w:tabs>
        <w:ind w:left="0" w:firstLine="0"/>
      </w:pPr>
      <w:r>
        <w:rPr>
          <w:rFonts w:ascii="Arial" w:eastAsia="Arial" w:hAnsi="Arial" w:cs="Arial"/>
          <w:b/>
          <w:sz w:val="28"/>
          <w:vertAlign w:val="subscript"/>
        </w:rPr>
        <w:t xml:space="preserve"> </w:t>
      </w:r>
      <w:r>
        <w:rPr>
          <w:rFonts w:ascii="Arial" w:eastAsia="Arial" w:hAnsi="Arial" w:cs="Arial"/>
          <w:b/>
          <w:sz w:val="28"/>
          <w:vertAlign w:val="subscript"/>
        </w:rPr>
        <w:tab/>
      </w:r>
      <w:r>
        <w:rPr>
          <w:sz w:val="18"/>
        </w:rPr>
        <w:t>首次銷售費</w:t>
      </w:r>
      <w:r>
        <w:rPr>
          <w:sz w:val="18"/>
        </w:rPr>
        <w:t xml:space="preserve"> </w:t>
      </w:r>
      <w:r>
        <w:rPr>
          <w:rFonts w:ascii="Arial" w:eastAsia="Arial" w:hAnsi="Arial" w:cs="Arial"/>
          <w:b/>
          <w:sz w:val="18"/>
          <w:vertAlign w:val="superscript"/>
        </w:rPr>
        <w:t>3</w:t>
      </w:r>
      <w:r>
        <w:rPr>
          <w:rFonts w:ascii="Arial" w:eastAsia="Arial" w:hAnsi="Arial" w:cs="Arial"/>
          <w:b/>
          <w:sz w:val="18"/>
        </w:rPr>
        <w:t xml:space="preserve"> </w:t>
      </w:r>
      <w:r>
        <w:rPr>
          <w:rFonts w:ascii="Arial" w:eastAsia="Arial" w:hAnsi="Arial" w:cs="Arial"/>
          <w:b/>
          <w:sz w:val="18"/>
        </w:rPr>
        <w:tab/>
      </w:r>
      <w:r>
        <w:rPr>
          <w:sz w:val="18"/>
        </w:rPr>
        <w:t>管理費</w:t>
      </w:r>
      <w:r>
        <w:rPr>
          <w:sz w:val="18"/>
        </w:rPr>
        <w:t xml:space="preserve"> </w:t>
      </w:r>
      <w:r>
        <w:rPr>
          <w:rFonts w:ascii="Arial" w:eastAsia="Arial" w:hAnsi="Arial" w:cs="Arial"/>
          <w:b/>
          <w:sz w:val="18"/>
          <w:vertAlign w:val="superscript"/>
        </w:rPr>
        <w:t xml:space="preserve">4 </w:t>
      </w:r>
      <w:r>
        <w:rPr>
          <w:rFonts w:ascii="Arial" w:eastAsia="Arial" w:hAnsi="Arial" w:cs="Arial"/>
          <w:b/>
          <w:sz w:val="18"/>
          <w:vertAlign w:val="superscript"/>
        </w:rPr>
        <w:tab/>
      </w:r>
      <w:r>
        <w:rPr>
          <w:sz w:val="18"/>
        </w:rPr>
        <w:t>分銷費</w:t>
      </w:r>
      <w:r>
        <w:rPr>
          <w:sz w:val="18"/>
        </w:rPr>
        <w:t xml:space="preserve"> </w:t>
      </w:r>
      <w:r>
        <w:rPr>
          <w:rFonts w:ascii="Arial" w:eastAsia="Arial" w:hAnsi="Arial" w:cs="Arial"/>
          <w:b/>
          <w:sz w:val="18"/>
          <w:vertAlign w:val="superscript"/>
        </w:rPr>
        <w:t>5</w:t>
      </w:r>
      <w:r>
        <w:rPr>
          <w:rFonts w:ascii="Arial" w:eastAsia="Arial" w:hAnsi="Arial" w:cs="Arial"/>
          <w:b/>
          <w:sz w:val="18"/>
        </w:rPr>
        <w:t xml:space="preserve"> </w:t>
      </w:r>
      <w:r>
        <w:rPr>
          <w:rFonts w:ascii="Arial" w:eastAsia="Arial" w:hAnsi="Arial" w:cs="Arial"/>
          <w:b/>
          <w:sz w:val="18"/>
        </w:rPr>
        <w:tab/>
      </w:r>
      <w:r>
        <w:rPr>
          <w:sz w:val="18"/>
        </w:rPr>
        <w:t>或有遞延銷售費</w:t>
      </w:r>
      <w:r>
        <w:rPr>
          <w:sz w:val="18"/>
        </w:rPr>
        <w:t xml:space="preserve"> </w:t>
      </w:r>
      <w:r>
        <w:rPr>
          <w:rFonts w:ascii="Arial" w:eastAsia="Arial" w:hAnsi="Arial" w:cs="Arial"/>
          <w:b/>
          <w:sz w:val="18"/>
          <w:vertAlign w:val="superscript"/>
        </w:rPr>
        <w:t>6</w:t>
      </w:r>
      <w:r>
        <w:rPr>
          <w:rFonts w:ascii="Arial" w:eastAsia="Arial" w:hAnsi="Arial" w:cs="Arial"/>
          <w:b/>
          <w:sz w:val="18"/>
        </w:rPr>
        <w:t xml:space="preserve"> </w:t>
      </w:r>
    </w:p>
    <w:p w:rsidR="004D6F0E" w:rsidRDefault="00490F21">
      <w:pPr>
        <w:spacing w:after="58" w:line="259" w:lineRule="auto"/>
        <w:ind w:left="2335" w:firstLine="0"/>
      </w:pPr>
      <w:r>
        <w:rPr>
          <w:rFonts w:ascii="Calibri" w:eastAsia="Calibri" w:hAnsi="Calibri" w:cs="Calibri"/>
          <w:noProof/>
          <w:sz w:val="22"/>
        </w:rPr>
        <mc:AlternateContent>
          <mc:Choice Requires="wpg">
            <w:drawing>
              <wp:inline distT="0" distB="0" distL="0" distR="0">
                <wp:extent cx="5393436" cy="6096"/>
                <wp:effectExtent l="0" t="0" r="0" b="0"/>
                <wp:docPr id="444886" name="Group 444886"/>
                <wp:cNvGraphicFramePr/>
                <a:graphic xmlns:a="http://schemas.openxmlformats.org/drawingml/2006/main">
                  <a:graphicData uri="http://schemas.microsoft.com/office/word/2010/wordprocessingGroup">
                    <wpg:wgp>
                      <wpg:cNvGrpSpPr/>
                      <wpg:grpSpPr>
                        <a:xfrm>
                          <a:off x="0" y="0"/>
                          <a:ext cx="5393436" cy="6096"/>
                          <a:chOff x="0" y="0"/>
                          <a:chExt cx="5393436" cy="6096"/>
                        </a:xfrm>
                      </wpg:grpSpPr>
                      <wps:wsp>
                        <wps:cNvPr id="657917" name="Shape 657917"/>
                        <wps:cNvSpPr/>
                        <wps:spPr>
                          <a:xfrm>
                            <a:off x="0" y="0"/>
                            <a:ext cx="1321308" cy="9144"/>
                          </a:xfrm>
                          <a:custGeom>
                            <a:avLst/>
                            <a:gdLst/>
                            <a:ahLst/>
                            <a:cxnLst/>
                            <a:rect l="0" t="0" r="0" b="0"/>
                            <a:pathLst>
                              <a:path w="1321308" h="9144">
                                <a:moveTo>
                                  <a:pt x="0" y="0"/>
                                </a:moveTo>
                                <a:lnTo>
                                  <a:pt x="1321308" y="0"/>
                                </a:lnTo>
                                <a:lnTo>
                                  <a:pt x="13213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18" name="Shape 657918"/>
                        <wps:cNvSpPr/>
                        <wps:spPr>
                          <a:xfrm>
                            <a:off x="1431036" y="0"/>
                            <a:ext cx="1062241" cy="9144"/>
                          </a:xfrm>
                          <a:custGeom>
                            <a:avLst/>
                            <a:gdLst/>
                            <a:ahLst/>
                            <a:cxnLst/>
                            <a:rect l="0" t="0" r="0" b="0"/>
                            <a:pathLst>
                              <a:path w="1062241" h="9144">
                                <a:moveTo>
                                  <a:pt x="0" y="0"/>
                                </a:moveTo>
                                <a:lnTo>
                                  <a:pt x="1062241" y="0"/>
                                </a:lnTo>
                                <a:lnTo>
                                  <a:pt x="10622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19" name="Shape 657919"/>
                        <wps:cNvSpPr/>
                        <wps:spPr>
                          <a:xfrm>
                            <a:off x="2602992" y="0"/>
                            <a:ext cx="1321308" cy="9144"/>
                          </a:xfrm>
                          <a:custGeom>
                            <a:avLst/>
                            <a:gdLst/>
                            <a:ahLst/>
                            <a:cxnLst/>
                            <a:rect l="0" t="0" r="0" b="0"/>
                            <a:pathLst>
                              <a:path w="1321308" h="9144">
                                <a:moveTo>
                                  <a:pt x="0" y="0"/>
                                </a:moveTo>
                                <a:lnTo>
                                  <a:pt x="1321308" y="0"/>
                                </a:lnTo>
                                <a:lnTo>
                                  <a:pt x="13213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20" name="Shape 657920"/>
                        <wps:cNvSpPr/>
                        <wps:spPr>
                          <a:xfrm>
                            <a:off x="4034028" y="0"/>
                            <a:ext cx="1359408" cy="9144"/>
                          </a:xfrm>
                          <a:custGeom>
                            <a:avLst/>
                            <a:gdLst/>
                            <a:ahLst/>
                            <a:cxnLst/>
                            <a:rect l="0" t="0" r="0" b="0"/>
                            <a:pathLst>
                              <a:path w="1359408" h="9144">
                                <a:moveTo>
                                  <a:pt x="0" y="0"/>
                                </a:moveTo>
                                <a:lnTo>
                                  <a:pt x="1359408" y="0"/>
                                </a:lnTo>
                                <a:lnTo>
                                  <a:pt x="13594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44886" style="width:424.68pt;height:0.480011pt;mso-position-horizontal-relative:char;mso-position-vertical-relative:line" coordsize="53934,60">
                <v:shape id="Shape 657921" style="position:absolute;width:13213;height:91;left:0;top:0;" coordsize="1321308,9144" path="m0,0l1321308,0l1321308,9144l0,9144l0,0">
                  <v:stroke weight="0pt" endcap="flat" joinstyle="miter" miterlimit="10" on="false" color="#000000" opacity="0"/>
                  <v:fill on="true" color="#000000"/>
                </v:shape>
                <v:shape id="Shape 657922" style="position:absolute;width:10622;height:91;left:14310;top:0;" coordsize="1062241,9144" path="m0,0l1062241,0l1062241,9144l0,9144l0,0">
                  <v:stroke weight="0pt" endcap="flat" joinstyle="miter" miterlimit="10" on="false" color="#000000" opacity="0"/>
                  <v:fill on="true" color="#000000"/>
                </v:shape>
                <v:shape id="Shape 657923" style="position:absolute;width:13213;height:91;left:26029;top:0;" coordsize="1321308,9144" path="m0,0l1321308,0l1321308,9144l0,9144l0,0">
                  <v:stroke weight="0pt" endcap="flat" joinstyle="miter" miterlimit="10" on="false" color="#000000" opacity="0"/>
                  <v:fill on="true" color="#000000"/>
                </v:shape>
                <v:shape id="Shape 657924" style="position:absolute;width:13594;height:91;left:40340;top:0;" coordsize="1359408,9144" path="m0,0l1359408,0l1359408,9144l0,9144l0,0">
                  <v:stroke weight="0pt" endcap="flat" joinstyle="miter" miterlimit="10" on="false" color="#000000" opacity="0"/>
                  <v:fill on="true" color="#000000"/>
                </v:shape>
              </v:group>
            </w:pict>
          </mc:Fallback>
        </mc:AlternateContent>
      </w:r>
    </w:p>
    <w:tbl>
      <w:tblPr>
        <w:tblStyle w:val="TableGrid"/>
        <w:tblW w:w="10930" w:type="dxa"/>
        <w:tblInd w:w="-14" w:type="dxa"/>
        <w:tblCellMar>
          <w:top w:w="25" w:type="dxa"/>
          <w:left w:w="0" w:type="dxa"/>
          <w:bottom w:w="0" w:type="dxa"/>
          <w:right w:w="274" w:type="dxa"/>
        </w:tblCellMar>
        <w:tblLook w:val="04A0" w:firstRow="1" w:lastRow="0" w:firstColumn="1" w:lastColumn="0" w:noHBand="0" w:noVBand="1"/>
      </w:tblPr>
      <w:tblGrid>
        <w:gridCol w:w="2832"/>
        <w:gridCol w:w="2342"/>
        <w:gridCol w:w="2050"/>
        <w:gridCol w:w="1771"/>
        <w:gridCol w:w="51"/>
        <w:gridCol w:w="1742"/>
        <w:gridCol w:w="142"/>
      </w:tblGrid>
      <w:tr w:rsidR="004D6F0E">
        <w:trPr>
          <w:trHeight w:val="233"/>
        </w:trPr>
        <w:tc>
          <w:tcPr>
            <w:tcW w:w="2832" w:type="dxa"/>
            <w:tcBorders>
              <w:top w:val="nil"/>
              <w:left w:val="nil"/>
              <w:bottom w:val="nil"/>
              <w:right w:val="nil"/>
            </w:tcBorders>
            <w:shd w:val="clear" w:color="auto" w:fill="CCCCCC"/>
          </w:tcPr>
          <w:p w:rsidR="004D6F0E" w:rsidRDefault="00490F21">
            <w:pPr>
              <w:spacing w:after="0" w:line="259" w:lineRule="auto"/>
              <w:ind w:left="115" w:firstLine="0"/>
            </w:pPr>
            <w:r>
              <w:rPr>
                <w:sz w:val="18"/>
              </w:rPr>
              <w:lastRenderedPageBreak/>
              <w:t>美元計價股份類別</w:t>
            </w:r>
            <w:r>
              <w:rPr>
                <w:rFonts w:ascii="Arial" w:eastAsia="Arial" w:hAnsi="Arial" w:cs="Arial"/>
                <w:sz w:val="18"/>
              </w:rPr>
              <w:t xml:space="preserve"> </w:t>
            </w:r>
          </w:p>
        </w:tc>
        <w:tc>
          <w:tcPr>
            <w:tcW w:w="2342" w:type="dxa"/>
            <w:tcBorders>
              <w:top w:val="nil"/>
              <w:left w:val="nil"/>
              <w:bottom w:val="nil"/>
              <w:right w:val="nil"/>
            </w:tcBorders>
            <w:shd w:val="clear" w:color="auto" w:fill="CCCCCC"/>
          </w:tcPr>
          <w:p w:rsidR="004D6F0E" w:rsidRDefault="004D6F0E">
            <w:pPr>
              <w:spacing w:after="160" w:line="259" w:lineRule="auto"/>
              <w:ind w:left="0" w:firstLine="0"/>
            </w:pPr>
          </w:p>
        </w:tc>
        <w:tc>
          <w:tcPr>
            <w:tcW w:w="2050" w:type="dxa"/>
            <w:tcBorders>
              <w:top w:val="nil"/>
              <w:left w:val="nil"/>
              <w:bottom w:val="nil"/>
              <w:right w:val="nil"/>
            </w:tcBorders>
            <w:shd w:val="clear" w:color="auto" w:fill="CCCCCC"/>
          </w:tcPr>
          <w:p w:rsidR="004D6F0E" w:rsidRDefault="004D6F0E">
            <w:pPr>
              <w:spacing w:after="160" w:line="259" w:lineRule="auto"/>
              <w:ind w:left="0" w:firstLine="0"/>
            </w:pPr>
          </w:p>
        </w:tc>
        <w:tc>
          <w:tcPr>
            <w:tcW w:w="1822" w:type="dxa"/>
            <w:gridSpan w:val="2"/>
            <w:tcBorders>
              <w:top w:val="nil"/>
              <w:left w:val="nil"/>
              <w:bottom w:val="nil"/>
              <w:right w:val="nil"/>
            </w:tcBorders>
            <w:shd w:val="clear" w:color="auto" w:fill="CCCCCC"/>
          </w:tcPr>
          <w:p w:rsidR="004D6F0E" w:rsidRDefault="004D6F0E">
            <w:pPr>
              <w:spacing w:after="160" w:line="259" w:lineRule="auto"/>
              <w:ind w:left="0" w:firstLine="0"/>
            </w:pPr>
          </w:p>
        </w:tc>
        <w:tc>
          <w:tcPr>
            <w:tcW w:w="1884" w:type="dxa"/>
            <w:gridSpan w:val="2"/>
            <w:tcBorders>
              <w:top w:val="nil"/>
              <w:left w:val="nil"/>
              <w:bottom w:val="nil"/>
              <w:right w:val="nil"/>
            </w:tcBorders>
            <w:shd w:val="clear" w:color="auto" w:fill="CCCCCC"/>
          </w:tcPr>
          <w:p w:rsidR="004D6F0E" w:rsidRDefault="004D6F0E">
            <w:pPr>
              <w:spacing w:after="160" w:line="259" w:lineRule="auto"/>
              <w:ind w:left="0" w:firstLine="0"/>
            </w:pPr>
          </w:p>
        </w:tc>
      </w:tr>
      <w:tr w:rsidR="004D6F0E">
        <w:trPr>
          <w:trHeight w:val="241"/>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82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3"/>
        </w:trPr>
        <w:tc>
          <w:tcPr>
            <w:tcW w:w="283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342"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05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2.15% </w:t>
            </w:r>
          </w:p>
        </w:tc>
        <w:tc>
          <w:tcPr>
            <w:tcW w:w="1822"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gridSpan w:val="2"/>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934"/>
        </w:trPr>
        <w:tc>
          <w:tcPr>
            <w:tcW w:w="283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ED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342"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05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822"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84" w:type="dxa"/>
            <w:gridSpan w:val="2"/>
            <w:tcBorders>
              <w:top w:val="nil"/>
              <w:left w:val="nil"/>
              <w:bottom w:val="nil"/>
              <w:right w:val="nil"/>
            </w:tcBorders>
          </w:tcPr>
          <w:p w:rsidR="004D6F0E" w:rsidRDefault="00490F21">
            <w:pPr>
              <w:spacing w:after="30"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6"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240"/>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ID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182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0"/>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2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8"/>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182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37"/>
        </w:trPr>
        <w:tc>
          <w:tcPr>
            <w:tcW w:w="2832" w:type="dxa"/>
            <w:tcBorders>
              <w:top w:val="nil"/>
              <w:left w:val="nil"/>
              <w:bottom w:val="nil"/>
              <w:right w:val="nil"/>
            </w:tcBorders>
          </w:tcPr>
          <w:p w:rsidR="004D6F0E" w:rsidRDefault="00490F21">
            <w:pPr>
              <w:spacing w:after="46" w:line="259" w:lineRule="auto"/>
              <w:ind w:left="115" w:firstLine="0"/>
            </w:pPr>
            <w:r>
              <w:rPr>
                <w:rFonts w:ascii="Arial" w:eastAsia="Arial" w:hAnsi="Arial" w:cs="Arial"/>
                <w:sz w:val="18"/>
              </w:rPr>
              <w:t xml:space="preserve">SD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342" w:type="dxa"/>
            <w:tcBorders>
              <w:top w:val="nil"/>
              <w:left w:val="nil"/>
              <w:bottom w:val="nil"/>
              <w:right w:val="nil"/>
            </w:tcBorders>
          </w:tcPr>
          <w:p w:rsidR="004D6F0E" w:rsidRDefault="00490F21">
            <w:pPr>
              <w:spacing w:after="9"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1562" w:firstLine="0"/>
              <w:jc w:val="center"/>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862" w:firstLine="0"/>
              <w:jc w:val="center"/>
            </w:pPr>
            <w:r>
              <w:rPr>
                <w:rFonts w:ascii="Arial" w:eastAsia="Arial" w:hAnsi="Arial" w:cs="Arial"/>
                <w:sz w:val="18"/>
              </w:rPr>
              <w:t xml:space="preserve"> </w:t>
            </w:r>
          </w:p>
        </w:tc>
        <w:tc>
          <w:tcPr>
            <w:tcW w:w="1822" w:type="dxa"/>
            <w:gridSpan w:val="2"/>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84"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3"/>
        </w:trPr>
        <w:tc>
          <w:tcPr>
            <w:tcW w:w="2832" w:type="dxa"/>
            <w:tcBorders>
              <w:top w:val="nil"/>
              <w:left w:val="nil"/>
              <w:bottom w:val="nil"/>
              <w:right w:val="nil"/>
            </w:tcBorders>
            <w:shd w:val="clear" w:color="auto" w:fill="CCCCCC"/>
          </w:tcPr>
          <w:p w:rsidR="004D6F0E" w:rsidRDefault="00490F21">
            <w:pPr>
              <w:spacing w:after="0" w:line="259" w:lineRule="auto"/>
              <w:ind w:left="115" w:firstLine="0"/>
            </w:pPr>
            <w:r>
              <w:rPr>
                <w:sz w:val="18"/>
              </w:rPr>
              <w:t>日圓計價股份類別</w:t>
            </w:r>
            <w:r>
              <w:rPr>
                <w:rFonts w:ascii="Arial" w:eastAsia="Arial" w:hAnsi="Arial" w:cs="Arial"/>
                <w:b/>
                <w:sz w:val="18"/>
              </w:rPr>
              <w:t xml:space="preserve"> </w:t>
            </w:r>
          </w:p>
        </w:tc>
        <w:tc>
          <w:tcPr>
            <w:tcW w:w="2342" w:type="dxa"/>
            <w:tcBorders>
              <w:top w:val="nil"/>
              <w:left w:val="nil"/>
              <w:bottom w:val="nil"/>
              <w:right w:val="nil"/>
            </w:tcBorders>
            <w:shd w:val="clear" w:color="auto" w:fill="CCCCCC"/>
          </w:tcPr>
          <w:p w:rsidR="004D6F0E" w:rsidRDefault="004D6F0E">
            <w:pPr>
              <w:spacing w:after="160" w:line="259" w:lineRule="auto"/>
              <w:ind w:left="0" w:firstLine="0"/>
            </w:pPr>
          </w:p>
        </w:tc>
        <w:tc>
          <w:tcPr>
            <w:tcW w:w="2050" w:type="dxa"/>
            <w:tcBorders>
              <w:top w:val="nil"/>
              <w:left w:val="nil"/>
              <w:bottom w:val="nil"/>
              <w:right w:val="nil"/>
            </w:tcBorders>
            <w:shd w:val="clear" w:color="auto" w:fill="CCCCCC"/>
          </w:tcPr>
          <w:p w:rsidR="004D6F0E" w:rsidRDefault="004D6F0E">
            <w:pPr>
              <w:spacing w:after="160" w:line="259" w:lineRule="auto"/>
              <w:ind w:left="0" w:firstLine="0"/>
            </w:pPr>
          </w:p>
        </w:tc>
        <w:tc>
          <w:tcPr>
            <w:tcW w:w="1822" w:type="dxa"/>
            <w:gridSpan w:val="2"/>
            <w:tcBorders>
              <w:top w:val="nil"/>
              <w:left w:val="nil"/>
              <w:bottom w:val="nil"/>
              <w:right w:val="nil"/>
            </w:tcBorders>
            <w:shd w:val="clear" w:color="auto" w:fill="CCCCCC"/>
          </w:tcPr>
          <w:p w:rsidR="004D6F0E" w:rsidRDefault="004D6F0E">
            <w:pPr>
              <w:spacing w:after="160" w:line="259" w:lineRule="auto"/>
              <w:ind w:left="0" w:firstLine="0"/>
            </w:pPr>
          </w:p>
        </w:tc>
        <w:tc>
          <w:tcPr>
            <w:tcW w:w="1884" w:type="dxa"/>
            <w:gridSpan w:val="2"/>
            <w:tcBorders>
              <w:top w:val="nil"/>
              <w:left w:val="nil"/>
              <w:bottom w:val="nil"/>
              <w:right w:val="nil"/>
            </w:tcBorders>
            <w:shd w:val="clear" w:color="auto" w:fill="CCCCCC"/>
          </w:tcPr>
          <w:p w:rsidR="004D6F0E" w:rsidRDefault="004D6F0E">
            <w:pPr>
              <w:spacing w:after="160" w:line="259" w:lineRule="auto"/>
              <w:ind w:left="0" w:firstLine="0"/>
            </w:pPr>
          </w:p>
        </w:tc>
      </w:tr>
      <w:tr w:rsidR="004D6F0E">
        <w:tblPrEx>
          <w:tblCellMar>
            <w:top w:w="3" w:type="dxa"/>
            <w:bottom w:w="3" w:type="dxa"/>
            <w:right w:w="197" w:type="dxa"/>
          </w:tblCellMar>
        </w:tblPrEx>
        <w:trPr>
          <w:gridAfter w:val="1"/>
          <w:wAfter w:w="142" w:type="dxa"/>
          <w:trHeight w:val="215"/>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AY </w:t>
            </w:r>
            <w:r>
              <w:rPr>
                <w:sz w:val="18"/>
              </w:rPr>
              <w:t>類股份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771"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793" w:type="dxa"/>
            <w:gridSpan w:val="2"/>
            <w:tcBorders>
              <w:top w:val="nil"/>
              <w:left w:val="nil"/>
              <w:bottom w:val="nil"/>
              <w:right w:val="nil"/>
            </w:tcBorders>
          </w:tcPr>
          <w:p w:rsidR="004D6F0E" w:rsidRDefault="00490F21">
            <w:pPr>
              <w:spacing w:after="0" w:line="259" w:lineRule="auto"/>
              <w:ind w:left="0" w:right="53" w:firstLine="0"/>
              <w:jc w:val="center"/>
            </w:pPr>
            <w:r>
              <w:rPr>
                <w:sz w:val="18"/>
              </w:rPr>
              <w:t>無</w:t>
            </w:r>
            <w:r>
              <w:rPr>
                <w:rFonts w:ascii="Arial" w:eastAsia="Arial" w:hAnsi="Arial" w:cs="Arial"/>
                <w:sz w:val="18"/>
              </w:rPr>
              <w:t xml:space="preserve"> </w:t>
            </w:r>
          </w:p>
        </w:tc>
      </w:tr>
      <w:tr w:rsidR="004D6F0E">
        <w:tblPrEx>
          <w:tblCellMar>
            <w:top w:w="3" w:type="dxa"/>
            <w:bottom w:w="3" w:type="dxa"/>
            <w:right w:w="197" w:type="dxa"/>
          </w:tblCellMar>
        </w:tblPrEx>
        <w:trPr>
          <w:gridAfter w:val="1"/>
          <w:wAfter w:w="142" w:type="dxa"/>
          <w:trHeight w:val="2075"/>
        </w:trPr>
        <w:tc>
          <w:tcPr>
            <w:tcW w:w="2832" w:type="dxa"/>
            <w:tcBorders>
              <w:top w:val="nil"/>
              <w:left w:val="nil"/>
              <w:bottom w:val="nil"/>
              <w:right w:val="nil"/>
            </w:tcBorders>
            <w:vAlign w:val="bottom"/>
          </w:tcPr>
          <w:p w:rsidR="004D6F0E" w:rsidRDefault="00490F21">
            <w:pPr>
              <w:spacing w:after="848" w:line="259" w:lineRule="auto"/>
              <w:ind w:left="115" w:firstLine="0"/>
            </w:pPr>
            <w:r>
              <w:rPr>
                <w:rFonts w:ascii="Arial" w:eastAsia="Arial" w:hAnsi="Arial" w:cs="Arial"/>
                <w:sz w:val="18"/>
              </w:rPr>
              <w:t xml:space="preserve">BY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vAlign w:val="bottom"/>
          </w:tcPr>
          <w:p w:rsidR="004D6F0E" w:rsidRDefault="00490F21">
            <w:pPr>
              <w:spacing w:after="828"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vAlign w:val="bottom"/>
          </w:tcPr>
          <w:p w:rsidR="004D6F0E" w:rsidRDefault="00490F21">
            <w:pPr>
              <w:spacing w:after="816" w:line="259" w:lineRule="auto"/>
              <w:ind w:left="0" w:firstLine="0"/>
            </w:pPr>
            <w:r>
              <w:rPr>
                <w:rFonts w:ascii="Arial" w:eastAsia="Arial" w:hAnsi="Arial" w:cs="Arial"/>
                <w:sz w:val="18"/>
              </w:rPr>
              <w:t xml:space="preserve">1.45% </w:t>
            </w:r>
          </w:p>
          <w:p w:rsidR="004D6F0E" w:rsidRDefault="00490F21">
            <w:pPr>
              <w:spacing w:after="0" w:line="259" w:lineRule="auto"/>
              <w:ind w:left="254" w:firstLine="0"/>
            </w:pPr>
            <w:r>
              <w:rPr>
                <w:rFonts w:ascii="Arial" w:eastAsia="Arial" w:hAnsi="Arial" w:cs="Arial"/>
                <w:sz w:val="18"/>
              </w:rPr>
              <w:t xml:space="preserve"> </w:t>
            </w:r>
          </w:p>
        </w:tc>
        <w:tc>
          <w:tcPr>
            <w:tcW w:w="1771" w:type="dxa"/>
            <w:tcBorders>
              <w:top w:val="nil"/>
              <w:left w:val="nil"/>
              <w:bottom w:val="nil"/>
              <w:right w:val="nil"/>
            </w:tcBorders>
            <w:vAlign w:val="bottom"/>
          </w:tcPr>
          <w:p w:rsidR="004D6F0E" w:rsidRDefault="00490F21">
            <w:pPr>
              <w:spacing w:after="816" w:line="259" w:lineRule="auto"/>
              <w:ind w:left="0" w:firstLine="0"/>
            </w:pPr>
            <w:r>
              <w:rPr>
                <w:rFonts w:ascii="Arial" w:eastAsia="Arial" w:hAnsi="Arial" w:cs="Arial"/>
                <w:sz w:val="18"/>
              </w:rPr>
              <w:t xml:space="preserve">0.72% </w:t>
            </w:r>
          </w:p>
          <w:p w:rsidR="004D6F0E" w:rsidRDefault="00490F21">
            <w:pPr>
              <w:spacing w:after="0" w:line="259" w:lineRule="auto"/>
              <w:ind w:left="254" w:firstLine="0"/>
            </w:pPr>
            <w:r>
              <w:rPr>
                <w:rFonts w:ascii="Arial" w:eastAsia="Arial" w:hAnsi="Arial" w:cs="Arial"/>
                <w:sz w:val="18"/>
              </w:rPr>
              <w:t xml:space="preserve"> </w:t>
            </w:r>
          </w:p>
        </w:tc>
        <w:tc>
          <w:tcPr>
            <w:tcW w:w="1793" w:type="dxa"/>
            <w:gridSpan w:val="2"/>
            <w:tcBorders>
              <w:top w:val="nil"/>
              <w:left w:val="nil"/>
              <w:bottom w:val="nil"/>
              <w:right w:val="nil"/>
            </w:tcBorders>
          </w:tcPr>
          <w:p w:rsidR="004D6F0E" w:rsidRDefault="00490F21">
            <w:pPr>
              <w:spacing w:after="28"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=4.50% </w:t>
            </w:r>
          </w:p>
          <w:p w:rsidR="004D6F0E" w:rsidRDefault="00490F21">
            <w:pPr>
              <w:spacing w:after="30" w:line="259" w:lineRule="auto"/>
              <w:ind w:left="201" w:firstLine="0"/>
            </w:pPr>
            <w:r>
              <w:rPr>
                <w:rFonts w:ascii="Arial" w:eastAsia="Arial" w:hAnsi="Arial" w:cs="Arial"/>
                <w:sz w:val="18"/>
              </w:rPr>
              <w:t xml:space="preserve">1–2 </w:t>
            </w:r>
            <w:r>
              <w:rPr>
                <w:sz w:val="18"/>
              </w:rPr>
              <w:t>年</w:t>
            </w:r>
            <w:r>
              <w:rPr>
                <w:rFonts w:ascii="Arial" w:eastAsia="Arial" w:hAnsi="Arial" w:cs="Arial"/>
                <w:sz w:val="18"/>
              </w:rPr>
              <w:t xml:space="preserve">=3.75% </w:t>
            </w:r>
          </w:p>
          <w:p w:rsidR="004D6F0E" w:rsidRDefault="00490F21">
            <w:pPr>
              <w:spacing w:after="30"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=3.25%  </w:t>
            </w:r>
          </w:p>
          <w:p w:rsidR="004D6F0E" w:rsidRDefault="00490F21">
            <w:pPr>
              <w:spacing w:after="27" w:line="259" w:lineRule="auto"/>
              <w:ind w:left="221" w:firstLine="0"/>
            </w:pPr>
            <w:r>
              <w:rPr>
                <w:rFonts w:ascii="Arial" w:eastAsia="Arial" w:hAnsi="Arial" w:cs="Arial"/>
                <w:sz w:val="18"/>
              </w:rPr>
              <w:t xml:space="preserve">3-4 </w:t>
            </w:r>
            <w:r>
              <w:rPr>
                <w:sz w:val="18"/>
              </w:rPr>
              <w:t>年</w:t>
            </w:r>
            <w:r>
              <w:rPr>
                <w:rFonts w:ascii="Arial" w:eastAsia="Arial" w:hAnsi="Arial" w:cs="Arial"/>
                <w:sz w:val="18"/>
              </w:rPr>
              <w:t xml:space="preserve">=2.50% </w:t>
            </w:r>
          </w:p>
          <w:p w:rsidR="004D6F0E" w:rsidRDefault="00490F21">
            <w:pPr>
              <w:spacing w:after="30" w:line="259" w:lineRule="auto"/>
              <w:ind w:left="221" w:firstLine="0"/>
            </w:pPr>
            <w:r>
              <w:rPr>
                <w:rFonts w:ascii="Arial" w:eastAsia="Arial" w:hAnsi="Arial" w:cs="Arial"/>
                <w:sz w:val="18"/>
              </w:rPr>
              <w:t xml:space="preserve">4-5 </w:t>
            </w:r>
            <w:r>
              <w:rPr>
                <w:sz w:val="18"/>
              </w:rPr>
              <w:t>年</w:t>
            </w:r>
            <w:r>
              <w:rPr>
                <w:rFonts w:ascii="Arial" w:eastAsia="Arial" w:hAnsi="Arial" w:cs="Arial"/>
                <w:sz w:val="18"/>
              </w:rPr>
              <w:t xml:space="preserve">=2.00% </w:t>
            </w:r>
          </w:p>
          <w:p w:rsidR="004D6F0E" w:rsidRDefault="00490F21">
            <w:pPr>
              <w:spacing w:after="27" w:line="259" w:lineRule="auto"/>
              <w:ind w:left="221" w:firstLine="0"/>
            </w:pPr>
            <w:r>
              <w:rPr>
                <w:rFonts w:ascii="Arial" w:eastAsia="Arial" w:hAnsi="Arial" w:cs="Arial"/>
                <w:sz w:val="18"/>
              </w:rPr>
              <w:t xml:space="preserve">5-6 </w:t>
            </w:r>
            <w:r>
              <w:rPr>
                <w:sz w:val="18"/>
              </w:rPr>
              <w:t>年</w:t>
            </w:r>
            <w:r>
              <w:rPr>
                <w:rFonts w:ascii="Arial" w:eastAsia="Arial" w:hAnsi="Arial" w:cs="Arial"/>
                <w:sz w:val="18"/>
              </w:rPr>
              <w:t xml:space="preserve">=1.25% </w:t>
            </w:r>
          </w:p>
          <w:p w:rsidR="004D6F0E" w:rsidRDefault="00490F21">
            <w:pPr>
              <w:spacing w:after="0" w:line="288" w:lineRule="auto"/>
              <w:ind w:left="247" w:right="123" w:hanging="26"/>
            </w:pPr>
            <w:r>
              <w:rPr>
                <w:rFonts w:ascii="Arial" w:eastAsia="Arial" w:hAnsi="Arial" w:cs="Arial"/>
                <w:sz w:val="18"/>
              </w:rPr>
              <w:t xml:space="preserve">6-7 </w:t>
            </w:r>
            <w:r>
              <w:rPr>
                <w:sz w:val="18"/>
              </w:rPr>
              <w:t>年</w:t>
            </w:r>
            <w:r>
              <w:rPr>
                <w:rFonts w:ascii="Arial" w:eastAsia="Arial" w:hAnsi="Arial" w:cs="Arial"/>
                <w:sz w:val="18"/>
              </w:rPr>
              <w:t xml:space="preserve">=0.75% 7 </w:t>
            </w:r>
            <w:r>
              <w:rPr>
                <w:sz w:val="18"/>
              </w:rPr>
              <w:t>年以上</w:t>
            </w:r>
            <w:r>
              <w:rPr>
                <w:rFonts w:ascii="Arial" w:eastAsia="Arial" w:hAnsi="Arial" w:cs="Arial"/>
                <w:sz w:val="18"/>
              </w:rPr>
              <w:t xml:space="preserve">=0% </w:t>
            </w:r>
          </w:p>
          <w:p w:rsidR="004D6F0E" w:rsidRDefault="00490F21">
            <w:pPr>
              <w:spacing w:after="0" w:line="259" w:lineRule="auto"/>
              <w:ind w:left="701" w:firstLine="0"/>
            </w:pPr>
            <w:r>
              <w:rPr>
                <w:rFonts w:ascii="Arial" w:eastAsia="Arial" w:hAnsi="Arial" w:cs="Arial"/>
                <w:sz w:val="18"/>
              </w:rPr>
              <w:t xml:space="preserve"> </w:t>
            </w:r>
          </w:p>
        </w:tc>
      </w:tr>
      <w:tr w:rsidR="004D6F0E">
        <w:tblPrEx>
          <w:tblCellMar>
            <w:top w:w="3" w:type="dxa"/>
            <w:bottom w:w="3" w:type="dxa"/>
            <w:right w:w="197" w:type="dxa"/>
          </w:tblCellMar>
        </w:tblPrEx>
        <w:trPr>
          <w:gridAfter w:val="1"/>
          <w:wAfter w:w="142" w:type="dxa"/>
          <w:trHeight w:val="233"/>
        </w:trPr>
        <w:tc>
          <w:tcPr>
            <w:tcW w:w="2832" w:type="dxa"/>
            <w:tcBorders>
              <w:top w:val="nil"/>
              <w:left w:val="nil"/>
              <w:bottom w:val="nil"/>
              <w:right w:val="nil"/>
            </w:tcBorders>
            <w:shd w:val="clear" w:color="auto" w:fill="D9D9D9"/>
          </w:tcPr>
          <w:p w:rsidR="004D6F0E" w:rsidRDefault="00490F21">
            <w:pPr>
              <w:tabs>
                <w:tab w:val="center" w:pos="2369"/>
              </w:tabs>
              <w:spacing w:after="0" w:line="259" w:lineRule="auto"/>
              <w:ind w:left="0" w:firstLine="0"/>
            </w:pPr>
            <w:r>
              <w:rPr>
                <w:sz w:val="18"/>
              </w:rPr>
              <w:t>英鎊計價股份類別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90F21">
            <w:pPr>
              <w:spacing w:after="0" w:line="259" w:lineRule="auto"/>
              <w:ind w:left="1486" w:firstLine="0"/>
              <w:jc w:val="center"/>
            </w:pPr>
            <w:r>
              <w:rPr>
                <w:rFonts w:ascii="Arial" w:eastAsia="Arial" w:hAnsi="Arial" w:cs="Arial"/>
                <w:sz w:val="18"/>
              </w:rPr>
              <w:t xml:space="preserve"> </w:t>
            </w:r>
          </w:p>
        </w:tc>
        <w:tc>
          <w:tcPr>
            <w:tcW w:w="2050" w:type="dxa"/>
            <w:tcBorders>
              <w:top w:val="nil"/>
              <w:left w:val="nil"/>
              <w:bottom w:val="nil"/>
              <w:right w:val="nil"/>
            </w:tcBorders>
            <w:shd w:val="clear" w:color="auto" w:fill="D9D9D9"/>
          </w:tcPr>
          <w:p w:rsidR="004D6F0E" w:rsidRDefault="00490F21">
            <w:pPr>
              <w:spacing w:after="0" w:line="259" w:lineRule="auto"/>
              <w:ind w:left="785" w:firstLine="0"/>
              <w:jc w:val="center"/>
            </w:pPr>
            <w:r>
              <w:rPr>
                <w:rFonts w:ascii="Arial" w:eastAsia="Arial" w:hAnsi="Arial" w:cs="Arial"/>
                <w:sz w:val="18"/>
              </w:rPr>
              <w:t xml:space="preserve"> </w:t>
            </w:r>
          </w:p>
        </w:tc>
        <w:tc>
          <w:tcPr>
            <w:tcW w:w="1771" w:type="dxa"/>
            <w:tcBorders>
              <w:top w:val="nil"/>
              <w:left w:val="nil"/>
              <w:bottom w:val="nil"/>
              <w:right w:val="nil"/>
            </w:tcBorders>
            <w:shd w:val="clear" w:color="auto" w:fill="D9D9D9"/>
          </w:tcPr>
          <w:p w:rsidR="004D6F0E" w:rsidRDefault="00490F21">
            <w:pPr>
              <w:spacing w:after="0" w:line="259" w:lineRule="auto"/>
              <w:ind w:left="0" w:right="27" w:firstLine="0"/>
              <w:jc w:val="right"/>
            </w:pPr>
            <w:r>
              <w:rPr>
                <w:rFonts w:ascii="Arial" w:eastAsia="Arial" w:hAnsi="Arial" w:cs="Arial"/>
                <w:sz w:val="18"/>
              </w:rPr>
              <w:t xml:space="preserve"> </w:t>
            </w:r>
          </w:p>
        </w:tc>
        <w:tc>
          <w:tcPr>
            <w:tcW w:w="1793" w:type="dxa"/>
            <w:gridSpan w:val="2"/>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ind w:left="111" w:right="13" w:hanging="1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1.50% </w:t>
      </w:r>
      <w:r>
        <w:rPr>
          <w:rFonts w:ascii="Arial" w:eastAsia="Arial" w:hAnsi="Arial" w:cs="Arial"/>
          <w:sz w:val="18"/>
        </w:rPr>
        <w:tab/>
        <w:t xml:space="preserve">0.90%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無聯博</w:t>
      </w:r>
      <w:r>
        <w:rPr>
          <w:sz w:val="18"/>
        </w:rPr>
        <w:t>—</w:t>
      </w:r>
      <w:r>
        <w:rPr>
          <w:sz w:val="18"/>
        </w:rPr>
        <w:t>亞洲（日本以外）股票基金</w:t>
      </w:r>
    </w:p>
    <w:p w:rsidR="004D6F0E" w:rsidRDefault="00490F21">
      <w:pPr>
        <w:spacing w:after="0" w:line="259" w:lineRule="auto"/>
        <w:ind w:left="0" w:firstLine="0"/>
      </w:pPr>
      <w:r>
        <w:rPr>
          <w:rFonts w:ascii="Times New Roman" w:eastAsia="Times New Roman" w:hAnsi="Times New Roman" w:cs="Times New Roman"/>
        </w:rPr>
        <w:t xml:space="preserve"> </w:t>
      </w:r>
    </w:p>
    <w:p w:rsidR="004D6F0E" w:rsidRDefault="00490F21">
      <w:pPr>
        <w:spacing w:after="0" w:line="259" w:lineRule="auto"/>
        <w:ind w:left="101"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0788" w:type="dxa"/>
        <w:tblInd w:w="-14" w:type="dxa"/>
        <w:tblCellMar>
          <w:top w:w="0" w:type="dxa"/>
          <w:left w:w="0" w:type="dxa"/>
          <w:bottom w:w="0" w:type="dxa"/>
          <w:right w:w="202" w:type="dxa"/>
        </w:tblCellMar>
        <w:tblLook w:val="04A0" w:firstRow="1" w:lastRow="0" w:firstColumn="1" w:lastColumn="0" w:noHBand="0" w:noVBand="1"/>
      </w:tblPr>
      <w:tblGrid>
        <w:gridCol w:w="2832"/>
        <w:gridCol w:w="2342"/>
        <w:gridCol w:w="2050"/>
        <w:gridCol w:w="1750"/>
        <w:gridCol w:w="1814"/>
      </w:tblGrid>
      <w:tr w:rsidR="004D6F0E">
        <w:trPr>
          <w:trHeight w:val="233"/>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551"/>
        </w:trPr>
        <w:tc>
          <w:tcPr>
            <w:tcW w:w="2832" w:type="dxa"/>
            <w:tcBorders>
              <w:top w:val="nil"/>
              <w:left w:val="nil"/>
              <w:bottom w:val="nil"/>
              <w:right w:val="nil"/>
            </w:tcBorders>
            <w:vAlign w:val="bottom"/>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 </w:t>
            </w:r>
          </w:p>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050"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18"/>
              </w:rPr>
              <w:t xml:space="preserve">1.70% </w:t>
            </w:r>
          </w:p>
        </w:tc>
        <w:tc>
          <w:tcPr>
            <w:tcW w:w="1750" w:type="dxa"/>
            <w:tcBorders>
              <w:top w:val="nil"/>
              <w:left w:val="nil"/>
              <w:bottom w:val="nil"/>
              <w:right w:val="nil"/>
            </w:tcBorders>
            <w:vAlign w:val="bottom"/>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vAlign w:val="bottom"/>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566"/>
        </w:trPr>
        <w:tc>
          <w:tcPr>
            <w:tcW w:w="2832" w:type="dxa"/>
            <w:tcBorders>
              <w:top w:val="nil"/>
              <w:left w:val="nil"/>
              <w:bottom w:val="nil"/>
              <w:right w:val="nil"/>
            </w:tcBorders>
            <w:vAlign w:val="bottom"/>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106" w:line="259" w:lineRule="auto"/>
              <w:ind w:left="547" w:firstLine="0"/>
            </w:pPr>
            <w:r>
              <w:rPr>
                <w:rFonts w:ascii="Arial" w:eastAsia="Arial" w:hAnsi="Arial" w:cs="Arial"/>
                <w:sz w:val="18"/>
              </w:rPr>
              <w:t xml:space="preserve"> </w:t>
            </w:r>
          </w:p>
          <w:p w:rsidR="004D6F0E" w:rsidRDefault="00490F21">
            <w:pPr>
              <w:spacing w:after="0" w:line="259" w:lineRule="auto"/>
              <w:ind w:left="459" w:firstLine="0"/>
            </w:pPr>
            <w:r>
              <w:rPr>
                <w:sz w:val="18"/>
              </w:rPr>
              <w:t>無</w:t>
            </w:r>
            <w:r>
              <w:rPr>
                <w:rFonts w:ascii="Arial" w:eastAsia="Arial" w:hAnsi="Arial" w:cs="Arial"/>
                <w:sz w:val="18"/>
              </w:rPr>
              <w:t xml:space="preserve"> </w:t>
            </w:r>
          </w:p>
        </w:tc>
        <w:tc>
          <w:tcPr>
            <w:tcW w:w="2050"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18"/>
              </w:rPr>
              <w:t xml:space="preserve">2.15% </w:t>
            </w:r>
          </w:p>
        </w:tc>
        <w:tc>
          <w:tcPr>
            <w:tcW w:w="1750"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vAlign w:val="bottom"/>
          </w:tcPr>
          <w:p w:rsidR="004D6F0E" w:rsidRDefault="00490F21">
            <w:pPr>
              <w:spacing w:after="0" w:line="259" w:lineRule="auto"/>
              <w:ind w:left="360" w:hanging="314"/>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0"/>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175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6"/>
        </w:trPr>
        <w:tc>
          <w:tcPr>
            <w:tcW w:w="283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9"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3"/>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239"/>
        </w:trPr>
        <w:tc>
          <w:tcPr>
            <w:tcW w:w="28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75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7"/>
        </w:trPr>
        <w:tc>
          <w:tcPr>
            <w:tcW w:w="2832"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lastRenderedPageBreak/>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9"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3"/>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b/>
                <w:sz w:val="18"/>
              </w:rPr>
              <w:t xml:space="preserve"> </w:t>
            </w:r>
          </w:p>
        </w:tc>
        <w:tc>
          <w:tcPr>
            <w:tcW w:w="2342" w:type="dxa"/>
            <w:tcBorders>
              <w:top w:val="nil"/>
              <w:left w:val="nil"/>
              <w:bottom w:val="nil"/>
              <w:right w:val="nil"/>
            </w:tcBorders>
            <w:shd w:val="clear" w:color="auto" w:fill="D9D9D9"/>
          </w:tcPr>
          <w:p w:rsidR="004D6F0E" w:rsidRDefault="004D6F0E">
            <w:pPr>
              <w:spacing w:after="160" w:line="259" w:lineRule="auto"/>
              <w:ind w:left="0" w:firstLine="0"/>
            </w:pPr>
          </w:p>
        </w:tc>
        <w:tc>
          <w:tcPr>
            <w:tcW w:w="2050" w:type="dxa"/>
            <w:tcBorders>
              <w:top w:val="nil"/>
              <w:left w:val="nil"/>
              <w:bottom w:val="nil"/>
              <w:right w:val="nil"/>
            </w:tcBorders>
            <w:shd w:val="clear" w:color="auto" w:fill="D9D9D9"/>
          </w:tcPr>
          <w:p w:rsidR="004D6F0E" w:rsidRDefault="004D6F0E">
            <w:pPr>
              <w:spacing w:after="160" w:line="259" w:lineRule="auto"/>
              <w:ind w:left="0" w:firstLine="0"/>
            </w:pPr>
          </w:p>
        </w:tc>
        <w:tc>
          <w:tcPr>
            <w:tcW w:w="1750"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70"/>
        </w:trPr>
        <w:tc>
          <w:tcPr>
            <w:tcW w:w="2832" w:type="dxa"/>
            <w:tcBorders>
              <w:top w:val="nil"/>
              <w:left w:val="nil"/>
              <w:bottom w:val="nil"/>
              <w:right w:val="nil"/>
            </w:tcBorders>
          </w:tcPr>
          <w:p w:rsidR="004D6F0E" w:rsidRDefault="00490F21">
            <w:pPr>
              <w:spacing w:after="24"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澳元及</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342"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5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750"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vAlign w:val="center"/>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68"/>
        </w:trPr>
        <w:tc>
          <w:tcPr>
            <w:tcW w:w="283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342"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05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2.15% </w:t>
            </w:r>
          </w:p>
        </w:tc>
        <w:tc>
          <w:tcPr>
            <w:tcW w:w="1750"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936"/>
        </w:trPr>
        <w:tc>
          <w:tcPr>
            <w:tcW w:w="283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342"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05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75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14" w:type="dxa"/>
            <w:tcBorders>
              <w:top w:val="nil"/>
              <w:left w:val="nil"/>
              <w:bottom w:val="nil"/>
              <w:right w:val="nil"/>
            </w:tcBorders>
          </w:tcPr>
          <w:p w:rsidR="004D6F0E" w:rsidRDefault="00490F21">
            <w:pPr>
              <w:spacing w:after="28"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675"/>
        </w:trPr>
        <w:tc>
          <w:tcPr>
            <w:tcW w:w="2832" w:type="dxa"/>
            <w:tcBorders>
              <w:top w:val="nil"/>
              <w:left w:val="nil"/>
              <w:bottom w:val="nil"/>
              <w:right w:val="nil"/>
            </w:tcBorders>
          </w:tcPr>
          <w:p w:rsidR="004D6F0E" w:rsidRDefault="00490F21">
            <w:pPr>
              <w:spacing w:after="16"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澳元及</w:t>
            </w:r>
            <w:r>
              <w:rPr>
                <w:rFonts w:ascii="Arial" w:eastAsia="Arial" w:hAnsi="Arial" w:cs="Arial"/>
                <w:sz w:val="18"/>
              </w:rPr>
              <w:t xml:space="preserve"> </w:t>
            </w:r>
          </w:p>
          <w:p w:rsidR="004D6F0E" w:rsidRDefault="00490F21">
            <w:pPr>
              <w:spacing w:after="24" w:line="259" w:lineRule="auto"/>
              <w:ind w:left="115" w:firstLine="0"/>
            </w:pPr>
            <w:r>
              <w:rPr>
                <w:rFonts w:ascii="Arial" w:eastAsia="Arial" w:hAnsi="Arial" w:cs="Arial"/>
                <w:sz w:val="18"/>
              </w:rPr>
              <w:t xml:space="preserve">ID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vAlign w:val="bottom"/>
          </w:tcPr>
          <w:p w:rsidR="004D6F0E" w:rsidRDefault="00490F21">
            <w:pPr>
              <w:spacing w:after="129"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vAlign w:val="bottom"/>
          </w:tcPr>
          <w:p w:rsidR="004D6F0E" w:rsidRDefault="00490F21">
            <w:pPr>
              <w:spacing w:after="115" w:line="259" w:lineRule="auto"/>
              <w:ind w:left="0" w:firstLine="0"/>
            </w:pPr>
            <w:r>
              <w:rPr>
                <w:rFonts w:ascii="Arial" w:eastAsia="Arial" w:hAnsi="Arial" w:cs="Arial"/>
                <w:sz w:val="18"/>
              </w:rPr>
              <w:t xml:space="preserve">0.90%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vAlign w:val="bottom"/>
          </w:tcPr>
          <w:p w:rsidR="004D6F0E" w:rsidRDefault="00490F21">
            <w:pPr>
              <w:spacing w:after="125"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vAlign w:val="bottom"/>
          </w:tcPr>
          <w:p w:rsidR="004D6F0E" w:rsidRDefault="00490F21">
            <w:pPr>
              <w:spacing w:after="125"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5"/>
        </w:trPr>
        <w:tc>
          <w:tcPr>
            <w:tcW w:w="2832" w:type="dxa"/>
            <w:tcBorders>
              <w:top w:val="nil"/>
              <w:left w:val="nil"/>
              <w:bottom w:val="nil"/>
              <w:right w:val="nil"/>
            </w:tcBorders>
            <w:shd w:val="clear" w:color="auto" w:fill="D9D9D9"/>
          </w:tcPr>
          <w:p w:rsidR="004D6F0E" w:rsidRDefault="00490F21">
            <w:pPr>
              <w:tabs>
                <w:tab w:val="center" w:pos="2369"/>
              </w:tabs>
              <w:spacing w:after="0" w:line="259" w:lineRule="auto"/>
              <w:ind w:left="0" w:firstLine="0"/>
            </w:pPr>
            <w:r>
              <w:rPr>
                <w:sz w:val="18"/>
              </w:rPr>
              <w:t>新加坡元對沖股份類別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90F21">
            <w:pPr>
              <w:spacing w:after="0" w:line="259" w:lineRule="auto"/>
              <w:ind w:left="1490" w:firstLine="0"/>
              <w:jc w:val="center"/>
            </w:pPr>
            <w:r>
              <w:rPr>
                <w:rFonts w:ascii="Arial" w:eastAsia="Arial" w:hAnsi="Arial" w:cs="Arial"/>
                <w:sz w:val="18"/>
              </w:rPr>
              <w:t xml:space="preserve"> </w:t>
            </w:r>
          </w:p>
        </w:tc>
        <w:tc>
          <w:tcPr>
            <w:tcW w:w="2050" w:type="dxa"/>
            <w:tcBorders>
              <w:top w:val="nil"/>
              <w:left w:val="nil"/>
              <w:bottom w:val="nil"/>
              <w:right w:val="nil"/>
            </w:tcBorders>
            <w:shd w:val="clear" w:color="auto" w:fill="D9D9D9"/>
          </w:tcPr>
          <w:p w:rsidR="004D6F0E" w:rsidRDefault="00490F21">
            <w:pPr>
              <w:spacing w:after="0" w:line="259" w:lineRule="auto"/>
              <w:ind w:left="790" w:firstLine="0"/>
              <w:jc w:val="center"/>
            </w:pPr>
            <w:r>
              <w:rPr>
                <w:rFonts w:ascii="Arial" w:eastAsia="Arial" w:hAnsi="Arial" w:cs="Arial"/>
                <w:sz w:val="18"/>
              </w:rPr>
              <w:t xml:space="preserve"> </w:t>
            </w:r>
          </w:p>
        </w:tc>
        <w:tc>
          <w:tcPr>
            <w:tcW w:w="1750"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674"/>
        </w:trPr>
        <w:tc>
          <w:tcPr>
            <w:tcW w:w="2832" w:type="dxa"/>
            <w:tcBorders>
              <w:top w:val="nil"/>
              <w:left w:val="nil"/>
              <w:bottom w:val="nil"/>
              <w:right w:val="nil"/>
            </w:tcBorders>
          </w:tcPr>
          <w:p w:rsidR="004D6F0E" w:rsidRDefault="00490F21">
            <w:pPr>
              <w:spacing w:after="21"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新加坡元及</w:t>
            </w:r>
            <w:r>
              <w:rPr>
                <w:rFonts w:ascii="Arial" w:eastAsia="Arial" w:hAnsi="Arial" w:cs="Arial"/>
                <w:sz w:val="18"/>
              </w:rPr>
              <w:t xml:space="preserve"> </w:t>
            </w:r>
          </w:p>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vAlign w:val="bottom"/>
          </w:tcPr>
          <w:p w:rsidR="004D6F0E" w:rsidRDefault="00490F21">
            <w:pPr>
              <w:spacing w:after="129"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vAlign w:val="bottom"/>
          </w:tcPr>
          <w:p w:rsidR="004D6F0E" w:rsidRDefault="00490F21">
            <w:pPr>
              <w:spacing w:after="115" w:line="259" w:lineRule="auto"/>
              <w:ind w:left="0" w:firstLine="0"/>
            </w:pPr>
            <w:r>
              <w:rPr>
                <w:rFonts w:ascii="Arial" w:eastAsia="Arial" w:hAnsi="Arial" w:cs="Arial"/>
                <w:sz w:val="18"/>
              </w:rPr>
              <w:t xml:space="preserve">1.70%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vAlign w:val="bottom"/>
          </w:tcPr>
          <w:p w:rsidR="004D6F0E" w:rsidRDefault="00490F21">
            <w:pPr>
              <w:spacing w:after="125"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vAlign w:val="bottom"/>
          </w:tcPr>
          <w:p w:rsidR="004D6F0E" w:rsidRDefault="00490F21">
            <w:pPr>
              <w:spacing w:after="125"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5"/>
        </w:trPr>
        <w:tc>
          <w:tcPr>
            <w:tcW w:w="2832" w:type="dxa"/>
            <w:tcBorders>
              <w:top w:val="nil"/>
              <w:left w:val="nil"/>
              <w:bottom w:val="nil"/>
              <w:right w:val="nil"/>
            </w:tcBorders>
            <w:shd w:val="clear" w:color="auto" w:fill="D9D9D9"/>
          </w:tcPr>
          <w:p w:rsidR="004D6F0E" w:rsidRDefault="00490F21">
            <w:pPr>
              <w:tabs>
                <w:tab w:val="center" w:pos="2369"/>
              </w:tabs>
              <w:spacing w:after="0" w:line="259" w:lineRule="auto"/>
              <w:ind w:left="0" w:firstLine="0"/>
            </w:pPr>
            <w:r>
              <w:rPr>
                <w:sz w:val="18"/>
              </w:rPr>
              <w:t>加元對沖股份類別</w:t>
            </w:r>
            <w:r>
              <w:rPr>
                <w:rFonts w:ascii="Arial" w:eastAsia="Arial" w:hAnsi="Arial" w:cs="Arial"/>
                <w:sz w:val="18"/>
              </w:rPr>
              <w:t xml:space="preserve"> </w:t>
            </w:r>
            <w:r>
              <w:rPr>
                <w:rFonts w:ascii="Arial" w:eastAsia="Arial" w:hAnsi="Arial" w:cs="Arial"/>
                <w:sz w:val="18"/>
              </w:rPr>
              <w:tab/>
              <w:t xml:space="preserve"> </w:t>
            </w:r>
          </w:p>
        </w:tc>
        <w:tc>
          <w:tcPr>
            <w:tcW w:w="2342" w:type="dxa"/>
            <w:tcBorders>
              <w:top w:val="nil"/>
              <w:left w:val="nil"/>
              <w:bottom w:val="nil"/>
              <w:right w:val="nil"/>
            </w:tcBorders>
            <w:shd w:val="clear" w:color="auto" w:fill="D9D9D9"/>
          </w:tcPr>
          <w:p w:rsidR="004D6F0E" w:rsidRDefault="00490F21">
            <w:pPr>
              <w:spacing w:after="0" w:line="259" w:lineRule="auto"/>
              <w:ind w:left="1490" w:firstLine="0"/>
              <w:jc w:val="center"/>
            </w:pPr>
            <w:r>
              <w:rPr>
                <w:rFonts w:ascii="Arial" w:eastAsia="Arial" w:hAnsi="Arial" w:cs="Arial"/>
                <w:sz w:val="18"/>
              </w:rPr>
              <w:t xml:space="preserve"> </w:t>
            </w:r>
          </w:p>
        </w:tc>
        <w:tc>
          <w:tcPr>
            <w:tcW w:w="2050" w:type="dxa"/>
            <w:tcBorders>
              <w:top w:val="nil"/>
              <w:left w:val="nil"/>
              <w:bottom w:val="nil"/>
              <w:right w:val="nil"/>
            </w:tcBorders>
            <w:shd w:val="clear" w:color="auto" w:fill="D9D9D9"/>
          </w:tcPr>
          <w:p w:rsidR="004D6F0E" w:rsidRDefault="00490F21">
            <w:pPr>
              <w:spacing w:after="0" w:line="259" w:lineRule="auto"/>
              <w:ind w:left="790" w:firstLine="0"/>
              <w:jc w:val="center"/>
            </w:pPr>
            <w:r>
              <w:rPr>
                <w:rFonts w:ascii="Arial" w:eastAsia="Arial" w:hAnsi="Arial" w:cs="Arial"/>
                <w:sz w:val="18"/>
              </w:rPr>
              <w:t xml:space="preserve"> </w:t>
            </w:r>
          </w:p>
        </w:tc>
        <w:tc>
          <w:tcPr>
            <w:tcW w:w="1750"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832"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5"/>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D6F0E">
            <w:pPr>
              <w:spacing w:after="160" w:line="259" w:lineRule="auto"/>
              <w:ind w:left="0" w:firstLine="0"/>
            </w:pPr>
          </w:p>
        </w:tc>
        <w:tc>
          <w:tcPr>
            <w:tcW w:w="2050" w:type="dxa"/>
            <w:tcBorders>
              <w:top w:val="nil"/>
              <w:left w:val="nil"/>
              <w:bottom w:val="nil"/>
              <w:right w:val="nil"/>
            </w:tcBorders>
            <w:shd w:val="clear" w:color="auto" w:fill="D9D9D9"/>
          </w:tcPr>
          <w:p w:rsidR="004D6F0E" w:rsidRDefault="004D6F0E">
            <w:pPr>
              <w:spacing w:after="160" w:line="259" w:lineRule="auto"/>
              <w:ind w:left="0" w:firstLine="0"/>
            </w:pPr>
          </w:p>
        </w:tc>
        <w:tc>
          <w:tcPr>
            <w:tcW w:w="1750"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14" w:line="259" w:lineRule="auto"/>
              <w:ind w:left="14"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62" w:firstLine="0"/>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3"/>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人民幣</w:t>
            </w:r>
            <w:r>
              <w:rPr>
                <w:rFonts w:ascii="Arial" w:eastAsia="Arial" w:hAnsi="Arial" w:cs="Arial"/>
                <w:b/>
                <w:sz w:val="18"/>
                <w:vertAlign w:val="superscript"/>
              </w:rPr>
              <w:t>*</w:t>
            </w:r>
            <w:r>
              <w:rPr>
                <w:sz w:val="18"/>
              </w:rPr>
              <w:t>對沖股份類別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D6F0E">
            <w:pPr>
              <w:spacing w:after="160" w:line="259" w:lineRule="auto"/>
              <w:ind w:left="0" w:firstLine="0"/>
            </w:pPr>
          </w:p>
        </w:tc>
        <w:tc>
          <w:tcPr>
            <w:tcW w:w="2050" w:type="dxa"/>
            <w:tcBorders>
              <w:top w:val="nil"/>
              <w:left w:val="nil"/>
              <w:bottom w:val="nil"/>
              <w:right w:val="nil"/>
            </w:tcBorders>
            <w:shd w:val="clear" w:color="auto" w:fill="D9D9D9"/>
          </w:tcPr>
          <w:p w:rsidR="004D6F0E" w:rsidRDefault="004D6F0E">
            <w:pPr>
              <w:spacing w:after="160" w:line="259" w:lineRule="auto"/>
              <w:ind w:left="0" w:firstLine="0"/>
            </w:pPr>
          </w:p>
        </w:tc>
        <w:tc>
          <w:tcPr>
            <w:tcW w:w="1750"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2" w:type="dxa"/>
            <w:tcBorders>
              <w:top w:val="nil"/>
              <w:left w:val="nil"/>
              <w:bottom w:val="nil"/>
              <w:right w:val="nil"/>
            </w:tcBorders>
          </w:tcPr>
          <w:p w:rsidR="004D6F0E" w:rsidRDefault="00490F21">
            <w:pPr>
              <w:spacing w:after="1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2342" w:type="dxa"/>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75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D6F0E">
            <w:pPr>
              <w:spacing w:after="160" w:line="259" w:lineRule="auto"/>
              <w:ind w:left="0" w:firstLine="0"/>
            </w:pPr>
          </w:p>
        </w:tc>
        <w:tc>
          <w:tcPr>
            <w:tcW w:w="2050" w:type="dxa"/>
            <w:tcBorders>
              <w:top w:val="nil"/>
              <w:left w:val="nil"/>
              <w:bottom w:val="nil"/>
              <w:right w:val="nil"/>
            </w:tcBorders>
            <w:shd w:val="clear" w:color="auto" w:fill="D9D9D9"/>
          </w:tcPr>
          <w:p w:rsidR="004D6F0E" w:rsidRDefault="004D6F0E">
            <w:pPr>
              <w:spacing w:after="160" w:line="259" w:lineRule="auto"/>
              <w:ind w:left="0" w:firstLine="0"/>
            </w:pPr>
          </w:p>
        </w:tc>
        <w:tc>
          <w:tcPr>
            <w:tcW w:w="1750"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2"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12" w:line="259" w:lineRule="auto"/>
              <w:ind w:left="14"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62" w:firstLine="0"/>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3"/>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D6F0E">
            <w:pPr>
              <w:spacing w:after="160" w:line="259" w:lineRule="auto"/>
              <w:ind w:left="0" w:firstLine="0"/>
            </w:pPr>
          </w:p>
        </w:tc>
        <w:tc>
          <w:tcPr>
            <w:tcW w:w="2050" w:type="dxa"/>
            <w:tcBorders>
              <w:top w:val="nil"/>
              <w:left w:val="nil"/>
              <w:bottom w:val="nil"/>
              <w:right w:val="nil"/>
            </w:tcBorders>
            <w:shd w:val="clear" w:color="auto" w:fill="D9D9D9"/>
          </w:tcPr>
          <w:p w:rsidR="004D6F0E" w:rsidRDefault="004D6F0E">
            <w:pPr>
              <w:spacing w:after="160" w:line="259" w:lineRule="auto"/>
              <w:ind w:left="0" w:firstLine="0"/>
            </w:pPr>
          </w:p>
        </w:tc>
        <w:tc>
          <w:tcPr>
            <w:tcW w:w="1750"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14" w:line="259" w:lineRule="auto"/>
              <w:ind w:left="14"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62" w:firstLine="0"/>
            </w:pPr>
            <w:r>
              <w:rPr>
                <w:rFonts w:ascii="Arial" w:eastAsia="Arial" w:hAnsi="Arial" w:cs="Arial"/>
                <w:sz w:val="18"/>
              </w:rPr>
              <w:t xml:space="preserve"> </w:t>
            </w:r>
          </w:p>
        </w:tc>
        <w:tc>
          <w:tcPr>
            <w:tcW w:w="20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254" w:firstLine="0"/>
            </w:pPr>
            <w:r>
              <w:rPr>
                <w:rFonts w:ascii="Arial" w:eastAsia="Arial" w:hAnsi="Arial" w:cs="Arial"/>
                <w:sz w:val="18"/>
              </w:rPr>
              <w:t xml:space="preserve"> </w:t>
            </w:r>
          </w:p>
        </w:tc>
        <w:tc>
          <w:tcPr>
            <w:tcW w:w="175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3"/>
        </w:trPr>
        <w:tc>
          <w:tcPr>
            <w:tcW w:w="2832"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sz w:val="18"/>
              </w:rPr>
              <w:t xml:space="preserve"> </w:t>
            </w:r>
          </w:p>
        </w:tc>
        <w:tc>
          <w:tcPr>
            <w:tcW w:w="2342" w:type="dxa"/>
            <w:tcBorders>
              <w:top w:val="nil"/>
              <w:left w:val="nil"/>
              <w:bottom w:val="nil"/>
              <w:right w:val="nil"/>
            </w:tcBorders>
            <w:shd w:val="clear" w:color="auto" w:fill="D9D9D9"/>
          </w:tcPr>
          <w:p w:rsidR="004D6F0E" w:rsidRDefault="004D6F0E">
            <w:pPr>
              <w:spacing w:after="160" w:line="259" w:lineRule="auto"/>
              <w:ind w:left="0" w:firstLine="0"/>
            </w:pPr>
          </w:p>
        </w:tc>
        <w:tc>
          <w:tcPr>
            <w:tcW w:w="2050" w:type="dxa"/>
            <w:tcBorders>
              <w:top w:val="nil"/>
              <w:left w:val="nil"/>
              <w:bottom w:val="nil"/>
              <w:right w:val="nil"/>
            </w:tcBorders>
            <w:shd w:val="clear" w:color="auto" w:fill="D9D9D9"/>
          </w:tcPr>
          <w:p w:rsidR="004D6F0E" w:rsidRDefault="004D6F0E">
            <w:pPr>
              <w:spacing w:after="160" w:line="259" w:lineRule="auto"/>
              <w:ind w:left="0" w:firstLine="0"/>
            </w:pPr>
          </w:p>
        </w:tc>
        <w:tc>
          <w:tcPr>
            <w:tcW w:w="1750"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D6F0E">
      <w:pPr>
        <w:sectPr w:rsidR="004D6F0E">
          <w:headerReference w:type="even" r:id="rId91"/>
          <w:headerReference w:type="default" r:id="rId92"/>
          <w:footerReference w:type="even" r:id="rId93"/>
          <w:footerReference w:type="default" r:id="rId94"/>
          <w:headerReference w:type="first" r:id="rId95"/>
          <w:footerReference w:type="first" r:id="rId96"/>
          <w:pgSz w:w="12240" w:h="15840"/>
          <w:pgMar w:top="746" w:right="720" w:bottom="541" w:left="432" w:header="720" w:footer="354" w:gutter="0"/>
          <w:cols w:space="720"/>
          <w:titlePg/>
        </w:sectPr>
      </w:pPr>
    </w:p>
    <w:tbl>
      <w:tblPr>
        <w:tblStyle w:val="TableGrid"/>
        <w:tblW w:w="5621" w:type="dxa"/>
        <w:tblInd w:w="101" w:type="dxa"/>
        <w:tblCellMar>
          <w:top w:w="3" w:type="dxa"/>
          <w:left w:w="0" w:type="dxa"/>
          <w:bottom w:w="0" w:type="dxa"/>
          <w:right w:w="0" w:type="dxa"/>
        </w:tblCellMar>
        <w:tblLook w:val="04A0" w:firstRow="1" w:lastRow="0" w:firstColumn="1" w:lastColumn="0" w:noHBand="0" w:noVBand="1"/>
      </w:tblPr>
      <w:tblGrid>
        <w:gridCol w:w="2718"/>
        <w:gridCol w:w="2342"/>
        <w:gridCol w:w="561"/>
      </w:tblGrid>
      <w:tr w:rsidR="004D6F0E">
        <w:trPr>
          <w:trHeight w:val="388"/>
        </w:trPr>
        <w:tc>
          <w:tcPr>
            <w:tcW w:w="2717"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2342" w:type="dxa"/>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1.70% </w:t>
            </w:r>
          </w:p>
        </w:tc>
      </w:tr>
      <w:tr w:rsidR="004D6F0E">
        <w:trPr>
          <w:trHeight w:val="392"/>
        </w:trPr>
        <w:tc>
          <w:tcPr>
            <w:tcW w:w="2717" w:type="dxa"/>
            <w:tcBorders>
              <w:top w:val="nil"/>
              <w:left w:val="nil"/>
              <w:bottom w:val="nil"/>
              <w:right w:val="nil"/>
            </w:tcBorders>
            <w:vAlign w:val="bottom"/>
          </w:tcPr>
          <w:p w:rsidR="004D6F0E" w:rsidRDefault="00490F21">
            <w:pPr>
              <w:spacing w:after="0" w:line="259" w:lineRule="auto"/>
              <w:ind w:left="0"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南非蘭特股份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342" w:type="dxa"/>
            <w:tcBorders>
              <w:top w:val="nil"/>
              <w:left w:val="nil"/>
              <w:bottom w:val="nil"/>
              <w:right w:val="nil"/>
            </w:tcBorders>
            <w:vAlign w:val="bottom"/>
          </w:tcPr>
          <w:p w:rsidR="004D6F0E" w:rsidRDefault="00490F21">
            <w:pPr>
              <w:spacing w:after="0" w:line="259" w:lineRule="auto"/>
              <w:ind w:left="473" w:firstLine="0"/>
            </w:pPr>
            <w:r>
              <w:rPr>
                <w:sz w:val="18"/>
              </w:rPr>
              <w:t>無</w:t>
            </w:r>
            <w:r>
              <w:rPr>
                <w:rFonts w:ascii="Arial" w:eastAsia="Arial" w:hAnsi="Arial" w:cs="Arial"/>
                <w:sz w:val="18"/>
              </w:rPr>
              <w:t xml:space="preserve"> </w:t>
            </w:r>
          </w:p>
        </w:tc>
        <w:tc>
          <w:tcPr>
            <w:tcW w:w="561" w:type="dxa"/>
            <w:tcBorders>
              <w:top w:val="nil"/>
              <w:left w:val="nil"/>
              <w:bottom w:val="nil"/>
              <w:right w:val="nil"/>
            </w:tcBorders>
            <w:vAlign w:val="bottom"/>
          </w:tcPr>
          <w:p w:rsidR="004D6F0E" w:rsidRDefault="00490F21">
            <w:pPr>
              <w:spacing w:after="0" w:line="259" w:lineRule="auto"/>
              <w:ind w:left="0" w:firstLine="0"/>
              <w:jc w:val="both"/>
            </w:pPr>
            <w:r>
              <w:rPr>
                <w:rFonts w:ascii="Arial" w:eastAsia="Arial" w:hAnsi="Arial" w:cs="Arial"/>
                <w:sz w:val="18"/>
              </w:rPr>
              <w:t xml:space="preserve">1.70% </w:t>
            </w:r>
          </w:p>
        </w:tc>
      </w:tr>
    </w:tbl>
    <w:p w:rsidR="004D6F0E" w:rsidRDefault="00490F21">
      <w:pPr>
        <w:spacing w:after="0" w:line="259" w:lineRule="auto"/>
        <w:ind w:left="0" w:firstLine="0"/>
      </w:pPr>
      <w:r>
        <w:rPr>
          <w:rFonts w:ascii="Arial" w:eastAsia="Arial" w:hAnsi="Arial" w:cs="Arial"/>
          <w:sz w:val="16"/>
        </w:rPr>
        <w:t xml:space="preserve"> </w:t>
      </w:r>
    </w:p>
    <w:p w:rsidR="004D6F0E" w:rsidRDefault="00490F21">
      <w:pPr>
        <w:numPr>
          <w:ilvl w:val="0"/>
          <w:numId w:val="13"/>
        </w:numPr>
        <w:spacing w:after="346"/>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tabs>
          <w:tab w:val="center" w:pos="1417"/>
          <w:tab w:val="center" w:pos="3635"/>
        </w:tabs>
        <w:spacing w:after="28" w:line="259" w:lineRule="auto"/>
        <w:ind w:left="0" w:firstLine="0"/>
      </w:pPr>
      <w:r>
        <w:rPr>
          <w:rFonts w:ascii="Calibri" w:eastAsia="Calibri" w:hAnsi="Calibri" w:cs="Calibri"/>
          <w:sz w:val="22"/>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spacing w:after="20"/>
        <w:ind w:left="2921" w:hanging="1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0"/>
        <w:ind w:left="3123" w:hanging="10"/>
        <w:jc w:val="both"/>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0"/>
        <w:ind w:left="1172" w:hanging="10"/>
        <w:jc w:val="both"/>
      </w:pPr>
      <w:r>
        <w:rPr>
          <w:rFonts w:ascii="Arial" w:eastAsia="Arial" w:hAnsi="Arial" w:cs="Arial"/>
          <w:sz w:val="18"/>
        </w:rPr>
        <w:t xml:space="preserve">1.00% </w:t>
      </w:r>
    </w:p>
    <w:p w:rsidR="004D6F0E" w:rsidRDefault="00490F21">
      <w:pPr>
        <w:spacing w:after="20"/>
        <w:ind w:left="3123" w:hanging="10"/>
        <w:jc w:val="both"/>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174"/>
        <w:ind w:left="3118" w:hanging="10"/>
        <w:jc w:val="both"/>
      </w:pPr>
      <w:r>
        <w:rPr>
          <w:rFonts w:ascii="Arial" w:eastAsia="Arial" w:hAnsi="Arial" w:cs="Arial"/>
          <w:sz w:val="18"/>
        </w:rPr>
        <w:t xml:space="preserve">3 </w:t>
      </w:r>
      <w:r>
        <w:rPr>
          <w:sz w:val="18"/>
        </w:rPr>
        <w:t>年以上</w:t>
      </w:r>
      <w:r>
        <w:rPr>
          <w:rFonts w:ascii="Arial" w:eastAsia="Arial" w:hAnsi="Arial" w:cs="Arial"/>
          <w:sz w:val="18"/>
        </w:rPr>
        <w:t xml:space="preserve">=0% </w:t>
      </w:r>
    </w:p>
    <w:p w:rsidR="004D6F0E" w:rsidRDefault="00490F21">
      <w:pPr>
        <w:spacing w:after="9" w:line="269" w:lineRule="auto"/>
        <w:ind w:left="354"/>
        <w:jc w:val="both"/>
      </w:pPr>
      <w:r>
        <w:rPr>
          <w:sz w:val="16"/>
        </w:rPr>
        <w:t>金以下股份類別（及相應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A(2.05%)</w:t>
      </w:r>
      <w:r>
        <w:rPr>
          <w:sz w:val="16"/>
        </w:rPr>
        <w:t>、</w:t>
      </w:r>
      <w:r>
        <w:rPr>
          <w:rFonts w:ascii="Arial" w:eastAsia="Arial" w:hAnsi="Arial" w:cs="Arial"/>
          <w:sz w:val="16"/>
        </w:rPr>
        <w:t>AD(2.05%)</w:t>
      </w:r>
      <w:r>
        <w:rPr>
          <w:sz w:val="16"/>
        </w:rPr>
        <w:t>、</w:t>
      </w:r>
      <w:r>
        <w:rPr>
          <w:rFonts w:ascii="Arial" w:eastAsia="Arial" w:hAnsi="Arial" w:cs="Arial"/>
          <w:sz w:val="16"/>
        </w:rPr>
        <w:t>AY(2.05%)</w:t>
      </w:r>
      <w:r>
        <w:rPr>
          <w:sz w:val="16"/>
        </w:rPr>
        <w:t>、</w:t>
      </w:r>
      <w:r>
        <w:rPr>
          <w:sz w:val="16"/>
        </w:rPr>
        <w:t xml:space="preserve"> </w:t>
      </w:r>
      <w:r>
        <w:rPr>
          <w:rFonts w:ascii="Arial" w:eastAsia="Arial" w:hAnsi="Arial" w:cs="Arial"/>
          <w:sz w:val="16"/>
        </w:rPr>
        <w:t>BY(2.52%)</w:t>
      </w:r>
      <w:r>
        <w:rPr>
          <w:sz w:val="16"/>
        </w:rPr>
        <w:t>、</w:t>
      </w:r>
      <w:r>
        <w:rPr>
          <w:rFonts w:ascii="Arial" w:eastAsia="Arial" w:hAnsi="Arial" w:cs="Arial"/>
          <w:sz w:val="16"/>
        </w:rPr>
        <w:t>C(2.50%)</w:t>
      </w:r>
      <w:r>
        <w:rPr>
          <w:sz w:val="16"/>
        </w:rPr>
        <w:t>、</w:t>
      </w:r>
      <w:r>
        <w:rPr>
          <w:rFonts w:ascii="Arial" w:eastAsia="Arial" w:hAnsi="Arial" w:cs="Arial"/>
          <w:sz w:val="16"/>
        </w:rPr>
        <w:t xml:space="preserve">ED </w:t>
      </w:r>
      <w:r>
        <w:rPr>
          <w:rFonts w:ascii="Arial" w:eastAsia="Arial" w:hAnsi="Arial" w:cs="Arial"/>
          <w:sz w:val="18"/>
        </w:rPr>
        <w:t>(</w:t>
      </w:r>
      <w:r>
        <w:rPr>
          <w:rFonts w:ascii="Arial" w:eastAsia="Arial" w:hAnsi="Arial" w:cs="Arial"/>
          <w:sz w:val="16"/>
        </w:rPr>
        <w:t>3.05%</w:t>
      </w:r>
      <w:r>
        <w:rPr>
          <w:rFonts w:ascii="Arial" w:eastAsia="Arial" w:hAnsi="Arial" w:cs="Arial"/>
          <w:sz w:val="18"/>
        </w:rPr>
        <w:t>)</w:t>
      </w:r>
      <w:r>
        <w:rPr>
          <w:sz w:val="16"/>
        </w:rPr>
        <w:t>、</w:t>
      </w:r>
      <w:r>
        <w:rPr>
          <w:rFonts w:ascii="Arial" w:eastAsia="Arial" w:hAnsi="Arial" w:cs="Arial"/>
          <w:sz w:val="16"/>
        </w:rPr>
        <w:t>I(1.25%)</w:t>
      </w:r>
      <w:r>
        <w:rPr>
          <w:sz w:val="16"/>
        </w:rPr>
        <w:t>、</w:t>
      </w:r>
      <w:r>
        <w:rPr>
          <w:rFonts w:ascii="Arial" w:eastAsia="Arial" w:hAnsi="Arial" w:cs="Arial"/>
          <w:sz w:val="16"/>
        </w:rPr>
        <w:t>ID(1.25%)</w:t>
      </w:r>
      <w:r>
        <w:rPr>
          <w:sz w:val="16"/>
        </w:rPr>
        <w:t>、</w:t>
      </w:r>
      <w:r>
        <w:rPr>
          <w:rFonts w:ascii="Arial" w:eastAsia="Arial" w:hAnsi="Arial" w:cs="Arial"/>
          <w:sz w:val="16"/>
        </w:rPr>
        <w:t xml:space="preserve">S(0.30%) </w:t>
      </w:r>
      <w:r>
        <w:rPr>
          <w:sz w:val="16"/>
        </w:rPr>
        <w:t>、</w:t>
      </w:r>
      <w:r>
        <w:rPr>
          <w:rFonts w:ascii="Arial" w:eastAsia="Arial" w:hAnsi="Arial" w:cs="Arial"/>
          <w:sz w:val="16"/>
        </w:rPr>
        <w:t>S1(1.20%)</w:t>
      </w:r>
      <w:r>
        <w:rPr>
          <w:sz w:val="16"/>
        </w:rPr>
        <w:t>及</w:t>
      </w:r>
      <w:r>
        <w:rPr>
          <w:sz w:val="16"/>
        </w:rPr>
        <w:t xml:space="preserve"> </w:t>
      </w:r>
      <w:r>
        <w:rPr>
          <w:rFonts w:ascii="Arial" w:eastAsia="Arial" w:hAnsi="Arial" w:cs="Arial"/>
          <w:sz w:val="16"/>
        </w:rPr>
        <w:t>SD(0.30%)</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3"/>
        </w:numPr>
        <w:spacing w:after="4" w:line="275" w:lineRule="auto"/>
        <w:ind w:right="13" w:hanging="360"/>
        <w:jc w:val="both"/>
      </w:pPr>
      <w:r>
        <w:rPr>
          <w:rFonts w:ascii="Arial" w:eastAsia="Arial" w:hAnsi="Arial" w:cs="Arial"/>
          <w:sz w:val="16"/>
        </w:rPr>
        <w:t xml:space="preserve">BY </w:t>
      </w:r>
      <w:r>
        <w:rPr>
          <w:sz w:val="16"/>
        </w:rPr>
        <w:t>類股份自認購日起七年後合資格轉入</w:t>
      </w:r>
      <w:r>
        <w:rPr>
          <w:sz w:val="16"/>
        </w:rPr>
        <w:t xml:space="preserve"> </w:t>
      </w:r>
      <w:r>
        <w:rPr>
          <w:rFonts w:ascii="Arial" w:eastAsia="Arial" w:hAnsi="Arial" w:cs="Arial"/>
          <w:sz w:val="16"/>
        </w:rPr>
        <w:t xml:space="preserve">AY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D6F0E">
      <w:pPr>
        <w:sectPr w:rsidR="004D6F0E">
          <w:type w:val="continuous"/>
          <w:pgSz w:w="12240" w:h="15840"/>
          <w:pgMar w:top="1440" w:right="717" w:bottom="1440" w:left="432" w:header="720" w:footer="720" w:gutter="0"/>
          <w:cols w:num="2" w:space="720" w:equalWidth="0">
            <w:col w:w="5330" w:space="718"/>
            <w:col w:w="5043"/>
          </w:cols>
        </w:sectPr>
      </w:pPr>
    </w:p>
    <w:p w:rsidR="004D6F0E" w:rsidRDefault="00490F21">
      <w:pPr>
        <w:spacing w:after="0" w:line="259" w:lineRule="auto"/>
        <w:ind w:left="0" w:firstLine="0"/>
      </w:pPr>
      <w:r>
        <w:rPr>
          <w:rFonts w:ascii="Times New Roman" w:eastAsia="Times New Roman" w:hAnsi="Times New Roman" w:cs="Times New Roman"/>
          <w:sz w:val="16"/>
        </w:rPr>
        <w:t xml:space="preserve"> </w:t>
      </w:r>
    </w:p>
    <w:p w:rsidR="004D6F0E" w:rsidRDefault="00490F21">
      <w:pPr>
        <w:numPr>
          <w:ilvl w:val="0"/>
          <w:numId w:val="13"/>
        </w:numPr>
        <w:ind w:right="13" w:hanging="360"/>
        <w:jc w:val="both"/>
      </w:pPr>
      <w:r>
        <w:rPr>
          <w:sz w:val="16"/>
        </w:rPr>
        <w:t>佔購買價的百分比。</w:t>
      </w:r>
      <w:r>
        <w:rPr>
          <w:rFonts w:ascii="Arial" w:eastAsia="Arial" w:hAnsi="Arial" w:cs="Arial"/>
          <w:sz w:val="16"/>
        </w:rPr>
        <w:t xml:space="preserve"> </w:t>
      </w:r>
      <w:r>
        <w:rPr>
          <w:rFonts w:ascii="Arial" w:eastAsia="Arial" w:hAnsi="Arial" w:cs="Arial"/>
          <w:sz w:val="16"/>
        </w:rPr>
        <w:tab/>
        <w:t xml:space="preserve">7 </w:t>
      </w:r>
      <w:r>
        <w:rPr>
          <w:rFonts w:ascii="Arial" w:eastAsia="Arial" w:hAnsi="Arial" w:cs="Arial"/>
          <w:sz w:val="16"/>
        </w:rPr>
        <w:tab/>
        <w:t xml:space="preserve">S </w:t>
      </w:r>
      <w:r>
        <w:rPr>
          <w:sz w:val="16"/>
        </w:rPr>
        <w:t>及</w:t>
      </w:r>
      <w:r>
        <w:rPr>
          <w:sz w:val="16"/>
        </w:rPr>
        <w:t xml:space="preserve"> </w:t>
      </w:r>
      <w:r>
        <w:rPr>
          <w:rFonts w:ascii="Arial" w:eastAsia="Arial" w:hAnsi="Arial" w:cs="Arial"/>
          <w:sz w:val="16"/>
        </w:rPr>
        <w:t xml:space="preserve">SD </w:t>
      </w:r>
      <w:r>
        <w:rPr>
          <w:sz w:val="16"/>
        </w:rPr>
        <w:t>類股份乃保留給已與管理公司訂立協議且被另行收取投資管</w:t>
      </w:r>
    </w:p>
    <w:p w:rsidR="004D6F0E" w:rsidRDefault="00490F21">
      <w:pPr>
        <w:numPr>
          <w:ilvl w:val="0"/>
          <w:numId w:val="13"/>
        </w:numPr>
        <w:ind w:right="13" w:hanging="360"/>
        <w:jc w:val="both"/>
      </w:pPr>
      <w:r>
        <w:rPr>
          <w:sz w:val="16"/>
        </w:rPr>
        <w:t>佔每日平均資產淨值的年百分比。就某些類股份而言，管理費亦可包括</w:t>
      </w:r>
      <w:r>
        <w:rPr>
          <w:sz w:val="16"/>
        </w:rPr>
        <w:tab/>
      </w:r>
      <w:r>
        <w:rPr>
          <w:rFonts w:ascii="Arial" w:eastAsia="Arial" w:hAnsi="Arial" w:cs="Arial"/>
          <w:sz w:val="16"/>
        </w:rPr>
        <w:t xml:space="preserve"> </w:t>
      </w:r>
      <w:r>
        <w:rPr>
          <w:sz w:val="16"/>
        </w:rPr>
        <w:t>理費的機構投資者。</w:t>
      </w:r>
      <w:r>
        <w:rPr>
          <w:rFonts w:ascii="Arial" w:eastAsia="Arial" w:hAnsi="Arial" w:cs="Arial"/>
          <w:sz w:val="16"/>
        </w:rPr>
        <w:t xml:space="preserve"> </w:t>
      </w:r>
    </w:p>
    <w:p w:rsidR="004D6F0E" w:rsidRDefault="00490F21">
      <w:pPr>
        <w:ind w:left="370" w:right="13" w:hanging="10"/>
        <w:jc w:val="both"/>
      </w:pPr>
      <w:r>
        <w:rPr>
          <w:sz w:val="16"/>
        </w:rPr>
        <w:t>支付給分銷商或其他金融中介和服務供應商的費用。有關管理費的進一</w:t>
      </w:r>
      <w:r>
        <w:rPr>
          <w:sz w:val="16"/>
        </w:rPr>
        <w:t xml:space="preserve"> </w:t>
      </w:r>
      <w:r>
        <w:rPr>
          <w:rFonts w:ascii="Arial" w:eastAsia="Arial" w:hAnsi="Arial" w:cs="Arial"/>
          <w:sz w:val="16"/>
        </w:rPr>
        <w:t xml:space="preserve">8 </w:t>
      </w: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r>
        <w:rPr>
          <w:sz w:val="16"/>
        </w:rPr>
        <w:t>料」。</w:t>
      </w:r>
      <w:r>
        <w:rPr>
          <w:rFonts w:ascii="Arial" w:eastAsia="Arial" w:hAnsi="Arial" w:cs="Arial"/>
          <w:sz w:val="16"/>
        </w:rPr>
        <w:t xml:space="preserve"> </w:t>
      </w:r>
    </w:p>
    <w:p w:rsidR="004D6F0E" w:rsidRDefault="00490F21">
      <w:pPr>
        <w:numPr>
          <w:ilvl w:val="0"/>
          <w:numId w:val="13"/>
        </w:numPr>
        <w:ind w:right="13" w:hanging="360"/>
        <w:jc w:val="both"/>
      </w:pPr>
      <w:r>
        <w:rPr>
          <w:sz w:val="16"/>
        </w:rPr>
        <w:t>佔每日平均資產淨值的年百分比。</w:t>
      </w:r>
      <w:r>
        <w:rPr>
          <w:rFonts w:ascii="Arial" w:eastAsia="Arial" w:hAnsi="Arial" w:cs="Arial"/>
          <w:sz w:val="16"/>
        </w:rPr>
        <w:t xml:space="preserve"> </w:t>
      </w:r>
      <w:r>
        <w:rPr>
          <w:rFonts w:ascii="Arial" w:eastAsia="Arial" w:hAnsi="Arial" w:cs="Arial"/>
          <w:sz w:val="16"/>
        </w:rPr>
        <w:tab/>
        <w:t xml:space="preserve">9 </w:t>
      </w:r>
      <w:r>
        <w:rPr>
          <w:rFonts w:ascii="Arial" w:eastAsia="Arial" w:hAnsi="Arial" w:cs="Arial"/>
          <w:sz w:val="16"/>
        </w:rPr>
        <w:tab/>
        <w:t xml:space="preserve">ED </w:t>
      </w:r>
      <w:r>
        <w:rPr>
          <w:sz w:val="16"/>
        </w:rPr>
        <w:t>類股份（及相應</w:t>
      </w:r>
      <w:r>
        <w:rPr>
          <w:sz w:val="16"/>
        </w:rPr>
        <w:t xml:space="preserve"> </w:t>
      </w:r>
      <w:r>
        <w:rPr>
          <w:rFonts w:ascii="Arial" w:eastAsia="Arial" w:hAnsi="Arial" w:cs="Arial"/>
          <w:sz w:val="16"/>
        </w:rPr>
        <w:t xml:space="preserve">H </w:t>
      </w:r>
      <w:r>
        <w:rPr>
          <w:sz w:val="16"/>
        </w:rPr>
        <w:t>類股份）自認購日起三年後將轉入</w:t>
      </w:r>
      <w:r>
        <w:rPr>
          <w:sz w:val="16"/>
        </w:rPr>
        <w:t xml:space="preserve"> </w:t>
      </w:r>
      <w:r>
        <w:rPr>
          <w:rFonts w:ascii="Arial" w:eastAsia="Arial" w:hAnsi="Arial" w:cs="Arial"/>
          <w:sz w:val="16"/>
        </w:rPr>
        <w:t xml:space="preserve">AD </w:t>
      </w:r>
      <w:r>
        <w:rPr>
          <w:sz w:val="16"/>
        </w:rPr>
        <w:t>類股</w:t>
      </w:r>
    </w:p>
    <w:p w:rsidR="004D6F0E" w:rsidRDefault="00490F21">
      <w:pPr>
        <w:numPr>
          <w:ilvl w:val="0"/>
          <w:numId w:val="13"/>
        </w:numPr>
        <w:ind w:right="13" w:hanging="360"/>
        <w:jc w:val="both"/>
      </w:pPr>
      <w:r>
        <w:rPr>
          <w:sz w:val="16"/>
        </w:rPr>
        <w:t>對於除</w:t>
      </w:r>
      <w:r>
        <w:rPr>
          <w:sz w:val="16"/>
        </w:rPr>
        <w:t xml:space="preserve"> </w:t>
      </w:r>
      <w:r>
        <w:rPr>
          <w:rFonts w:ascii="Arial" w:eastAsia="Arial" w:hAnsi="Arial" w:cs="Arial"/>
          <w:sz w:val="16"/>
        </w:rPr>
        <w:t xml:space="preserve">BY </w:t>
      </w:r>
      <w:r>
        <w:rPr>
          <w:sz w:val="16"/>
        </w:rPr>
        <w:t>類以外的所有相關股份類別，佔所贖回股份的現行資產淨值</w:t>
      </w:r>
      <w:r>
        <w:rPr>
          <w:sz w:val="16"/>
        </w:rPr>
        <w:t xml:space="preserve"> </w:t>
      </w:r>
      <w:r>
        <w:rPr>
          <w:sz w:val="16"/>
        </w:rPr>
        <w:t>份（及相應</w:t>
      </w:r>
      <w:r>
        <w:rPr>
          <w:sz w:val="16"/>
        </w:rPr>
        <w:t xml:space="preserve"> </w:t>
      </w:r>
      <w:r>
        <w:rPr>
          <w:rFonts w:ascii="Arial" w:eastAsia="Arial" w:hAnsi="Arial" w:cs="Arial"/>
          <w:sz w:val="16"/>
        </w:rPr>
        <w:t xml:space="preserve">H </w:t>
      </w:r>
      <w:r>
        <w:rPr>
          <w:sz w:val="16"/>
        </w:rPr>
        <w:t>類股份），本傘子基金和管理公司均</w:t>
      </w:r>
      <w:r>
        <w:rPr>
          <w:sz w:val="16"/>
        </w:rPr>
        <w:t>不會因此收取費或原始成本此兩數字中較低者的有關百分率，並視該等股份的持有時間</w:t>
      </w:r>
      <w:r>
        <w:rPr>
          <w:sz w:val="16"/>
        </w:rPr>
        <w:t xml:space="preserve"> </w:t>
      </w:r>
      <w:r>
        <w:rPr>
          <w:sz w:val="16"/>
        </w:rPr>
        <w:t>用。欲進一步了解換股詳情，請參閱認購章程第</w:t>
      </w:r>
      <w:r>
        <w:rPr>
          <w:sz w:val="16"/>
        </w:rPr>
        <w:t xml:space="preserve"> </w:t>
      </w:r>
      <w:r>
        <w:rPr>
          <w:rFonts w:ascii="Arial" w:eastAsia="Arial" w:hAnsi="Arial" w:cs="Arial"/>
          <w:sz w:val="16"/>
        </w:rPr>
        <w:t xml:space="preserve">II </w:t>
      </w:r>
      <w:r>
        <w:rPr>
          <w:sz w:val="16"/>
        </w:rPr>
        <w:t>部分的「如何交而定。對於</w:t>
      </w:r>
      <w:r>
        <w:rPr>
          <w:sz w:val="16"/>
        </w:rPr>
        <w:t xml:space="preserve"> </w:t>
      </w:r>
      <w:r>
        <w:rPr>
          <w:rFonts w:ascii="Arial" w:eastAsia="Arial" w:hAnsi="Arial" w:cs="Arial"/>
          <w:sz w:val="16"/>
        </w:rPr>
        <w:t xml:space="preserve">BY </w:t>
      </w:r>
      <w:r>
        <w:rPr>
          <w:sz w:val="16"/>
        </w:rPr>
        <w:t>類股份，佔所贖回股份的原始成本的有關百分率，並視</w:t>
      </w:r>
      <w:r>
        <w:rPr>
          <w:sz w:val="16"/>
        </w:rPr>
        <w:t xml:space="preserve"> </w:t>
      </w:r>
      <w:r>
        <w:rPr>
          <w:sz w:val="16"/>
        </w:rPr>
        <w:t>換或轉換股份</w:t>
      </w:r>
      <w:r>
        <w:rPr>
          <w:rFonts w:ascii="Arial" w:eastAsia="Arial" w:hAnsi="Arial" w:cs="Arial"/>
          <w:sz w:val="16"/>
        </w:rPr>
        <w:t>—</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tabs>
          <w:tab w:val="center" w:pos="2844"/>
          <w:tab w:val="center" w:pos="6048"/>
        </w:tabs>
        <w:ind w:left="0" w:firstLine="0"/>
      </w:pPr>
      <w:r>
        <w:rPr>
          <w:rFonts w:ascii="Calibri" w:eastAsia="Calibri" w:hAnsi="Calibri" w:cs="Calibri"/>
          <w:sz w:val="22"/>
        </w:rPr>
        <w:tab/>
      </w:r>
      <w:r>
        <w:rPr>
          <w:sz w:val="16"/>
        </w:rPr>
        <w:t>該等股份的持有時間而定。</w:t>
      </w:r>
      <w:r>
        <w:rPr>
          <w:rFonts w:ascii="Arial" w:eastAsia="Arial" w:hAnsi="Arial" w:cs="Arial"/>
          <w:sz w:val="16"/>
        </w:rPr>
        <w:t xml:space="preserve">CDSC </w:t>
      </w:r>
      <w:r>
        <w:rPr>
          <w:sz w:val="16"/>
        </w:rPr>
        <w:t>股份僅可透過分銷商授權發售此等股</w:t>
      </w:r>
      <w:r>
        <w:rPr>
          <w:sz w:val="16"/>
        </w:rPr>
        <w:tab/>
      </w:r>
      <w:r>
        <w:rPr>
          <w:rFonts w:ascii="Arial" w:eastAsia="Arial" w:hAnsi="Arial" w:cs="Arial"/>
          <w:sz w:val="16"/>
        </w:rPr>
        <w:t xml:space="preserve"> </w:t>
      </w:r>
    </w:p>
    <w:p w:rsidR="004D6F0E" w:rsidRDefault="00490F21">
      <w:pPr>
        <w:spacing w:after="4" w:line="275" w:lineRule="auto"/>
        <w:ind w:left="357" w:right="77" w:firstLine="0"/>
      </w:pPr>
      <w:r>
        <w:rPr>
          <w:sz w:val="16"/>
        </w:rPr>
        <w:t>份的交易商認購。考慮投資於</w:t>
      </w:r>
      <w:r>
        <w:rPr>
          <w:sz w:val="16"/>
        </w:rPr>
        <w:t xml:space="preserve"> </w:t>
      </w:r>
      <w:r>
        <w:rPr>
          <w:rFonts w:ascii="Arial" w:eastAsia="Arial" w:hAnsi="Arial" w:cs="Arial"/>
          <w:sz w:val="16"/>
        </w:rPr>
        <w:t xml:space="preserve">CDSC </w:t>
      </w:r>
      <w:r>
        <w:rPr>
          <w:sz w:val="16"/>
        </w:rPr>
        <w:t>股份的投資者應向其財務顧問了解</w:t>
      </w:r>
      <w:r>
        <w:rPr>
          <w:sz w:val="16"/>
        </w:rPr>
        <w:tab/>
      </w: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」），而非稱為</w:t>
      </w:r>
      <w:r>
        <w:rPr>
          <w:sz w:val="16"/>
        </w:rPr>
        <w:t xml:space="preserve"> </w:t>
      </w:r>
      <w:r>
        <w:rPr>
          <w:rFonts w:ascii="Arial" w:eastAsia="Arial" w:hAnsi="Arial" w:cs="Arial"/>
          <w:sz w:val="16"/>
        </w:rPr>
        <w:t xml:space="preserve">CNY </w:t>
      </w:r>
      <w:r>
        <w:rPr>
          <w:sz w:val="16"/>
        </w:rPr>
        <w:t>的在岸人詳情。就</w:t>
      </w:r>
      <w:r>
        <w:rPr>
          <w:sz w:val="16"/>
        </w:rPr>
        <w:t xml:space="preserve"> </w:t>
      </w:r>
      <w:r>
        <w:rPr>
          <w:rFonts w:ascii="Arial" w:eastAsia="Arial" w:hAnsi="Arial" w:cs="Arial"/>
          <w:sz w:val="16"/>
        </w:rPr>
        <w:t xml:space="preserve">C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w:t>
      </w:r>
      <w:r>
        <w:rPr>
          <w:sz w:val="16"/>
        </w:rPr>
        <w:tab/>
      </w:r>
      <w:r>
        <w:rPr>
          <w:sz w:val="16"/>
        </w:rPr>
        <w:t>民幣。擇減免或有遞延銷售費。</w:t>
      </w:r>
      <w:r>
        <w:rPr>
          <w:rFonts w:ascii="Arial" w:eastAsia="Arial" w:hAnsi="Arial" w:cs="Arial"/>
          <w:sz w:val="16"/>
        </w:rPr>
        <w:t xml:space="preserve"> </w:t>
      </w:r>
      <w:r>
        <w:rPr>
          <w:rFonts w:ascii="Arial" w:eastAsia="Arial" w:hAnsi="Arial" w:cs="Arial"/>
          <w:sz w:val="16"/>
        </w:rPr>
        <w:tab/>
      </w:r>
      <w:r>
        <w:rPr>
          <w:rFonts w:ascii="Arial" w:eastAsia="Arial" w:hAnsi="Arial" w:cs="Arial"/>
          <w:sz w:val="18"/>
        </w:rPr>
        <w:t xml:space="preserve"> </w:t>
      </w:r>
    </w:p>
    <w:p w:rsidR="004D6F0E" w:rsidRDefault="00490F21">
      <w:pPr>
        <w:spacing w:after="10638" w:line="275" w:lineRule="auto"/>
        <w:ind w:left="6414" w:hanging="366"/>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r>
        <w:rPr>
          <w:rFonts w:ascii="Arial" w:eastAsia="Arial" w:hAnsi="Arial" w:cs="Arial"/>
          <w:sz w:val="18"/>
        </w:rPr>
        <w:t xml:space="preserve"> </w:t>
      </w:r>
    </w:p>
    <w:p w:rsidR="004D6F0E" w:rsidRDefault="00490F21">
      <w:pPr>
        <w:spacing w:after="0" w:line="259" w:lineRule="auto"/>
        <w:ind w:left="374" w:firstLine="0"/>
        <w:jc w:val="center"/>
      </w:pPr>
      <w:r>
        <w:rPr>
          <w:rFonts w:ascii="Times New Roman" w:eastAsia="Times New Roman" w:hAnsi="Times New Roman" w:cs="Times New Roman"/>
          <w:sz w:val="18"/>
        </w:rPr>
        <w:lastRenderedPageBreak/>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31" w:firstLine="0"/>
        <w:jc w:val="center"/>
      </w:pPr>
      <w:r>
        <w:rPr>
          <w:rFonts w:ascii="Arial" w:eastAsia="Arial" w:hAnsi="Arial" w:cs="Arial"/>
          <w:sz w:val="12"/>
        </w:rPr>
        <w:t xml:space="preserve"> </w:t>
      </w:r>
    </w:p>
    <w:p w:rsidR="004D6F0E" w:rsidRDefault="004D6F0E">
      <w:pPr>
        <w:sectPr w:rsidR="004D6F0E">
          <w:type w:val="continuous"/>
          <w:pgSz w:w="12240" w:h="15840"/>
          <w:pgMar w:top="1440" w:right="718" w:bottom="1440" w:left="432" w:header="720" w:footer="720" w:gutter="0"/>
          <w:cols w:space="720"/>
        </w:sectPr>
      </w:pPr>
    </w:p>
    <w:p w:rsidR="004D6F0E" w:rsidRDefault="00490F21">
      <w:pPr>
        <w:spacing w:line="259" w:lineRule="auto"/>
        <w:ind w:left="0" w:firstLine="0"/>
      </w:pPr>
      <w:r>
        <w:rPr>
          <w:rFonts w:ascii="Times New Roman" w:eastAsia="Times New Roman" w:hAnsi="Times New Roman" w:cs="Times New Roman"/>
          <w:sz w:val="16"/>
        </w:rPr>
        <w:lastRenderedPageBreak/>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29" w:line="259" w:lineRule="auto"/>
        <w:ind w:left="0" w:right="-117" w:firstLine="0"/>
      </w:pPr>
      <w:r>
        <w:rPr>
          <w:rFonts w:ascii="Calibri" w:eastAsia="Calibri" w:hAnsi="Calibri" w:cs="Calibri"/>
          <w:noProof/>
          <w:sz w:val="22"/>
        </w:rPr>
        <mc:AlternateContent>
          <mc:Choice Requires="wpg">
            <w:drawing>
              <wp:inline distT="0" distB="0" distL="0" distR="0">
                <wp:extent cx="7159752" cy="18288"/>
                <wp:effectExtent l="0" t="0" r="0" b="0"/>
                <wp:docPr id="457456" name="Group 457456"/>
                <wp:cNvGraphicFramePr/>
                <a:graphic xmlns:a="http://schemas.openxmlformats.org/drawingml/2006/main">
                  <a:graphicData uri="http://schemas.microsoft.com/office/word/2010/wordprocessingGroup">
                    <wpg:wgp>
                      <wpg:cNvGrpSpPr/>
                      <wpg:grpSpPr>
                        <a:xfrm>
                          <a:off x="0" y="0"/>
                          <a:ext cx="7159752" cy="18288"/>
                          <a:chOff x="0" y="0"/>
                          <a:chExt cx="7159752" cy="18288"/>
                        </a:xfrm>
                      </wpg:grpSpPr>
                      <wps:wsp>
                        <wps:cNvPr id="657925" name="Shape 657925"/>
                        <wps:cNvSpPr/>
                        <wps:spPr>
                          <a:xfrm>
                            <a:off x="0" y="0"/>
                            <a:ext cx="7159752" cy="18288"/>
                          </a:xfrm>
                          <a:custGeom>
                            <a:avLst/>
                            <a:gdLst/>
                            <a:ahLst/>
                            <a:cxnLst/>
                            <a:rect l="0" t="0" r="0" b="0"/>
                            <a:pathLst>
                              <a:path w="7159752" h="18288">
                                <a:moveTo>
                                  <a:pt x="0" y="0"/>
                                </a:moveTo>
                                <a:lnTo>
                                  <a:pt x="7159752" y="0"/>
                                </a:lnTo>
                                <a:lnTo>
                                  <a:pt x="71597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7456" style="width:563.76pt;height:1.44pt;mso-position-horizontal-relative:char;mso-position-vertical-relative:line" coordsize="71597,182">
                <v:shape id="Shape 657926" style="position:absolute;width:71597;height:182;left:0;top:0;" coordsize="7159752,18288" path="m0,0l7159752,0l7159752,18288l0,18288l0,0">
                  <v:stroke weight="0pt" endcap="flat" joinstyle="miter" miterlimit="10" on="false" color="#000000" opacity="0"/>
                  <v:fill on="true" color="#000000"/>
                </v:shape>
              </v:group>
            </w:pict>
          </mc:Fallback>
        </mc:AlternateContent>
      </w:r>
    </w:p>
    <w:p w:rsidR="004D6F0E" w:rsidRDefault="00490F21">
      <w:pPr>
        <w:spacing w:after="60"/>
        <w:ind w:left="124" w:right="2"/>
      </w:pPr>
      <w:r>
        <w:t>其他股份類別特色</w:t>
      </w:r>
      <w:r>
        <w:rPr>
          <w:rFonts w:ascii="Arial" w:eastAsia="Arial" w:hAnsi="Arial" w:cs="Arial"/>
        </w:rPr>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582" w:right="13" w:hanging="2467"/>
      </w:pPr>
      <w:r>
        <w:rPr>
          <w:rFonts w:ascii="Arial" w:eastAsia="Arial" w:hAnsi="Arial" w:cs="Arial"/>
          <w:b/>
          <w:sz w:val="18"/>
        </w:rPr>
        <w:t xml:space="preserve"> </w:t>
      </w:r>
      <w:r>
        <w:rPr>
          <w:sz w:val="18"/>
        </w:rPr>
        <w:t>發售貨幣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p w:rsidR="004D6F0E" w:rsidRDefault="00490F21">
      <w:pPr>
        <w:spacing w:after="11" w:line="259" w:lineRule="auto"/>
        <w:ind w:left="2213" w:right="-33" w:firstLine="0"/>
      </w:pPr>
      <w:r>
        <w:rPr>
          <w:rFonts w:ascii="Calibri" w:eastAsia="Calibri" w:hAnsi="Calibri" w:cs="Calibri"/>
          <w:noProof/>
          <w:sz w:val="22"/>
        </w:rPr>
        <mc:AlternateContent>
          <mc:Choice Requires="wpg">
            <w:drawing>
              <wp:inline distT="0" distB="0" distL="0" distR="0">
                <wp:extent cx="5701285" cy="6096"/>
                <wp:effectExtent l="0" t="0" r="0" b="0"/>
                <wp:docPr id="457457" name="Group 457457"/>
                <wp:cNvGraphicFramePr/>
                <a:graphic xmlns:a="http://schemas.openxmlformats.org/drawingml/2006/main">
                  <a:graphicData uri="http://schemas.microsoft.com/office/word/2010/wordprocessingGroup">
                    <wpg:wgp>
                      <wpg:cNvGrpSpPr/>
                      <wpg:grpSpPr>
                        <a:xfrm>
                          <a:off x="0" y="0"/>
                          <a:ext cx="5701285" cy="6096"/>
                          <a:chOff x="0" y="0"/>
                          <a:chExt cx="5701285" cy="6096"/>
                        </a:xfrm>
                      </wpg:grpSpPr>
                      <wps:wsp>
                        <wps:cNvPr id="657927" name="Shape 657927"/>
                        <wps:cNvSpPr/>
                        <wps:spPr>
                          <a:xfrm>
                            <a:off x="0" y="0"/>
                            <a:ext cx="926592" cy="9144"/>
                          </a:xfrm>
                          <a:custGeom>
                            <a:avLst/>
                            <a:gdLst/>
                            <a:ahLst/>
                            <a:cxnLst/>
                            <a:rect l="0" t="0" r="0" b="0"/>
                            <a:pathLst>
                              <a:path w="926592" h="9144">
                                <a:moveTo>
                                  <a:pt x="0" y="0"/>
                                </a:moveTo>
                                <a:lnTo>
                                  <a:pt x="926592" y="0"/>
                                </a:lnTo>
                                <a:lnTo>
                                  <a:pt x="926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28" name="Shape 657928"/>
                        <wps:cNvSpPr/>
                        <wps:spPr>
                          <a:xfrm>
                            <a:off x="1036320" y="0"/>
                            <a:ext cx="1104900" cy="9144"/>
                          </a:xfrm>
                          <a:custGeom>
                            <a:avLst/>
                            <a:gdLst/>
                            <a:ahLst/>
                            <a:cxnLst/>
                            <a:rect l="0" t="0" r="0" b="0"/>
                            <a:pathLst>
                              <a:path w="1104900" h="9144">
                                <a:moveTo>
                                  <a:pt x="0" y="0"/>
                                </a:moveTo>
                                <a:lnTo>
                                  <a:pt x="1104900" y="0"/>
                                </a:lnTo>
                                <a:lnTo>
                                  <a:pt x="110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29" name="Shape 657929"/>
                        <wps:cNvSpPr/>
                        <wps:spPr>
                          <a:xfrm>
                            <a:off x="2249424" y="0"/>
                            <a:ext cx="1062241" cy="9144"/>
                          </a:xfrm>
                          <a:custGeom>
                            <a:avLst/>
                            <a:gdLst/>
                            <a:ahLst/>
                            <a:cxnLst/>
                            <a:rect l="0" t="0" r="0" b="0"/>
                            <a:pathLst>
                              <a:path w="1062241" h="9144">
                                <a:moveTo>
                                  <a:pt x="0" y="0"/>
                                </a:moveTo>
                                <a:lnTo>
                                  <a:pt x="1062241" y="0"/>
                                </a:lnTo>
                                <a:lnTo>
                                  <a:pt x="10622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30" name="Shape 657930"/>
                        <wps:cNvSpPr/>
                        <wps:spPr>
                          <a:xfrm>
                            <a:off x="3422904" y="0"/>
                            <a:ext cx="1083564" cy="9144"/>
                          </a:xfrm>
                          <a:custGeom>
                            <a:avLst/>
                            <a:gdLst/>
                            <a:ahLst/>
                            <a:cxnLst/>
                            <a:rect l="0" t="0" r="0" b="0"/>
                            <a:pathLst>
                              <a:path w="1083564" h="9144">
                                <a:moveTo>
                                  <a:pt x="0" y="0"/>
                                </a:moveTo>
                                <a:lnTo>
                                  <a:pt x="1083564" y="0"/>
                                </a:lnTo>
                                <a:lnTo>
                                  <a:pt x="1083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31" name="Shape 657931"/>
                        <wps:cNvSpPr/>
                        <wps:spPr>
                          <a:xfrm>
                            <a:off x="4616196" y="0"/>
                            <a:ext cx="1085088" cy="9144"/>
                          </a:xfrm>
                          <a:custGeom>
                            <a:avLst/>
                            <a:gdLst/>
                            <a:ahLst/>
                            <a:cxnLst/>
                            <a:rect l="0" t="0" r="0" b="0"/>
                            <a:pathLst>
                              <a:path w="1085088" h="9144">
                                <a:moveTo>
                                  <a:pt x="0" y="0"/>
                                </a:moveTo>
                                <a:lnTo>
                                  <a:pt x="1085088" y="0"/>
                                </a:lnTo>
                                <a:lnTo>
                                  <a:pt x="1085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7457" style="width:448.92pt;height:0.47998pt;mso-position-horizontal-relative:char;mso-position-vertical-relative:line" coordsize="57012,60">
                <v:shape id="Shape 657932" style="position:absolute;width:9265;height:91;left:0;top:0;" coordsize="926592,9144" path="m0,0l926592,0l926592,9144l0,9144l0,0">
                  <v:stroke weight="0pt" endcap="flat" joinstyle="miter" miterlimit="10" on="false" color="#000000" opacity="0"/>
                  <v:fill on="true" color="#000000"/>
                </v:shape>
                <v:shape id="Shape 657933" style="position:absolute;width:11049;height:91;left:10363;top:0;" coordsize="1104900,9144" path="m0,0l1104900,0l1104900,9144l0,9144l0,0">
                  <v:stroke weight="0pt" endcap="flat" joinstyle="miter" miterlimit="10" on="false" color="#000000" opacity="0"/>
                  <v:fill on="true" color="#000000"/>
                </v:shape>
                <v:shape id="Shape 657934" style="position:absolute;width:10622;height:91;left:22494;top:0;" coordsize="1062241,9144" path="m0,0l1062241,0l1062241,9144l0,9144l0,0">
                  <v:stroke weight="0pt" endcap="flat" joinstyle="miter" miterlimit="10" on="false" color="#000000" opacity="0"/>
                  <v:fill on="true" color="#000000"/>
                </v:shape>
                <v:shape id="Shape 657935" style="position:absolute;width:10835;height:91;left:34229;top:0;" coordsize="1083564,9144" path="m0,0l1083564,0l1083564,9144l0,9144l0,0">
                  <v:stroke weight="0pt" endcap="flat" joinstyle="miter" miterlimit="10" on="false" color="#000000" opacity="0"/>
                  <v:fill on="true" color="#000000"/>
                </v:shape>
                <v:shape id="Shape 657936" style="position:absolute;width:10850;height:91;left:46161;top:0;" coordsize="1085088,9144" path="m0,0l1085088,0l1085088,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b/>
          <w:sz w:val="6"/>
        </w:rPr>
        <w:t xml:space="preserve"> </w:t>
      </w:r>
      <w:r>
        <w:rPr>
          <w:rFonts w:ascii="Arial" w:eastAsia="Arial" w:hAnsi="Arial" w:cs="Arial"/>
          <w:b/>
          <w:sz w:val="6"/>
        </w:rPr>
        <w:tab/>
      </w: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275" w:type="dxa"/>
        <w:tblInd w:w="0" w:type="dxa"/>
        <w:tblCellMar>
          <w:top w:w="21" w:type="dxa"/>
          <w:left w:w="0" w:type="dxa"/>
          <w:bottom w:w="0" w:type="dxa"/>
          <w:right w:w="68" w:type="dxa"/>
        </w:tblCellMar>
        <w:tblLook w:val="04A0" w:firstRow="1" w:lastRow="0" w:firstColumn="1" w:lastColumn="0" w:noHBand="0" w:noVBand="1"/>
      </w:tblPr>
      <w:tblGrid>
        <w:gridCol w:w="2761"/>
        <w:gridCol w:w="1229"/>
        <w:gridCol w:w="2122"/>
        <w:gridCol w:w="1690"/>
        <w:gridCol w:w="2278"/>
        <w:gridCol w:w="1195"/>
      </w:tblGrid>
      <w:tr w:rsidR="004D6F0E">
        <w:trPr>
          <w:trHeight w:val="235"/>
        </w:trPr>
        <w:tc>
          <w:tcPr>
            <w:tcW w:w="2762"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美元計價股份類別</w:t>
            </w:r>
            <w:r>
              <w:rPr>
                <w:rFonts w:ascii="Arial" w:eastAsia="Arial" w:hAnsi="Arial" w:cs="Arial"/>
                <w:sz w:val="18"/>
              </w:rPr>
              <w:t xml:space="preserve"> </w:t>
            </w:r>
            <w:r>
              <w:rPr>
                <w:rFonts w:ascii="Arial" w:eastAsia="Arial" w:hAnsi="Arial" w:cs="Arial"/>
                <w:sz w:val="18"/>
              </w:rPr>
              <w:tab/>
              <w:t xml:space="preserve"> </w:t>
            </w:r>
          </w:p>
        </w:tc>
        <w:tc>
          <w:tcPr>
            <w:tcW w:w="122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2" w:type="dxa"/>
            <w:tcBorders>
              <w:top w:val="nil"/>
              <w:left w:val="nil"/>
              <w:bottom w:val="nil"/>
              <w:right w:val="nil"/>
            </w:tcBorders>
            <w:shd w:val="clear" w:color="auto" w:fill="D9D9D9"/>
          </w:tcPr>
          <w:p w:rsidR="004D6F0E" w:rsidRDefault="00490F21">
            <w:pPr>
              <w:spacing w:after="0" w:line="259" w:lineRule="auto"/>
              <w:ind w:left="0" w:right="211" w:firstLine="0"/>
              <w:jc w:val="right"/>
            </w:pPr>
            <w:r>
              <w:rPr>
                <w:rFonts w:ascii="Arial" w:eastAsia="Arial" w:hAnsi="Arial" w:cs="Arial"/>
                <w:sz w:val="18"/>
              </w:rPr>
              <w:t xml:space="preserve"> </w:t>
            </w:r>
          </w:p>
        </w:tc>
        <w:tc>
          <w:tcPr>
            <w:tcW w:w="1690" w:type="dxa"/>
            <w:tcBorders>
              <w:top w:val="nil"/>
              <w:left w:val="nil"/>
              <w:bottom w:val="nil"/>
              <w:right w:val="nil"/>
            </w:tcBorders>
            <w:shd w:val="clear" w:color="auto" w:fill="D9D9D9"/>
          </w:tcPr>
          <w:p w:rsidR="004D6F0E" w:rsidRDefault="00490F21">
            <w:pPr>
              <w:spacing w:after="0" w:line="259" w:lineRule="auto"/>
              <w:ind w:left="0" w:right="53" w:firstLine="0"/>
              <w:jc w:val="right"/>
            </w:pPr>
            <w:r>
              <w:rPr>
                <w:rFonts w:ascii="Arial" w:eastAsia="Arial" w:hAnsi="Arial" w:cs="Arial"/>
                <w:sz w:val="18"/>
              </w:rPr>
              <w:t xml:space="preserve"> </w:t>
            </w:r>
          </w:p>
        </w:tc>
        <w:tc>
          <w:tcPr>
            <w:tcW w:w="2278" w:type="dxa"/>
            <w:tcBorders>
              <w:top w:val="nil"/>
              <w:left w:val="nil"/>
              <w:bottom w:val="nil"/>
              <w:right w:val="nil"/>
            </w:tcBorders>
            <w:shd w:val="clear" w:color="auto" w:fill="D9D9D9"/>
          </w:tcPr>
          <w:p w:rsidR="004D6F0E" w:rsidRDefault="00490F21">
            <w:pPr>
              <w:spacing w:after="0" w:line="259" w:lineRule="auto"/>
              <w:ind w:left="1258" w:firstLine="0"/>
              <w:jc w:val="center"/>
            </w:pPr>
            <w:r>
              <w:rPr>
                <w:rFonts w:ascii="Arial" w:eastAsia="Arial" w:hAnsi="Arial" w:cs="Arial"/>
                <w:sz w:val="18"/>
              </w:rPr>
              <w:t xml:space="preserve"> </w:t>
            </w: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226"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226"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ED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ID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389" w:firstLine="0"/>
            </w:pPr>
            <w:r>
              <w:rPr>
                <w:sz w:val="18"/>
              </w:rPr>
              <w:t>無</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389" w:firstLine="0"/>
            </w:pPr>
            <w:r>
              <w:rPr>
                <w:sz w:val="18"/>
              </w:rPr>
              <w:t>無</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28"/>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389" w:firstLine="0"/>
            </w:pPr>
            <w:r>
              <w:rPr>
                <w:sz w:val="18"/>
              </w:rPr>
              <w:t>無</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41"/>
        </w:trPr>
        <w:tc>
          <w:tcPr>
            <w:tcW w:w="276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SD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10"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9" w:line="259" w:lineRule="auto"/>
              <w:ind w:left="389" w:firstLine="0"/>
            </w:pPr>
            <w:r>
              <w:rPr>
                <w:sz w:val="18"/>
              </w:rPr>
              <w:t>無</w:t>
            </w:r>
            <w:r>
              <w:rPr>
                <w:rFonts w:ascii="Arial" w:eastAsia="Arial" w:hAnsi="Arial" w:cs="Arial"/>
                <w:sz w:val="18"/>
              </w:rPr>
              <w:t xml:space="preserve"> </w:t>
            </w:r>
          </w:p>
          <w:p w:rsidR="004D6F0E" w:rsidRDefault="00490F21">
            <w:pPr>
              <w:spacing w:after="0" w:line="259" w:lineRule="auto"/>
              <w:ind w:left="478" w:firstLine="0"/>
            </w:pP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9" w:line="259" w:lineRule="auto"/>
              <w:ind w:left="564" w:firstLine="0"/>
            </w:pPr>
            <w:r>
              <w:rPr>
                <w:sz w:val="18"/>
              </w:rPr>
              <w:t>無</w:t>
            </w:r>
            <w:r>
              <w:rPr>
                <w:rFonts w:ascii="Arial" w:eastAsia="Arial" w:hAnsi="Arial" w:cs="Arial"/>
                <w:sz w:val="18"/>
              </w:rPr>
              <w:t xml:space="preserve"> </w:t>
            </w:r>
          </w:p>
          <w:p w:rsidR="004D6F0E" w:rsidRDefault="00490F21">
            <w:pPr>
              <w:spacing w:after="0" w:line="259" w:lineRule="auto"/>
              <w:ind w:left="653" w:firstLine="0"/>
            </w:pP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762" w:type="dxa"/>
            <w:tcBorders>
              <w:top w:val="nil"/>
              <w:left w:val="nil"/>
              <w:bottom w:val="nil"/>
              <w:right w:val="nil"/>
            </w:tcBorders>
            <w:shd w:val="clear" w:color="auto" w:fill="D9D9D9"/>
          </w:tcPr>
          <w:p w:rsidR="004D6F0E" w:rsidRDefault="00490F21">
            <w:pPr>
              <w:spacing w:after="0" w:line="259" w:lineRule="auto"/>
              <w:ind w:left="115" w:firstLine="0"/>
            </w:pPr>
            <w:r>
              <w:rPr>
                <w:sz w:val="18"/>
              </w:rPr>
              <w:t>日圓計價股份類別</w:t>
            </w:r>
            <w:r>
              <w:rPr>
                <w:rFonts w:ascii="Arial" w:eastAsia="Arial" w:hAnsi="Arial" w:cs="Arial"/>
                <w:b/>
                <w:sz w:val="18"/>
              </w:rPr>
              <w:t xml:space="preserve"> </w:t>
            </w:r>
          </w:p>
        </w:tc>
        <w:tc>
          <w:tcPr>
            <w:tcW w:w="1229" w:type="dxa"/>
            <w:tcBorders>
              <w:top w:val="nil"/>
              <w:left w:val="nil"/>
              <w:bottom w:val="nil"/>
              <w:right w:val="nil"/>
            </w:tcBorders>
            <w:shd w:val="clear" w:color="auto" w:fill="D9D9D9"/>
          </w:tcPr>
          <w:p w:rsidR="004D6F0E" w:rsidRDefault="004D6F0E">
            <w:pPr>
              <w:spacing w:after="160" w:line="259" w:lineRule="auto"/>
              <w:ind w:left="0" w:firstLine="0"/>
            </w:pPr>
          </w:p>
        </w:tc>
        <w:tc>
          <w:tcPr>
            <w:tcW w:w="2122" w:type="dxa"/>
            <w:tcBorders>
              <w:top w:val="nil"/>
              <w:left w:val="nil"/>
              <w:bottom w:val="nil"/>
              <w:right w:val="nil"/>
            </w:tcBorders>
            <w:shd w:val="clear" w:color="auto" w:fill="D9D9D9"/>
          </w:tcPr>
          <w:p w:rsidR="004D6F0E" w:rsidRDefault="004D6F0E">
            <w:pPr>
              <w:spacing w:after="160" w:line="259" w:lineRule="auto"/>
              <w:ind w:left="0" w:firstLine="0"/>
            </w:pPr>
          </w:p>
        </w:tc>
        <w:tc>
          <w:tcPr>
            <w:tcW w:w="1690" w:type="dxa"/>
            <w:tcBorders>
              <w:top w:val="nil"/>
              <w:left w:val="nil"/>
              <w:bottom w:val="nil"/>
              <w:right w:val="nil"/>
            </w:tcBorders>
            <w:shd w:val="clear" w:color="auto" w:fill="D9D9D9"/>
          </w:tcPr>
          <w:p w:rsidR="004D6F0E" w:rsidRDefault="004D6F0E">
            <w:pPr>
              <w:spacing w:after="160" w:line="259" w:lineRule="auto"/>
              <w:ind w:left="0" w:firstLine="0"/>
            </w:pPr>
          </w:p>
        </w:tc>
        <w:tc>
          <w:tcPr>
            <w:tcW w:w="2278" w:type="dxa"/>
            <w:tcBorders>
              <w:top w:val="nil"/>
              <w:left w:val="nil"/>
              <w:bottom w:val="nil"/>
              <w:right w:val="nil"/>
            </w:tcBorders>
            <w:shd w:val="clear" w:color="auto" w:fill="D9D9D9"/>
          </w:tcPr>
          <w:p w:rsidR="004D6F0E" w:rsidRDefault="004D6F0E">
            <w:pPr>
              <w:spacing w:after="160" w:line="259" w:lineRule="auto"/>
              <w:ind w:left="0" w:firstLine="0"/>
            </w:pP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AY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日圓</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200,000 </w:t>
            </w:r>
            <w:r>
              <w:rPr>
                <w:sz w:val="18"/>
              </w:rPr>
              <w:t>日圓</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80,000 </w:t>
            </w:r>
            <w:r>
              <w:rPr>
                <w:sz w:val="18"/>
              </w:rPr>
              <w:t>日圓</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6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BY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10" w:line="259" w:lineRule="auto"/>
              <w:ind w:left="0" w:firstLine="0"/>
            </w:pPr>
            <w:r>
              <w:rPr>
                <w:sz w:val="18"/>
              </w:rPr>
              <w:t>日圓</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14" w:line="259" w:lineRule="auto"/>
              <w:ind w:left="125" w:firstLine="0"/>
            </w:pPr>
            <w:r>
              <w:rPr>
                <w:rFonts w:ascii="Arial" w:eastAsia="Arial" w:hAnsi="Arial" w:cs="Arial"/>
                <w:sz w:val="18"/>
              </w:rPr>
              <w:t xml:space="preserve">200,000 </w:t>
            </w:r>
            <w:r>
              <w:rPr>
                <w:sz w:val="18"/>
              </w:rPr>
              <w:t>日圓</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80,000 </w:t>
            </w:r>
            <w:r>
              <w:rPr>
                <w:sz w:val="18"/>
              </w:rPr>
              <w:t>日圓</w:t>
            </w:r>
            <w:r>
              <w:rPr>
                <w:rFonts w:ascii="Arial" w:eastAsia="Arial" w:hAnsi="Arial" w:cs="Arial"/>
                <w:sz w:val="18"/>
              </w:rPr>
              <w:t xml:space="preserve"> </w:t>
            </w:r>
          </w:p>
          <w:p w:rsidR="004D6F0E" w:rsidRDefault="00490F21">
            <w:pPr>
              <w:spacing w:after="0" w:line="259" w:lineRule="auto"/>
              <w:ind w:left="478" w:firstLine="0"/>
            </w:pP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20,000,000 </w:t>
            </w:r>
            <w:r>
              <w:rPr>
                <w:sz w:val="18"/>
              </w:rPr>
              <w:t>日圓</w:t>
            </w:r>
            <w:r>
              <w:rPr>
                <w:rFonts w:ascii="Arial" w:eastAsia="Arial" w:hAnsi="Arial" w:cs="Arial"/>
                <w:sz w:val="18"/>
              </w:rPr>
              <w:t xml:space="preserve"> </w:t>
            </w:r>
          </w:p>
          <w:p w:rsidR="004D6F0E" w:rsidRDefault="00490F21">
            <w:pPr>
              <w:spacing w:after="0" w:line="259" w:lineRule="auto"/>
              <w:ind w:left="653" w:firstLine="0"/>
            </w:pP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3"/>
        </w:trPr>
        <w:tc>
          <w:tcPr>
            <w:tcW w:w="2762"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英鎊計價股份類別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122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2" w:type="dxa"/>
            <w:tcBorders>
              <w:top w:val="nil"/>
              <w:left w:val="nil"/>
              <w:bottom w:val="nil"/>
              <w:right w:val="nil"/>
            </w:tcBorders>
            <w:shd w:val="clear" w:color="auto" w:fill="D9D9D9"/>
          </w:tcPr>
          <w:p w:rsidR="004D6F0E" w:rsidRDefault="00490F21">
            <w:pPr>
              <w:spacing w:after="0" w:line="259" w:lineRule="auto"/>
              <w:ind w:left="0" w:right="211" w:firstLine="0"/>
              <w:jc w:val="right"/>
            </w:pPr>
            <w:r>
              <w:rPr>
                <w:rFonts w:ascii="Arial" w:eastAsia="Arial" w:hAnsi="Arial" w:cs="Arial"/>
                <w:sz w:val="18"/>
              </w:rPr>
              <w:t xml:space="preserve"> </w:t>
            </w:r>
          </w:p>
        </w:tc>
        <w:tc>
          <w:tcPr>
            <w:tcW w:w="1690" w:type="dxa"/>
            <w:tcBorders>
              <w:top w:val="nil"/>
              <w:left w:val="nil"/>
              <w:bottom w:val="nil"/>
              <w:right w:val="nil"/>
            </w:tcBorders>
            <w:shd w:val="clear" w:color="auto" w:fill="D9D9D9"/>
          </w:tcPr>
          <w:p w:rsidR="004D6F0E" w:rsidRDefault="00490F21">
            <w:pPr>
              <w:spacing w:after="0" w:line="259" w:lineRule="auto"/>
              <w:ind w:left="0" w:right="53" w:firstLine="0"/>
              <w:jc w:val="right"/>
            </w:pPr>
            <w:r>
              <w:rPr>
                <w:rFonts w:ascii="Arial" w:eastAsia="Arial" w:hAnsi="Arial" w:cs="Arial"/>
                <w:sz w:val="18"/>
              </w:rPr>
              <w:t xml:space="preserve"> </w:t>
            </w:r>
          </w:p>
        </w:tc>
        <w:tc>
          <w:tcPr>
            <w:tcW w:w="2278" w:type="dxa"/>
            <w:tcBorders>
              <w:top w:val="nil"/>
              <w:left w:val="nil"/>
              <w:bottom w:val="nil"/>
              <w:right w:val="nil"/>
            </w:tcBorders>
            <w:shd w:val="clear" w:color="auto" w:fill="D9D9D9"/>
          </w:tcPr>
          <w:p w:rsidR="004D6F0E" w:rsidRDefault="00490F21">
            <w:pPr>
              <w:spacing w:after="0" w:line="259" w:lineRule="auto"/>
              <w:ind w:left="1258" w:firstLine="0"/>
              <w:jc w:val="center"/>
            </w:pPr>
            <w:r>
              <w:rPr>
                <w:rFonts w:ascii="Arial" w:eastAsia="Arial" w:hAnsi="Arial" w:cs="Arial"/>
                <w:sz w:val="18"/>
              </w:rPr>
              <w:t xml:space="preserve"> </w:t>
            </w: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6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10" w:line="259" w:lineRule="auto"/>
              <w:ind w:left="0" w:firstLine="0"/>
            </w:pPr>
            <w:r>
              <w:rPr>
                <w:sz w:val="18"/>
              </w:rPr>
              <w:t>英鎊</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14" w:line="259" w:lineRule="auto"/>
              <w:ind w:left="120" w:firstLine="0"/>
            </w:pPr>
            <w:r>
              <w:rPr>
                <w:rFonts w:ascii="Arial" w:eastAsia="Arial" w:hAnsi="Arial" w:cs="Arial"/>
                <w:sz w:val="18"/>
              </w:rPr>
              <w:t xml:space="preserve">1,000,000 </w:t>
            </w:r>
            <w:r>
              <w:rPr>
                <w:sz w:val="18"/>
              </w:rPr>
              <w:t>英鎊</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9" w:line="259" w:lineRule="auto"/>
              <w:ind w:left="389" w:firstLine="0"/>
            </w:pPr>
            <w:r>
              <w:rPr>
                <w:sz w:val="18"/>
              </w:rPr>
              <w:t>無</w:t>
            </w:r>
            <w:r>
              <w:rPr>
                <w:rFonts w:ascii="Arial" w:eastAsia="Arial" w:hAnsi="Arial" w:cs="Arial"/>
                <w:sz w:val="18"/>
              </w:rPr>
              <w:t xml:space="preserve"> </w:t>
            </w:r>
          </w:p>
          <w:p w:rsidR="004D6F0E" w:rsidRDefault="00490F21">
            <w:pPr>
              <w:spacing w:after="0" w:line="259" w:lineRule="auto"/>
              <w:ind w:left="478" w:firstLine="0"/>
            </w:pP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9" w:line="259" w:lineRule="auto"/>
              <w:ind w:left="564" w:firstLine="0"/>
            </w:pPr>
            <w:r>
              <w:rPr>
                <w:sz w:val="18"/>
              </w:rPr>
              <w:t>無</w:t>
            </w:r>
            <w:r>
              <w:rPr>
                <w:rFonts w:ascii="Arial" w:eastAsia="Arial" w:hAnsi="Arial" w:cs="Arial"/>
                <w:sz w:val="18"/>
              </w:rPr>
              <w:t xml:space="preserve"> </w:t>
            </w:r>
          </w:p>
          <w:p w:rsidR="004D6F0E" w:rsidRDefault="00490F21">
            <w:pPr>
              <w:spacing w:after="0" w:line="259" w:lineRule="auto"/>
              <w:ind w:left="653" w:firstLine="0"/>
            </w:pP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762"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1229"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122"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c>
          <w:tcPr>
            <w:tcW w:w="1690" w:type="dxa"/>
            <w:tcBorders>
              <w:top w:val="nil"/>
              <w:left w:val="nil"/>
              <w:bottom w:val="nil"/>
              <w:right w:val="nil"/>
            </w:tcBorders>
            <w:shd w:val="clear" w:color="auto" w:fill="D9D9D9"/>
          </w:tcPr>
          <w:p w:rsidR="004D6F0E" w:rsidRDefault="00490F21">
            <w:pPr>
              <w:spacing w:after="0" w:line="259" w:lineRule="auto"/>
              <w:ind w:left="478" w:firstLine="0"/>
            </w:pPr>
            <w:r>
              <w:rPr>
                <w:rFonts w:ascii="Arial" w:eastAsia="Arial" w:hAnsi="Arial" w:cs="Arial"/>
                <w:sz w:val="18"/>
              </w:rPr>
              <w:t xml:space="preserve"> </w:t>
            </w:r>
          </w:p>
        </w:tc>
        <w:tc>
          <w:tcPr>
            <w:tcW w:w="2278" w:type="dxa"/>
            <w:tcBorders>
              <w:top w:val="nil"/>
              <w:left w:val="nil"/>
              <w:bottom w:val="nil"/>
              <w:right w:val="nil"/>
            </w:tcBorders>
            <w:shd w:val="clear" w:color="auto" w:fill="D9D9D9"/>
          </w:tcPr>
          <w:p w:rsidR="004D6F0E" w:rsidRDefault="00490F21">
            <w:pPr>
              <w:spacing w:after="0" w:line="259" w:lineRule="auto"/>
              <w:ind w:left="653" w:firstLine="0"/>
            </w:pPr>
            <w:r>
              <w:rPr>
                <w:rFonts w:ascii="Arial" w:eastAsia="Arial" w:hAnsi="Arial" w:cs="Arial"/>
                <w:sz w:val="18"/>
              </w:rPr>
              <w:t xml:space="preserve"> </w:t>
            </w:r>
          </w:p>
        </w:tc>
        <w:tc>
          <w:tcPr>
            <w:tcW w:w="1195"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240"/>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6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0" w:line="259" w:lineRule="auto"/>
              <w:ind w:left="389" w:firstLine="0"/>
            </w:pPr>
            <w:r>
              <w:rPr>
                <w:sz w:val="18"/>
              </w:rPr>
              <w:t>無</w:t>
            </w: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0" w:line="259" w:lineRule="auto"/>
              <w:ind w:left="564"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762"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29" w:type="dxa"/>
            <w:tcBorders>
              <w:top w:val="nil"/>
              <w:left w:val="nil"/>
              <w:bottom w:val="nil"/>
              <w:right w:val="nil"/>
            </w:tcBorders>
          </w:tcPr>
          <w:p w:rsidR="004D6F0E" w:rsidRDefault="00490F21">
            <w:pPr>
              <w:spacing w:after="7"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122" w:type="dxa"/>
            <w:tcBorders>
              <w:top w:val="nil"/>
              <w:left w:val="nil"/>
              <w:bottom w:val="nil"/>
              <w:right w:val="nil"/>
            </w:tcBorders>
          </w:tcPr>
          <w:p w:rsidR="004D6F0E" w:rsidRDefault="00490F21">
            <w:pPr>
              <w:spacing w:after="11"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690" w:type="dxa"/>
            <w:tcBorders>
              <w:top w:val="nil"/>
              <w:left w:val="nil"/>
              <w:bottom w:val="nil"/>
              <w:right w:val="nil"/>
            </w:tcBorders>
          </w:tcPr>
          <w:p w:rsidR="004D6F0E" w:rsidRDefault="00490F21">
            <w:pPr>
              <w:spacing w:after="7" w:line="259" w:lineRule="auto"/>
              <w:ind w:left="389" w:firstLine="0"/>
            </w:pPr>
            <w:r>
              <w:rPr>
                <w:sz w:val="18"/>
              </w:rPr>
              <w:t>無</w:t>
            </w:r>
            <w:r>
              <w:rPr>
                <w:rFonts w:ascii="Arial" w:eastAsia="Arial" w:hAnsi="Arial" w:cs="Arial"/>
                <w:sz w:val="18"/>
              </w:rPr>
              <w:t xml:space="preserve"> </w:t>
            </w:r>
          </w:p>
          <w:p w:rsidR="004D6F0E" w:rsidRDefault="00490F21">
            <w:pPr>
              <w:spacing w:after="0" w:line="259" w:lineRule="auto"/>
              <w:ind w:left="478" w:firstLine="0"/>
            </w:pPr>
            <w:r>
              <w:rPr>
                <w:rFonts w:ascii="Arial" w:eastAsia="Arial" w:hAnsi="Arial" w:cs="Arial"/>
                <w:sz w:val="18"/>
              </w:rPr>
              <w:t xml:space="preserve"> </w:t>
            </w:r>
          </w:p>
        </w:tc>
        <w:tc>
          <w:tcPr>
            <w:tcW w:w="2278" w:type="dxa"/>
            <w:tcBorders>
              <w:top w:val="nil"/>
              <w:left w:val="nil"/>
              <w:bottom w:val="nil"/>
              <w:right w:val="nil"/>
            </w:tcBorders>
          </w:tcPr>
          <w:p w:rsidR="004D6F0E" w:rsidRDefault="00490F21">
            <w:pPr>
              <w:spacing w:after="7" w:line="259" w:lineRule="auto"/>
              <w:ind w:left="564" w:firstLine="0"/>
            </w:pPr>
            <w:r>
              <w:rPr>
                <w:sz w:val="18"/>
              </w:rPr>
              <w:t>無</w:t>
            </w:r>
            <w:r>
              <w:rPr>
                <w:rFonts w:ascii="Arial" w:eastAsia="Arial" w:hAnsi="Arial" w:cs="Arial"/>
                <w:sz w:val="18"/>
              </w:rPr>
              <w:t xml:space="preserve"> </w:t>
            </w:r>
          </w:p>
          <w:p w:rsidR="004D6F0E" w:rsidRDefault="00490F21">
            <w:pPr>
              <w:spacing w:after="0" w:line="259" w:lineRule="auto"/>
              <w:ind w:left="653" w:firstLine="0"/>
            </w:pP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762"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229" w:type="dxa"/>
            <w:tcBorders>
              <w:top w:val="nil"/>
              <w:left w:val="nil"/>
              <w:bottom w:val="nil"/>
              <w:right w:val="nil"/>
            </w:tcBorders>
            <w:shd w:val="clear" w:color="auto" w:fill="D9D9D9"/>
          </w:tcPr>
          <w:p w:rsidR="004D6F0E" w:rsidRDefault="004D6F0E">
            <w:pPr>
              <w:spacing w:after="160" w:line="259" w:lineRule="auto"/>
              <w:ind w:left="0" w:firstLine="0"/>
            </w:pPr>
          </w:p>
        </w:tc>
        <w:tc>
          <w:tcPr>
            <w:tcW w:w="2122" w:type="dxa"/>
            <w:tcBorders>
              <w:top w:val="nil"/>
              <w:left w:val="nil"/>
              <w:bottom w:val="nil"/>
              <w:right w:val="nil"/>
            </w:tcBorders>
            <w:shd w:val="clear" w:color="auto" w:fill="D9D9D9"/>
          </w:tcPr>
          <w:p w:rsidR="004D6F0E" w:rsidRDefault="004D6F0E">
            <w:pPr>
              <w:spacing w:after="160" w:line="259" w:lineRule="auto"/>
              <w:ind w:left="0" w:firstLine="0"/>
            </w:pPr>
          </w:p>
        </w:tc>
        <w:tc>
          <w:tcPr>
            <w:tcW w:w="1690" w:type="dxa"/>
            <w:tcBorders>
              <w:top w:val="nil"/>
              <w:left w:val="nil"/>
              <w:bottom w:val="nil"/>
              <w:right w:val="nil"/>
            </w:tcBorders>
            <w:shd w:val="clear" w:color="auto" w:fill="D9D9D9"/>
          </w:tcPr>
          <w:p w:rsidR="004D6F0E" w:rsidRDefault="004D6F0E">
            <w:pPr>
              <w:spacing w:after="160" w:line="259" w:lineRule="auto"/>
              <w:ind w:left="0" w:firstLine="0"/>
            </w:pPr>
          </w:p>
        </w:tc>
        <w:tc>
          <w:tcPr>
            <w:tcW w:w="2278" w:type="dxa"/>
            <w:tcBorders>
              <w:top w:val="nil"/>
              <w:left w:val="nil"/>
              <w:bottom w:val="nil"/>
              <w:right w:val="nil"/>
            </w:tcBorders>
            <w:shd w:val="clear" w:color="auto" w:fill="D9D9D9"/>
          </w:tcPr>
          <w:p w:rsidR="004D6F0E" w:rsidRDefault="004D6F0E">
            <w:pPr>
              <w:spacing w:after="160" w:line="259" w:lineRule="auto"/>
              <w:ind w:left="0" w:firstLine="0"/>
            </w:pP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after="20"/>
        <w:ind w:left="110" w:right="397" w:hanging="10"/>
        <w:jc w:val="both"/>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r>
        <w:rPr>
          <w:sz w:val="18"/>
        </w:rPr>
        <w:t>港元</w:t>
      </w:r>
      <w:r>
        <w:rPr>
          <w:rFonts w:ascii="Arial" w:eastAsia="Arial" w:hAnsi="Arial" w:cs="Arial"/>
          <w:sz w:val="18"/>
        </w:rPr>
        <w:t xml:space="preserve"> </w:t>
      </w:r>
      <w:r>
        <w:rPr>
          <w:rFonts w:ascii="Arial" w:eastAsia="Arial" w:hAnsi="Arial" w:cs="Arial"/>
          <w:sz w:val="18"/>
        </w:rPr>
        <w:t xml:space="preserve">15,000 </w:t>
      </w:r>
      <w:r>
        <w:rPr>
          <w:sz w:val="18"/>
        </w:rPr>
        <w:t>港元</w:t>
      </w:r>
      <w:r>
        <w:rPr>
          <w:rFonts w:ascii="Arial" w:eastAsia="Arial" w:hAnsi="Arial" w:cs="Arial"/>
          <w:sz w:val="18"/>
        </w:rPr>
        <w:t xml:space="preserve"> 5,000 </w:t>
      </w:r>
      <w:r>
        <w:rPr>
          <w:sz w:val="18"/>
        </w:rPr>
        <w:t>港元</w:t>
      </w:r>
      <w:r>
        <w:rPr>
          <w:rFonts w:ascii="Arial" w:eastAsia="Arial" w:hAnsi="Arial" w:cs="Arial"/>
          <w:sz w:val="18"/>
        </w:rPr>
        <w:t xml:space="preserve"> </w:t>
      </w:r>
      <w:r>
        <w:rPr>
          <w:sz w:val="18"/>
        </w:rPr>
        <w:t>無</w:t>
      </w:r>
      <w:r>
        <w:rPr>
          <w:rFonts w:ascii="Arial" w:eastAsia="Arial" w:hAnsi="Arial" w:cs="Arial"/>
          <w:sz w:val="18"/>
        </w:rPr>
        <w:t xml:space="preserve"> 0.05% S </w:t>
      </w:r>
      <w:r>
        <w:rPr>
          <w:sz w:val="18"/>
        </w:rPr>
        <w:t>類股份</w:t>
      </w:r>
      <w:r>
        <w:rPr>
          <w:rFonts w:ascii="Arial" w:eastAsia="Arial" w:hAnsi="Arial" w:cs="Arial"/>
          <w:sz w:val="18"/>
        </w:rPr>
        <w:t xml:space="preserve"> </w:t>
      </w:r>
      <w:r>
        <w:rPr>
          <w:sz w:val="18"/>
        </w:rPr>
        <w:t>港元</w:t>
      </w:r>
      <w:r>
        <w:rPr>
          <w:rFonts w:ascii="Arial" w:eastAsia="Arial" w:hAnsi="Arial" w:cs="Arial"/>
          <w:sz w:val="18"/>
        </w:rPr>
        <w:t xml:space="preserve"> 200,000,000 </w:t>
      </w:r>
      <w:r>
        <w:rPr>
          <w:sz w:val="18"/>
        </w:rPr>
        <w:t>港元</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0.01%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582" w:right="13" w:hanging="2467"/>
      </w:pPr>
      <w:r>
        <w:rPr>
          <w:rFonts w:ascii="Arial" w:eastAsia="Arial" w:hAnsi="Arial" w:cs="Arial"/>
          <w:b/>
          <w:sz w:val="18"/>
        </w:rPr>
        <w:t xml:space="preserve"> </w:t>
      </w:r>
      <w:r>
        <w:rPr>
          <w:sz w:val="18"/>
        </w:rPr>
        <w:t>對沖貨幣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p w:rsidR="004D6F0E" w:rsidRDefault="00490F21">
      <w:pPr>
        <w:spacing w:after="9" w:line="259" w:lineRule="auto"/>
        <w:ind w:left="2213" w:right="-33" w:firstLine="0"/>
      </w:pPr>
      <w:r>
        <w:rPr>
          <w:rFonts w:ascii="Calibri" w:eastAsia="Calibri" w:hAnsi="Calibri" w:cs="Calibri"/>
          <w:noProof/>
          <w:sz w:val="22"/>
        </w:rPr>
        <mc:AlternateContent>
          <mc:Choice Requires="wpg">
            <w:drawing>
              <wp:inline distT="0" distB="0" distL="0" distR="0">
                <wp:extent cx="5701285" cy="6096"/>
                <wp:effectExtent l="0" t="0" r="0" b="0"/>
                <wp:docPr id="457458" name="Group 457458"/>
                <wp:cNvGraphicFramePr/>
                <a:graphic xmlns:a="http://schemas.openxmlformats.org/drawingml/2006/main">
                  <a:graphicData uri="http://schemas.microsoft.com/office/word/2010/wordprocessingGroup">
                    <wpg:wgp>
                      <wpg:cNvGrpSpPr/>
                      <wpg:grpSpPr>
                        <a:xfrm>
                          <a:off x="0" y="0"/>
                          <a:ext cx="5701285" cy="6096"/>
                          <a:chOff x="0" y="0"/>
                          <a:chExt cx="5701285" cy="6096"/>
                        </a:xfrm>
                      </wpg:grpSpPr>
                      <wps:wsp>
                        <wps:cNvPr id="657937" name="Shape 657937"/>
                        <wps:cNvSpPr/>
                        <wps:spPr>
                          <a:xfrm>
                            <a:off x="0" y="0"/>
                            <a:ext cx="926592" cy="9144"/>
                          </a:xfrm>
                          <a:custGeom>
                            <a:avLst/>
                            <a:gdLst/>
                            <a:ahLst/>
                            <a:cxnLst/>
                            <a:rect l="0" t="0" r="0" b="0"/>
                            <a:pathLst>
                              <a:path w="926592" h="9144">
                                <a:moveTo>
                                  <a:pt x="0" y="0"/>
                                </a:moveTo>
                                <a:lnTo>
                                  <a:pt x="926592" y="0"/>
                                </a:lnTo>
                                <a:lnTo>
                                  <a:pt x="926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38" name="Shape 657938"/>
                        <wps:cNvSpPr/>
                        <wps:spPr>
                          <a:xfrm>
                            <a:off x="1036320" y="0"/>
                            <a:ext cx="1104900" cy="9144"/>
                          </a:xfrm>
                          <a:custGeom>
                            <a:avLst/>
                            <a:gdLst/>
                            <a:ahLst/>
                            <a:cxnLst/>
                            <a:rect l="0" t="0" r="0" b="0"/>
                            <a:pathLst>
                              <a:path w="1104900" h="9144">
                                <a:moveTo>
                                  <a:pt x="0" y="0"/>
                                </a:moveTo>
                                <a:lnTo>
                                  <a:pt x="1104900" y="0"/>
                                </a:lnTo>
                                <a:lnTo>
                                  <a:pt x="110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39" name="Shape 657939"/>
                        <wps:cNvSpPr/>
                        <wps:spPr>
                          <a:xfrm>
                            <a:off x="2249424" y="0"/>
                            <a:ext cx="1062241" cy="9144"/>
                          </a:xfrm>
                          <a:custGeom>
                            <a:avLst/>
                            <a:gdLst/>
                            <a:ahLst/>
                            <a:cxnLst/>
                            <a:rect l="0" t="0" r="0" b="0"/>
                            <a:pathLst>
                              <a:path w="1062241" h="9144">
                                <a:moveTo>
                                  <a:pt x="0" y="0"/>
                                </a:moveTo>
                                <a:lnTo>
                                  <a:pt x="1062241" y="0"/>
                                </a:lnTo>
                                <a:lnTo>
                                  <a:pt x="10622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40" name="Shape 657940"/>
                        <wps:cNvSpPr/>
                        <wps:spPr>
                          <a:xfrm>
                            <a:off x="3422904" y="0"/>
                            <a:ext cx="1083564" cy="9144"/>
                          </a:xfrm>
                          <a:custGeom>
                            <a:avLst/>
                            <a:gdLst/>
                            <a:ahLst/>
                            <a:cxnLst/>
                            <a:rect l="0" t="0" r="0" b="0"/>
                            <a:pathLst>
                              <a:path w="1083564" h="9144">
                                <a:moveTo>
                                  <a:pt x="0" y="0"/>
                                </a:moveTo>
                                <a:lnTo>
                                  <a:pt x="1083564" y="0"/>
                                </a:lnTo>
                                <a:lnTo>
                                  <a:pt x="1083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41" name="Shape 657941"/>
                        <wps:cNvSpPr/>
                        <wps:spPr>
                          <a:xfrm>
                            <a:off x="4616196" y="0"/>
                            <a:ext cx="1085088" cy="9144"/>
                          </a:xfrm>
                          <a:custGeom>
                            <a:avLst/>
                            <a:gdLst/>
                            <a:ahLst/>
                            <a:cxnLst/>
                            <a:rect l="0" t="0" r="0" b="0"/>
                            <a:pathLst>
                              <a:path w="1085088" h="9144">
                                <a:moveTo>
                                  <a:pt x="0" y="0"/>
                                </a:moveTo>
                                <a:lnTo>
                                  <a:pt x="1085088" y="0"/>
                                </a:lnTo>
                                <a:lnTo>
                                  <a:pt x="1085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7458" style="width:448.92pt;height:0.480011pt;mso-position-horizontal-relative:char;mso-position-vertical-relative:line" coordsize="57012,60">
                <v:shape id="Shape 657942" style="position:absolute;width:9265;height:91;left:0;top:0;" coordsize="926592,9144" path="m0,0l926592,0l926592,9144l0,9144l0,0">
                  <v:stroke weight="0pt" endcap="flat" joinstyle="miter" miterlimit="10" on="false" color="#000000" opacity="0"/>
                  <v:fill on="true" color="#000000"/>
                </v:shape>
                <v:shape id="Shape 657943" style="position:absolute;width:11049;height:91;left:10363;top:0;" coordsize="1104900,9144" path="m0,0l1104900,0l1104900,9144l0,9144l0,0">
                  <v:stroke weight="0pt" endcap="flat" joinstyle="miter" miterlimit="10" on="false" color="#000000" opacity="0"/>
                  <v:fill on="true" color="#000000"/>
                </v:shape>
                <v:shape id="Shape 657944" style="position:absolute;width:10622;height:91;left:22494;top:0;" coordsize="1062241,9144" path="m0,0l1062241,0l1062241,9144l0,9144l0,0">
                  <v:stroke weight="0pt" endcap="flat" joinstyle="miter" miterlimit="10" on="false" color="#000000" opacity="0"/>
                  <v:fill on="true" color="#000000"/>
                </v:shape>
                <v:shape id="Shape 657945" style="position:absolute;width:10835;height:91;left:34229;top:0;" coordsize="1083564,9144" path="m0,0l1083564,0l1083564,9144l0,9144l0,0">
                  <v:stroke weight="0pt" endcap="flat" joinstyle="miter" miterlimit="10" on="false" color="#000000" opacity="0"/>
                  <v:fill on="true" color="#000000"/>
                </v:shape>
                <v:shape id="Shape 657946" style="position:absolute;width:10850;height:91;left:46161;top:0;" coordsize="1085088,9144" path="m0,0l1085088,0l1085088,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b/>
          <w:sz w:val="6"/>
        </w:rPr>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p>
    <w:tbl>
      <w:tblPr>
        <w:tblStyle w:val="TableGrid"/>
        <w:tblW w:w="11275" w:type="dxa"/>
        <w:tblInd w:w="0" w:type="dxa"/>
        <w:tblCellMar>
          <w:top w:w="22" w:type="dxa"/>
          <w:left w:w="0" w:type="dxa"/>
          <w:bottom w:w="0" w:type="dxa"/>
          <w:right w:w="118" w:type="dxa"/>
        </w:tblCellMar>
        <w:tblLook w:val="04A0" w:firstRow="1" w:lastRow="0" w:firstColumn="1" w:lastColumn="0" w:noHBand="0" w:noVBand="1"/>
      </w:tblPr>
      <w:tblGrid>
        <w:gridCol w:w="2582"/>
        <w:gridCol w:w="1459"/>
        <w:gridCol w:w="1942"/>
        <w:gridCol w:w="2383"/>
        <w:gridCol w:w="1714"/>
        <w:gridCol w:w="1195"/>
      </w:tblGrid>
      <w:tr w:rsidR="004D6F0E">
        <w:trPr>
          <w:trHeight w:val="233"/>
        </w:trPr>
        <w:tc>
          <w:tcPr>
            <w:tcW w:w="2582"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lastRenderedPageBreak/>
              <w:t>澳元對沖股份類別</w:t>
            </w:r>
            <w:r>
              <w:rPr>
                <w:rFonts w:ascii="Arial" w:eastAsia="Arial" w:hAnsi="Arial" w:cs="Arial"/>
                <w:b/>
                <w:sz w:val="18"/>
              </w:rPr>
              <w:t xml:space="preserve"> </w:t>
            </w:r>
            <w:r>
              <w:rPr>
                <w:rFonts w:ascii="Arial" w:eastAsia="Arial" w:hAnsi="Arial" w:cs="Arial"/>
                <w:b/>
                <w:sz w:val="18"/>
              </w:rPr>
              <w:tab/>
              <w:t xml:space="preserve"> </w:t>
            </w:r>
          </w:p>
        </w:tc>
        <w:tc>
          <w:tcPr>
            <w:tcW w:w="145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942" w:type="dxa"/>
            <w:tcBorders>
              <w:top w:val="nil"/>
              <w:left w:val="nil"/>
              <w:bottom w:val="nil"/>
              <w:right w:val="nil"/>
            </w:tcBorders>
            <w:shd w:val="clear" w:color="auto" w:fill="D9D9D9"/>
          </w:tcPr>
          <w:p w:rsidR="004D6F0E" w:rsidRDefault="00490F21">
            <w:pPr>
              <w:spacing w:after="0" w:line="259" w:lineRule="auto"/>
              <w:ind w:left="0" w:right="31" w:firstLine="0"/>
              <w:jc w:val="right"/>
            </w:pPr>
            <w:r>
              <w:rPr>
                <w:rFonts w:ascii="Arial" w:eastAsia="Arial" w:hAnsi="Arial" w:cs="Arial"/>
                <w:b/>
                <w:sz w:val="18"/>
              </w:rPr>
              <w:t xml:space="preserve"> </w:t>
            </w:r>
          </w:p>
        </w:tc>
        <w:tc>
          <w:tcPr>
            <w:tcW w:w="2383" w:type="dxa"/>
            <w:tcBorders>
              <w:top w:val="nil"/>
              <w:left w:val="nil"/>
              <w:bottom w:val="nil"/>
              <w:right w:val="nil"/>
            </w:tcBorders>
            <w:shd w:val="clear" w:color="auto" w:fill="D9D9D9"/>
          </w:tcPr>
          <w:p w:rsidR="004D6F0E" w:rsidRDefault="00490F21">
            <w:pPr>
              <w:spacing w:after="0" w:line="259" w:lineRule="auto"/>
              <w:ind w:left="1082" w:firstLine="0"/>
              <w:jc w:val="center"/>
            </w:pPr>
            <w:r>
              <w:rPr>
                <w:rFonts w:ascii="Arial" w:eastAsia="Arial" w:hAnsi="Arial" w:cs="Arial"/>
                <w:b/>
                <w:sz w:val="18"/>
              </w:rPr>
              <w:t xml:space="preserve"> </w:t>
            </w:r>
          </w:p>
        </w:tc>
        <w:tc>
          <w:tcPr>
            <w:tcW w:w="1714"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b/>
                <w:sz w:val="18"/>
              </w:rPr>
              <w:t xml:space="preserve"> </w:t>
            </w: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68"/>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澳元及</w:t>
            </w:r>
            <w:r>
              <w:rPr>
                <w:sz w:val="18"/>
              </w:rPr>
              <w:t xml:space="preserve"> </w:t>
            </w: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59" w:type="dxa"/>
            <w:tcBorders>
              <w:top w:val="nil"/>
              <w:left w:val="nil"/>
              <w:bottom w:val="nil"/>
              <w:right w:val="nil"/>
            </w:tcBorders>
            <w:vAlign w:val="center"/>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942" w:type="dxa"/>
            <w:tcBorders>
              <w:top w:val="nil"/>
              <w:left w:val="nil"/>
              <w:bottom w:val="nil"/>
              <w:right w:val="nil"/>
            </w:tcBorders>
            <w:vAlign w:val="center"/>
          </w:tcPr>
          <w:p w:rsidR="004D6F0E" w:rsidRDefault="00490F21">
            <w:pPr>
              <w:spacing w:after="0" w:line="259" w:lineRule="auto"/>
              <w:ind w:left="24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3" w:type="dxa"/>
            <w:tcBorders>
              <w:top w:val="nil"/>
              <w:left w:val="nil"/>
              <w:bottom w:val="nil"/>
              <w:right w:val="nil"/>
            </w:tcBorders>
            <w:vAlign w:val="center"/>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14"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9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1"/>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942"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3"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942"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83"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670"/>
        </w:trPr>
        <w:tc>
          <w:tcPr>
            <w:tcW w:w="2582" w:type="dxa"/>
            <w:tcBorders>
              <w:top w:val="nil"/>
              <w:left w:val="nil"/>
              <w:bottom w:val="nil"/>
              <w:right w:val="nil"/>
            </w:tcBorders>
          </w:tcPr>
          <w:p w:rsidR="004D6F0E" w:rsidRDefault="00490F21">
            <w:pPr>
              <w:spacing w:after="0" w:line="280"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澳元及</w:t>
            </w:r>
            <w:r>
              <w:rPr>
                <w:sz w:val="18"/>
              </w:rPr>
              <w:t xml:space="preserve"> </w:t>
            </w:r>
            <w:r>
              <w:rPr>
                <w:rFonts w:ascii="Arial" w:eastAsia="Arial" w:hAnsi="Arial" w:cs="Arial"/>
                <w:sz w:val="18"/>
              </w:rPr>
              <w:t xml:space="preserve">ID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59" w:type="dxa"/>
            <w:tcBorders>
              <w:top w:val="nil"/>
              <w:left w:val="nil"/>
              <w:bottom w:val="nil"/>
              <w:right w:val="nil"/>
            </w:tcBorders>
            <w:vAlign w:val="bottom"/>
          </w:tcPr>
          <w:p w:rsidR="004D6F0E" w:rsidRDefault="00490F21">
            <w:pPr>
              <w:spacing w:after="127" w:line="259" w:lineRule="auto"/>
              <w:ind w:left="180" w:firstLine="0"/>
            </w:pPr>
            <w:r>
              <w:rPr>
                <w:sz w:val="18"/>
              </w:rPr>
              <w:t>澳元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42" w:type="dxa"/>
            <w:tcBorders>
              <w:top w:val="nil"/>
              <w:left w:val="nil"/>
              <w:bottom w:val="nil"/>
              <w:right w:val="nil"/>
            </w:tcBorders>
            <w:vAlign w:val="bottom"/>
          </w:tcPr>
          <w:p w:rsidR="004D6F0E" w:rsidRDefault="00490F21">
            <w:pPr>
              <w:spacing w:after="131" w:line="259" w:lineRule="auto"/>
              <w:ind w:left="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p w:rsidR="004D6F0E" w:rsidRDefault="00490F21">
            <w:pPr>
              <w:spacing w:after="0" w:line="259" w:lineRule="auto"/>
              <w:ind w:left="672" w:firstLine="0"/>
            </w:pPr>
            <w:r>
              <w:rPr>
                <w:rFonts w:ascii="Arial" w:eastAsia="Arial" w:hAnsi="Arial" w:cs="Arial"/>
                <w:sz w:val="18"/>
              </w:rPr>
              <w:t xml:space="preserve"> </w:t>
            </w:r>
          </w:p>
        </w:tc>
        <w:tc>
          <w:tcPr>
            <w:tcW w:w="2383" w:type="dxa"/>
            <w:tcBorders>
              <w:top w:val="nil"/>
              <w:left w:val="nil"/>
              <w:bottom w:val="nil"/>
              <w:right w:val="nil"/>
            </w:tcBorders>
            <w:vAlign w:val="bottom"/>
          </w:tcPr>
          <w:p w:rsidR="004D6F0E" w:rsidRDefault="00490F21">
            <w:pPr>
              <w:spacing w:after="127"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714" w:type="dxa"/>
            <w:tcBorders>
              <w:top w:val="nil"/>
              <w:left w:val="nil"/>
              <w:bottom w:val="nil"/>
              <w:right w:val="nil"/>
            </w:tcBorders>
            <w:vAlign w:val="bottom"/>
          </w:tcPr>
          <w:p w:rsidR="004D6F0E" w:rsidRDefault="00490F21">
            <w:pPr>
              <w:spacing w:after="12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95" w:type="dxa"/>
            <w:tcBorders>
              <w:top w:val="nil"/>
              <w:left w:val="nil"/>
              <w:bottom w:val="nil"/>
              <w:right w:val="nil"/>
            </w:tcBorders>
            <w:vAlign w:val="bottom"/>
          </w:tcPr>
          <w:p w:rsidR="004D6F0E" w:rsidRDefault="00490F21">
            <w:pPr>
              <w:spacing w:after="115"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3"/>
        </w:trPr>
        <w:tc>
          <w:tcPr>
            <w:tcW w:w="2582"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新加坡元對沖股份類別</w:t>
            </w:r>
            <w:r>
              <w:rPr>
                <w:rFonts w:ascii="Arial" w:eastAsia="Arial" w:hAnsi="Arial" w:cs="Arial"/>
                <w:b/>
                <w:sz w:val="18"/>
              </w:rPr>
              <w:t xml:space="preserve"> </w:t>
            </w:r>
            <w:r>
              <w:rPr>
                <w:rFonts w:ascii="Arial" w:eastAsia="Arial" w:hAnsi="Arial" w:cs="Arial"/>
                <w:b/>
                <w:sz w:val="18"/>
              </w:rPr>
              <w:tab/>
              <w:t xml:space="preserve"> </w:t>
            </w:r>
          </w:p>
        </w:tc>
        <w:tc>
          <w:tcPr>
            <w:tcW w:w="145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942" w:type="dxa"/>
            <w:tcBorders>
              <w:top w:val="nil"/>
              <w:left w:val="nil"/>
              <w:bottom w:val="nil"/>
              <w:right w:val="nil"/>
            </w:tcBorders>
            <w:shd w:val="clear" w:color="auto" w:fill="D9D9D9"/>
          </w:tcPr>
          <w:p w:rsidR="004D6F0E" w:rsidRDefault="00490F21">
            <w:pPr>
              <w:spacing w:after="0" w:line="259" w:lineRule="auto"/>
              <w:ind w:left="0" w:right="31" w:firstLine="0"/>
              <w:jc w:val="right"/>
            </w:pPr>
            <w:r>
              <w:rPr>
                <w:rFonts w:ascii="Arial" w:eastAsia="Arial" w:hAnsi="Arial" w:cs="Arial"/>
                <w:b/>
                <w:sz w:val="18"/>
              </w:rPr>
              <w:t xml:space="preserve"> </w:t>
            </w:r>
          </w:p>
        </w:tc>
        <w:tc>
          <w:tcPr>
            <w:tcW w:w="2383" w:type="dxa"/>
            <w:tcBorders>
              <w:top w:val="nil"/>
              <w:left w:val="nil"/>
              <w:bottom w:val="nil"/>
              <w:right w:val="nil"/>
            </w:tcBorders>
            <w:shd w:val="clear" w:color="auto" w:fill="D9D9D9"/>
          </w:tcPr>
          <w:p w:rsidR="004D6F0E" w:rsidRDefault="00490F21">
            <w:pPr>
              <w:spacing w:after="0" w:line="259" w:lineRule="auto"/>
              <w:ind w:left="1082" w:firstLine="0"/>
              <w:jc w:val="center"/>
            </w:pPr>
            <w:r>
              <w:rPr>
                <w:rFonts w:ascii="Arial" w:eastAsia="Arial" w:hAnsi="Arial" w:cs="Arial"/>
                <w:b/>
                <w:sz w:val="18"/>
              </w:rPr>
              <w:t xml:space="preserve"> </w:t>
            </w:r>
          </w:p>
        </w:tc>
        <w:tc>
          <w:tcPr>
            <w:tcW w:w="1714"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b/>
                <w:sz w:val="18"/>
              </w:rPr>
              <w:t xml:space="preserve"> </w:t>
            </w: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677"/>
        </w:trPr>
        <w:tc>
          <w:tcPr>
            <w:tcW w:w="2582" w:type="dxa"/>
            <w:tcBorders>
              <w:top w:val="nil"/>
              <w:left w:val="nil"/>
              <w:bottom w:val="nil"/>
              <w:right w:val="nil"/>
            </w:tcBorders>
          </w:tcPr>
          <w:p w:rsidR="004D6F0E" w:rsidRDefault="00490F21">
            <w:pPr>
              <w:spacing w:after="21"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新加坡元及</w:t>
            </w:r>
            <w:r>
              <w:rPr>
                <w:sz w:val="18"/>
              </w:rPr>
              <w:t xml:space="preserve"> </w:t>
            </w:r>
            <w:r>
              <w:rPr>
                <w:rFonts w:ascii="Arial" w:eastAsia="Arial" w:hAnsi="Arial" w:cs="Arial"/>
                <w:sz w:val="18"/>
              </w:rPr>
              <w:t>AD</w:t>
            </w:r>
          </w:p>
          <w:p w:rsidR="004D6F0E" w:rsidRDefault="00490F21">
            <w:pPr>
              <w:spacing w:after="13" w:line="259" w:lineRule="auto"/>
              <w:ind w:left="115" w:firstLine="0"/>
            </w:pP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59" w:type="dxa"/>
            <w:tcBorders>
              <w:top w:val="nil"/>
              <w:left w:val="nil"/>
              <w:bottom w:val="nil"/>
              <w:right w:val="nil"/>
            </w:tcBorders>
            <w:vAlign w:val="bottom"/>
          </w:tcPr>
          <w:p w:rsidR="004D6F0E" w:rsidRDefault="00490F21">
            <w:pPr>
              <w:spacing w:after="125"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42" w:type="dxa"/>
            <w:tcBorders>
              <w:top w:val="nil"/>
              <w:left w:val="nil"/>
              <w:bottom w:val="nil"/>
              <w:right w:val="nil"/>
            </w:tcBorders>
            <w:vAlign w:val="bottom"/>
          </w:tcPr>
          <w:p w:rsidR="004D6F0E" w:rsidRDefault="00490F21">
            <w:pPr>
              <w:spacing w:after="130" w:line="259" w:lineRule="auto"/>
              <w:ind w:left="6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p w:rsidR="004D6F0E" w:rsidRDefault="00490F21">
            <w:pPr>
              <w:spacing w:after="0" w:line="259" w:lineRule="auto"/>
              <w:ind w:left="672" w:firstLine="0"/>
            </w:pPr>
            <w:r>
              <w:rPr>
                <w:rFonts w:ascii="Arial" w:eastAsia="Arial" w:hAnsi="Arial" w:cs="Arial"/>
                <w:sz w:val="18"/>
              </w:rPr>
              <w:t xml:space="preserve"> </w:t>
            </w:r>
          </w:p>
        </w:tc>
        <w:tc>
          <w:tcPr>
            <w:tcW w:w="2383" w:type="dxa"/>
            <w:tcBorders>
              <w:top w:val="nil"/>
              <w:left w:val="nil"/>
              <w:bottom w:val="nil"/>
              <w:right w:val="nil"/>
            </w:tcBorders>
            <w:vAlign w:val="bottom"/>
          </w:tcPr>
          <w:p w:rsidR="004D6F0E" w:rsidRDefault="00490F21">
            <w:pPr>
              <w:spacing w:after="13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714" w:type="dxa"/>
            <w:tcBorders>
              <w:top w:val="nil"/>
              <w:left w:val="nil"/>
              <w:bottom w:val="nil"/>
              <w:right w:val="nil"/>
            </w:tcBorders>
            <w:vAlign w:val="bottom"/>
          </w:tcPr>
          <w:p w:rsidR="004D6F0E" w:rsidRDefault="00490F21">
            <w:pPr>
              <w:spacing w:after="125"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95" w:type="dxa"/>
            <w:tcBorders>
              <w:top w:val="nil"/>
              <w:left w:val="nil"/>
              <w:bottom w:val="nil"/>
              <w:right w:val="nil"/>
            </w:tcBorders>
            <w:vAlign w:val="bottom"/>
          </w:tcPr>
          <w:p w:rsidR="004D6F0E" w:rsidRDefault="00490F21">
            <w:pPr>
              <w:spacing w:after="112"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3"/>
        </w:trPr>
        <w:tc>
          <w:tcPr>
            <w:tcW w:w="2582"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加元對沖股份類別</w:t>
            </w:r>
            <w:r>
              <w:rPr>
                <w:rFonts w:ascii="Arial" w:eastAsia="Arial" w:hAnsi="Arial" w:cs="Arial"/>
                <w:b/>
                <w:sz w:val="18"/>
              </w:rPr>
              <w:t xml:space="preserve"> </w:t>
            </w:r>
            <w:r>
              <w:rPr>
                <w:rFonts w:ascii="Arial" w:eastAsia="Arial" w:hAnsi="Arial" w:cs="Arial"/>
                <w:b/>
                <w:sz w:val="18"/>
              </w:rPr>
              <w:tab/>
              <w:t xml:space="preserve"> </w:t>
            </w:r>
          </w:p>
        </w:tc>
        <w:tc>
          <w:tcPr>
            <w:tcW w:w="145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942" w:type="dxa"/>
            <w:tcBorders>
              <w:top w:val="nil"/>
              <w:left w:val="nil"/>
              <w:bottom w:val="nil"/>
              <w:right w:val="nil"/>
            </w:tcBorders>
            <w:shd w:val="clear" w:color="auto" w:fill="D9D9D9"/>
          </w:tcPr>
          <w:p w:rsidR="004D6F0E" w:rsidRDefault="00490F21">
            <w:pPr>
              <w:spacing w:after="0" w:line="259" w:lineRule="auto"/>
              <w:ind w:left="0" w:right="31" w:firstLine="0"/>
              <w:jc w:val="right"/>
            </w:pPr>
            <w:r>
              <w:rPr>
                <w:rFonts w:ascii="Arial" w:eastAsia="Arial" w:hAnsi="Arial" w:cs="Arial"/>
                <w:b/>
                <w:sz w:val="18"/>
              </w:rPr>
              <w:t xml:space="preserve"> </w:t>
            </w:r>
          </w:p>
        </w:tc>
        <w:tc>
          <w:tcPr>
            <w:tcW w:w="2383" w:type="dxa"/>
            <w:tcBorders>
              <w:top w:val="nil"/>
              <w:left w:val="nil"/>
              <w:bottom w:val="nil"/>
              <w:right w:val="nil"/>
            </w:tcBorders>
            <w:shd w:val="clear" w:color="auto" w:fill="D9D9D9"/>
          </w:tcPr>
          <w:p w:rsidR="004D6F0E" w:rsidRDefault="00490F21">
            <w:pPr>
              <w:spacing w:after="0" w:line="259" w:lineRule="auto"/>
              <w:ind w:left="1082" w:firstLine="0"/>
              <w:jc w:val="center"/>
            </w:pPr>
            <w:r>
              <w:rPr>
                <w:rFonts w:ascii="Arial" w:eastAsia="Arial" w:hAnsi="Arial" w:cs="Arial"/>
                <w:b/>
                <w:sz w:val="18"/>
              </w:rPr>
              <w:t xml:space="preserve"> </w:t>
            </w:r>
          </w:p>
        </w:tc>
        <w:tc>
          <w:tcPr>
            <w:tcW w:w="1714"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b/>
                <w:sz w:val="18"/>
              </w:rPr>
              <w:t xml:space="preserve"> </w:t>
            </w: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58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10" w:line="259" w:lineRule="auto"/>
              <w:ind w:left="180" w:firstLine="0"/>
            </w:pPr>
            <w:r>
              <w:rPr>
                <w:sz w:val="18"/>
              </w:rPr>
              <w:t>加元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42" w:type="dxa"/>
            <w:tcBorders>
              <w:top w:val="nil"/>
              <w:left w:val="nil"/>
              <w:bottom w:val="nil"/>
              <w:right w:val="nil"/>
            </w:tcBorders>
          </w:tcPr>
          <w:p w:rsidR="004D6F0E" w:rsidRDefault="00490F21">
            <w:pPr>
              <w:spacing w:after="14" w:line="259" w:lineRule="auto"/>
              <w:ind w:left="245" w:firstLine="0"/>
            </w:pPr>
            <w:r>
              <w:rPr>
                <w:rFonts w:ascii="Arial" w:eastAsia="Arial" w:hAnsi="Arial" w:cs="Arial"/>
                <w:sz w:val="18"/>
              </w:rPr>
              <w:t xml:space="preserve">2,000 </w:t>
            </w:r>
            <w:r>
              <w:rPr>
                <w:sz w:val="18"/>
              </w:rPr>
              <w:t>加元</w:t>
            </w:r>
            <w:r>
              <w:rPr>
                <w:rFonts w:ascii="Arial" w:eastAsia="Arial" w:hAnsi="Arial" w:cs="Arial"/>
                <w:sz w:val="18"/>
              </w:rPr>
              <w:t xml:space="preserve"> </w:t>
            </w:r>
          </w:p>
          <w:p w:rsidR="004D6F0E" w:rsidRDefault="00490F21">
            <w:pPr>
              <w:spacing w:after="0" w:line="259" w:lineRule="auto"/>
              <w:ind w:left="672" w:firstLine="0"/>
            </w:pPr>
            <w:r>
              <w:rPr>
                <w:rFonts w:ascii="Arial" w:eastAsia="Arial" w:hAnsi="Arial" w:cs="Arial"/>
                <w:sz w:val="18"/>
              </w:rPr>
              <w:t xml:space="preserve"> </w:t>
            </w:r>
          </w:p>
        </w:tc>
        <w:tc>
          <w:tcPr>
            <w:tcW w:w="2383" w:type="dxa"/>
            <w:tcBorders>
              <w:top w:val="nil"/>
              <w:left w:val="nil"/>
              <w:bottom w:val="nil"/>
              <w:right w:val="nil"/>
            </w:tcBorders>
          </w:tcPr>
          <w:p w:rsidR="004D6F0E" w:rsidRDefault="00490F21">
            <w:pPr>
              <w:spacing w:after="14" w:line="259" w:lineRule="auto"/>
              <w:ind w:left="254" w:firstLine="0"/>
            </w:pPr>
            <w:r>
              <w:rPr>
                <w:rFonts w:ascii="Arial" w:eastAsia="Arial" w:hAnsi="Arial" w:cs="Arial"/>
                <w:sz w:val="18"/>
              </w:rPr>
              <w:t xml:space="preserve">750 </w:t>
            </w:r>
            <w:r>
              <w:rPr>
                <w:sz w:val="18"/>
              </w:rPr>
              <w:t>加元</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9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582"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英鎊對沖股份類別</w:t>
            </w:r>
            <w:r>
              <w:rPr>
                <w:rFonts w:ascii="Arial" w:eastAsia="Arial" w:hAnsi="Arial" w:cs="Arial"/>
                <w:sz w:val="18"/>
              </w:rPr>
              <w:t xml:space="preserve"> </w:t>
            </w:r>
            <w:r>
              <w:rPr>
                <w:rFonts w:ascii="Arial" w:eastAsia="Arial" w:hAnsi="Arial" w:cs="Arial"/>
                <w:sz w:val="18"/>
              </w:rPr>
              <w:tab/>
              <w:t xml:space="preserve"> </w:t>
            </w:r>
          </w:p>
        </w:tc>
        <w:tc>
          <w:tcPr>
            <w:tcW w:w="145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942" w:type="dxa"/>
            <w:tcBorders>
              <w:top w:val="nil"/>
              <w:left w:val="nil"/>
              <w:bottom w:val="nil"/>
              <w:right w:val="nil"/>
            </w:tcBorders>
            <w:shd w:val="clear" w:color="auto" w:fill="D9D9D9"/>
          </w:tcPr>
          <w:p w:rsidR="004D6F0E" w:rsidRDefault="00490F21">
            <w:pPr>
              <w:spacing w:after="0" w:line="259" w:lineRule="auto"/>
              <w:ind w:left="0" w:right="31" w:firstLine="0"/>
              <w:jc w:val="right"/>
            </w:pPr>
            <w:r>
              <w:rPr>
                <w:rFonts w:ascii="Arial" w:eastAsia="Arial" w:hAnsi="Arial" w:cs="Arial"/>
                <w:sz w:val="18"/>
              </w:rPr>
              <w:t xml:space="preserve"> </w:t>
            </w:r>
          </w:p>
        </w:tc>
        <w:tc>
          <w:tcPr>
            <w:tcW w:w="2383" w:type="dxa"/>
            <w:tcBorders>
              <w:top w:val="nil"/>
              <w:left w:val="nil"/>
              <w:bottom w:val="nil"/>
              <w:right w:val="nil"/>
            </w:tcBorders>
            <w:shd w:val="clear" w:color="auto" w:fill="D9D9D9"/>
          </w:tcPr>
          <w:p w:rsidR="004D6F0E" w:rsidRDefault="00490F21">
            <w:pPr>
              <w:spacing w:after="0" w:line="259" w:lineRule="auto"/>
              <w:ind w:left="1082" w:firstLine="0"/>
              <w:jc w:val="center"/>
            </w:pPr>
            <w:r>
              <w:rPr>
                <w:rFonts w:ascii="Arial" w:eastAsia="Arial" w:hAnsi="Arial" w:cs="Arial"/>
                <w:sz w:val="18"/>
              </w:rPr>
              <w:t xml:space="preserve"> </w:t>
            </w:r>
          </w:p>
        </w:tc>
        <w:tc>
          <w:tcPr>
            <w:tcW w:w="1714"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1195"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2942"/>
          <w:tab w:val="center" w:pos="4715"/>
          <w:tab w:val="center" w:pos="6592"/>
          <w:tab w:val="center" w:pos="8456"/>
          <w:tab w:val="center" w:pos="10336"/>
        </w:tabs>
        <w:spacing w:after="20"/>
        <w:ind w:left="0"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r>
        <w:rPr>
          <w:rFonts w:ascii="Arial" w:eastAsia="Arial" w:hAnsi="Arial" w:cs="Arial"/>
          <w:b/>
          <w:sz w:val="18"/>
        </w:rPr>
        <w:tab/>
      </w:r>
      <w:r>
        <w:rPr>
          <w:sz w:val="18"/>
        </w:rPr>
        <w:t>英鎊</w:t>
      </w:r>
      <w:r>
        <w:rPr>
          <w:rFonts w:ascii="Arial" w:eastAsia="Arial" w:hAnsi="Arial" w:cs="Arial"/>
          <w:sz w:val="18"/>
        </w:rPr>
        <w:t xml:space="preserve"> </w:t>
      </w:r>
      <w:r>
        <w:rPr>
          <w:rFonts w:ascii="Arial" w:eastAsia="Arial" w:hAnsi="Arial" w:cs="Arial"/>
          <w:sz w:val="18"/>
        </w:rPr>
        <w:tab/>
        <w:t xml:space="preserve">2,000 </w:t>
      </w:r>
      <w:r>
        <w:rPr>
          <w:sz w:val="18"/>
        </w:rPr>
        <w:t>英鎊</w:t>
      </w:r>
      <w:r>
        <w:rPr>
          <w:rFonts w:ascii="Arial" w:eastAsia="Arial" w:hAnsi="Arial" w:cs="Arial"/>
          <w:sz w:val="18"/>
        </w:rPr>
        <w:t xml:space="preserve"> </w:t>
      </w:r>
      <w:r>
        <w:rPr>
          <w:rFonts w:ascii="Arial" w:eastAsia="Arial" w:hAnsi="Arial" w:cs="Arial"/>
          <w:sz w:val="18"/>
        </w:rPr>
        <w:tab/>
        <w:t xml:space="preserve">750 </w:t>
      </w:r>
      <w:r>
        <w:rPr>
          <w:sz w:val="18"/>
        </w:rPr>
        <w:t>英鎊</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62"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1661"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spacing w:after="0" w:line="259" w:lineRule="auto"/>
        <w:ind w:left="306" w:firstLine="0"/>
        <w:jc w:val="center"/>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right="37" w:firstLine="0"/>
        <w:jc w:val="center"/>
      </w:pPr>
      <w:r>
        <w:rPr>
          <w:rFonts w:ascii="Arial" w:eastAsia="Arial" w:hAnsi="Arial" w:cs="Arial"/>
          <w:sz w:val="12"/>
        </w:rPr>
        <w:t xml:space="preserve"> </w:t>
      </w:r>
    </w:p>
    <w:p w:rsidR="004D6F0E" w:rsidRDefault="00490F21">
      <w:pPr>
        <w:spacing w:after="0" w:line="259" w:lineRule="auto"/>
        <w:ind w:left="0" w:firstLine="0"/>
      </w:pPr>
      <w:r>
        <w:rPr>
          <w:rFonts w:ascii="Times New Roman" w:eastAsia="Times New Roman" w:hAnsi="Times New Roman" w:cs="Times New Roman"/>
          <w:b/>
        </w:rPr>
        <w:t xml:space="preserve"> </w:t>
      </w:r>
    </w:p>
    <w:tbl>
      <w:tblPr>
        <w:tblStyle w:val="TableGrid"/>
        <w:tblW w:w="11275" w:type="dxa"/>
        <w:tblInd w:w="0" w:type="dxa"/>
        <w:tblCellMar>
          <w:top w:w="27" w:type="dxa"/>
          <w:left w:w="0" w:type="dxa"/>
          <w:bottom w:w="0" w:type="dxa"/>
          <w:right w:w="115" w:type="dxa"/>
        </w:tblCellMar>
        <w:tblLook w:val="04A0" w:firstRow="1" w:lastRow="0" w:firstColumn="1" w:lastColumn="0" w:noHBand="0" w:noVBand="1"/>
      </w:tblPr>
      <w:tblGrid>
        <w:gridCol w:w="2567"/>
        <w:gridCol w:w="1289"/>
        <w:gridCol w:w="161"/>
        <w:gridCol w:w="1930"/>
        <w:gridCol w:w="2419"/>
        <w:gridCol w:w="1714"/>
        <w:gridCol w:w="561"/>
        <w:gridCol w:w="634"/>
      </w:tblGrid>
      <w:tr w:rsidR="004D6F0E">
        <w:trPr>
          <w:trHeight w:val="233"/>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人民幣對沖股份類別</w:t>
            </w:r>
            <w:r>
              <w:rPr>
                <w:rFonts w:ascii="Arial" w:eastAsia="Arial" w:hAnsi="Arial" w:cs="Arial"/>
                <w:sz w:val="18"/>
              </w:rPr>
              <w:t xml:space="preserve"> </w:t>
            </w:r>
          </w:p>
        </w:tc>
        <w:tc>
          <w:tcPr>
            <w:tcW w:w="1450"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shd w:val="clear" w:color="auto" w:fill="D9D9D9"/>
          </w:tcPr>
          <w:p w:rsidR="004D6F0E" w:rsidRDefault="00490F21">
            <w:pPr>
              <w:spacing w:after="0" w:line="259" w:lineRule="auto"/>
              <w:ind w:left="679" w:firstLine="0"/>
            </w:pPr>
            <w:r>
              <w:rPr>
                <w:rFonts w:ascii="Arial" w:eastAsia="Arial" w:hAnsi="Arial" w:cs="Arial"/>
                <w:sz w:val="18"/>
              </w:rPr>
              <w:t xml:space="preserve"> </w:t>
            </w:r>
            <w:r>
              <w:rPr>
                <w:rFonts w:ascii="Arial" w:eastAsia="Arial" w:hAnsi="Arial" w:cs="Arial"/>
                <w:sz w:val="18"/>
              </w:rPr>
              <w:tab/>
              <w:t xml:space="preserve"> </w:t>
            </w:r>
          </w:p>
        </w:tc>
        <w:tc>
          <w:tcPr>
            <w:tcW w:w="2419" w:type="dxa"/>
            <w:tcBorders>
              <w:top w:val="nil"/>
              <w:left w:val="nil"/>
              <w:bottom w:val="nil"/>
              <w:right w:val="nil"/>
            </w:tcBorders>
            <w:shd w:val="clear" w:color="auto" w:fill="D9D9D9"/>
          </w:tcPr>
          <w:p w:rsidR="004D6F0E" w:rsidRDefault="004D6F0E">
            <w:pPr>
              <w:spacing w:after="160" w:line="259" w:lineRule="auto"/>
              <w:ind w:left="0" w:firstLine="0"/>
            </w:pPr>
          </w:p>
        </w:tc>
        <w:tc>
          <w:tcPr>
            <w:tcW w:w="1714" w:type="dxa"/>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442"/>
        </w:trPr>
        <w:tc>
          <w:tcPr>
            <w:tcW w:w="2568"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50" w:type="dxa"/>
            <w:gridSpan w:val="2"/>
            <w:tcBorders>
              <w:top w:val="nil"/>
              <w:left w:val="nil"/>
              <w:bottom w:val="nil"/>
              <w:right w:val="nil"/>
            </w:tcBorders>
          </w:tcPr>
          <w:p w:rsidR="004D6F0E" w:rsidRDefault="00490F21">
            <w:pPr>
              <w:spacing w:after="10" w:line="259" w:lineRule="auto"/>
              <w:ind w:left="91" w:firstLine="0"/>
            </w:pPr>
            <w:r>
              <w:rPr>
                <w:sz w:val="18"/>
              </w:rPr>
              <w:t>人民幣</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tcPr>
          <w:p w:rsidR="004D6F0E" w:rsidRDefault="00490F21">
            <w:pPr>
              <w:spacing w:after="14" w:line="259" w:lineRule="auto"/>
              <w:ind w:left="0"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p w:rsidR="004D6F0E" w:rsidRDefault="00490F21">
            <w:pPr>
              <w:spacing w:after="0" w:line="259" w:lineRule="auto"/>
              <w:ind w:left="679" w:firstLine="0"/>
            </w:pPr>
            <w:r>
              <w:rPr>
                <w:rFonts w:ascii="Arial" w:eastAsia="Arial" w:hAnsi="Arial" w:cs="Arial"/>
                <w:sz w:val="18"/>
              </w:rPr>
              <w:t xml:space="preserve"> </w:t>
            </w:r>
          </w:p>
        </w:tc>
        <w:tc>
          <w:tcPr>
            <w:tcW w:w="2419" w:type="dxa"/>
            <w:tcBorders>
              <w:top w:val="nil"/>
              <w:left w:val="nil"/>
              <w:bottom w:val="nil"/>
              <w:right w:val="nil"/>
            </w:tcBorders>
          </w:tcPr>
          <w:p w:rsidR="004D6F0E" w:rsidRDefault="00490F21">
            <w:pPr>
              <w:spacing w:after="15" w:line="259" w:lineRule="auto"/>
              <w:ind w:left="0"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p w:rsidR="004D6F0E" w:rsidRDefault="00490F21">
            <w:pPr>
              <w:spacing w:after="0" w:line="259" w:lineRule="auto"/>
              <w:ind w:left="629" w:firstLine="0"/>
            </w:pP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1450"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shd w:val="clear" w:color="auto" w:fill="D9D9D9"/>
          </w:tcPr>
          <w:p w:rsidR="004D6F0E" w:rsidRDefault="00490F21">
            <w:pPr>
              <w:spacing w:after="0" w:line="259" w:lineRule="auto"/>
              <w:ind w:left="679" w:firstLine="0"/>
            </w:pPr>
            <w:r>
              <w:rPr>
                <w:rFonts w:ascii="Arial" w:eastAsia="Arial" w:hAnsi="Arial" w:cs="Arial"/>
                <w:sz w:val="18"/>
              </w:rPr>
              <w:t xml:space="preserve"> </w:t>
            </w:r>
          </w:p>
        </w:tc>
        <w:tc>
          <w:tcPr>
            <w:tcW w:w="2419" w:type="dxa"/>
            <w:tcBorders>
              <w:top w:val="nil"/>
              <w:left w:val="nil"/>
              <w:bottom w:val="nil"/>
              <w:right w:val="nil"/>
            </w:tcBorders>
            <w:shd w:val="clear" w:color="auto" w:fill="D9D9D9"/>
          </w:tcPr>
          <w:p w:rsidR="004D6F0E" w:rsidRDefault="00490F21">
            <w:pPr>
              <w:spacing w:after="0" w:line="259" w:lineRule="auto"/>
              <w:ind w:left="629" w:firstLine="0"/>
            </w:pPr>
            <w:r>
              <w:rPr>
                <w:rFonts w:ascii="Arial" w:eastAsia="Arial" w:hAnsi="Arial" w:cs="Arial"/>
                <w:sz w:val="18"/>
              </w:rPr>
              <w:t xml:space="preserve"> </w:t>
            </w:r>
          </w:p>
        </w:tc>
        <w:tc>
          <w:tcPr>
            <w:tcW w:w="1714" w:type="dxa"/>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439"/>
        </w:trPr>
        <w:tc>
          <w:tcPr>
            <w:tcW w:w="2568" w:type="dxa"/>
            <w:tcBorders>
              <w:top w:val="nil"/>
              <w:left w:val="nil"/>
              <w:bottom w:val="nil"/>
              <w:right w:val="nil"/>
            </w:tcBorders>
          </w:tcPr>
          <w:p w:rsidR="004D6F0E" w:rsidRDefault="00490F21">
            <w:pPr>
              <w:spacing w:after="8"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1450" w:type="dxa"/>
            <w:gridSpan w:val="2"/>
            <w:tcBorders>
              <w:top w:val="nil"/>
              <w:left w:val="nil"/>
              <w:bottom w:val="nil"/>
              <w:right w:val="nil"/>
            </w:tcBorders>
          </w:tcPr>
          <w:p w:rsidR="004D6F0E" w:rsidRDefault="00490F21">
            <w:pPr>
              <w:spacing w:after="7" w:line="259" w:lineRule="auto"/>
              <w:ind w:left="180" w:firstLine="0"/>
            </w:pPr>
            <w:r>
              <w:rPr>
                <w:sz w:val="18"/>
              </w:rPr>
              <w:t>歐元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tcPr>
          <w:p w:rsidR="004D6F0E" w:rsidRDefault="00490F21">
            <w:pPr>
              <w:spacing w:after="12" w:line="259" w:lineRule="auto"/>
              <w:ind w:left="252" w:firstLine="0"/>
            </w:pPr>
            <w:r>
              <w:rPr>
                <w:rFonts w:ascii="Arial" w:eastAsia="Arial" w:hAnsi="Arial" w:cs="Arial"/>
                <w:sz w:val="18"/>
              </w:rPr>
              <w:t xml:space="preserve">2,000 </w:t>
            </w:r>
            <w:r>
              <w:rPr>
                <w:sz w:val="18"/>
              </w:rPr>
              <w:t>歐元</w:t>
            </w:r>
            <w:r>
              <w:rPr>
                <w:rFonts w:ascii="Arial" w:eastAsia="Arial" w:hAnsi="Arial" w:cs="Arial"/>
                <w:sz w:val="18"/>
              </w:rPr>
              <w:t xml:space="preserve"> </w:t>
            </w:r>
          </w:p>
          <w:p w:rsidR="004D6F0E" w:rsidRDefault="00490F21">
            <w:pPr>
              <w:spacing w:after="0" w:line="259" w:lineRule="auto"/>
              <w:ind w:left="679" w:firstLine="0"/>
            </w:pPr>
            <w:r>
              <w:rPr>
                <w:rFonts w:ascii="Arial" w:eastAsia="Arial" w:hAnsi="Arial" w:cs="Arial"/>
                <w:sz w:val="18"/>
              </w:rPr>
              <w:t xml:space="preserve"> </w:t>
            </w:r>
          </w:p>
        </w:tc>
        <w:tc>
          <w:tcPr>
            <w:tcW w:w="2419" w:type="dxa"/>
            <w:tcBorders>
              <w:top w:val="nil"/>
              <w:left w:val="nil"/>
              <w:bottom w:val="nil"/>
              <w:right w:val="nil"/>
            </w:tcBorders>
          </w:tcPr>
          <w:p w:rsidR="004D6F0E" w:rsidRDefault="00490F21">
            <w:pPr>
              <w:spacing w:after="12" w:line="259" w:lineRule="auto"/>
              <w:ind w:left="276" w:firstLine="0"/>
            </w:pPr>
            <w:r>
              <w:rPr>
                <w:rFonts w:ascii="Arial" w:eastAsia="Arial" w:hAnsi="Arial" w:cs="Arial"/>
                <w:sz w:val="18"/>
              </w:rPr>
              <w:t xml:space="preserve">750 </w:t>
            </w:r>
            <w:r>
              <w:rPr>
                <w:sz w:val="18"/>
              </w:rPr>
              <w:t>歐元</w:t>
            </w:r>
            <w:r>
              <w:rPr>
                <w:rFonts w:ascii="Arial" w:eastAsia="Arial" w:hAnsi="Arial" w:cs="Arial"/>
                <w:sz w:val="18"/>
              </w:rPr>
              <w:t xml:space="preserve"> </w:t>
            </w:r>
          </w:p>
          <w:p w:rsidR="004D6F0E" w:rsidRDefault="00490F21">
            <w:pPr>
              <w:spacing w:after="0" w:line="259" w:lineRule="auto"/>
              <w:ind w:left="629" w:firstLine="0"/>
            </w:pP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tcPr>
          <w:p w:rsidR="004D6F0E" w:rsidRDefault="00490F21">
            <w:pPr>
              <w:spacing w:after="9"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1450"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shd w:val="clear" w:color="auto" w:fill="D9D9D9"/>
          </w:tcPr>
          <w:p w:rsidR="004D6F0E" w:rsidRDefault="00490F21">
            <w:pPr>
              <w:spacing w:after="0" w:line="259" w:lineRule="auto"/>
              <w:ind w:left="679" w:firstLine="0"/>
            </w:pPr>
            <w:r>
              <w:rPr>
                <w:rFonts w:ascii="Arial" w:eastAsia="Arial" w:hAnsi="Arial" w:cs="Arial"/>
                <w:sz w:val="18"/>
              </w:rPr>
              <w:t xml:space="preserve"> </w:t>
            </w:r>
          </w:p>
        </w:tc>
        <w:tc>
          <w:tcPr>
            <w:tcW w:w="2419" w:type="dxa"/>
            <w:tcBorders>
              <w:top w:val="nil"/>
              <w:left w:val="nil"/>
              <w:bottom w:val="nil"/>
              <w:right w:val="nil"/>
            </w:tcBorders>
            <w:shd w:val="clear" w:color="auto" w:fill="D9D9D9"/>
          </w:tcPr>
          <w:p w:rsidR="004D6F0E" w:rsidRDefault="00490F21">
            <w:pPr>
              <w:spacing w:after="0" w:line="259" w:lineRule="auto"/>
              <w:ind w:left="629" w:firstLine="0"/>
            </w:pPr>
            <w:r>
              <w:rPr>
                <w:rFonts w:ascii="Arial" w:eastAsia="Arial" w:hAnsi="Arial" w:cs="Arial"/>
                <w:sz w:val="18"/>
              </w:rPr>
              <w:t xml:space="preserve"> </w:t>
            </w:r>
          </w:p>
        </w:tc>
        <w:tc>
          <w:tcPr>
            <w:tcW w:w="1714" w:type="dxa"/>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442"/>
        </w:trPr>
        <w:tc>
          <w:tcPr>
            <w:tcW w:w="2568"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lastRenderedPageBreak/>
              <w:t xml:space="preserve">AD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50" w:type="dxa"/>
            <w:gridSpan w:val="2"/>
            <w:tcBorders>
              <w:top w:val="nil"/>
              <w:left w:val="nil"/>
              <w:bottom w:val="nil"/>
              <w:right w:val="nil"/>
            </w:tcBorders>
          </w:tcPr>
          <w:p w:rsidR="004D6F0E" w:rsidRDefault="00490F21">
            <w:pPr>
              <w:spacing w:after="7" w:line="259" w:lineRule="auto"/>
              <w:ind w:left="0" w:firstLine="0"/>
            </w:pPr>
            <w:r>
              <w:rPr>
                <w:sz w:val="18"/>
              </w:rPr>
              <w:t>紐西蘭元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tcPr>
          <w:p w:rsidR="004D6F0E" w:rsidRDefault="00490F21">
            <w:pPr>
              <w:spacing w:after="12" w:line="259" w:lineRule="auto"/>
              <w:ind w:left="72"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p w:rsidR="004D6F0E" w:rsidRDefault="00490F21">
            <w:pPr>
              <w:spacing w:after="0" w:line="259" w:lineRule="auto"/>
              <w:ind w:left="679" w:firstLine="0"/>
            </w:pPr>
            <w:r>
              <w:rPr>
                <w:rFonts w:ascii="Arial" w:eastAsia="Arial" w:hAnsi="Arial" w:cs="Arial"/>
                <w:sz w:val="18"/>
              </w:rPr>
              <w:t xml:space="preserve"> </w:t>
            </w:r>
          </w:p>
        </w:tc>
        <w:tc>
          <w:tcPr>
            <w:tcW w:w="2419" w:type="dxa"/>
            <w:tcBorders>
              <w:top w:val="nil"/>
              <w:left w:val="nil"/>
              <w:bottom w:val="nil"/>
              <w:right w:val="nil"/>
            </w:tcBorders>
          </w:tcPr>
          <w:p w:rsidR="004D6F0E" w:rsidRDefault="00490F21">
            <w:pPr>
              <w:spacing w:after="12" w:line="259" w:lineRule="auto"/>
              <w:ind w:left="22"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p w:rsidR="004D6F0E" w:rsidRDefault="00490F21">
            <w:pPr>
              <w:spacing w:after="0" w:line="259" w:lineRule="auto"/>
              <w:ind w:left="629" w:firstLine="0"/>
            </w:pP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tcPr>
          <w:p w:rsidR="004D6F0E" w:rsidRDefault="00490F21">
            <w:pPr>
              <w:spacing w:after="9"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3"/>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sz w:val="18"/>
              </w:rPr>
              <w:t xml:space="preserve"> </w:t>
            </w:r>
          </w:p>
        </w:tc>
        <w:tc>
          <w:tcPr>
            <w:tcW w:w="1450"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930" w:type="dxa"/>
            <w:tcBorders>
              <w:top w:val="nil"/>
              <w:left w:val="nil"/>
              <w:bottom w:val="nil"/>
              <w:right w:val="nil"/>
            </w:tcBorders>
            <w:shd w:val="clear" w:color="auto" w:fill="D9D9D9"/>
          </w:tcPr>
          <w:p w:rsidR="004D6F0E" w:rsidRDefault="00490F21">
            <w:pPr>
              <w:spacing w:after="0" w:line="259" w:lineRule="auto"/>
              <w:ind w:left="679" w:firstLine="0"/>
            </w:pPr>
            <w:r>
              <w:rPr>
                <w:rFonts w:ascii="Arial" w:eastAsia="Arial" w:hAnsi="Arial" w:cs="Arial"/>
                <w:sz w:val="18"/>
              </w:rPr>
              <w:t xml:space="preserve"> </w:t>
            </w:r>
            <w:r>
              <w:rPr>
                <w:rFonts w:ascii="Arial" w:eastAsia="Arial" w:hAnsi="Arial" w:cs="Arial"/>
                <w:sz w:val="18"/>
              </w:rPr>
              <w:tab/>
              <w:t xml:space="preserve"> </w:t>
            </w:r>
          </w:p>
        </w:tc>
        <w:tc>
          <w:tcPr>
            <w:tcW w:w="2419" w:type="dxa"/>
            <w:tcBorders>
              <w:top w:val="nil"/>
              <w:left w:val="nil"/>
              <w:bottom w:val="nil"/>
              <w:right w:val="nil"/>
            </w:tcBorders>
            <w:shd w:val="clear" w:color="auto" w:fill="D9D9D9"/>
          </w:tcPr>
          <w:p w:rsidR="004D6F0E" w:rsidRDefault="004D6F0E">
            <w:pPr>
              <w:spacing w:after="160" w:line="259" w:lineRule="auto"/>
              <w:ind w:left="0" w:firstLine="0"/>
            </w:pPr>
          </w:p>
        </w:tc>
        <w:tc>
          <w:tcPr>
            <w:tcW w:w="1714" w:type="dxa"/>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195" w:type="dxa"/>
            <w:gridSpan w:val="2"/>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blPrEx>
          <w:tblCellMar>
            <w:top w:w="3" w:type="dxa"/>
            <w:right w:w="0" w:type="dxa"/>
          </w:tblCellMar>
        </w:tblPrEx>
        <w:trPr>
          <w:gridAfter w:val="1"/>
          <w:wAfter w:w="634" w:type="dxa"/>
          <w:trHeight w:val="209"/>
        </w:trPr>
        <w:tc>
          <w:tcPr>
            <w:tcW w:w="3857" w:type="dxa"/>
            <w:gridSpan w:val="2"/>
            <w:tcBorders>
              <w:top w:val="nil"/>
              <w:left w:val="nil"/>
              <w:bottom w:val="nil"/>
              <w:right w:val="nil"/>
            </w:tcBorders>
          </w:tcPr>
          <w:p w:rsidR="004D6F0E" w:rsidRDefault="00490F21">
            <w:pPr>
              <w:tabs>
                <w:tab w:val="center" w:pos="2928"/>
              </w:tabs>
              <w:spacing w:after="0" w:line="259" w:lineRule="auto"/>
              <w:ind w:left="0"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r>
              <w:rPr>
                <w:rFonts w:ascii="Arial" w:eastAsia="Arial" w:hAnsi="Arial" w:cs="Arial"/>
                <w:sz w:val="18"/>
              </w:rPr>
              <w:tab/>
            </w:r>
            <w:r>
              <w:rPr>
                <w:sz w:val="18"/>
              </w:rPr>
              <w:t>南非蘭特</w:t>
            </w:r>
            <w:r>
              <w:rPr>
                <w:rFonts w:ascii="Arial" w:eastAsia="Arial" w:hAnsi="Arial" w:cs="Arial"/>
                <w:sz w:val="18"/>
              </w:rPr>
              <w:t xml:space="preserve"> </w:t>
            </w:r>
          </w:p>
        </w:tc>
        <w:tc>
          <w:tcPr>
            <w:tcW w:w="4510" w:type="dxa"/>
            <w:gridSpan w:val="3"/>
            <w:tcBorders>
              <w:top w:val="nil"/>
              <w:left w:val="nil"/>
              <w:bottom w:val="nil"/>
              <w:right w:val="nil"/>
            </w:tcBorders>
          </w:tcPr>
          <w:p w:rsidR="004D6F0E" w:rsidRDefault="00490F21">
            <w:pPr>
              <w:tabs>
                <w:tab w:val="center" w:pos="2720"/>
              </w:tabs>
              <w:spacing w:after="0" w:line="259" w:lineRule="auto"/>
              <w:ind w:left="0"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r>
              <w:rPr>
                <w:rFonts w:ascii="Arial" w:eastAsia="Arial" w:hAnsi="Arial" w:cs="Arial"/>
                <w:sz w:val="18"/>
              </w:rPr>
              <w:tab/>
              <w:t xml:space="preserve">7,000 </w:t>
            </w:r>
            <w:r>
              <w:rPr>
                <w:sz w:val="18"/>
              </w:rPr>
              <w:t>南非蘭特</w:t>
            </w: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3" w:type="dxa"/>
            <w:right w:w="0" w:type="dxa"/>
          </w:tblCellMar>
        </w:tblPrEx>
        <w:trPr>
          <w:gridAfter w:val="1"/>
          <w:wAfter w:w="634" w:type="dxa"/>
          <w:trHeight w:val="427"/>
        </w:trPr>
        <w:tc>
          <w:tcPr>
            <w:tcW w:w="3857" w:type="dxa"/>
            <w:gridSpan w:val="2"/>
            <w:tcBorders>
              <w:top w:val="nil"/>
              <w:left w:val="nil"/>
              <w:bottom w:val="nil"/>
              <w:right w:val="nil"/>
            </w:tcBorders>
          </w:tcPr>
          <w:p w:rsidR="004D6F0E" w:rsidRDefault="00490F21">
            <w:pPr>
              <w:tabs>
                <w:tab w:val="center" w:pos="2928"/>
              </w:tabs>
              <w:spacing w:after="0" w:line="259" w:lineRule="auto"/>
              <w:ind w:left="0" w:firstLine="0"/>
            </w:pPr>
            <w:r>
              <w:rPr>
                <w:rFonts w:ascii="Arial" w:eastAsia="Arial" w:hAnsi="Arial" w:cs="Arial"/>
                <w:sz w:val="18"/>
              </w:rPr>
              <w:t xml:space="preserve">ED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r>
              <w:rPr>
                <w:rFonts w:ascii="Arial" w:eastAsia="Arial" w:hAnsi="Arial" w:cs="Arial"/>
                <w:sz w:val="18"/>
              </w:rPr>
              <w:tab/>
            </w:r>
            <w:r>
              <w:rPr>
                <w:sz w:val="18"/>
              </w:rPr>
              <w:t>南非蘭特</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6"/>
              </w:rPr>
              <w:t xml:space="preserve"> </w:t>
            </w:r>
          </w:p>
        </w:tc>
        <w:tc>
          <w:tcPr>
            <w:tcW w:w="4510" w:type="dxa"/>
            <w:gridSpan w:val="3"/>
            <w:tcBorders>
              <w:top w:val="nil"/>
              <w:left w:val="nil"/>
              <w:bottom w:val="nil"/>
              <w:right w:val="nil"/>
            </w:tcBorders>
          </w:tcPr>
          <w:p w:rsidR="004D6F0E" w:rsidRDefault="00490F21">
            <w:pPr>
              <w:tabs>
                <w:tab w:val="center" w:pos="2720"/>
              </w:tabs>
              <w:spacing w:after="0" w:line="259" w:lineRule="auto"/>
              <w:ind w:left="0"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r>
              <w:rPr>
                <w:rFonts w:ascii="Arial" w:eastAsia="Arial" w:hAnsi="Arial" w:cs="Arial"/>
                <w:sz w:val="18"/>
              </w:rPr>
              <w:tab/>
              <w:t xml:space="preserve">7,000 </w:t>
            </w:r>
            <w:r>
              <w:rPr>
                <w:sz w:val="18"/>
              </w:rPr>
              <w:t>南非蘭特</w:t>
            </w:r>
            <w:r>
              <w:rPr>
                <w:rFonts w:ascii="Arial" w:eastAsia="Arial" w:hAnsi="Arial" w:cs="Arial"/>
                <w:sz w:val="18"/>
              </w:rPr>
              <w:t xml:space="preserve"> </w:t>
            </w:r>
          </w:p>
        </w:tc>
        <w:tc>
          <w:tcPr>
            <w:tcW w:w="17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3" w:type="dxa"/>
            <w:right w:w="0" w:type="dxa"/>
          </w:tblCellMar>
        </w:tblPrEx>
        <w:trPr>
          <w:gridAfter w:val="1"/>
          <w:wAfter w:w="634" w:type="dxa"/>
          <w:trHeight w:val="176"/>
        </w:trPr>
        <w:tc>
          <w:tcPr>
            <w:tcW w:w="3857" w:type="dxa"/>
            <w:gridSpan w:val="2"/>
            <w:tcBorders>
              <w:top w:val="nil"/>
              <w:left w:val="nil"/>
              <w:bottom w:val="nil"/>
              <w:right w:val="nil"/>
            </w:tcBorders>
          </w:tcPr>
          <w:p w:rsidR="004D6F0E" w:rsidRDefault="00490F21">
            <w:pPr>
              <w:tabs>
                <w:tab w:val="center" w:pos="3374"/>
              </w:tabs>
              <w:spacing w:after="0" w:line="259" w:lineRule="auto"/>
              <w:ind w:left="0" w:firstLine="0"/>
            </w:pP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p>
        </w:tc>
        <w:tc>
          <w:tcPr>
            <w:tcW w:w="4510"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tc>
        <w:tc>
          <w:tcPr>
            <w:tcW w:w="1714"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D6F0E">
            <w:pPr>
              <w:spacing w:after="160" w:line="259" w:lineRule="auto"/>
              <w:ind w:left="0" w:firstLine="0"/>
            </w:pPr>
          </w:p>
        </w:tc>
      </w:tr>
    </w:tbl>
    <w:p w:rsidR="004D6F0E" w:rsidRDefault="00490F21">
      <w:pPr>
        <w:ind w:left="-3" w:right="13" w:hanging="10"/>
        <w:jc w:val="both"/>
      </w:pP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spacing w:after="10103" w:line="259" w:lineRule="auto"/>
        <w:ind w:left="0" w:firstLine="0"/>
      </w:pP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b/>
          <w:sz w:val="12"/>
        </w:rPr>
        <w:lastRenderedPageBreak/>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D6F0E">
      <w:pPr>
        <w:sectPr w:rsidR="004D6F0E">
          <w:headerReference w:type="even" r:id="rId97"/>
          <w:headerReference w:type="default" r:id="rId98"/>
          <w:footerReference w:type="even" r:id="rId99"/>
          <w:footerReference w:type="default" r:id="rId100"/>
          <w:headerReference w:type="first" r:id="rId101"/>
          <w:footerReference w:type="first" r:id="rId102"/>
          <w:pgSz w:w="12240" w:h="15840"/>
          <w:pgMar w:top="988" w:right="650" w:bottom="402" w:left="432" w:header="746" w:footer="773" w:gutter="0"/>
          <w:cols w:space="720"/>
        </w:sectPr>
      </w:pPr>
    </w:p>
    <w:p w:rsidR="004D6F0E" w:rsidRDefault="00490F21">
      <w:pPr>
        <w:spacing w:after="15" w:line="259" w:lineRule="auto"/>
        <w:ind w:left="0" w:firstLine="0"/>
      </w:pPr>
      <w:r>
        <w:rPr>
          <w:rFonts w:ascii="Arial" w:eastAsia="Arial" w:hAnsi="Arial" w:cs="Arial"/>
          <w:sz w:val="20"/>
        </w:rPr>
        <w:t xml:space="preserve"> </w:t>
      </w:r>
    </w:p>
    <w:p w:rsidR="004D6F0E" w:rsidRDefault="00490F21">
      <w:pPr>
        <w:pStyle w:val="Heading4"/>
        <w:spacing w:after="184"/>
        <w:ind w:left="14"/>
      </w:pPr>
      <w:r>
        <w:t>其他基金資料</w:t>
      </w:r>
      <w:r>
        <w:rPr>
          <w:rFonts w:ascii="Arial" w:eastAsia="Arial" w:hAnsi="Arial" w:cs="Arial"/>
        </w:rPr>
        <w:t xml:space="preserve"> </w:t>
      </w:r>
    </w:p>
    <w:p w:rsidR="004D6F0E" w:rsidRDefault="00490F21">
      <w:pPr>
        <w:spacing w:after="44"/>
        <w:ind w:left="11" w:right="2"/>
      </w:pPr>
      <w:r>
        <w:t>主要投資類別</w:t>
      </w:r>
      <w:r>
        <w:rPr>
          <w:rFonts w:ascii="Arial" w:eastAsia="Arial" w:hAnsi="Arial" w:cs="Arial"/>
          <w:b/>
        </w:rPr>
        <w:t xml:space="preserve"> </w:t>
      </w:r>
    </w:p>
    <w:p w:rsidR="004D6F0E" w:rsidRDefault="00490F21">
      <w:pPr>
        <w:spacing w:after="102" w:line="273" w:lineRule="auto"/>
        <w:ind w:left="14" w:right="41"/>
        <w:jc w:val="both"/>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45"/>
        <w:ind w:left="11" w:right="2"/>
      </w:pPr>
      <w:r>
        <w:t>風險資料</w:t>
      </w:r>
      <w:r>
        <w:rPr>
          <w:rFonts w:ascii="Arial" w:eastAsia="Arial" w:hAnsi="Arial" w:cs="Arial"/>
          <w:b/>
        </w:rPr>
        <w:t xml:space="preserve"> </w:t>
      </w:r>
    </w:p>
    <w:p w:rsidR="004D6F0E" w:rsidRDefault="00490F21">
      <w:pPr>
        <w:spacing w:after="101"/>
        <w:ind w:left="11" w:right="2"/>
      </w:pPr>
      <w:r>
        <w:t>按計劃，本基金將使用金融衍生工具。第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r>
        <w:rPr>
          <w:rFonts w:ascii="Arial" w:eastAsia="Arial" w:hAnsi="Arial" w:cs="Arial"/>
        </w:rPr>
        <w:t>(13)</w:t>
      </w:r>
      <w:r>
        <w:t>項投資</w:t>
      </w:r>
      <w:r>
        <w:t>限制不適用於本基金。</w:t>
      </w:r>
      <w:r>
        <w:rPr>
          <w:rFonts w:ascii="Arial" w:eastAsia="Arial" w:hAnsi="Arial" w:cs="Arial"/>
        </w:rPr>
        <w:t xml:space="preserve"> </w:t>
      </w:r>
    </w:p>
    <w:p w:rsidR="004D6F0E" w:rsidRDefault="00490F21">
      <w:pPr>
        <w:spacing w:after="100"/>
        <w:ind w:left="11" w:right="2"/>
      </w:pPr>
      <w:r>
        <w:t>本基金的股本投資須承受股本投資固有的較高風險。一般而言，股本投資的價值或會因應個別公司的業務及業績或因難於預測的整體市場、經濟、政治及自然狀況而波動，有時甚至會大幅波動。此等因素包括突然或長期市場下滑的可能性及與個別公司相關的風險。一直以來，股本證券的長期回報及短期風險一向高於其他投資工具。</w:t>
      </w:r>
      <w:r>
        <w:rPr>
          <w:rFonts w:ascii="Arial" w:eastAsia="Arial" w:hAnsi="Arial" w:cs="Arial"/>
        </w:rPr>
        <w:t xml:space="preserve"> </w:t>
      </w:r>
    </w:p>
    <w:p w:rsidR="004D6F0E" w:rsidRDefault="00490F21">
      <w:pPr>
        <w:spacing w:after="103"/>
        <w:ind w:left="11" w:right="2"/>
      </w:pPr>
      <w:r>
        <w:t>由於基金將主要投資於亞洲（日本以外）發行人的證券，基金將直接受該地區各類證券市場的波動影響，而該證券市場曾經歷大升或大跌，並受該地區整體經濟及政治的轉變所影響。本基金須承受市場、利率及貨幣波動</w:t>
      </w:r>
      <w:r>
        <w:t>及證券投資固有的其他風險。因此，不能保證投資目標一定會實現、投資資本將得以保全或資本得以增值。每月、每季或每年的投資業績均可能出現重大變化。本基金內的投資並非代表完整的投資計劃。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44"/>
        <w:ind w:left="11" w:right="2"/>
      </w:pPr>
      <w:r>
        <w:t>典型投資者的資料</w:t>
      </w:r>
      <w:r>
        <w:rPr>
          <w:rFonts w:ascii="Arial" w:eastAsia="Arial" w:hAnsi="Arial" w:cs="Arial"/>
          <w:b/>
        </w:rPr>
        <w:t xml:space="preserve"> </w:t>
      </w:r>
    </w:p>
    <w:p w:rsidR="004D6F0E" w:rsidRDefault="00490F21">
      <w:pPr>
        <w:spacing w:after="102"/>
        <w:ind w:left="11" w:right="2"/>
      </w:pPr>
      <w:r>
        <w:t>本基金適合尋求中長期股本投資回報且能承受較高風險的投資者。有關本基金是否適合其投資需要，投資者敬請諮詢其獨立財務顧問。</w:t>
      </w:r>
      <w:r>
        <w:rPr>
          <w:rFonts w:ascii="Arial" w:eastAsia="Arial" w:hAnsi="Arial" w:cs="Arial"/>
        </w:rPr>
        <w:t xml:space="preserve"> </w:t>
      </w:r>
    </w:p>
    <w:p w:rsidR="004D6F0E" w:rsidRDefault="00490F21">
      <w:pPr>
        <w:spacing w:after="109"/>
        <w:ind w:left="11" w:right="2"/>
      </w:pPr>
      <w:r>
        <w:t>派息</w:t>
      </w:r>
      <w:r>
        <w:rPr>
          <w:rFonts w:ascii="Arial" w:eastAsia="Arial" w:hAnsi="Arial" w:cs="Arial"/>
          <w:b/>
        </w:rPr>
        <w:t xml:space="preserve"> </w:t>
      </w:r>
    </w:p>
    <w:p w:rsidR="004D6F0E" w:rsidRDefault="00490F21">
      <w:pPr>
        <w:spacing w:after="100"/>
        <w:ind w:left="11" w:right="2"/>
      </w:pPr>
      <w:r>
        <w:t>就</w:t>
      </w:r>
      <w:r>
        <w:t xml:space="preserve"> </w:t>
      </w:r>
      <w:r>
        <w:rPr>
          <w:rFonts w:ascii="Arial" w:eastAsia="Arial" w:hAnsi="Arial" w:cs="Arial"/>
        </w:rPr>
        <w:t>A</w:t>
      </w:r>
      <w:r>
        <w:t>、</w:t>
      </w:r>
      <w:r>
        <w:rPr>
          <w:rFonts w:ascii="Arial" w:eastAsia="Arial" w:hAnsi="Arial" w:cs="Arial"/>
        </w:rPr>
        <w:t>C</w:t>
      </w:r>
      <w:r>
        <w:t>、</w:t>
      </w:r>
      <w:r>
        <w:rPr>
          <w:rFonts w:ascii="Arial" w:eastAsia="Arial" w:hAnsi="Arial" w:cs="Arial"/>
        </w:rPr>
        <w:t>I</w:t>
      </w:r>
      <w:r>
        <w:t>、</w:t>
      </w:r>
      <w:r>
        <w:rPr>
          <w:rFonts w:ascii="Arial" w:eastAsia="Arial" w:hAnsi="Arial" w:cs="Arial"/>
        </w:rPr>
        <w:t xml:space="preserve">S </w:t>
      </w:r>
      <w:r>
        <w:t>及</w:t>
      </w:r>
      <w:r>
        <w:t xml:space="preserve"> </w:t>
      </w:r>
      <w:r>
        <w:rPr>
          <w:rFonts w:ascii="Arial" w:eastAsia="Arial" w:hAnsi="Arial" w:cs="Arial"/>
        </w:rPr>
        <w:t xml:space="preserve">S1 </w:t>
      </w:r>
      <w:r>
        <w:t>類股份（及相應</w:t>
      </w:r>
      <w:r>
        <w:t xml:space="preserve"> </w:t>
      </w:r>
      <w:r>
        <w:rPr>
          <w:rFonts w:ascii="Arial" w:eastAsia="Arial" w:hAnsi="Arial" w:cs="Arial"/>
        </w:rPr>
        <w:t xml:space="preserve">H </w:t>
      </w:r>
      <w:r>
        <w:t>類股份）而言，管理公司現時無意就此等股份派息。因此，股份應佔的任何淨收入及淨實現利潤均將於此等股份各自的資產淨值中反映。</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07"/>
        <w:ind w:left="11" w:right="2"/>
      </w:pPr>
      <w:r>
        <w:t>就</w:t>
      </w:r>
      <w:r>
        <w:t xml:space="preserve"> </w:t>
      </w:r>
      <w:r>
        <w:rPr>
          <w:rFonts w:ascii="Arial" w:eastAsia="Arial" w:hAnsi="Arial" w:cs="Arial"/>
        </w:rPr>
        <w:t xml:space="preserve">AY </w:t>
      </w:r>
      <w:r>
        <w:t>類及</w:t>
      </w:r>
      <w:r>
        <w:t xml:space="preserve"> </w:t>
      </w:r>
      <w:r>
        <w:rPr>
          <w:rFonts w:ascii="Arial" w:eastAsia="Arial" w:hAnsi="Arial" w:cs="Arial"/>
        </w:rPr>
        <w:t xml:space="preserve">BY </w:t>
      </w:r>
      <w:r>
        <w:t>類股份而言，管理公司可酌情按各類股份應佔的本基金淨收入宣派及派付股息。</w:t>
      </w:r>
      <w:r>
        <w:rPr>
          <w:rFonts w:ascii="Arial" w:eastAsia="Arial" w:hAnsi="Arial" w:cs="Arial"/>
        </w:rPr>
        <w:t xml:space="preserve"> </w:t>
      </w:r>
    </w:p>
    <w:p w:rsidR="004D6F0E" w:rsidRDefault="00490F21">
      <w:pPr>
        <w:spacing w:after="44"/>
        <w:ind w:left="11" w:right="2"/>
      </w:pPr>
      <w:r>
        <w:t>就</w:t>
      </w:r>
      <w:r>
        <w:t xml:space="preserve"> </w:t>
      </w:r>
      <w:r>
        <w:rPr>
          <w:rFonts w:ascii="Arial" w:eastAsia="Arial" w:hAnsi="Arial" w:cs="Arial"/>
        </w:rPr>
        <w:t>AD</w:t>
      </w:r>
      <w:r>
        <w:t>、</w:t>
      </w:r>
      <w:r>
        <w:rPr>
          <w:rFonts w:ascii="Arial" w:eastAsia="Arial" w:hAnsi="Arial" w:cs="Arial"/>
        </w:rPr>
        <w:t>ED</w:t>
      </w:r>
      <w:r>
        <w:t>、</w:t>
      </w:r>
      <w:r>
        <w:rPr>
          <w:rFonts w:ascii="Arial" w:eastAsia="Arial" w:hAnsi="Arial" w:cs="Arial"/>
        </w:rPr>
        <w:t xml:space="preserve">ID </w:t>
      </w:r>
      <w:r>
        <w:t>及</w:t>
      </w:r>
      <w:r>
        <w:t xml:space="preserve"> </w:t>
      </w:r>
      <w:r>
        <w:rPr>
          <w:rFonts w:ascii="Arial" w:eastAsia="Arial" w:hAnsi="Arial" w:cs="Arial"/>
        </w:rPr>
        <w:t xml:space="preserve">SD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因此派息率將來自未扣除費用及開支前的總收入、已實現及未實現的收益及有關股份類別應佔的資本。超過淨收入（扣除費用及開支後的總收入）的派息相當於退還投</w:t>
      </w:r>
      <w:r>
        <w:t>資者的原本投資本金，因此可能導致有關類別的每股資產淨值減少。管理公司也可決定派息是否包括或在多大程度上包括已實現資本收益及／或是否或在多大程度上從相關股份類別應佔的資本中支付。派息可按投資者的選擇自動再投資。管理公司、行政管理人、存管人及過戶代理費用</w:t>
      </w:r>
      <w:r>
        <w:rPr>
          <w:rFonts w:ascii="Arial" w:eastAsia="Arial" w:hAnsi="Arial" w:cs="Arial"/>
          <w:b/>
        </w:rPr>
        <w:t xml:space="preserve"> </w:t>
      </w:r>
    </w:p>
    <w:p w:rsidR="004D6F0E" w:rsidRDefault="00490F21">
      <w:pPr>
        <w:spacing w:after="102" w:line="273" w:lineRule="auto"/>
        <w:ind w:left="14" w:right="41"/>
        <w:jc w:val="both"/>
      </w:pPr>
      <w:r>
        <w:t>就除</w:t>
      </w:r>
      <w:r>
        <w:t xml:space="preserve"> </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SD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0.05%</w:t>
      </w:r>
      <w:r>
        <w:t>。管理公司按</w:t>
      </w:r>
      <w:r>
        <w:t xml:space="preserve"> </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SD </w:t>
      </w:r>
      <w:r>
        <w:t>類股份應佔的總資產淨值自本基金資產獲付一項年費，數額為</w:t>
      </w:r>
      <w:r>
        <w:t xml:space="preserve"> </w:t>
      </w:r>
      <w:r>
        <w:rPr>
          <w:rFonts w:ascii="Arial" w:eastAsia="Arial" w:hAnsi="Arial" w:cs="Arial"/>
        </w:rPr>
        <w:t>5</w:t>
      </w:r>
      <w:r>
        <w:rPr>
          <w:rFonts w:ascii="Arial" w:eastAsia="Arial" w:hAnsi="Arial" w:cs="Arial"/>
        </w:rPr>
        <w:t xml:space="preserve">0,000 </w:t>
      </w:r>
      <w:r>
        <w:t>美元或日均資產淨值的</w:t>
      </w:r>
      <w:r>
        <w:t xml:space="preserve"> </w:t>
      </w:r>
      <w:r>
        <w:rPr>
          <w:rFonts w:ascii="Arial" w:eastAsia="Arial" w:hAnsi="Arial" w:cs="Arial"/>
        </w:rPr>
        <w:t>0.01%</w:t>
      </w:r>
      <w:r>
        <w:t>（以較低者為準）。本基金的行政管理人費、存管人費及過戶代理費乃按盧森堡的一般慣例自本基金資產撥付，且不得超過認購章程第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部分「行政管理人、存管人及過戶代理費用」所規定的固定最高金額。此等費用的增減是取決於本基金資產及交易量或其他原因。</w:t>
      </w:r>
      <w:r>
        <w:rPr>
          <w:rFonts w:ascii="Arial" w:eastAsia="Arial" w:hAnsi="Arial" w:cs="Arial"/>
          <w:sz w:val="20"/>
        </w:rPr>
        <w:t xml:space="preserve"> </w:t>
      </w:r>
    </w:p>
    <w:p w:rsidR="004D6F0E" w:rsidRDefault="00490F21">
      <w:pPr>
        <w:spacing w:after="44"/>
        <w:ind w:left="11" w:right="2"/>
      </w:pPr>
      <w:r>
        <w:t>設立開支</w:t>
      </w:r>
      <w:r>
        <w:rPr>
          <w:rFonts w:ascii="Arial" w:eastAsia="Arial" w:hAnsi="Arial" w:cs="Arial"/>
        </w:rPr>
        <w:t xml:space="preserve"> </w:t>
      </w:r>
    </w:p>
    <w:p w:rsidR="004D6F0E" w:rsidRDefault="00490F21">
      <w:pPr>
        <w:spacing w:after="102"/>
        <w:ind w:left="11" w:right="2"/>
      </w:pPr>
      <w:r>
        <w:t>本基金並無未攤銷設立開支。</w:t>
      </w:r>
      <w:r>
        <w:rPr>
          <w:rFonts w:ascii="Arial" w:eastAsia="Arial" w:hAnsi="Arial" w:cs="Arial"/>
        </w:rPr>
        <w:t xml:space="preserve"> </w:t>
      </w:r>
    </w:p>
    <w:p w:rsidR="004D6F0E" w:rsidRDefault="00490F21">
      <w:pPr>
        <w:spacing w:after="44"/>
        <w:ind w:left="11" w:right="2"/>
      </w:pPr>
      <w:r>
        <w:t>過往表現</w:t>
      </w:r>
      <w:r>
        <w:rPr>
          <w:rFonts w:ascii="Arial" w:eastAsia="Arial" w:hAnsi="Arial" w:cs="Arial"/>
        </w:rPr>
        <w:t xml:space="preserve"> </w:t>
      </w:r>
    </w:p>
    <w:p w:rsidR="004D6F0E" w:rsidRDefault="00490F21">
      <w:pPr>
        <w:spacing w:after="122" w:line="254" w:lineRule="auto"/>
        <w:ind w:left="8" w:hanging="10"/>
      </w:pPr>
      <w:r>
        <w:lastRenderedPageBreak/>
        <w:t>有關本基金過往表現的資料，一旦公佈，可瀏覽</w:t>
      </w:r>
      <w:r>
        <w:t xml:space="preserve"> </w:t>
      </w:r>
      <w:hyperlink r:id="rId103">
        <w:r>
          <w:rPr>
            <w:rFonts w:ascii="Arial" w:eastAsia="Arial" w:hAnsi="Arial" w:cs="Arial"/>
            <w:color w:val="0000FF"/>
            <w:u w:val="single" w:color="0000FF"/>
          </w:rPr>
          <w:t>www.allian</w:t>
        </w:r>
        <w:r>
          <w:rPr>
            <w:rFonts w:ascii="Arial" w:eastAsia="Arial" w:hAnsi="Arial" w:cs="Arial"/>
            <w:color w:val="0000FF"/>
            <w:u w:val="single" w:color="0000FF"/>
          </w:rPr>
          <w:t>cebernstein.com</w:t>
        </w:r>
      </w:hyperlink>
      <w:hyperlink r:id="rId104">
        <w:r>
          <w:t>。</w:t>
        </w:r>
      </w:hyperlink>
      <w:r>
        <w:rPr>
          <w:rFonts w:ascii="Arial" w:eastAsia="Arial" w:hAnsi="Arial" w:cs="Arial"/>
        </w:rPr>
        <w:t xml:space="preserve"> </w:t>
      </w:r>
    </w:p>
    <w:p w:rsidR="004D6F0E" w:rsidRDefault="00490F21">
      <w:pPr>
        <w:spacing w:after="44"/>
        <w:ind w:left="11" w:right="2"/>
      </w:pPr>
      <w:r>
        <w:t>歷史</w:t>
      </w:r>
      <w:r>
        <w:rPr>
          <w:rFonts w:ascii="Arial" w:eastAsia="Arial" w:hAnsi="Arial" w:cs="Arial"/>
          <w:b/>
        </w:rPr>
        <w:t xml:space="preserve"> </w:t>
      </w:r>
    </w:p>
    <w:p w:rsidR="004D6F0E" w:rsidRDefault="00490F21">
      <w:pPr>
        <w:ind w:left="11" w:right="2"/>
      </w:pPr>
      <w:r>
        <w:t>本基金於二零零九年十一月三十日設立，為本傘子基金下的基金。</w:t>
      </w:r>
      <w:r>
        <w:rPr>
          <w:rFonts w:ascii="Arial" w:eastAsia="Arial" w:hAnsi="Arial" w:cs="Arial"/>
          <w:sz w:val="24"/>
        </w:rPr>
        <w:t xml:space="preserve"> </w:t>
      </w:r>
    </w:p>
    <w:p w:rsidR="004D6F0E" w:rsidRDefault="00490F21">
      <w:pPr>
        <w:spacing w:after="0" w:line="259" w:lineRule="auto"/>
        <w:ind w:left="1" w:firstLine="0"/>
      </w:pPr>
      <w:r>
        <w:rPr>
          <w:rFonts w:ascii="Arial" w:eastAsia="Arial" w:hAnsi="Arial" w:cs="Arial"/>
          <w:sz w:val="24"/>
        </w:rPr>
        <w:t xml:space="preserve"> </w:t>
      </w:r>
    </w:p>
    <w:p w:rsidR="004D6F0E" w:rsidRDefault="004D6F0E">
      <w:pPr>
        <w:sectPr w:rsidR="004D6F0E">
          <w:type w:val="continuous"/>
          <w:pgSz w:w="12240" w:h="15840"/>
          <w:pgMar w:top="1440" w:right="653" w:bottom="1440" w:left="432" w:header="720" w:footer="720" w:gutter="0"/>
          <w:cols w:num="2" w:space="669"/>
        </w:sectPr>
      </w:pPr>
    </w:p>
    <w:p w:rsidR="004D6F0E" w:rsidRDefault="00490F21">
      <w:pPr>
        <w:spacing w:after="0" w:line="259" w:lineRule="auto"/>
        <w:ind w:left="0" w:firstLine="0"/>
        <w:jc w:val="both"/>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D6F0E">
      <w:pPr>
        <w:sectPr w:rsidR="004D6F0E">
          <w:type w:val="continuous"/>
          <w:pgSz w:w="12240" w:h="15840"/>
          <w:pgMar w:top="1440" w:right="11655" w:bottom="812" w:left="432" w:header="720" w:footer="720" w:gutter="0"/>
          <w:cols w:space="720"/>
        </w:sectPr>
      </w:pPr>
    </w:p>
    <w:p w:rsidR="004D6F0E" w:rsidRDefault="00490F21">
      <w:pPr>
        <w:spacing w:after="0" w:line="259" w:lineRule="auto"/>
        <w:ind w:left="0" w:firstLine="0"/>
        <w:jc w:val="both"/>
      </w:pPr>
      <w:r>
        <w:rPr>
          <w:rFonts w:ascii="Times New Roman" w:eastAsia="Times New Roman" w:hAnsi="Times New Roman" w:cs="Times New Roman"/>
          <w:sz w:val="24"/>
        </w:rPr>
        <w:t xml:space="preserve"> </w:t>
      </w:r>
    </w:p>
    <w:p w:rsidR="004D6F0E" w:rsidRDefault="004D6F0E">
      <w:pPr>
        <w:sectPr w:rsidR="004D6F0E">
          <w:type w:val="continuous"/>
          <w:pgSz w:w="12240" w:h="15840"/>
          <w:pgMar w:top="1440" w:right="6038" w:bottom="812" w:left="6142" w:header="720" w:footer="720" w:gutter="0"/>
          <w:cols w:space="720"/>
        </w:sectPr>
      </w:pPr>
    </w:p>
    <w:p w:rsidR="004D6F0E" w:rsidRDefault="00490F21">
      <w:pPr>
        <w:spacing w:after="113" w:line="231" w:lineRule="auto"/>
        <w:ind w:left="0" w:right="5664" w:firstLine="0"/>
      </w:pPr>
      <w:r>
        <w:rPr>
          <w:rFonts w:ascii="Arial" w:eastAsia="Arial" w:hAnsi="Arial" w:cs="Arial"/>
          <w:sz w:val="20"/>
        </w:rPr>
        <w:lastRenderedPageBreak/>
        <w:t xml:space="preserve"> </w:t>
      </w:r>
      <w:r>
        <w:rPr>
          <w:rFonts w:ascii="SimSun" w:eastAsia="SimSun" w:hAnsi="SimSun" w:cs="SimSun"/>
        </w:rPr>
        <w:t xml:space="preserve"> </w:t>
      </w:r>
    </w:p>
    <w:p w:rsidR="004D6F0E" w:rsidRDefault="00490F21">
      <w:pPr>
        <w:pStyle w:val="Heading2"/>
        <w:ind w:left="8"/>
      </w:pPr>
      <w:r>
        <w:t>聯博</w:t>
      </w:r>
      <w:r>
        <w:rPr>
          <w:rFonts w:ascii="Arial" w:eastAsia="Arial" w:hAnsi="Arial" w:cs="Arial"/>
        </w:rPr>
        <w:t>—</w:t>
      </w:r>
      <w:r>
        <w:t>日本策略價值基金</w:t>
      </w:r>
      <w:r>
        <w:rPr>
          <w:rFonts w:ascii="Arial" w:eastAsia="Arial" w:hAnsi="Arial" w:cs="Arial"/>
        </w:rPr>
        <w:t xml:space="preserve"> </w:t>
      </w:r>
    </w:p>
    <w:p w:rsidR="004D6F0E" w:rsidRDefault="00490F21">
      <w:pPr>
        <w:pStyle w:val="Heading3"/>
        <w:ind w:left="14"/>
      </w:pPr>
      <w:r>
        <w:t>投資目標及政策</w:t>
      </w:r>
      <w:r>
        <w:rPr>
          <w:rFonts w:ascii="Arial" w:eastAsia="Arial" w:hAnsi="Arial" w:cs="Arial"/>
        </w:rPr>
        <w:t xml:space="preserve"> </w:t>
      </w:r>
    </w:p>
    <w:p w:rsidR="004D6F0E" w:rsidRDefault="00490F21">
      <w:pPr>
        <w:spacing w:after="41"/>
        <w:ind w:left="11" w:right="2"/>
      </w:pPr>
      <w:r>
        <w:t>投資目標</w:t>
      </w:r>
      <w:r>
        <w:rPr>
          <w:rFonts w:ascii="Arial" w:eastAsia="Arial" w:hAnsi="Arial" w:cs="Arial"/>
          <w:b/>
        </w:rPr>
        <w:t xml:space="preserve"> </w:t>
      </w:r>
    </w:p>
    <w:p w:rsidR="004D6F0E" w:rsidRDefault="00490F21">
      <w:pPr>
        <w:ind w:left="11" w:right="2"/>
      </w:pPr>
      <w:r>
        <w:t>本基金的投資目標是透過投資於投資管理人確定為估值偏低的日本公司的股本證券組合以尋求長期資本增值。就此而言，「日本公司」指</w:t>
      </w:r>
      <w:r>
        <w:rPr>
          <w:rFonts w:ascii="Arial" w:eastAsia="Arial" w:hAnsi="Arial" w:cs="Arial"/>
        </w:rPr>
        <w:t>(i)</w:t>
      </w:r>
      <w:r>
        <w:t>於日本註冊或成立、或</w:t>
      </w:r>
      <w:r>
        <w:rPr>
          <w:rFonts w:ascii="Arial" w:eastAsia="Arial" w:hAnsi="Arial" w:cs="Arial"/>
        </w:rPr>
        <w:t>(ii)</w:t>
      </w:r>
      <w:r>
        <w:t>於日本成立並進產業務活動</w:t>
      </w:r>
    </w:p>
    <w:p w:rsidR="004D6F0E" w:rsidRDefault="00490F21">
      <w:pPr>
        <w:spacing w:after="104"/>
        <w:ind w:left="11" w:right="2"/>
      </w:pPr>
      <w:r>
        <w:t>，或</w:t>
      </w:r>
      <w:r>
        <w:rPr>
          <w:rFonts w:ascii="Arial" w:eastAsia="Arial" w:hAnsi="Arial" w:cs="Arial"/>
        </w:rPr>
        <w:t>(iii)</w:t>
      </w:r>
      <w:r>
        <w:t>於日本從事最重要部分經濟活動的公司。</w:t>
      </w:r>
      <w:r>
        <w:rPr>
          <w:rFonts w:ascii="Arial" w:eastAsia="Arial" w:hAnsi="Arial" w:cs="Arial"/>
        </w:rPr>
        <w:t xml:space="preserve"> </w:t>
      </w:r>
    </w:p>
    <w:p w:rsidR="004D6F0E" w:rsidRDefault="00490F21">
      <w:pPr>
        <w:spacing w:after="63"/>
        <w:ind w:left="11" w:right="2"/>
      </w:pPr>
      <w:r>
        <w:t>投資規則和程序</w:t>
      </w:r>
      <w:r>
        <w:rPr>
          <w:rFonts w:ascii="Arial" w:eastAsia="Arial" w:hAnsi="Arial" w:cs="Arial"/>
          <w:b/>
        </w:rPr>
        <w:t xml:space="preserve"> </w:t>
      </w:r>
    </w:p>
    <w:p w:rsidR="004D6F0E" w:rsidRDefault="00490F21">
      <w:pPr>
        <w:spacing w:after="104"/>
        <w:ind w:left="11" w:right="2"/>
      </w:pPr>
      <w:r>
        <w:t>投資管理人認為，公司的股價最終將反映其固有經濟價值。投資管理人關於股本投資的基本價值方法通常是參照證券現價與按長期盈利前景衡量的內在經濟價值的關係來界定價值。此方法首先尋求識別一系列被認為估值偏低的日本證券，原因為其價格相對於未來盈利能力而言極為吸引。因此，預</w:t>
      </w:r>
      <w:r>
        <w:t>測企業盈利及派息能力是基本價值方法的核心。</w:t>
      </w:r>
      <w:r>
        <w:rPr>
          <w:rFonts w:ascii="Arial" w:eastAsia="Arial" w:hAnsi="Arial" w:cs="Arial"/>
        </w:rPr>
        <w:t xml:space="preserve"> </w:t>
      </w:r>
    </w:p>
    <w:p w:rsidR="004D6F0E" w:rsidRDefault="00490F21">
      <w:pPr>
        <w:spacing w:after="101"/>
        <w:ind w:left="11" w:right="2"/>
      </w:pPr>
      <w:r>
        <w:t>正常市況下，本基金將投資於約由</w:t>
      </w:r>
      <w:r>
        <w:t xml:space="preserve"> </w:t>
      </w:r>
      <w:r>
        <w:rPr>
          <w:rFonts w:ascii="Arial" w:eastAsia="Arial" w:hAnsi="Arial" w:cs="Arial"/>
        </w:rPr>
        <w:t xml:space="preserve">30 </w:t>
      </w:r>
      <w:r>
        <w:t>至</w:t>
      </w:r>
      <w:r>
        <w:t xml:space="preserve"> </w:t>
      </w:r>
      <w:r>
        <w:rPr>
          <w:rFonts w:ascii="Arial" w:eastAsia="Arial" w:hAnsi="Arial" w:cs="Arial"/>
        </w:rPr>
        <w:t xml:space="preserve">50 </w:t>
      </w:r>
      <w:r>
        <w:t>間公司組成的投資組合。</w:t>
      </w:r>
      <w:r>
        <w:rPr>
          <w:rFonts w:ascii="Arial" w:eastAsia="Arial" w:hAnsi="Arial" w:cs="Arial"/>
        </w:rPr>
        <w:t xml:space="preserve"> </w:t>
      </w:r>
    </w:p>
    <w:p w:rsidR="004D6F0E" w:rsidRDefault="00490F21">
      <w:pPr>
        <w:spacing w:after="101"/>
        <w:ind w:left="11" w:right="2"/>
      </w:pPr>
      <w:r>
        <w:t>投資管理人的價值分析在很大程度上依賴龐大的內部研究小組及基本公司及產業研究。由於在相同產業內，環球各地的公司普遍具有類似的盈利及市場變化趨勢，故投資管理人的分析員按環球產業小組劃分，而非按地區或資產類別劃分。公司及產業分析員研究以專有定量回報模式研究日本公司，以預測該等公司於未來五年的盈利、現金流量及財務實力。如公司涉及多種業務，分析小組就各種業務進行分析，部分根據公司的產品或服務於現時及未來的需求決定因素，為該公司建立綜合預測。分析員亦評估該等公司在爭取市場佔有率時採用的定價策略。最後，就各公司施行企業策</w:t>
      </w:r>
      <w:r>
        <w:t>略的管理及財務能力進行評估，為分析提供附加資料。投資管理人根據公司的內在經濟價值及股價之間的差距尋求估值偏低的證券，差距最大的公司被認為估值最低。</w:t>
      </w:r>
      <w:r>
        <w:rPr>
          <w:rFonts w:ascii="Arial" w:eastAsia="Arial" w:hAnsi="Arial" w:cs="Arial"/>
        </w:rPr>
        <w:t xml:space="preserve"> </w:t>
      </w:r>
    </w:p>
    <w:p w:rsidR="004D6F0E" w:rsidRDefault="00490F21">
      <w:pPr>
        <w:spacing w:after="102"/>
        <w:ind w:left="11" w:right="2"/>
      </w:pPr>
      <w:r>
        <w:t>投資管理人在決定為基金購買各種證券的數量時，考慮基金的整體組合特色。投資管理人的定量分析員會建立價值及風險模形以確保基金組合的風險及回報已有效取得平衡。透過評估整體產業集中性、估值偏低程度及投資項目之間的其他不明顯的類似特徵，投資管理人透過</w:t>
      </w:r>
      <w:r>
        <w:t>選擇具吸引力並可分散基金風險的證券，以尋求將基金整體波動減至最低。</w:t>
      </w:r>
      <w:r>
        <w:rPr>
          <w:rFonts w:ascii="Arial" w:eastAsia="Arial" w:hAnsi="Arial" w:cs="Arial"/>
        </w:rPr>
        <w:t xml:space="preserve"> </w:t>
      </w:r>
    </w:p>
    <w:p w:rsidR="004D6F0E" w:rsidRDefault="00490F21">
      <w:pPr>
        <w:spacing w:after="100"/>
        <w:ind w:left="11" w:right="2"/>
      </w:pPr>
      <w:r>
        <w:t>市場對近期事件或趨勢的負面、短期反應可能會令公司目前的股價及內在價值評估產生（至少部分）差距。為減低在該等負面反應出現前購入估值偏低證券的風險，投資管理人亦監察分析小組的盈利預測修訂及相對回報趨勢（亦稱</w:t>
      </w:r>
      <w:r>
        <w:t>為「價格動力」），以看準時機新購及沽出證券。</w:t>
      </w:r>
      <w:r>
        <w:rPr>
          <w:rFonts w:ascii="Arial" w:eastAsia="Arial" w:hAnsi="Arial" w:cs="Arial"/>
        </w:rPr>
        <w:t xml:space="preserve"> </w:t>
      </w:r>
    </w:p>
    <w:p w:rsidR="004D6F0E" w:rsidRDefault="00490F21">
      <w:pPr>
        <w:spacing w:after="63"/>
        <w:ind w:left="11" w:right="2"/>
      </w:pPr>
      <w:r>
        <w:t>其他投資政策</w:t>
      </w:r>
      <w:r>
        <w:rPr>
          <w:rFonts w:ascii="Arial" w:eastAsia="Arial" w:hAnsi="Arial" w:cs="Arial"/>
          <w:b/>
        </w:rPr>
        <w:t xml:space="preserve"> </w:t>
      </w:r>
    </w:p>
    <w:p w:rsidR="004D6F0E" w:rsidRDefault="00490F21">
      <w:pPr>
        <w:spacing w:after="107"/>
        <w:ind w:left="11" w:right="2"/>
      </w:pPr>
      <w:r>
        <w:t>作為暫時性的防守策略，或為準備資金贖回證券，本基金可無限制地持有現金、現金等價物或短期固定收益債務（包括貨幣市場工具）。</w:t>
      </w:r>
      <w:r>
        <w:rPr>
          <w:rFonts w:ascii="Arial" w:eastAsia="Arial" w:hAnsi="Arial" w:cs="Arial"/>
        </w:rPr>
        <w:t xml:space="preserve"> </w:t>
      </w:r>
    </w:p>
    <w:p w:rsidR="004D6F0E" w:rsidRDefault="00490F21">
      <w:pPr>
        <w:spacing w:after="103"/>
        <w:ind w:left="11" w:right="2"/>
      </w:pPr>
      <w:r>
        <w:t>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段。因此，本基金可能會難以隨時出售該等證券。此外，轉售該等證券可能會有合約限制。</w:t>
      </w:r>
      <w:r>
        <w:rPr>
          <w:rFonts w:ascii="Arial" w:eastAsia="Arial" w:hAnsi="Arial" w:cs="Arial"/>
        </w:rPr>
        <w:t xml:space="preserve"> </w:t>
      </w:r>
    </w:p>
    <w:p w:rsidR="004D6F0E" w:rsidRDefault="00490F21">
      <w:pPr>
        <w:spacing w:after="409"/>
        <w:ind w:left="11" w:right="2"/>
      </w:pPr>
      <w:r>
        <w:t>投資管理人預期，任何時候本基金至少有</w:t>
      </w:r>
      <w:r>
        <w:t xml:space="preserve"> </w:t>
      </w:r>
      <w:r>
        <w:rPr>
          <w:rFonts w:ascii="Arial" w:eastAsia="Arial" w:hAnsi="Arial" w:cs="Arial"/>
        </w:rPr>
        <w:t>80%</w:t>
      </w:r>
      <w:r>
        <w:t>的總資產投資於日本公司的股本證券，而在任何情況下，本基金投資於該等證券的總資產將不會少於其總資產的三</w:t>
      </w:r>
      <w:r>
        <w:t>分之二。</w:t>
      </w: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I-27 </w:t>
      </w:r>
    </w:p>
    <w:p w:rsidR="004D6F0E" w:rsidRDefault="00490F21">
      <w:pPr>
        <w:spacing w:after="100"/>
        <w:ind w:left="11" w:right="2"/>
      </w:pPr>
      <w:r>
        <w:t>有效的基金管理及對沖技巧可利用包括交易所買賣及場外衍生工具，包括掉期、期權、期貨及貨幣交易。</w:t>
      </w:r>
      <w:r>
        <w:rPr>
          <w:rFonts w:ascii="Arial" w:eastAsia="Arial" w:hAnsi="Arial" w:cs="Arial"/>
        </w:rPr>
        <w:t xml:space="preserve"> </w:t>
      </w:r>
    </w:p>
    <w:p w:rsidR="004D6F0E" w:rsidRDefault="00490F21">
      <w:pPr>
        <w:ind w:left="11" w:right="2"/>
      </w:pPr>
      <w:r>
        <w:t>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tbl>
      <w:tblPr>
        <w:tblStyle w:val="TableGrid"/>
        <w:tblW w:w="5030" w:type="dxa"/>
        <w:tblInd w:w="5" w:type="dxa"/>
        <w:tblCellMar>
          <w:top w:w="31" w:type="dxa"/>
          <w:left w:w="108" w:type="dxa"/>
          <w:bottom w:w="0" w:type="dxa"/>
          <w:right w:w="115" w:type="dxa"/>
        </w:tblCellMar>
        <w:tblLook w:val="04A0" w:firstRow="1" w:lastRow="0" w:firstColumn="1" w:lastColumn="0" w:noHBand="0" w:noVBand="1"/>
      </w:tblPr>
      <w:tblGrid>
        <w:gridCol w:w="2263"/>
        <w:gridCol w:w="1418"/>
        <w:gridCol w:w="1349"/>
      </w:tblGrid>
      <w:tr w:rsidR="004D6F0E">
        <w:trPr>
          <w:trHeight w:val="377"/>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379"/>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r w:rsidR="004D6F0E">
        <w:trPr>
          <w:trHeight w:val="377"/>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bl>
    <w:p w:rsidR="004D6F0E" w:rsidRDefault="00490F21">
      <w:pPr>
        <w:spacing w:after="204" w:line="259" w:lineRule="auto"/>
        <w:ind w:left="0" w:firstLine="0"/>
      </w:pPr>
      <w:r>
        <w:rPr>
          <w:rFonts w:ascii="Arial" w:eastAsia="Arial" w:hAnsi="Arial" w:cs="Arial"/>
          <w:b/>
          <w:sz w:val="10"/>
        </w:rPr>
        <w:t xml:space="preserve"> </w:t>
      </w:r>
    </w:p>
    <w:p w:rsidR="004D6F0E" w:rsidRDefault="00490F21">
      <w:pPr>
        <w:spacing w:after="122"/>
        <w:ind w:left="11" w:right="2"/>
      </w:pPr>
      <w:r>
        <w:lastRenderedPageBreak/>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rPr>
          <w:rFonts w:ascii="Arial" w:eastAsia="Arial" w:hAnsi="Arial" w:cs="Arial"/>
        </w:rPr>
        <w:t xml:space="preserve"> </w:t>
      </w:r>
    </w:p>
    <w:p w:rsidR="004D6F0E" w:rsidRDefault="00490F21">
      <w:pPr>
        <w:spacing w:after="101"/>
        <w:ind w:left="11" w:right="2"/>
      </w:pPr>
      <w:r>
        <w:t>貨幣對沖股份類別</w:t>
      </w:r>
      <w:r>
        <w:rPr>
          <w:rFonts w:ascii="Arial" w:eastAsia="Arial" w:hAnsi="Arial" w:cs="Arial"/>
          <w:b/>
        </w:rPr>
        <w:t xml:space="preserve">  </w:t>
      </w:r>
    </w:p>
    <w:p w:rsidR="004D6F0E" w:rsidRDefault="00490F21">
      <w:pPr>
        <w:spacing w:after="101"/>
        <w:ind w:left="11" w:right="2"/>
      </w:pPr>
      <w:r>
        <w:t>用某種貨幣（各稱「發售貨幣」）發售的一項或多項本基金股份類別可用該發售貨幣對沖。任何此等股份類別將構成「貨幣對沖股份類別」。貨幣對沖股份類別的目的是透過降低本基金基準貨幣（即日圓）與相關發售貨幣之間匯率波動的影響，並計及交易成本等實際考量因素，為投資者提供與本基金基準貨幣回報率更具相關性的回報率。採用的對沖策略在設計上是爲了降低（但未必消除）本基金基準貨幣和發售貨幣之間的貨幣風險。貨幣對沖股份類別並不影響本基金所屬資產的投資管理，因為用發售貨幣對沖的只是貨幣對沖股份類別的資產淨值，而非本基金所屬資產。此類對</w:t>
      </w:r>
      <w:r>
        <w:t>沖活動引起的開支由引起該項開支的貨幣對沖股份類別承擔。</w:t>
      </w:r>
      <w:r>
        <w:rPr>
          <w:rFonts w:ascii="Arial" w:eastAsia="Arial" w:hAnsi="Arial" w:cs="Arial"/>
        </w:rPr>
        <w:t xml:space="preserve"> </w:t>
      </w:r>
    </w:p>
    <w:p w:rsidR="004D6F0E" w:rsidRDefault="00490F21">
      <w:pPr>
        <w:spacing w:after="197"/>
        <w:ind w:left="11" w:right="2"/>
      </w:pPr>
      <w:r>
        <w:t>欲進一步了解股份類別對沖詳情，請參閱第</w:t>
      </w:r>
      <w:r>
        <w:rPr>
          <w:rFonts w:ascii="Arial" w:eastAsia="Arial" w:hAnsi="Arial" w:cs="Arial"/>
        </w:rPr>
        <w:t>II</w:t>
      </w:r>
      <w:r>
        <w:t>部分「如何交換或轉換股份</w:t>
      </w:r>
      <w:r>
        <w:rPr>
          <w:rFonts w:ascii="Arial" w:eastAsia="Arial" w:hAnsi="Arial" w:cs="Arial"/>
        </w:rPr>
        <w:t xml:space="preserve"> – </w:t>
      </w:r>
      <w:r>
        <w:t>貨幣對沖股份類別」。</w:t>
      </w:r>
      <w:r>
        <w:rPr>
          <w:rFonts w:ascii="Arial" w:eastAsia="Arial" w:hAnsi="Arial" w:cs="Arial"/>
        </w:rPr>
        <w:t xml:space="preserve"> </w:t>
      </w:r>
    </w:p>
    <w:p w:rsidR="004D6F0E" w:rsidRDefault="00490F21">
      <w:pPr>
        <w:spacing w:after="100"/>
        <w:ind w:left="11" w:right="2"/>
      </w:pPr>
      <w:r>
        <w:t>風險度量。用於監測使用金融衍生工具所產生的全球風險（市場風險）的方法為根據盧森堡金融業監管委員會（</w:t>
      </w:r>
      <w:r>
        <w:rPr>
          <w:rFonts w:ascii="Arial" w:eastAsia="Arial" w:hAnsi="Arial" w:cs="Arial"/>
        </w:rPr>
        <w:t>CSSF</w:t>
      </w:r>
      <w:r>
        <w:t>）</w:t>
      </w:r>
      <w:r>
        <w:rPr>
          <w:rFonts w:ascii="Arial" w:eastAsia="Arial" w:hAnsi="Arial" w:cs="Arial"/>
        </w:rPr>
        <w:t xml:space="preserve">11/512 </w:t>
      </w:r>
      <w:r>
        <w:t>號公告採用的承擔法。</w:t>
      </w:r>
      <w:r>
        <w:rPr>
          <w:rFonts w:ascii="Arial" w:eastAsia="Arial" w:hAnsi="Arial" w:cs="Arial"/>
        </w:rPr>
        <w:t xml:space="preserve"> </w:t>
      </w:r>
    </w:p>
    <w:p w:rsidR="004D6F0E" w:rsidRDefault="00490F21">
      <w:pPr>
        <w:ind w:left="11" w:right="2"/>
      </w:pPr>
      <w:r>
        <w:t>基準。本基金的基準為東證股價指數。本基金利用該基準作表現比較。本基金採取主動式管理，投資管理人於實施本基金投資策略時不受其基準限制。儘管本基金可於若干市況下由投資管理人全權酌情決定持有基準內的絕大部分成分證券，但</w:t>
      </w:r>
      <w:r>
        <w:t>不會持有基準的每項成分證券，而且亦可持有並非基準一部分的證券。負責任投資。本基金整合</w:t>
      </w:r>
      <w:r>
        <w:rPr>
          <w:rFonts w:ascii="Arial" w:eastAsia="Arial" w:hAnsi="Arial" w:cs="Arial"/>
        </w:rPr>
        <w:t>ESG</w:t>
      </w:r>
      <w:r>
        <w:t>考慮因素。本基金應用若干排除條件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r>
        <w:rPr>
          <w:rFonts w:ascii="Arial" w:eastAsia="Arial" w:hAnsi="Arial" w:cs="Arial"/>
          <w:color w:val="0000FF"/>
          <w:u w:val="single" w:color="0000FF"/>
        </w:rPr>
        <w:t>www.alliancebernstein.com</w:t>
      </w:r>
    </w:p>
    <w:p w:rsidR="004D6F0E" w:rsidRDefault="00490F21">
      <w:pPr>
        <w:spacing w:after="199" w:line="254" w:lineRule="auto"/>
        <w:ind w:left="8" w:hanging="10"/>
      </w:pPr>
      <w:r>
        <w:rPr>
          <w:rFonts w:ascii="Arial" w:eastAsia="Arial" w:hAnsi="Arial" w:cs="Arial"/>
          <w:color w:val="0000FF"/>
          <w:u w:val="single" w:color="0000FF"/>
        </w:rPr>
        <w:t>/go/ABFCPIExclusionChart</w:t>
      </w:r>
      <w:hyperlink r:id="rId105">
        <w:r>
          <w:rPr>
            <w:color w:val="0000FF"/>
          </w:rPr>
          <w:t>。</w:t>
        </w:r>
      </w:hyperlink>
      <w:hyperlink r:id="rId106">
        <w:r>
          <w:rPr>
            <w:rFonts w:ascii="Arial" w:eastAsia="Arial" w:hAnsi="Arial" w:cs="Arial"/>
          </w:rPr>
          <w:t xml:space="preserve"> </w:t>
        </w:r>
      </w:hyperlink>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p>
    <w:p w:rsidR="004D6F0E" w:rsidRDefault="004D6F0E">
      <w:pPr>
        <w:sectPr w:rsidR="004D6F0E">
          <w:headerReference w:type="even" r:id="rId107"/>
          <w:headerReference w:type="default" r:id="rId108"/>
          <w:footerReference w:type="even" r:id="rId109"/>
          <w:footerReference w:type="default" r:id="rId110"/>
          <w:headerReference w:type="first" r:id="rId111"/>
          <w:footerReference w:type="first" r:id="rId112"/>
          <w:pgSz w:w="12240" w:h="15840"/>
          <w:pgMar w:top="1440" w:right="441" w:bottom="1440" w:left="432" w:header="720" w:footer="720" w:gutter="0"/>
          <w:cols w:num="2" w:space="720" w:equalWidth="0">
            <w:col w:w="5759" w:space="289"/>
            <w:col w:w="5319"/>
          </w:cols>
          <w:titlePg/>
        </w:sectPr>
      </w:pPr>
    </w:p>
    <w:p w:rsidR="004D6F0E" w:rsidRDefault="00490F21">
      <w:pPr>
        <w:pStyle w:val="Heading3"/>
        <w:spacing w:after="0"/>
        <w:ind w:left="4" w:right="3689" w:firstLine="5544"/>
      </w:pPr>
      <w:r>
        <w:rPr>
          <w:rFonts w:ascii="Times New Roman" w:eastAsia="Times New Roman" w:hAnsi="Times New Roman" w:cs="Times New Roman"/>
          <w:sz w:val="20"/>
        </w:rPr>
        <w:t xml:space="preserve"> </w:t>
      </w:r>
      <w:r>
        <w:t>摘要資料</w:t>
      </w:r>
      <w:r>
        <w:rPr>
          <w:rFonts w:ascii="Arial" w:eastAsia="Arial" w:hAnsi="Arial" w:cs="Arial"/>
          <w:sz w:val="19"/>
        </w:rPr>
        <w:t xml:space="preserve"> </w:t>
      </w:r>
    </w:p>
    <w:p w:rsidR="004D6F0E" w:rsidRDefault="00490F21">
      <w:pPr>
        <w:spacing w:after="26" w:line="259" w:lineRule="auto"/>
        <w:ind w:left="0" w:right="-1097" w:firstLine="0"/>
      </w:pPr>
      <w:r>
        <w:rPr>
          <w:rFonts w:ascii="Calibri" w:eastAsia="Calibri" w:hAnsi="Calibri" w:cs="Calibri"/>
          <w:noProof/>
          <w:sz w:val="22"/>
        </w:rPr>
        <mc:AlternateContent>
          <mc:Choice Requires="wpg">
            <w:drawing>
              <wp:inline distT="0" distB="0" distL="0" distR="0">
                <wp:extent cx="7176516" cy="18288"/>
                <wp:effectExtent l="0" t="0" r="0" b="0"/>
                <wp:docPr id="457664" name="Group 457664"/>
                <wp:cNvGraphicFramePr/>
                <a:graphic xmlns:a="http://schemas.openxmlformats.org/drawingml/2006/main">
                  <a:graphicData uri="http://schemas.microsoft.com/office/word/2010/wordprocessingGroup">
                    <wpg:wgp>
                      <wpg:cNvGrpSpPr/>
                      <wpg:grpSpPr>
                        <a:xfrm>
                          <a:off x="0" y="0"/>
                          <a:ext cx="7176516" cy="18288"/>
                          <a:chOff x="0" y="0"/>
                          <a:chExt cx="7176516" cy="18288"/>
                        </a:xfrm>
                      </wpg:grpSpPr>
                      <wps:wsp>
                        <wps:cNvPr id="657947" name="Shape 657947"/>
                        <wps:cNvSpPr/>
                        <wps:spPr>
                          <a:xfrm>
                            <a:off x="0" y="0"/>
                            <a:ext cx="7176516" cy="18288"/>
                          </a:xfrm>
                          <a:custGeom>
                            <a:avLst/>
                            <a:gdLst/>
                            <a:ahLst/>
                            <a:cxnLst/>
                            <a:rect l="0" t="0" r="0" b="0"/>
                            <a:pathLst>
                              <a:path w="7176516" h="18288">
                                <a:moveTo>
                                  <a:pt x="0" y="0"/>
                                </a:moveTo>
                                <a:lnTo>
                                  <a:pt x="7176516" y="0"/>
                                </a:lnTo>
                                <a:lnTo>
                                  <a:pt x="717651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7664" style="width:565.08pt;height:1.44pt;mso-position-horizontal-relative:char;mso-position-vertical-relative:line" coordsize="71765,182">
                <v:shape id="Shape 657948" style="position:absolute;width:71765;height:182;left:0;top:0;" coordsize="7176516,18288" path="m0,0l7176516,0l7176516,18288l0,18288l0,0">
                  <v:stroke weight="0pt" endcap="flat" joinstyle="miter" miterlimit="10" on="false" color="#000000" opacity="0"/>
                  <v:fill on="true" color="#000000"/>
                </v:shape>
              </v:group>
            </w:pict>
          </mc:Fallback>
        </mc:AlternateContent>
      </w:r>
    </w:p>
    <w:tbl>
      <w:tblPr>
        <w:tblStyle w:val="TableGrid"/>
        <w:tblpPr w:vertAnchor="page" w:horzAnchor="page" w:tblpX="425" w:tblpY="6254"/>
        <w:tblOverlap w:val="never"/>
        <w:tblW w:w="11299" w:type="dxa"/>
        <w:tblInd w:w="0" w:type="dxa"/>
        <w:tblCellMar>
          <w:top w:w="25" w:type="dxa"/>
          <w:left w:w="0" w:type="dxa"/>
          <w:bottom w:w="0" w:type="dxa"/>
          <w:right w:w="115" w:type="dxa"/>
        </w:tblCellMar>
        <w:tblLook w:val="04A0" w:firstRow="1" w:lastRow="0" w:firstColumn="1" w:lastColumn="0" w:noHBand="0" w:noVBand="1"/>
      </w:tblPr>
      <w:tblGrid>
        <w:gridCol w:w="2842"/>
        <w:gridCol w:w="2551"/>
        <w:gridCol w:w="2426"/>
        <w:gridCol w:w="1627"/>
        <w:gridCol w:w="1853"/>
      </w:tblGrid>
      <w:tr w:rsidR="004D6F0E">
        <w:trPr>
          <w:trHeight w:val="235"/>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日圓計價股份類別</w:t>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D6F0E">
            <w:pPr>
              <w:spacing w:after="160" w:line="259" w:lineRule="auto"/>
              <w:ind w:left="0" w:firstLine="0"/>
            </w:pPr>
          </w:p>
        </w:tc>
        <w:tc>
          <w:tcPr>
            <w:tcW w:w="2426" w:type="dxa"/>
            <w:tcBorders>
              <w:top w:val="nil"/>
              <w:left w:val="nil"/>
              <w:bottom w:val="nil"/>
              <w:right w:val="nil"/>
            </w:tcBorders>
            <w:shd w:val="clear" w:color="auto" w:fill="D9D9D9"/>
          </w:tcPr>
          <w:p w:rsidR="004D6F0E" w:rsidRDefault="004D6F0E">
            <w:pPr>
              <w:spacing w:after="160" w:line="259" w:lineRule="auto"/>
              <w:ind w:left="0" w:firstLine="0"/>
            </w:pPr>
          </w:p>
        </w:tc>
        <w:tc>
          <w:tcPr>
            <w:tcW w:w="1627" w:type="dxa"/>
            <w:tcBorders>
              <w:top w:val="nil"/>
              <w:left w:val="nil"/>
              <w:bottom w:val="nil"/>
              <w:right w:val="nil"/>
            </w:tcBorders>
            <w:shd w:val="clear" w:color="auto" w:fill="D9D9D9"/>
          </w:tcPr>
          <w:p w:rsidR="004D6F0E" w:rsidRDefault="004D6F0E">
            <w:pPr>
              <w:spacing w:after="160" w:line="259" w:lineRule="auto"/>
              <w:ind w:left="0" w:firstLine="0"/>
            </w:pPr>
          </w:p>
        </w:tc>
        <w:tc>
          <w:tcPr>
            <w:tcW w:w="1853"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6"/>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0"/>
        </w:trPr>
        <w:tc>
          <w:tcPr>
            <w:tcW w:w="284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55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1.95% </w:t>
            </w:r>
          </w:p>
        </w:tc>
        <w:tc>
          <w:tcPr>
            <w:tcW w:w="1627"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0"/>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6</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7"/>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SD </w:t>
            </w:r>
            <w:r>
              <w:rPr>
                <w:sz w:val="18"/>
              </w:rPr>
              <w:t>類股份</w:t>
            </w:r>
            <w:r>
              <w:rPr>
                <w:sz w:val="18"/>
              </w:rPr>
              <w:t xml:space="preserve"> </w:t>
            </w:r>
            <w:r>
              <w:rPr>
                <w:rFonts w:ascii="Arial" w:eastAsia="Arial" w:hAnsi="Arial" w:cs="Arial"/>
                <w:sz w:val="18"/>
                <w:vertAlign w:val="superscript"/>
              </w:rPr>
              <w:t>6</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73"/>
        </w:trPr>
        <w:tc>
          <w:tcPr>
            <w:tcW w:w="2842" w:type="dxa"/>
            <w:tcBorders>
              <w:top w:val="nil"/>
              <w:left w:val="nil"/>
              <w:bottom w:val="nil"/>
              <w:right w:val="nil"/>
            </w:tcBorders>
          </w:tcPr>
          <w:p w:rsidR="004D6F0E" w:rsidRDefault="00490F21">
            <w:pPr>
              <w:spacing w:after="29" w:line="259" w:lineRule="auto"/>
              <w:ind w:left="115" w:firstLine="0"/>
            </w:pPr>
            <w:r>
              <w:rPr>
                <w:rFonts w:ascii="Arial" w:eastAsia="Arial" w:hAnsi="Arial" w:cs="Arial"/>
                <w:sz w:val="18"/>
              </w:rPr>
              <w:t xml:space="preserve">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24"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1.20% </w:t>
            </w:r>
          </w:p>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tcPr>
          <w:p w:rsidR="004D6F0E" w:rsidRDefault="00490F21">
            <w:pPr>
              <w:spacing w:after="2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24"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shd w:val="clear" w:color="auto" w:fill="D9D9D9"/>
          </w:tcPr>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241"/>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3"/>
        </w:trPr>
        <w:tc>
          <w:tcPr>
            <w:tcW w:w="284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55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1.95% </w:t>
            </w:r>
          </w:p>
        </w:tc>
        <w:tc>
          <w:tcPr>
            <w:tcW w:w="1627"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360" w:hanging="317"/>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6"/>
        </w:trPr>
        <w:tc>
          <w:tcPr>
            <w:tcW w:w="2842" w:type="dxa"/>
            <w:tcBorders>
              <w:top w:val="nil"/>
              <w:left w:val="nil"/>
              <w:bottom w:val="nil"/>
              <w:right w:val="nil"/>
            </w:tcBorders>
          </w:tcPr>
          <w:p w:rsidR="004D6F0E" w:rsidRDefault="00490F21">
            <w:pPr>
              <w:spacing w:after="29"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24"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0.65% </w:t>
            </w:r>
          </w:p>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tcPr>
          <w:p w:rsidR="004D6F0E" w:rsidRDefault="00490F21">
            <w:pPr>
              <w:spacing w:after="2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24"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8"/>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波蘭茲羅提計價股份類別</w:t>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shd w:val="clear" w:color="auto" w:fill="D9D9D9"/>
          </w:tcPr>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470"/>
        </w:trPr>
        <w:tc>
          <w:tcPr>
            <w:tcW w:w="2842" w:type="dxa"/>
            <w:tcBorders>
              <w:top w:val="nil"/>
              <w:left w:val="nil"/>
              <w:bottom w:val="nil"/>
              <w:right w:val="nil"/>
            </w:tcBorders>
          </w:tcPr>
          <w:p w:rsidR="004D6F0E" w:rsidRDefault="00490F21">
            <w:pPr>
              <w:spacing w:after="29"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lastRenderedPageBreak/>
              <w:t xml:space="preserve"> </w:t>
            </w:r>
          </w:p>
        </w:tc>
        <w:tc>
          <w:tcPr>
            <w:tcW w:w="2551" w:type="dxa"/>
            <w:tcBorders>
              <w:top w:val="nil"/>
              <w:left w:val="nil"/>
              <w:bottom w:val="nil"/>
              <w:right w:val="nil"/>
            </w:tcBorders>
          </w:tcPr>
          <w:p w:rsidR="004D6F0E" w:rsidRDefault="00490F21">
            <w:pPr>
              <w:spacing w:after="43" w:line="259" w:lineRule="auto"/>
              <w:ind w:left="0" w:firstLine="0"/>
            </w:pPr>
            <w:r>
              <w:rPr>
                <w:sz w:val="18"/>
              </w:rPr>
              <w:lastRenderedPageBreak/>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547" w:firstLine="0"/>
            </w:pPr>
            <w:r>
              <w:rPr>
                <w:rFonts w:ascii="Arial" w:eastAsia="Arial" w:hAnsi="Arial" w:cs="Arial"/>
                <w:sz w:val="18"/>
              </w:rPr>
              <w:lastRenderedPageBreak/>
              <w:t xml:space="preserve"> </w:t>
            </w:r>
          </w:p>
        </w:tc>
        <w:tc>
          <w:tcPr>
            <w:tcW w:w="2426"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lastRenderedPageBreak/>
              <w:t xml:space="preserve">1.50% </w:t>
            </w:r>
          </w:p>
          <w:p w:rsidR="004D6F0E" w:rsidRDefault="00490F21">
            <w:pPr>
              <w:spacing w:after="0" w:line="259" w:lineRule="auto"/>
              <w:ind w:left="257" w:firstLine="0"/>
            </w:pPr>
            <w:r>
              <w:rPr>
                <w:rFonts w:ascii="Arial" w:eastAsia="Arial" w:hAnsi="Arial" w:cs="Arial"/>
                <w:sz w:val="18"/>
              </w:rPr>
              <w:lastRenderedPageBreak/>
              <w:t xml:space="preserve"> </w:t>
            </w:r>
          </w:p>
        </w:tc>
        <w:tc>
          <w:tcPr>
            <w:tcW w:w="1627" w:type="dxa"/>
            <w:tcBorders>
              <w:top w:val="nil"/>
              <w:left w:val="nil"/>
              <w:bottom w:val="nil"/>
              <w:right w:val="nil"/>
            </w:tcBorders>
          </w:tcPr>
          <w:p w:rsidR="004D6F0E" w:rsidRDefault="00490F21">
            <w:pPr>
              <w:spacing w:after="24" w:line="259" w:lineRule="auto"/>
              <w:ind w:left="0"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lastRenderedPageBreak/>
              <w:t xml:space="preserve"> </w:t>
            </w:r>
          </w:p>
        </w:tc>
        <w:tc>
          <w:tcPr>
            <w:tcW w:w="1853" w:type="dxa"/>
            <w:tcBorders>
              <w:top w:val="nil"/>
              <w:left w:val="nil"/>
              <w:bottom w:val="nil"/>
              <w:right w:val="nil"/>
            </w:tcBorders>
          </w:tcPr>
          <w:p w:rsidR="004D6F0E" w:rsidRDefault="00490F21">
            <w:pPr>
              <w:spacing w:after="24" w:line="259" w:lineRule="auto"/>
              <w:ind w:left="631"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lastRenderedPageBreak/>
              <w:t xml:space="preserve"> </w:t>
            </w:r>
          </w:p>
        </w:tc>
      </w:tr>
      <w:tr w:rsidR="004D6F0E">
        <w:trPr>
          <w:trHeight w:val="238"/>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新加坡元計價股份類別</w:t>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shd w:val="clear" w:color="auto" w:fill="D9D9D9"/>
          </w:tcPr>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rPr>
          <w:trHeight w:val="241"/>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62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7"/>
        </w:trPr>
        <w:tc>
          <w:tcPr>
            <w:tcW w:w="2842" w:type="dxa"/>
            <w:tcBorders>
              <w:top w:val="nil"/>
              <w:left w:val="nil"/>
              <w:bottom w:val="nil"/>
              <w:right w:val="nil"/>
            </w:tcBorders>
          </w:tcPr>
          <w:p w:rsidR="004D6F0E" w:rsidRDefault="00490F21">
            <w:pPr>
              <w:spacing w:after="44"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26"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0.70% </w:t>
            </w:r>
          </w:p>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tcPr>
          <w:p w:rsidR="004D6F0E" w:rsidRDefault="00490F21">
            <w:pPr>
              <w:spacing w:after="21"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tcPr>
          <w:p w:rsidR="004D6F0E" w:rsidRDefault="00490F21">
            <w:pPr>
              <w:spacing w:after="21"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627" w:type="dxa"/>
            <w:tcBorders>
              <w:top w:val="nil"/>
              <w:left w:val="nil"/>
              <w:bottom w:val="nil"/>
              <w:right w:val="nil"/>
            </w:tcBorders>
            <w:shd w:val="clear" w:color="auto" w:fill="D9D9D9"/>
          </w:tcPr>
          <w:p w:rsidR="004D6F0E" w:rsidRDefault="00490F21">
            <w:pPr>
              <w:spacing w:after="0" w:line="259" w:lineRule="auto"/>
              <w:ind w:left="91" w:firstLine="0"/>
            </w:pPr>
            <w:r>
              <w:rPr>
                <w:rFonts w:ascii="Arial" w:eastAsia="Arial" w:hAnsi="Arial" w:cs="Arial"/>
                <w:sz w:val="18"/>
              </w:rPr>
              <w:t xml:space="preserve"> </w:t>
            </w:r>
          </w:p>
        </w:tc>
        <w:tc>
          <w:tcPr>
            <w:tcW w:w="1853"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bl>
    <w:tbl>
      <w:tblPr>
        <w:tblStyle w:val="TableGrid"/>
        <w:tblpPr w:vertAnchor="page" w:horzAnchor="page" w:tblpX="432" w:tblpY="12172"/>
        <w:tblOverlap w:val="never"/>
        <w:tblW w:w="10888" w:type="dxa"/>
        <w:tblInd w:w="0" w:type="dxa"/>
        <w:tblCellMar>
          <w:top w:w="6" w:type="dxa"/>
          <w:left w:w="0" w:type="dxa"/>
          <w:bottom w:w="0" w:type="dxa"/>
          <w:right w:w="0" w:type="dxa"/>
        </w:tblCellMar>
        <w:tblLook w:val="04A0" w:firstRow="1" w:lastRow="0" w:firstColumn="1" w:lastColumn="0" w:noHBand="0" w:noVBand="1"/>
      </w:tblPr>
      <w:tblGrid>
        <w:gridCol w:w="2834"/>
        <w:gridCol w:w="2482"/>
        <w:gridCol w:w="1608"/>
        <w:gridCol w:w="2515"/>
        <w:gridCol w:w="1449"/>
      </w:tblGrid>
      <w:tr w:rsidR="004D6F0E">
        <w:trPr>
          <w:trHeight w:val="216"/>
        </w:trPr>
        <w:tc>
          <w:tcPr>
            <w:tcW w:w="283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48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1608"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1.50% </w:t>
            </w:r>
          </w:p>
        </w:tc>
        <w:tc>
          <w:tcPr>
            <w:tcW w:w="2515" w:type="dxa"/>
            <w:tcBorders>
              <w:top w:val="nil"/>
              <w:left w:val="nil"/>
              <w:bottom w:val="nil"/>
              <w:right w:val="nil"/>
            </w:tcBorders>
          </w:tcPr>
          <w:p w:rsidR="004D6F0E" w:rsidRDefault="00490F21">
            <w:pPr>
              <w:spacing w:after="0" w:line="259" w:lineRule="auto"/>
              <w:ind w:left="888" w:firstLine="0"/>
            </w:pPr>
            <w:r>
              <w:rPr>
                <w:sz w:val="18"/>
              </w:rPr>
              <w:t>無</w:t>
            </w:r>
            <w:r>
              <w:rPr>
                <w:rFonts w:ascii="Arial" w:eastAsia="Arial" w:hAnsi="Arial" w:cs="Arial"/>
                <w:sz w:val="18"/>
              </w:rPr>
              <w:t xml:space="preserve"> </w:t>
            </w:r>
          </w:p>
        </w:tc>
        <w:tc>
          <w:tcPr>
            <w:tcW w:w="1449" w:type="dxa"/>
            <w:tcBorders>
              <w:top w:val="nil"/>
              <w:left w:val="nil"/>
              <w:bottom w:val="nil"/>
              <w:right w:val="nil"/>
            </w:tcBorders>
          </w:tcPr>
          <w:p w:rsidR="004D6F0E" w:rsidRDefault="00490F21">
            <w:pPr>
              <w:spacing w:after="0" w:line="259" w:lineRule="auto"/>
              <w:ind w:left="0" w:right="7" w:firstLine="0"/>
              <w:jc w:val="center"/>
            </w:pPr>
            <w:r>
              <w:rPr>
                <w:sz w:val="18"/>
              </w:rPr>
              <w:t>無</w:t>
            </w:r>
            <w:r>
              <w:rPr>
                <w:rFonts w:ascii="Arial" w:eastAsia="Arial" w:hAnsi="Arial" w:cs="Arial"/>
                <w:sz w:val="18"/>
              </w:rPr>
              <w:t xml:space="preserve"> </w:t>
            </w:r>
          </w:p>
        </w:tc>
      </w:tr>
      <w:tr w:rsidR="004D6F0E">
        <w:trPr>
          <w:trHeight w:val="463"/>
        </w:trPr>
        <w:tc>
          <w:tcPr>
            <w:tcW w:w="2834"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482"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608" w:type="dxa"/>
            <w:tcBorders>
              <w:top w:val="nil"/>
              <w:left w:val="nil"/>
              <w:bottom w:val="nil"/>
              <w:right w:val="nil"/>
            </w:tcBorders>
            <w:vAlign w:val="center"/>
          </w:tcPr>
          <w:p w:rsidR="004D6F0E" w:rsidRDefault="00490F21">
            <w:pPr>
              <w:spacing w:after="0" w:line="259" w:lineRule="auto"/>
              <w:ind w:left="70" w:firstLine="0"/>
            </w:pPr>
            <w:r>
              <w:rPr>
                <w:rFonts w:ascii="Arial" w:eastAsia="Arial" w:hAnsi="Arial" w:cs="Arial"/>
                <w:sz w:val="18"/>
              </w:rPr>
              <w:t xml:space="preserve">1.95% </w:t>
            </w:r>
          </w:p>
        </w:tc>
        <w:tc>
          <w:tcPr>
            <w:tcW w:w="2515" w:type="dxa"/>
            <w:tcBorders>
              <w:top w:val="nil"/>
              <w:left w:val="nil"/>
              <w:bottom w:val="nil"/>
              <w:right w:val="nil"/>
            </w:tcBorders>
            <w:vAlign w:val="center"/>
          </w:tcPr>
          <w:p w:rsidR="004D6F0E" w:rsidRDefault="00490F21">
            <w:pPr>
              <w:spacing w:after="0" w:line="259" w:lineRule="auto"/>
              <w:ind w:left="888" w:firstLine="0"/>
            </w:pPr>
            <w:r>
              <w:rPr>
                <w:sz w:val="18"/>
              </w:rPr>
              <w:t>無</w:t>
            </w:r>
            <w:r>
              <w:rPr>
                <w:rFonts w:ascii="Arial" w:eastAsia="Arial" w:hAnsi="Arial" w:cs="Arial"/>
                <w:sz w:val="18"/>
              </w:rPr>
              <w:t xml:space="preserve"> </w:t>
            </w:r>
          </w:p>
        </w:tc>
        <w:tc>
          <w:tcPr>
            <w:tcW w:w="1449" w:type="dxa"/>
            <w:tcBorders>
              <w:top w:val="nil"/>
              <w:left w:val="nil"/>
              <w:bottom w:val="nil"/>
              <w:right w:val="nil"/>
            </w:tcBorders>
          </w:tcPr>
          <w:p w:rsidR="004D6F0E" w:rsidRDefault="00490F21">
            <w:pPr>
              <w:spacing w:after="0" w:line="259" w:lineRule="auto"/>
              <w:ind w:left="0" w:firstLine="0"/>
              <w:jc w:val="center"/>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3"/>
        </w:trPr>
        <w:tc>
          <w:tcPr>
            <w:tcW w:w="283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lastRenderedPageBreak/>
              <w:t xml:space="preserve">I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482"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1608"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0.70% </w:t>
            </w:r>
          </w:p>
        </w:tc>
        <w:tc>
          <w:tcPr>
            <w:tcW w:w="2515" w:type="dxa"/>
            <w:tcBorders>
              <w:top w:val="nil"/>
              <w:left w:val="nil"/>
              <w:bottom w:val="nil"/>
              <w:right w:val="nil"/>
            </w:tcBorders>
          </w:tcPr>
          <w:p w:rsidR="004D6F0E" w:rsidRDefault="00490F21">
            <w:pPr>
              <w:spacing w:after="0" w:line="259" w:lineRule="auto"/>
              <w:ind w:left="888" w:firstLine="0"/>
            </w:pPr>
            <w:r>
              <w:rPr>
                <w:sz w:val="18"/>
              </w:rPr>
              <w:t>無</w:t>
            </w:r>
            <w:r>
              <w:rPr>
                <w:rFonts w:ascii="Arial" w:eastAsia="Arial" w:hAnsi="Arial" w:cs="Arial"/>
                <w:sz w:val="18"/>
              </w:rPr>
              <w:t xml:space="preserve"> </w:t>
            </w:r>
          </w:p>
        </w:tc>
        <w:tc>
          <w:tcPr>
            <w:tcW w:w="1449" w:type="dxa"/>
            <w:tcBorders>
              <w:top w:val="nil"/>
              <w:left w:val="nil"/>
              <w:bottom w:val="nil"/>
              <w:right w:val="nil"/>
            </w:tcBorders>
          </w:tcPr>
          <w:p w:rsidR="004D6F0E" w:rsidRDefault="00490F21">
            <w:pPr>
              <w:spacing w:after="0" w:line="259" w:lineRule="auto"/>
              <w:ind w:left="0" w:right="7" w:firstLine="0"/>
              <w:jc w:val="center"/>
            </w:pPr>
            <w:r>
              <w:rPr>
                <w:sz w:val="18"/>
              </w:rPr>
              <w:t>無</w:t>
            </w:r>
            <w:r>
              <w:rPr>
                <w:rFonts w:ascii="Arial" w:eastAsia="Arial" w:hAnsi="Arial" w:cs="Arial"/>
                <w:sz w:val="18"/>
              </w:rPr>
              <w:t xml:space="preserve"> </w:t>
            </w:r>
          </w:p>
        </w:tc>
      </w:tr>
      <w:tr w:rsidR="004D6F0E">
        <w:trPr>
          <w:trHeight w:val="245"/>
        </w:trPr>
        <w:tc>
          <w:tcPr>
            <w:tcW w:w="283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482"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0.65% </w:t>
            </w:r>
          </w:p>
        </w:tc>
        <w:tc>
          <w:tcPr>
            <w:tcW w:w="2515" w:type="dxa"/>
            <w:tcBorders>
              <w:top w:val="nil"/>
              <w:left w:val="nil"/>
              <w:bottom w:val="nil"/>
              <w:right w:val="nil"/>
            </w:tcBorders>
          </w:tcPr>
          <w:p w:rsidR="004D6F0E" w:rsidRDefault="00490F21">
            <w:pPr>
              <w:spacing w:after="0" w:line="259" w:lineRule="auto"/>
              <w:ind w:left="888" w:firstLine="0"/>
            </w:pPr>
            <w:r>
              <w:rPr>
                <w:sz w:val="18"/>
              </w:rPr>
              <w:t>無</w:t>
            </w:r>
            <w:r>
              <w:rPr>
                <w:rFonts w:ascii="Arial" w:eastAsia="Arial" w:hAnsi="Arial" w:cs="Arial"/>
                <w:sz w:val="18"/>
              </w:rPr>
              <w:t xml:space="preserve"> </w:t>
            </w:r>
          </w:p>
        </w:tc>
        <w:tc>
          <w:tcPr>
            <w:tcW w:w="1449" w:type="dxa"/>
            <w:tcBorders>
              <w:top w:val="nil"/>
              <w:left w:val="nil"/>
              <w:bottom w:val="nil"/>
              <w:right w:val="nil"/>
            </w:tcBorders>
          </w:tcPr>
          <w:p w:rsidR="004D6F0E" w:rsidRDefault="00490F21">
            <w:pPr>
              <w:spacing w:after="0" w:line="259" w:lineRule="auto"/>
              <w:ind w:left="0" w:right="7" w:firstLine="0"/>
              <w:jc w:val="center"/>
            </w:pPr>
            <w:r>
              <w:rPr>
                <w:sz w:val="18"/>
              </w:rPr>
              <w:t>無</w:t>
            </w:r>
            <w:r>
              <w:rPr>
                <w:rFonts w:ascii="Arial" w:eastAsia="Arial" w:hAnsi="Arial" w:cs="Arial"/>
                <w:sz w:val="18"/>
              </w:rPr>
              <w:t xml:space="preserve"> </w:t>
            </w:r>
          </w:p>
        </w:tc>
      </w:tr>
      <w:tr w:rsidR="004D6F0E">
        <w:trPr>
          <w:trHeight w:val="256"/>
        </w:trPr>
        <w:tc>
          <w:tcPr>
            <w:tcW w:w="28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4"/>
              </w:rPr>
              <w:t xml:space="preserve"> </w:t>
            </w:r>
          </w:p>
        </w:tc>
        <w:tc>
          <w:tcPr>
            <w:tcW w:w="2482" w:type="dxa"/>
            <w:tcBorders>
              <w:top w:val="nil"/>
              <w:left w:val="nil"/>
              <w:bottom w:val="nil"/>
              <w:right w:val="nil"/>
            </w:tcBorders>
          </w:tcPr>
          <w:p w:rsidR="004D6F0E" w:rsidRDefault="00490F21">
            <w:pPr>
              <w:spacing w:after="0" w:line="259" w:lineRule="auto"/>
              <w:ind w:left="46" w:firstLine="0"/>
            </w:pPr>
            <w:r>
              <w:rPr>
                <w:rFonts w:ascii="Arial" w:eastAsia="Arial" w:hAnsi="Arial" w:cs="Arial"/>
                <w:sz w:val="24"/>
              </w:rPr>
              <w:t xml:space="preserve"> </w:t>
            </w:r>
          </w:p>
        </w:tc>
        <w:tc>
          <w:tcPr>
            <w:tcW w:w="1608" w:type="dxa"/>
            <w:tcBorders>
              <w:top w:val="nil"/>
              <w:left w:val="nil"/>
              <w:bottom w:val="nil"/>
              <w:right w:val="nil"/>
            </w:tcBorders>
          </w:tcPr>
          <w:p w:rsidR="004D6F0E" w:rsidRDefault="004D6F0E">
            <w:pPr>
              <w:spacing w:after="160" w:line="259" w:lineRule="auto"/>
              <w:ind w:left="0" w:firstLine="0"/>
            </w:pPr>
          </w:p>
        </w:tc>
        <w:tc>
          <w:tcPr>
            <w:tcW w:w="2515" w:type="dxa"/>
            <w:tcBorders>
              <w:top w:val="nil"/>
              <w:left w:val="nil"/>
              <w:bottom w:val="nil"/>
              <w:right w:val="nil"/>
            </w:tcBorders>
          </w:tcPr>
          <w:p w:rsidR="004D6F0E" w:rsidRDefault="004D6F0E">
            <w:pPr>
              <w:spacing w:after="160" w:line="259" w:lineRule="auto"/>
              <w:ind w:left="0" w:firstLine="0"/>
            </w:pPr>
          </w:p>
        </w:tc>
        <w:tc>
          <w:tcPr>
            <w:tcW w:w="1449" w:type="dxa"/>
            <w:tcBorders>
              <w:top w:val="nil"/>
              <w:left w:val="nil"/>
              <w:bottom w:val="nil"/>
              <w:right w:val="nil"/>
            </w:tcBorders>
          </w:tcPr>
          <w:p w:rsidR="004D6F0E" w:rsidRDefault="004D6F0E">
            <w:pPr>
              <w:spacing w:after="160" w:line="259" w:lineRule="auto"/>
              <w:ind w:left="0" w:firstLine="0"/>
            </w:pPr>
          </w:p>
        </w:tc>
      </w:tr>
    </w:tbl>
    <w:p w:rsidR="004D6F0E" w:rsidRDefault="00490F21">
      <w:pPr>
        <w:ind w:left="117" w:right="2"/>
      </w:pPr>
      <w:r>
        <w:t>基金特色</w:t>
      </w:r>
      <w:r>
        <w:rPr>
          <w:rFonts w:ascii="Arial" w:eastAsia="Arial" w:hAnsi="Arial" w:cs="Arial"/>
          <w:b/>
          <w:sz w:val="24"/>
        </w:rPr>
        <w:t xml:space="preserve"> </w:t>
      </w:r>
    </w:p>
    <w:tbl>
      <w:tblPr>
        <w:tblStyle w:val="TableGrid"/>
        <w:tblW w:w="11086" w:type="dxa"/>
        <w:tblInd w:w="108" w:type="dxa"/>
        <w:tblCellMar>
          <w:top w:w="1" w:type="dxa"/>
          <w:left w:w="0" w:type="dxa"/>
          <w:bottom w:w="0" w:type="dxa"/>
          <w:right w:w="0" w:type="dxa"/>
        </w:tblCellMar>
        <w:tblLook w:val="04A0" w:firstRow="1" w:lastRow="0" w:firstColumn="1" w:lastColumn="0" w:noHBand="0" w:noVBand="1"/>
      </w:tblPr>
      <w:tblGrid>
        <w:gridCol w:w="1080"/>
        <w:gridCol w:w="5604"/>
        <w:gridCol w:w="48"/>
        <w:gridCol w:w="431"/>
        <w:gridCol w:w="11160"/>
      </w:tblGrid>
      <w:tr w:rsidR="004D6F0E">
        <w:trPr>
          <w:trHeight w:val="430"/>
        </w:trPr>
        <w:tc>
          <w:tcPr>
            <w:tcW w:w="1668" w:type="dxa"/>
            <w:tcBorders>
              <w:top w:val="nil"/>
              <w:left w:val="nil"/>
              <w:bottom w:val="nil"/>
              <w:right w:val="nil"/>
            </w:tcBorders>
          </w:tcPr>
          <w:p w:rsidR="004D6F0E" w:rsidRDefault="00490F21">
            <w:pPr>
              <w:spacing w:after="10" w:line="259" w:lineRule="auto"/>
              <w:ind w:left="0" w:firstLine="0"/>
            </w:pPr>
            <w:r>
              <w:rPr>
                <w:sz w:val="18"/>
              </w:rPr>
              <w:t>基金貨幣</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540" w:type="dxa"/>
            <w:tcBorders>
              <w:top w:val="nil"/>
              <w:left w:val="nil"/>
              <w:bottom w:val="nil"/>
              <w:right w:val="nil"/>
            </w:tcBorders>
          </w:tcPr>
          <w:p w:rsidR="004D6F0E" w:rsidRDefault="00490F21">
            <w:pPr>
              <w:spacing w:after="10" w:line="259" w:lineRule="auto"/>
              <w:ind w:left="36" w:firstLine="0"/>
            </w:pPr>
            <w:r>
              <w:rPr>
                <w:sz w:val="18"/>
              </w:rPr>
              <w:t>日圓</w:t>
            </w:r>
            <w:r>
              <w:rPr>
                <w:rFonts w:ascii="Arial" w:eastAsia="Arial" w:hAnsi="Arial" w:cs="Arial"/>
                <w:sz w:val="18"/>
              </w:rPr>
              <w:t xml:space="preserve"> </w:t>
            </w:r>
          </w:p>
          <w:p w:rsidR="004D6F0E" w:rsidRDefault="00490F21">
            <w:pPr>
              <w:spacing w:after="0" w:line="259" w:lineRule="auto"/>
              <w:ind w:left="36" w:firstLine="0"/>
            </w:pPr>
            <w:r>
              <w:rPr>
                <w:rFonts w:ascii="Arial" w:eastAsia="Arial" w:hAnsi="Arial" w:cs="Arial"/>
                <w:sz w:val="18"/>
              </w:rPr>
              <w:t xml:space="preserve"> </w:t>
            </w:r>
          </w:p>
        </w:tc>
        <w:tc>
          <w:tcPr>
            <w:tcW w:w="492"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 </w:t>
            </w:r>
          </w:p>
        </w:tc>
        <w:tc>
          <w:tcPr>
            <w:tcW w:w="1116" w:type="dxa"/>
            <w:tcBorders>
              <w:top w:val="nil"/>
              <w:left w:val="nil"/>
              <w:bottom w:val="nil"/>
              <w:right w:val="nil"/>
            </w:tcBorders>
          </w:tcPr>
          <w:p w:rsidR="004D6F0E" w:rsidRDefault="00490F21">
            <w:pPr>
              <w:spacing w:after="9" w:line="259" w:lineRule="auto"/>
              <w:ind w:left="0" w:firstLine="0"/>
            </w:pPr>
            <w:r>
              <w:rPr>
                <w:sz w:val="18"/>
              </w:rPr>
              <w:t>派息</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4270" w:type="dxa"/>
            <w:tcBorders>
              <w:top w:val="nil"/>
              <w:left w:val="nil"/>
              <w:bottom w:val="nil"/>
              <w:right w:val="nil"/>
            </w:tcBorders>
          </w:tcPr>
          <w:p w:rsidR="004D6F0E" w:rsidRDefault="00490F21">
            <w:pPr>
              <w:spacing w:after="0" w:line="259" w:lineRule="auto"/>
              <w:ind w:left="0" w:right="1543" w:firstLine="0"/>
            </w:pPr>
            <w:r>
              <w:rPr>
                <w:rFonts w:ascii="Arial" w:eastAsia="Arial" w:hAnsi="Arial" w:cs="Arial"/>
                <w:i/>
                <w:sz w:val="18"/>
              </w:rPr>
              <w:t>A</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S</w:t>
            </w:r>
            <w:r>
              <w:t>、</w:t>
            </w:r>
            <w:r>
              <w:rPr>
                <w:rFonts w:ascii="Arial" w:eastAsia="Arial" w:hAnsi="Arial" w:cs="Arial"/>
                <w:i/>
                <w:sz w:val="18"/>
              </w:rPr>
              <w:t>S1</w:t>
            </w:r>
            <w:r>
              <w:t>及</w:t>
            </w:r>
            <w:r>
              <w:rPr>
                <w:rFonts w:ascii="Arial" w:eastAsia="Arial" w:hAnsi="Arial" w:cs="Arial"/>
                <w:i/>
                <w:sz w:val="18"/>
              </w:rPr>
              <w:t>2</w:t>
            </w:r>
            <w:r>
              <w:t>類股份</w:t>
            </w:r>
            <w:r>
              <w:rPr>
                <w:sz w:val="18"/>
              </w:rPr>
              <w:t>無。</w:t>
            </w:r>
            <w:r>
              <w:rPr>
                <w:rFonts w:ascii="Arial" w:eastAsia="Arial" w:hAnsi="Arial" w:cs="Arial"/>
                <w:sz w:val="18"/>
              </w:rPr>
              <w:t xml:space="preserve"> </w:t>
            </w:r>
          </w:p>
        </w:tc>
      </w:tr>
      <w:tr w:rsidR="004D6F0E">
        <w:trPr>
          <w:trHeight w:val="1364"/>
        </w:trPr>
        <w:tc>
          <w:tcPr>
            <w:tcW w:w="1668" w:type="dxa"/>
            <w:tcBorders>
              <w:top w:val="nil"/>
              <w:left w:val="nil"/>
              <w:bottom w:val="nil"/>
              <w:right w:val="nil"/>
            </w:tcBorders>
          </w:tcPr>
          <w:p w:rsidR="004D6F0E" w:rsidRDefault="00490F21">
            <w:pPr>
              <w:spacing w:after="10" w:line="259" w:lineRule="auto"/>
              <w:ind w:left="0" w:firstLine="0"/>
            </w:pPr>
            <w:r>
              <w:rPr>
                <w:sz w:val="18"/>
              </w:rPr>
              <w:t>資產淨值計算</w:t>
            </w:r>
            <w:r>
              <w:rPr>
                <w:rFonts w:ascii="Arial" w:eastAsia="Arial" w:hAnsi="Arial" w:cs="Arial"/>
                <w:sz w:val="18"/>
              </w:rPr>
              <w:t xml:space="preserve"> </w:t>
            </w:r>
          </w:p>
          <w:p w:rsidR="004D6F0E" w:rsidRDefault="00490F21">
            <w:pPr>
              <w:spacing w:after="147"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540" w:type="dxa"/>
            <w:tcBorders>
              <w:top w:val="nil"/>
              <w:left w:val="nil"/>
              <w:bottom w:val="nil"/>
              <w:right w:val="nil"/>
            </w:tcBorders>
          </w:tcPr>
          <w:p w:rsidR="004D6F0E" w:rsidRDefault="00490F21">
            <w:pPr>
              <w:spacing w:after="379" w:line="259" w:lineRule="auto"/>
              <w:ind w:left="36" w:firstLine="0"/>
            </w:pPr>
            <w:r>
              <w:rPr>
                <w:sz w:val="18"/>
              </w:rPr>
              <w:t>每個營業日</w:t>
            </w:r>
            <w:r>
              <w:rPr>
                <w:rFonts w:ascii="Arial" w:eastAsia="Arial" w:hAnsi="Arial" w:cs="Arial"/>
                <w:sz w:val="18"/>
              </w:rPr>
              <w:t xml:space="preserve"> </w:t>
            </w:r>
          </w:p>
          <w:p w:rsidR="004D6F0E" w:rsidRDefault="00490F21">
            <w:pPr>
              <w:spacing w:after="0" w:line="273" w:lineRule="auto"/>
              <w:ind w:left="36" w:firstLine="0"/>
            </w:pPr>
            <w:r>
              <w:rPr>
                <w:sz w:val="18"/>
              </w:rPr>
              <w:t>投資者應聯絡管理公司以查詢現時的資產淨值</w:t>
            </w:r>
            <w:r>
              <w:rPr>
                <w:rFonts w:ascii="Arial" w:eastAsia="Arial" w:hAnsi="Arial" w:cs="Arial"/>
                <w:sz w:val="18"/>
              </w:rPr>
              <w:t xml:space="preserve"> </w:t>
            </w:r>
          </w:p>
          <w:p w:rsidR="004D6F0E" w:rsidRDefault="00490F21">
            <w:pPr>
              <w:spacing w:after="0" w:line="259" w:lineRule="auto"/>
              <w:ind w:left="36" w:firstLine="0"/>
            </w:pPr>
            <w:r>
              <w:rPr>
                <w:rFonts w:ascii="Arial" w:eastAsia="Arial" w:hAnsi="Arial" w:cs="Arial"/>
                <w:sz w:val="18"/>
              </w:rPr>
              <w:t xml:space="preserve"> </w:t>
            </w:r>
          </w:p>
        </w:tc>
        <w:tc>
          <w:tcPr>
            <w:tcW w:w="492" w:type="dxa"/>
            <w:tcBorders>
              <w:top w:val="nil"/>
              <w:left w:val="nil"/>
              <w:bottom w:val="nil"/>
              <w:right w:val="nil"/>
            </w:tcBorders>
          </w:tcPr>
          <w:p w:rsidR="004D6F0E" w:rsidRDefault="004D6F0E">
            <w:pPr>
              <w:spacing w:after="160" w:line="259" w:lineRule="auto"/>
              <w:ind w:left="0" w:firstLine="0"/>
            </w:pPr>
          </w:p>
        </w:tc>
        <w:tc>
          <w:tcPr>
            <w:tcW w:w="1116" w:type="dxa"/>
            <w:tcBorders>
              <w:top w:val="nil"/>
              <w:left w:val="nil"/>
              <w:bottom w:val="nil"/>
              <w:right w:val="nil"/>
            </w:tcBorders>
          </w:tcPr>
          <w:p w:rsidR="004D6F0E" w:rsidRDefault="004D6F0E">
            <w:pPr>
              <w:spacing w:after="160" w:line="259" w:lineRule="auto"/>
              <w:ind w:left="0" w:firstLine="0"/>
            </w:pPr>
          </w:p>
        </w:tc>
        <w:tc>
          <w:tcPr>
            <w:tcW w:w="4270" w:type="dxa"/>
            <w:tcBorders>
              <w:top w:val="nil"/>
              <w:left w:val="nil"/>
              <w:bottom w:val="nil"/>
              <w:right w:val="nil"/>
            </w:tcBorders>
          </w:tcPr>
          <w:p w:rsidR="004D6F0E" w:rsidRDefault="00490F21">
            <w:pPr>
              <w:spacing w:after="0" w:line="259" w:lineRule="auto"/>
              <w:ind w:left="0" w:firstLine="0"/>
            </w:pPr>
            <w:r>
              <w:rPr>
                <w:rFonts w:ascii="Arial" w:eastAsia="Arial" w:hAnsi="Arial" w:cs="Arial"/>
                <w:i/>
                <w:sz w:val="18"/>
              </w:rPr>
              <w:t xml:space="preserve"> </w:t>
            </w:r>
          </w:p>
          <w:p w:rsidR="004D6F0E" w:rsidRDefault="00490F21">
            <w:pPr>
              <w:spacing w:after="0" w:line="259" w:lineRule="auto"/>
              <w:ind w:left="0" w:firstLine="0"/>
            </w:pPr>
            <w:r>
              <w:rPr>
                <w:rFonts w:ascii="Arial" w:eastAsia="Arial" w:hAnsi="Arial" w:cs="Arial"/>
                <w:i/>
                <w:sz w:val="18"/>
              </w:rPr>
              <w:t>AD</w:t>
            </w:r>
            <w:r>
              <w:t>及</w:t>
            </w:r>
            <w:r>
              <w:rPr>
                <w:rFonts w:ascii="Arial" w:eastAsia="Arial" w:hAnsi="Arial" w:cs="Arial"/>
                <w:i/>
                <w:sz w:val="18"/>
              </w:rPr>
              <w:t>SD</w:t>
            </w:r>
            <w:r>
              <w:t>類股份</w:t>
            </w:r>
            <w:r>
              <w:rPr>
                <w:rFonts w:ascii="Arial" w:eastAsia="Arial" w:hAnsi="Arial" w:cs="Arial"/>
                <w:i/>
                <w:sz w:val="18"/>
              </w:rPr>
              <w:t xml:space="preserve"> </w:t>
            </w:r>
          </w:p>
          <w:p w:rsidR="004D6F0E" w:rsidRDefault="00490F21">
            <w:pPr>
              <w:spacing w:after="10" w:line="259" w:lineRule="auto"/>
              <w:ind w:left="0" w:firstLine="0"/>
            </w:pPr>
            <w:r>
              <w:rPr>
                <w:sz w:val="18"/>
              </w:rPr>
              <w:t>按月宣派及派付</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3" w:line="259" w:lineRule="auto"/>
              <w:ind w:left="0" w:firstLine="0"/>
            </w:pPr>
            <w:r>
              <w:rPr>
                <w:sz w:val="18"/>
              </w:rPr>
              <w:t>見下文「派息」。</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w:t>
            </w:r>
            <w:r>
              <w:rPr>
                <w:sz w:val="18"/>
              </w:rPr>
              <w:t>包括對沖股份類別</w:t>
            </w:r>
            <w:r>
              <w:rPr>
                <w:rFonts w:ascii="Arial" w:eastAsia="Arial" w:hAnsi="Arial" w:cs="Arial"/>
                <w:sz w:val="18"/>
              </w:rPr>
              <w:t xml:space="preserve"> </w:t>
            </w:r>
          </w:p>
        </w:tc>
      </w:tr>
      <w:tr w:rsidR="004D6F0E">
        <w:trPr>
          <w:trHeight w:val="1156"/>
        </w:trPr>
        <w:tc>
          <w:tcPr>
            <w:tcW w:w="1668" w:type="dxa"/>
            <w:tcBorders>
              <w:top w:val="nil"/>
              <w:left w:val="nil"/>
              <w:bottom w:val="nil"/>
              <w:right w:val="nil"/>
            </w:tcBorders>
          </w:tcPr>
          <w:p w:rsidR="004D6F0E" w:rsidRDefault="00490F21">
            <w:pPr>
              <w:spacing w:after="10" w:line="259" w:lineRule="auto"/>
              <w:ind w:left="0" w:firstLine="0"/>
            </w:pPr>
            <w:r>
              <w:rPr>
                <w:sz w:val="18"/>
              </w:rPr>
              <w:t>股份類別名稱</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540" w:type="dxa"/>
            <w:tcBorders>
              <w:top w:val="nil"/>
              <w:left w:val="nil"/>
              <w:bottom w:val="nil"/>
              <w:right w:val="nil"/>
            </w:tcBorders>
          </w:tcPr>
          <w:p w:rsidR="004D6F0E" w:rsidRDefault="00490F21">
            <w:pPr>
              <w:spacing w:after="0" w:line="281" w:lineRule="auto"/>
              <w:ind w:left="36" w:right="168" w:firstLine="0"/>
              <w:jc w:val="both"/>
            </w:pPr>
            <w:r>
              <w:rPr>
                <w:rFonts w:ascii="Arial" w:eastAsia="Arial" w:hAnsi="Arial" w:cs="Arial"/>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w:t>
            </w:r>
            <w:r>
              <w:rPr>
                <w:sz w:val="18"/>
              </w:rPr>
              <w:t>貨幣對沖股份類別」和「風險因素</w:t>
            </w:r>
            <w:r>
              <w:rPr>
                <w:rFonts w:ascii="Arial" w:eastAsia="Arial" w:hAnsi="Arial" w:cs="Arial"/>
                <w:sz w:val="18"/>
              </w:rPr>
              <w:t xml:space="preserve"> </w:t>
            </w:r>
          </w:p>
          <w:p w:rsidR="004D6F0E" w:rsidRDefault="00490F21">
            <w:pPr>
              <w:spacing w:after="7" w:line="259" w:lineRule="auto"/>
              <w:ind w:left="36" w:firstLine="0"/>
            </w:pPr>
            <w:r>
              <w:rPr>
                <w:rFonts w:ascii="Arial" w:eastAsia="Arial" w:hAnsi="Arial" w:cs="Arial"/>
                <w:sz w:val="18"/>
              </w:rPr>
              <w:t xml:space="preserve">– </w:t>
            </w:r>
            <w:r>
              <w:rPr>
                <w:sz w:val="18"/>
              </w:rPr>
              <w:t>貨幣對沖股份類別風險」。</w:t>
            </w:r>
            <w:r>
              <w:rPr>
                <w:rFonts w:ascii="Arial" w:eastAsia="Arial" w:hAnsi="Arial" w:cs="Arial"/>
                <w:sz w:val="18"/>
              </w:rPr>
              <w:t xml:space="preserve"> </w:t>
            </w:r>
          </w:p>
          <w:p w:rsidR="004D6F0E" w:rsidRDefault="00490F21">
            <w:pPr>
              <w:spacing w:after="0" w:line="259" w:lineRule="auto"/>
              <w:ind w:left="36" w:firstLine="0"/>
            </w:pPr>
            <w:r>
              <w:rPr>
                <w:rFonts w:ascii="Arial" w:eastAsia="Arial" w:hAnsi="Arial" w:cs="Arial"/>
                <w:sz w:val="18"/>
              </w:rPr>
              <w:t xml:space="preserve"> </w:t>
            </w:r>
          </w:p>
        </w:tc>
        <w:tc>
          <w:tcPr>
            <w:tcW w:w="492" w:type="dxa"/>
            <w:tcBorders>
              <w:top w:val="nil"/>
              <w:left w:val="nil"/>
              <w:bottom w:val="nil"/>
              <w:right w:val="nil"/>
            </w:tcBorders>
          </w:tcPr>
          <w:p w:rsidR="004D6F0E" w:rsidRDefault="004D6F0E">
            <w:pPr>
              <w:spacing w:after="160" w:line="259" w:lineRule="auto"/>
              <w:ind w:left="0" w:firstLine="0"/>
            </w:pPr>
          </w:p>
        </w:tc>
        <w:tc>
          <w:tcPr>
            <w:tcW w:w="111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贖回</w:t>
            </w:r>
            <w:r>
              <w:rPr>
                <w:rFonts w:ascii="Arial" w:eastAsia="Arial" w:hAnsi="Arial" w:cs="Arial"/>
                <w:sz w:val="18"/>
              </w:rPr>
              <w:t xml:space="preserve"> </w:t>
            </w:r>
          </w:p>
        </w:tc>
        <w:tc>
          <w:tcPr>
            <w:tcW w:w="427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贖回所得款項（贖回價格減去任何適用的或有遞延銷售費）通常由存管人或其代理人於四個營業日內支付。有關贖回的進一步詳情，請參閱第</w:t>
            </w:r>
            <w:r>
              <w:rPr>
                <w:sz w:val="18"/>
              </w:rPr>
              <w:t xml:space="preserve"> </w:t>
            </w:r>
            <w:r>
              <w:rPr>
                <w:rFonts w:ascii="Arial" w:eastAsia="Arial" w:hAnsi="Arial" w:cs="Arial"/>
                <w:sz w:val="18"/>
              </w:rPr>
              <w:t xml:space="preserve">II </w:t>
            </w:r>
            <w:r>
              <w:rPr>
                <w:sz w:val="18"/>
              </w:rPr>
              <w:t>部分的「如何贖回股份」。</w:t>
            </w:r>
            <w:r>
              <w:rPr>
                <w:rFonts w:ascii="Arial" w:eastAsia="Arial" w:hAnsi="Arial" w:cs="Arial"/>
                <w:sz w:val="18"/>
              </w:rPr>
              <w:t xml:space="preserve"> </w:t>
            </w:r>
          </w:p>
        </w:tc>
      </w:tr>
      <w:tr w:rsidR="004D6F0E">
        <w:trPr>
          <w:trHeight w:val="197"/>
        </w:trPr>
        <w:tc>
          <w:tcPr>
            <w:tcW w:w="1668" w:type="dxa"/>
            <w:tcBorders>
              <w:top w:val="nil"/>
              <w:left w:val="nil"/>
              <w:bottom w:val="nil"/>
              <w:right w:val="nil"/>
            </w:tcBorders>
          </w:tcPr>
          <w:p w:rsidR="004D6F0E" w:rsidRDefault="00490F21">
            <w:pPr>
              <w:spacing w:after="0" w:line="259" w:lineRule="auto"/>
              <w:ind w:left="0" w:firstLine="0"/>
            </w:pPr>
            <w:r>
              <w:rPr>
                <w:sz w:val="18"/>
              </w:rPr>
              <w:t>指示截止時間</w:t>
            </w:r>
            <w:r>
              <w:rPr>
                <w:rFonts w:ascii="Arial" w:eastAsia="Arial" w:hAnsi="Arial" w:cs="Arial"/>
                <w:sz w:val="18"/>
              </w:rPr>
              <w:t xml:space="preserve"> </w:t>
            </w:r>
          </w:p>
        </w:tc>
        <w:tc>
          <w:tcPr>
            <w:tcW w:w="3540" w:type="dxa"/>
            <w:tcBorders>
              <w:top w:val="nil"/>
              <w:left w:val="nil"/>
              <w:bottom w:val="nil"/>
              <w:right w:val="nil"/>
            </w:tcBorders>
          </w:tcPr>
          <w:p w:rsidR="004D6F0E" w:rsidRDefault="00490F21">
            <w:pPr>
              <w:spacing w:after="0" w:line="259" w:lineRule="auto"/>
              <w:ind w:left="36" w:firstLine="0"/>
            </w:pPr>
            <w:r>
              <w:rPr>
                <w:sz w:val="18"/>
              </w:rPr>
              <w:t>歐洲中部時間各營業日下午</w:t>
            </w:r>
            <w:r>
              <w:rPr>
                <w:sz w:val="18"/>
              </w:rPr>
              <w:t xml:space="preserve"> </w:t>
            </w:r>
            <w:r>
              <w:rPr>
                <w:rFonts w:ascii="Arial" w:eastAsia="Arial" w:hAnsi="Arial" w:cs="Arial"/>
                <w:sz w:val="18"/>
              </w:rPr>
              <w:t xml:space="preserve">6:00 </w:t>
            </w:r>
          </w:p>
        </w:tc>
        <w:tc>
          <w:tcPr>
            <w:tcW w:w="492" w:type="dxa"/>
            <w:tcBorders>
              <w:top w:val="nil"/>
              <w:left w:val="nil"/>
              <w:bottom w:val="nil"/>
              <w:right w:val="nil"/>
            </w:tcBorders>
          </w:tcPr>
          <w:p w:rsidR="004D6F0E" w:rsidRDefault="004D6F0E">
            <w:pPr>
              <w:spacing w:after="160" w:line="259" w:lineRule="auto"/>
              <w:ind w:left="0" w:firstLine="0"/>
            </w:pPr>
          </w:p>
        </w:tc>
        <w:tc>
          <w:tcPr>
            <w:tcW w:w="1116" w:type="dxa"/>
            <w:tcBorders>
              <w:top w:val="nil"/>
              <w:left w:val="nil"/>
              <w:bottom w:val="nil"/>
              <w:right w:val="nil"/>
            </w:tcBorders>
          </w:tcPr>
          <w:p w:rsidR="004D6F0E" w:rsidRDefault="004D6F0E">
            <w:pPr>
              <w:spacing w:after="160" w:line="259" w:lineRule="auto"/>
              <w:ind w:left="0" w:firstLine="0"/>
            </w:pPr>
          </w:p>
        </w:tc>
        <w:tc>
          <w:tcPr>
            <w:tcW w:w="4270" w:type="dxa"/>
            <w:tcBorders>
              <w:top w:val="nil"/>
              <w:left w:val="nil"/>
              <w:bottom w:val="nil"/>
              <w:right w:val="nil"/>
            </w:tcBorders>
          </w:tcPr>
          <w:p w:rsidR="004D6F0E" w:rsidRDefault="00490F21">
            <w:pPr>
              <w:spacing w:after="0" w:line="259" w:lineRule="auto"/>
              <w:ind w:left="0" w:firstLine="0"/>
            </w:pPr>
            <w:r>
              <w:rPr>
                <w:rFonts w:ascii="Arial" w:eastAsia="Arial" w:hAnsi="Arial" w:cs="Arial"/>
                <w:i/>
                <w:sz w:val="18"/>
              </w:rPr>
              <w:t xml:space="preserve"> </w:t>
            </w:r>
          </w:p>
        </w:tc>
      </w:tr>
    </w:tbl>
    <w:p w:rsidR="004D6F0E" w:rsidRDefault="00490F21">
      <w:pPr>
        <w:spacing w:after="0" w:line="259" w:lineRule="auto"/>
        <w:ind w:left="-7" w:right="-1087" w:firstLine="0"/>
      </w:pPr>
      <w:r>
        <w:rPr>
          <w:rFonts w:ascii="Calibri" w:eastAsia="Calibri" w:hAnsi="Calibri" w:cs="Calibri"/>
          <w:noProof/>
          <w:sz w:val="22"/>
        </w:rPr>
        <mc:AlternateContent>
          <mc:Choice Requires="wpg">
            <w:drawing>
              <wp:inline distT="0" distB="0" distL="0" distR="0">
                <wp:extent cx="7174993" cy="385572"/>
                <wp:effectExtent l="0" t="0" r="0" b="0"/>
                <wp:docPr id="457665" name="Group 457665"/>
                <wp:cNvGraphicFramePr/>
                <a:graphic xmlns:a="http://schemas.openxmlformats.org/drawingml/2006/main">
                  <a:graphicData uri="http://schemas.microsoft.com/office/word/2010/wordprocessingGroup">
                    <wpg:wgp>
                      <wpg:cNvGrpSpPr/>
                      <wpg:grpSpPr>
                        <a:xfrm>
                          <a:off x="0" y="0"/>
                          <a:ext cx="7174993" cy="385572"/>
                          <a:chOff x="0" y="0"/>
                          <a:chExt cx="7174993" cy="385572"/>
                        </a:xfrm>
                      </wpg:grpSpPr>
                      <wps:wsp>
                        <wps:cNvPr id="13710" name="Rectangle 13710"/>
                        <wps:cNvSpPr/>
                        <wps:spPr>
                          <a:xfrm>
                            <a:off x="73152" y="38012"/>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13711" name="Rectangle 13711"/>
                        <wps:cNvSpPr/>
                        <wps:spPr>
                          <a:xfrm>
                            <a:off x="1132332" y="35965"/>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13712" name="Rectangle 13712"/>
                        <wps:cNvSpPr/>
                        <wps:spPr>
                          <a:xfrm>
                            <a:off x="1173480" y="18590"/>
                            <a:ext cx="56348" cy="190518"/>
                          </a:xfrm>
                          <a:prstGeom prst="rect">
                            <a:avLst/>
                          </a:prstGeom>
                          <a:ln>
                            <a:noFill/>
                          </a:ln>
                        </wps:spPr>
                        <wps:txbx>
                          <w:txbxContent>
                            <w:p w:rsidR="004D6F0E" w:rsidRDefault="00490F21">
                              <w:pPr>
                                <w:spacing w:after="160" w:line="259" w:lineRule="auto"/>
                                <w:ind w:left="0" w:firstLine="0"/>
                              </w:pPr>
                              <w:r>
                                <w:rPr>
                                  <w:rFonts w:ascii="Arial" w:eastAsia="Arial" w:hAnsi="Arial" w:cs="Arial"/>
                                  <w:b/>
                                  <w:sz w:val="24"/>
                                </w:rPr>
                                <w:t xml:space="preserve"> </w:t>
                              </w:r>
                            </w:p>
                          </w:txbxContent>
                        </wps:txbx>
                        <wps:bodyPr horzOverflow="overflow" vert="horz" lIns="0" tIns="0" rIns="0" bIns="0" rtlCol="0">
                          <a:noAutofit/>
                        </wps:bodyPr>
                      </wps:wsp>
                      <wps:wsp>
                        <wps:cNvPr id="657951" name="Shape 65795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2" name="Shape 657952"/>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3" name="Shape 657953"/>
                        <wps:cNvSpPr/>
                        <wps:spPr>
                          <a:xfrm>
                            <a:off x="22860" y="0"/>
                            <a:ext cx="1063752" cy="18288"/>
                          </a:xfrm>
                          <a:custGeom>
                            <a:avLst/>
                            <a:gdLst/>
                            <a:ahLst/>
                            <a:cxnLst/>
                            <a:rect l="0" t="0" r="0" b="0"/>
                            <a:pathLst>
                              <a:path w="1063752" h="18288">
                                <a:moveTo>
                                  <a:pt x="0" y="0"/>
                                </a:moveTo>
                                <a:lnTo>
                                  <a:pt x="1063752" y="0"/>
                                </a:lnTo>
                                <a:lnTo>
                                  <a:pt x="10637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4" name="Shape 657954"/>
                        <wps:cNvSpPr/>
                        <wps:spPr>
                          <a:xfrm>
                            <a:off x="10866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5" name="Shape 657955"/>
                        <wps:cNvSpPr/>
                        <wps:spPr>
                          <a:xfrm>
                            <a:off x="1104900" y="0"/>
                            <a:ext cx="2237232" cy="18288"/>
                          </a:xfrm>
                          <a:custGeom>
                            <a:avLst/>
                            <a:gdLst/>
                            <a:ahLst/>
                            <a:cxnLst/>
                            <a:rect l="0" t="0" r="0" b="0"/>
                            <a:pathLst>
                              <a:path w="2237232" h="18288">
                                <a:moveTo>
                                  <a:pt x="0" y="0"/>
                                </a:moveTo>
                                <a:lnTo>
                                  <a:pt x="2237232" y="0"/>
                                </a:lnTo>
                                <a:lnTo>
                                  <a:pt x="22372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6" name="Shape 657956"/>
                        <wps:cNvSpPr/>
                        <wps:spPr>
                          <a:xfrm>
                            <a:off x="334213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7" name="Shape 657957"/>
                        <wps:cNvSpPr/>
                        <wps:spPr>
                          <a:xfrm>
                            <a:off x="3360420" y="0"/>
                            <a:ext cx="263652" cy="18288"/>
                          </a:xfrm>
                          <a:custGeom>
                            <a:avLst/>
                            <a:gdLst/>
                            <a:ahLst/>
                            <a:cxnLst/>
                            <a:rect l="0" t="0" r="0" b="0"/>
                            <a:pathLst>
                              <a:path w="263652" h="18288">
                                <a:moveTo>
                                  <a:pt x="0" y="0"/>
                                </a:moveTo>
                                <a:lnTo>
                                  <a:pt x="263652" y="0"/>
                                </a:lnTo>
                                <a:lnTo>
                                  <a:pt x="2636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8" name="Shape 657958"/>
                        <wps:cNvSpPr/>
                        <wps:spPr>
                          <a:xfrm>
                            <a:off x="36240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59" name="Shape 657959"/>
                        <wps:cNvSpPr/>
                        <wps:spPr>
                          <a:xfrm>
                            <a:off x="3642360" y="0"/>
                            <a:ext cx="690372" cy="18288"/>
                          </a:xfrm>
                          <a:custGeom>
                            <a:avLst/>
                            <a:gdLst/>
                            <a:ahLst/>
                            <a:cxnLst/>
                            <a:rect l="0" t="0" r="0" b="0"/>
                            <a:pathLst>
                              <a:path w="690372" h="18288">
                                <a:moveTo>
                                  <a:pt x="0" y="0"/>
                                </a:moveTo>
                                <a:lnTo>
                                  <a:pt x="690372" y="0"/>
                                </a:lnTo>
                                <a:lnTo>
                                  <a:pt x="6903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60" name="Shape 657960"/>
                        <wps:cNvSpPr/>
                        <wps:spPr>
                          <a:xfrm>
                            <a:off x="433273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61" name="Shape 657961"/>
                        <wps:cNvSpPr/>
                        <wps:spPr>
                          <a:xfrm>
                            <a:off x="4351020" y="0"/>
                            <a:ext cx="2823972" cy="18288"/>
                          </a:xfrm>
                          <a:custGeom>
                            <a:avLst/>
                            <a:gdLst/>
                            <a:ahLst/>
                            <a:cxnLst/>
                            <a:rect l="0" t="0" r="0" b="0"/>
                            <a:pathLst>
                              <a:path w="2823972" h="18288">
                                <a:moveTo>
                                  <a:pt x="0" y="0"/>
                                </a:moveTo>
                                <a:lnTo>
                                  <a:pt x="2823972" y="0"/>
                                </a:lnTo>
                                <a:lnTo>
                                  <a:pt x="2823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5" name="Rectangle 13725"/>
                        <wps:cNvSpPr/>
                        <wps:spPr>
                          <a:xfrm>
                            <a:off x="1830324" y="230034"/>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13726" name="Rectangle 13726"/>
                        <wps:cNvSpPr/>
                        <wps:spPr>
                          <a:xfrm>
                            <a:off x="2432304" y="227989"/>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2</w:t>
                              </w:r>
                            </w:p>
                          </w:txbxContent>
                        </wps:txbx>
                        <wps:bodyPr horzOverflow="overflow" vert="horz" lIns="0" tIns="0" rIns="0" bIns="0" rtlCol="0">
                          <a:noAutofit/>
                        </wps:bodyPr>
                      </wps:wsp>
                      <wps:wsp>
                        <wps:cNvPr id="13727" name="Rectangle 13727"/>
                        <wps:cNvSpPr/>
                        <wps:spPr>
                          <a:xfrm>
                            <a:off x="2473452" y="238349"/>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7964" name="Shape 657964"/>
                        <wps:cNvSpPr/>
                        <wps:spPr>
                          <a:xfrm>
                            <a:off x="1488948" y="373380"/>
                            <a:ext cx="1325880" cy="12192"/>
                          </a:xfrm>
                          <a:custGeom>
                            <a:avLst/>
                            <a:gdLst/>
                            <a:ahLst/>
                            <a:cxnLst/>
                            <a:rect l="0" t="0" r="0" b="0"/>
                            <a:pathLst>
                              <a:path w="1325880" h="12192">
                                <a:moveTo>
                                  <a:pt x="0" y="0"/>
                                </a:moveTo>
                                <a:lnTo>
                                  <a:pt x="1325880" y="0"/>
                                </a:lnTo>
                                <a:lnTo>
                                  <a:pt x="13258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9" name="Rectangle 13729"/>
                        <wps:cNvSpPr/>
                        <wps:spPr>
                          <a:xfrm>
                            <a:off x="3380232" y="230034"/>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13730" name="Rectangle 13730"/>
                        <wps:cNvSpPr/>
                        <wps:spPr>
                          <a:xfrm>
                            <a:off x="3753612" y="227989"/>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13731" name="Rectangle 13731"/>
                        <wps:cNvSpPr/>
                        <wps:spPr>
                          <a:xfrm>
                            <a:off x="3794760" y="229473"/>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7967" name="Shape 657967"/>
                        <wps:cNvSpPr/>
                        <wps:spPr>
                          <a:xfrm>
                            <a:off x="2924556" y="373380"/>
                            <a:ext cx="1325880" cy="12192"/>
                          </a:xfrm>
                          <a:custGeom>
                            <a:avLst/>
                            <a:gdLst/>
                            <a:ahLst/>
                            <a:cxnLst/>
                            <a:rect l="0" t="0" r="0" b="0"/>
                            <a:pathLst>
                              <a:path w="1325880" h="12192">
                                <a:moveTo>
                                  <a:pt x="0" y="0"/>
                                </a:moveTo>
                                <a:lnTo>
                                  <a:pt x="1325880" y="0"/>
                                </a:lnTo>
                                <a:lnTo>
                                  <a:pt x="13258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3" name="Rectangle 13733"/>
                        <wps:cNvSpPr/>
                        <wps:spPr>
                          <a:xfrm>
                            <a:off x="4815840" y="230034"/>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13734" name="Rectangle 13734"/>
                        <wps:cNvSpPr/>
                        <wps:spPr>
                          <a:xfrm>
                            <a:off x="5189220" y="227989"/>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13735" name="Rectangle 13735"/>
                        <wps:cNvSpPr/>
                        <wps:spPr>
                          <a:xfrm>
                            <a:off x="5230368" y="229473"/>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7970" name="Shape 657970"/>
                        <wps:cNvSpPr/>
                        <wps:spPr>
                          <a:xfrm>
                            <a:off x="4360164" y="373380"/>
                            <a:ext cx="1325880" cy="12192"/>
                          </a:xfrm>
                          <a:custGeom>
                            <a:avLst/>
                            <a:gdLst/>
                            <a:ahLst/>
                            <a:cxnLst/>
                            <a:rect l="0" t="0" r="0" b="0"/>
                            <a:pathLst>
                              <a:path w="1325880" h="12192">
                                <a:moveTo>
                                  <a:pt x="0" y="0"/>
                                </a:moveTo>
                                <a:lnTo>
                                  <a:pt x="1325880" y="0"/>
                                </a:lnTo>
                                <a:lnTo>
                                  <a:pt x="13258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7" name="Rectangle 13737"/>
                        <wps:cNvSpPr/>
                        <wps:spPr>
                          <a:xfrm>
                            <a:off x="6021324" y="230034"/>
                            <a:ext cx="1064133"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13738" name="Rectangle 13738"/>
                        <wps:cNvSpPr/>
                        <wps:spPr>
                          <a:xfrm>
                            <a:off x="6851904" y="227989"/>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13739" name="Rectangle 13739"/>
                        <wps:cNvSpPr/>
                        <wps:spPr>
                          <a:xfrm>
                            <a:off x="6893052" y="229473"/>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7973" name="Shape 657973"/>
                        <wps:cNvSpPr/>
                        <wps:spPr>
                          <a:xfrm>
                            <a:off x="5794249" y="373380"/>
                            <a:ext cx="1325880" cy="12192"/>
                          </a:xfrm>
                          <a:custGeom>
                            <a:avLst/>
                            <a:gdLst/>
                            <a:ahLst/>
                            <a:cxnLst/>
                            <a:rect l="0" t="0" r="0" b="0"/>
                            <a:pathLst>
                              <a:path w="1325880" h="12192">
                                <a:moveTo>
                                  <a:pt x="0" y="0"/>
                                </a:moveTo>
                                <a:lnTo>
                                  <a:pt x="1325880" y="0"/>
                                </a:lnTo>
                                <a:lnTo>
                                  <a:pt x="132588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57665" o:spid="_x0000_s1127" style="width:564.95pt;height:30.35pt;mso-position-horizontal-relative:char;mso-position-vertical-relative:line" coordsize="71749,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">
                <v:rect id="Rectangle 13710" o:spid="_x0000_s1128" style="position:absolute;left:731;top:380;width:1370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6E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v48GAiA4MoOe3QAAAP//AwBQSwECLQAUAAYACAAAACEA2+H2y+4AAACFAQAAEwAAAAAA&#10;AAAAAAAAAAAAAAAAW0NvbnRlbnRfVHlwZXNdLnhtbFBLAQItABQABgAIAAAAIQBa9CxbvwAAABUB&#10;AAALAAAAAAAAAAAAAAAAAB8BAABfcmVscy8ucmVsc1BLAQItABQABgAIAAAAIQBoMJ6EyAAAAN4A&#10;AAAPAAAAAAAAAAAAAAAAAAcCAABkcnMvZG93bnJldi54bWxQSwUGAAAAAAMAAwC3AAAA/AI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13711" o:spid="_x0000_s1129" style="position:absolute;left:11323;top:359;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13712" o:spid="_x0000_s1130" style="position:absolute;left:11734;top:18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VoxAAAAN4AAAAPAAAAZHJzL2Rvd25yZXYueG1sRE9Li8Iw&#10;EL4L+x/CLHjTVAU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PeupWj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24"/>
                          </w:rPr>
                          <w:t xml:space="preserve"> </w:t>
                        </w:r>
                      </w:p>
                    </w:txbxContent>
                  </v:textbox>
                </v:rect>
                <v:shape id="Shape 657951" o:spid="_x0000_s1131"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" path="m,l9144,r,18288l,18288,,e" fillcolor="black" stroked="f" strokeweight="0">
                  <v:stroke miterlimit="83231f" joinstyle="miter"/>
                  <v:path arrowok="t" textboxrect="0,0,9144,18288"/>
                </v:shape>
                <v:shape id="Shape 657952" o:spid="_x0000_s1132" style="position:absolute;left: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" path="m,l18288,r,18288l,18288,,e" fillcolor="black" stroked="f" strokeweight="0">
                  <v:stroke miterlimit="83231f" joinstyle="miter"/>
                  <v:path arrowok="t" textboxrect="0,0,18288,18288"/>
                </v:shape>
                <v:shape id="Shape 657953" o:spid="_x0000_s1133" style="position:absolute;left:228;width:10638;height:182;visibility:visible;mso-wrap-style:square;v-text-anchor:top" coordsize="10637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" path="m,l1063752,r,18288l,18288,,e" fillcolor="black" stroked="f" strokeweight="0">
                  <v:stroke miterlimit="83231f" joinstyle="miter"/>
                  <v:path arrowok="t" textboxrect="0,0,1063752,18288"/>
                </v:shape>
                <v:shape id="Shape 657954" o:spid="_x0000_s1134" style="position:absolute;left:1086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" path="m,l18288,r,18288l,18288,,e" fillcolor="black" stroked="f" strokeweight="0">
                  <v:stroke miterlimit="83231f" joinstyle="miter"/>
                  <v:path arrowok="t" textboxrect="0,0,18288,18288"/>
                </v:shape>
                <v:shape id="Shape 657955" o:spid="_x0000_s1135" style="position:absolute;left:11049;width:22372;height:182;visibility:visible;mso-wrap-style:square;v-text-anchor:top" coordsize="22372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" path="m,l2237232,r,18288l,18288,,e" fillcolor="black" stroked="f" strokeweight="0">
                  <v:stroke miterlimit="83231f" joinstyle="miter"/>
                  <v:path arrowok="t" textboxrect="0,0,2237232,18288"/>
                </v:shape>
                <v:shape id="Shape 657956" o:spid="_x0000_s1136" style="position:absolute;left:3342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" path="m,l18288,r,18288l,18288,,e" fillcolor="black" stroked="f" strokeweight="0">
                  <v:stroke miterlimit="83231f" joinstyle="miter"/>
                  <v:path arrowok="t" textboxrect="0,0,18288,18288"/>
                </v:shape>
                <v:shape id="Shape 657957" o:spid="_x0000_s1137" style="position:absolute;left:33604;width:2636;height:182;visibility:visible;mso-wrap-style:square;v-text-anchor:top" coordsize="2636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" path="m,l263652,r,18288l,18288,,e" fillcolor="black" stroked="f" strokeweight="0">
                  <v:stroke miterlimit="83231f" joinstyle="miter"/>
                  <v:path arrowok="t" textboxrect="0,0,263652,18288"/>
                </v:shape>
                <v:shape id="Shape 657958" o:spid="_x0000_s1138" style="position:absolute;left:3624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" path="m,l18288,r,18288l,18288,,e" fillcolor="black" stroked="f" strokeweight="0">
                  <v:stroke miterlimit="83231f" joinstyle="miter"/>
                  <v:path arrowok="t" textboxrect="0,0,18288,18288"/>
                </v:shape>
                <v:shape id="Shape 657959" o:spid="_x0000_s1139" style="position:absolute;left:36423;width:6904;height:182;visibility:visible;mso-wrap-style:square;v-text-anchor:top" coordsize="6903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" path="m,l690372,r,18288l,18288,,e" fillcolor="black" stroked="f" strokeweight="0">
                  <v:stroke miterlimit="83231f" joinstyle="miter"/>
                  <v:path arrowok="t" textboxrect="0,0,690372,18288"/>
                </v:shape>
                <v:shape id="Shape 657960" o:spid="_x0000_s1140" style="position:absolute;left:4332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" path="m,l18288,r,18288l,18288,,e" fillcolor="black" stroked="f" strokeweight="0">
                  <v:stroke miterlimit="83231f" joinstyle="miter"/>
                  <v:path arrowok="t" textboxrect="0,0,18288,18288"/>
                </v:shape>
                <v:shape id="Shape 657961" o:spid="_x0000_s1141" style="position:absolute;left:43510;width:28239;height:182;visibility:visible;mso-wrap-style:square;v-text-anchor:top" coordsize="28239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" path="m,l2823972,r,18288l,18288,,e" fillcolor="black" stroked="f" strokeweight="0">
                  <v:stroke miterlimit="83231f" joinstyle="miter"/>
                  <v:path arrowok="t" textboxrect="0,0,2823972,18288"/>
                </v:shape>
                <v:rect id="Rectangle 13725" o:spid="_x0000_s1142" style="position:absolute;left:18303;top:2300;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首次銷售費</w:t>
                        </w:r>
                      </w:p>
                    </w:txbxContent>
                  </v:textbox>
                </v:rect>
                <v:rect id="Rectangle 13726" o:spid="_x0000_s1143" style="position:absolute;left:24323;top:2279;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2</w:t>
                        </w:r>
                      </w:p>
                    </w:txbxContent>
                  </v:textbox>
                </v:rect>
                <v:rect id="Rectangle 13727" o:spid="_x0000_s1144" style="position:absolute;left:24734;top:2383;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7964" o:spid="_x0000_s1145" style="position:absolute;left:14889;top:3733;width:13259;height:122;visibility:visible;mso-wrap-style:square;v-text-anchor:top" coordsize="13258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" path="m,l1325880,r,12192l,12192,,e" fillcolor="black" stroked="f" strokeweight="0">
                  <v:stroke miterlimit="83231f" joinstyle="miter"/>
                  <v:path arrowok="t" textboxrect="0,0,1325880,12192"/>
                </v:shape>
                <v:rect id="Rectangle 13729" o:spid="_x0000_s1146" style="position:absolute;left:33802;top:2300;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" filled="f" stroked="f">
                  <v:textbox inset="0,0,0,0">
                    <w:txbxContent>
                      <w:p w:rsidR="004D6F0E" w:rsidRDefault="00490F21">
                        <w:pPr>
                          <w:spacing w:after="160" w:line="259" w:lineRule="auto"/>
                          <w:ind w:left="0" w:firstLine="0"/>
                        </w:pPr>
                        <w:r>
                          <w:rPr>
                            <w:sz w:val="18"/>
                          </w:rPr>
                          <w:t>管理費</w:t>
                        </w:r>
                      </w:p>
                    </w:txbxContent>
                  </v:textbox>
                </v:rect>
                <v:rect id="Rectangle 13730" o:spid="_x0000_s1147" style="position:absolute;left:37536;top:2279;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13731" o:spid="_x0000_s1148" style="position:absolute;left:37947;top:2294;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7967" o:spid="_x0000_s1149" style="position:absolute;left:29245;top:3733;width:13259;height:122;visibility:visible;mso-wrap-style:square;v-text-anchor:top" coordsize="13258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" path="m,l1325880,r,12192l,12192,,e" fillcolor="black" stroked="f" strokeweight="0">
                  <v:stroke miterlimit="83231f" joinstyle="miter"/>
                  <v:path arrowok="t" textboxrect="0,0,1325880,12192"/>
                </v:shape>
                <v:rect id="Rectangle 13733" o:spid="_x0000_s1150" style="position:absolute;left:48158;top:2300;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" filled="f" stroked="f">
                  <v:textbox inset="0,0,0,0">
                    <w:txbxContent>
                      <w:p w:rsidR="004D6F0E" w:rsidRDefault="00490F21">
                        <w:pPr>
                          <w:spacing w:after="160" w:line="259" w:lineRule="auto"/>
                          <w:ind w:left="0" w:firstLine="0"/>
                        </w:pPr>
                        <w:r>
                          <w:rPr>
                            <w:sz w:val="18"/>
                          </w:rPr>
                          <w:t>分銷費</w:t>
                        </w:r>
                      </w:p>
                    </w:txbxContent>
                  </v:textbox>
                </v:rect>
                <v:rect id="Rectangle 13734" o:spid="_x0000_s1151" style="position:absolute;left:51892;top:2279;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TnxQAAAN4AAAAPAAAAZHJzL2Rvd25yZXYueG1sRE9La8JA&#10;EL4L/odlBG+6UYu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BcvsTn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13735" o:spid="_x0000_s1152" style="position:absolute;left:52303;top:2294;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mF8xQAAAN4AAAAPAAAAZHJzL2Rvd25yZXYueG1sRE9La8JA&#10;EL4L/odlBG+6Uam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Az8mF8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7970" o:spid="_x0000_s1153" style="position:absolute;left:43601;top:3733;width:13259;height:122;visibility:visible;mso-wrap-style:square;v-text-anchor:top" coordsize="13258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" path="m,l1325880,r,12192l,12192,,e" fillcolor="black" stroked="f" strokeweight="0">
                  <v:stroke miterlimit="83231f" joinstyle="miter"/>
                  <v:path arrowok="t" textboxrect="0,0,1325880,12192"/>
                </v:shape>
                <v:rect id="Rectangle 13737" o:spid="_x0000_s1154" style="position:absolute;left:60213;top:2300;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" filled="f" stroked="f">
                  <v:textbox inset="0,0,0,0">
                    <w:txbxContent>
                      <w:p w:rsidR="004D6F0E" w:rsidRDefault="00490F21">
                        <w:pPr>
                          <w:spacing w:after="160" w:line="259" w:lineRule="auto"/>
                          <w:ind w:left="0" w:firstLine="0"/>
                        </w:pPr>
                        <w:r>
                          <w:rPr>
                            <w:sz w:val="18"/>
                          </w:rPr>
                          <w:t>或有遞延銷售費</w:t>
                        </w:r>
                      </w:p>
                    </w:txbxContent>
                  </v:textbox>
                </v:rect>
                <v:rect id="Rectangle 13738" o:spid="_x0000_s1155" style="position:absolute;left:68519;top:2279;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13739" o:spid="_x0000_s1156" style="position:absolute;left:68930;top:2294;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7973" o:spid="_x0000_s1157" style="position:absolute;left:57942;top:3733;width:13259;height:122;visibility:visible;mso-wrap-style:square;v-text-anchor:top" coordsize="132588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" path="m,l1325880,r,12192l,12192,,e" fillcolor="black" stroked="f" strokeweight="0">
                  <v:stroke miterlimit="83231f" joinstyle="miter"/>
                  <v:path arrowok="t" textboxrect="0,0,1325880,12192"/>
                </v:shape>
                <w10:anchorlock/>
              </v:group>
            </w:pict>
          </mc:Fallback>
        </mc:AlternateConten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6"/>
        </w:rPr>
        <w:t xml:space="preserve"> </w:t>
      </w:r>
      <w:r>
        <w:br w:type="page"/>
      </w:r>
    </w:p>
    <w:p w:rsidR="004D6F0E" w:rsidRDefault="00490F21">
      <w:pPr>
        <w:spacing w:after="0" w:line="259" w:lineRule="auto"/>
        <w:ind w:left="933" w:firstLine="0"/>
        <w:jc w:val="center"/>
      </w:pPr>
      <w:r>
        <w:rPr>
          <w:rFonts w:ascii="Times New Roman" w:eastAsia="Times New Roman" w:hAnsi="Times New Roman" w:cs="Times New Roman"/>
          <w:sz w:val="20"/>
        </w:rPr>
        <w:lastRenderedPageBreak/>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1206" w:type="dxa"/>
        <w:tblInd w:w="-7" w:type="dxa"/>
        <w:tblCellMar>
          <w:top w:w="24" w:type="dxa"/>
          <w:left w:w="0" w:type="dxa"/>
          <w:bottom w:w="0" w:type="dxa"/>
          <w:right w:w="195" w:type="dxa"/>
        </w:tblCellMar>
        <w:tblLook w:val="04A0" w:firstRow="1" w:lastRow="0" w:firstColumn="1" w:lastColumn="0" w:noHBand="0" w:noVBand="1"/>
      </w:tblPr>
      <w:tblGrid>
        <w:gridCol w:w="2843"/>
        <w:gridCol w:w="2551"/>
        <w:gridCol w:w="2426"/>
        <w:gridCol w:w="1579"/>
        <w:gridCol w:w="1807"/>
      </w:tblGrid>
      <w:tr w:rsidR="004D6F0E">
        <w:trPr>
          <w:trHeight w:val="238"/>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D6F0E">
            <w:pPr>
              <w:spacing w:after="160" w:line="259" w:lineRule="auto"/>
              <w:ind w:left="0" w:firstLine="0"/>
            </w:pPr>
          </w:p>
        </w:tc>
        <w:tc>
          <w:tcPr>
            <w:tcW w:w="2426"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64"/>
        </w:trPr>
        <w:tc>
          <w:tcPr>
            <w:tcW w:w="2842"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55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1.95% </w:t>
            </w:r>
          </w:p>
        </w:tc>
        <w:tc>
          <w:tcPr>
            <w:tcW w:w="1579"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 xml:space="preserve">6 </w:t>
            </w:r>
          </w:p>
        </w:tc>
        <w:tc>
          <w:tcPr>
            <w:tcW w:w="255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4"/>
        </w:trPr>
        <w:tc>
          <w:tcPr>
            <w:tcW w:w="2842" w:type="dxa"/>
            <w:tcBorders>
              <w:top w:val="nil"/>
              <w:left w:val="nil"/>
              <w:bottom w:val="nil"/>
              <w:right w:val="nil"/>
            </w:tcBorders>
          </w:tcPr>
          <w:p w:rsidR="004D6F0E" w:rsidRDefault="00490F21">
            <w:pPr>
              <w:spacing w:after="26"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b/>
                <w:sz w:val="18"/>
              </w:rPr>
              <w:t xml:space="preserve"> </w:t>
            </w:r>
            <w:r>
              <w:rPr>
                <w:rFonts w:ascii="Arial" w:eastAsia="Arial" w:hAnsi="Arial" w:cs="Arial"/>
                <w:b/>
                <w:sz w:val="18"/>
              </w:rPr>
              <w:tab/>
              <w:t xml:space="preserve"> </w:t>
            </w:r>
          </w:p>
        </w:tc>
        <w:tc>
          <w:tcPr>
            <w:tcW w:w="2551" w:type="dxa"/>
            <w:tcBorders>
              <w:top w:val="nil"/>
              <w:left w:val="nil"/>
              <w:bottom w:val="nil"/>
              <w:right w:val="nil"/>
            </w:tcBorders>
          </w:tcPr>
          <w:p w:rsidR="004D6F0E" w:rsidRDefault="00490F21">
            <w:pPr>
              <w:spacing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279" w:firstLine="0"/>
              <w:jc w:val="center"/>
            </w:pPr>
            <w:r>
              <w:rPr>
                <w:rFonts w:ascii="Arial" w:eastAsia="Arial" w:hAnsi="Arial" w:cs="Arial"/>
                <w:b/>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0.65% </w:t>
            </w:r>
          </w:p>
          <w:p w:rsidR="004D6F0E" w:rsidRDefault="00490F21">
            <w:pPr>
              <w:spacing w:after="0" w:line="259" w:lineRule="auto"/>
              <w:ind w:left="823" w:firstLine="0"/>
              <w:jc w:val="center"/>
            </w:pPr>
            <w:r>
              <w:rPr>
                <w:rFonts w:ascii="Arial" w:eastAsia="Arial" w:hAnsi="Arial" w:cs="Arial"/>
                <w:b/>
                <w:sz w:val="18"/>
              </w:rPr>
              <w:t xml:space="preserve"> </w:t>
            </w:r>
          </w:p>
        </w:tc>
        <w:tc>
          <w:tcPr>
            <w:tcW w:w="1579" w:type="dxa"/>
            <w:tcBorders>
              <w:top w:val="nil"/>
              <w:left w:val="nil"/>
              <w:bottom w:val="nil"/>
              <w:right w:val="nil"/>
            </w:tcBorders>
          </w:tcPr>
          <w:p w:rsidR="004D6F0E" w:rsidRDefault="00490F21">
            <w:pPr>
              <w:spacing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b/>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tabs>
                <w:tab w:val="center" w:pos="2374"/>
              </w:tabs>
              <w:spacing w:after="0" w:line="259" w:lineRule="auto"/>
              <w:ind w:left="0" w:firstLine="0"/>
            </w:pPr>
            <w:r>
              <w:rPr>
                <w:sz w:val="18"/>
              </w:rPr>
              <w:t>美元對沖股份類別</w:t>
            </w:r>
            <w:r>
              <w:rPr>
                <w:rFonts w:ascii="Arial" w:eastAsia="Arial" w:hAnsi="Arial" w:cs="Arial"/>
                <w:b/>
                <w:sz w:val="18"/>
              </w:rPr>
              <w:t xml:space="preserve"> </w:t>
            </w:r>
            <w:r>
              <w:rPr>
                <w:rFonts w:ascii="Arial" w:eastAsia="Arial" w:hAnsi="Arial" w:cs="Arial"/>
                <w:b/>
                <w:sz w:val="18"/>
              </w:rPr>
              <w:tab/>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1279" w:firstLine="0"/>
              <w:jc w:val="center"/>
            </w:pPr>
            <w:r>
              <w:rPr>
                <w:rFonts w:ascii="Arial" w:eastAsia="Arial" w:hAnsi="Arial" w:cs="Arial"/>
                <w:b/>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823" w:firstLine="0"/>
              <w:jc w:val="center"/>
            </w:pPr>
            <w:r>
              <w:rPr>
                <w:rFonts w:ascii="Arial" w:eastAsia="Arial" w:hAnsi="Arial" w:cs="Arial"/>
                <w:b/>
                <w:sz w:val="18"/>
              </w:rPr>
              <w:t xml:space="preserve"> </w:t>
            </w:r>
          </w:p>
        </w:tc>
        <w:tc>
          <w:tcPr>
            <w:tcW w:w="157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842" w:type="dxa"/>
            <w:tcBorders>
              <w:top w:val="nil"/>
              <w:left w:val="nil"/>
              <w:bottom w:val="nil"/>
              <w:right w:val="nil"/>
            </w:tcBorders>
            <w:shd w:val="clear" w:color="auto" w:fill="FFFFFF"/>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b/>
                <w:sz w:val="18"/>
              </w:rPr>
              <w:t xml:space="preserve"> </w:t>
            </w:r>
          </w:p>
        </w:tc>
        <w:tc>
          <w:tcPr>
            <w:tcW w:w="2551" w:type="dxa"/>
            <w:tcBorders>
              <w:top w:val="nil"/>
              <w:left w:val="nil"/>
              <w:bottom w:val="nil"/>
              <w:right w:val="nil"/>
            </w:tcBorders>
            <w:shd w:val="clear" w:color="auto" w:fill="FFFFFF"/>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b/>
                <w:sz w:val="18"/>
              </w:rPr>
              <w:t xml:space="preserve"> </w:t>
            </w:r>
          </w:p>
        </w:tc>
        <w:tc>
          <w:tcPr>
            <w:tcW w:w="2426" w:type="dxa"/>
            <w:tcBorders>
              <w:top w:val="nil"/>
              <w:left w:val="nil"/>
              <w:bottom w:val="nil"/>
              <w:right w:val="nil"/>
            </w:tcBorders>
            <w:shd w:val="clear" w:color="auto" w:fill="FFFFFF"/>
          </w:tcPr>
          <w:p w:rsidR="004D6F0E" w:rsidRDefault="00490F21">
            <w:pPr>
              <w:spacing w:after="0" w:line="259" w:lineRule="auto"/>
              <w:ind w:left="0" w:firstLine="0"/>
            </w:pPr>
            <w:r>
              <w:rPr>
                <w:rFonts w:ascii="Arial" w:eastAsia="Arial" w:hAnsi="Arial" w:cs="Arial"/>
                <w:sz w:val="18"/>
              </w:rPr>
              <w:t>1.50%</w:t>
            </w:r>
            <w:r>
              <w:rPr>
                <w:rFonts w:ascii="Arial" w:eastAsia="Arial" w:hAnsi="Arial" w:cs="Arial"/>
                <w:b/>
                <w:sz w:val="18"/>
              </w:rPr>
              <w:t xml:space="preserve"> </w:t>
            </w:r>
          </w:p>
        </w:tc>
        <w:tc>
          <w:tcPr>
            <w:tcW w:w="1579" w:type="dxa"/>
            <w:tcBorders>
              <w:top w:val="nil"/>
              <w:left w:val="nil"/>
              <w:bottom w:val="nil"/>
              <w:right w:val="nil"/>
            </w:tcBorders>
            <w:shd w:val="clear" w:color="auto" w:fill="FFFFFF"/>
          </w:tcPr>
          <w:p w:rsidR="004D6F0E" w:rsidRDefault="00490F21">
            <w:pPr>
              <w:spacing w:after="0" w:line="259" w:lineRule="auto"/>
              <w:ind w:left="0" w:firstLine="0"/>
            </w:pPr>
            <w:r>
              <w:rPr>
                <w:sz w:val="18"/>
              </w:rPr>
              <w:t>無</w:t>
            </w:r>
            <w:r>
              <w:rPr>
                <w:rFonts w:ascii="Arial" w:eastAsia="Arial" w:hAnsi="Arial" w:cs="Arial"/>
                <w:b/>
                <w:sz w:val="18"/>
              </w:rPr>
              <w:t xml:space="preserve"> </w:t>
            </w:r>
          </w:p>
        </w:tc>
        <w:tc>
          <w:tcPr>
            <w:tcW w:w="1807" w:type="dxa"/>
            <w:tcBorders>
              <w:top w:val="nil"/>
              <w:left w:val="nil"/>
              <w:bottom w:val="nil"/>
              <w:right w:val="nil"/>
            </w:tcBorders>
            <w:shd w:val="clear" w:color="auto" w:fill="FFFFFF"/>
          </w:tcPr>
          <w:p w:rsidR="004D6F0E" w:rsidRDefault="00490F21">
            <w:pPr>
              <w:spacing w:after="0" w:line="259" w:lineRule="auto"/>
              <w:ind w:left="634" w:firstLine="0"/>
            </w:pPr>
            <w:r>
              <w:rPr>
                <w:sz w:val="18"/>
              </w:rPr>
              <w:t>無</w:t>
            </w:r>
            <w:r>
              <w:rPr>
                <w:rFonts w:ascii="Arial" w:eastAsia="Arial" w:hAnsi="Arial" w:cs="Arial"/>
                <w:b/>
                <w:sz w:val="18"/>
              </w:rPr>
              <w:t xml:space="preserve"> </w:t>
            </w:r>
          </w:p>
        </w:tc>
      </w:tr>
      <w:tr w:rsidR="004D6F0E">
        <w:trPr>
          <w:trHeight w:val="241"/>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7</w:t>
            </w:r>
            <w:r>
              <w:rPr>
                <w:rFonts w:ascii="Arial" w:eastAsia="Arial" w:hAnsi="Arial" w:cs="Arial"/>
                <w:b/>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1.50%</w:t>
            </w:r>
            <w:r>
              <w:rPr>
                <w:rFonts w:ascii="Arial" w:eastAsia="Arial" w:hAnsi="Arial" w:cs="Arial"/>
                <w:b/>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0.70%</w:t>
            </w:r>
            <w:r>
              <w:rPr>
                <w:rFonts w:ascii="Arial" w:eastAsia="Arial" w:hAnsi="Arial" w:cs="Arial"/>
                <w:b/>
                <w:sz w:val="18"/>
              </w:rPr>
              <w:t xml:space="preserve">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b/>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b/>
                <w:sz w:val="18"/>
              </w:rPr>
              <w:t xml:space="preserve"> </w:t>
            </w:r>
          </w:p>
        </w:tc>
      </w:tr>
      <w:tr w:rsidR="004D6F0E">
        <w:trPr>
          <w:trHeight w:val="23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 xml:space="preserve">6 </w:t>
            </w:r>
          </w:p>
        </w:tc>
        <w:tc>
          <w:tcPr>
            <w:tcW w:w="255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4"/>
        </w:trPr>
        <w:tc>
          <w:tcPr>
            <w:tcW w:w="2842"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51"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279" w:firstLine="0"/>
              <w:jc w:val="center"/>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0.65% </w:t>
            </w:r>
          </w:p>
          <w:p w:rsidR="004D6F0E" w:rsidRDefault="00490F21">
            <w:pPr>
              <w:spacing w:after="0" w:line="259" w:lineRule="auto"/>
              <w:ind w:left="823" w:firstLine="0"/>
              <w:jc w:val="center"/>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b/>
                <w:sz w:val="18"/>
              </w:rPr>
              <w:t xml:space="preserve"> </w:t>
            </w:r>
          </w:p>
        </w:tc>
        <w:tc>
          <w:tcPr>
            <w:tcW w:w="2551" w:type="dxa"/>
            <w:tcBorders>
              <w:top w:val="nil"/>
              <w:left w:val="nil"/>
              <w:bottom w:val="nil"/>
              <w:right w:val="nil"/>
            </w:tcBorders>
            <w:shd w:val="clear" w:color="auto" w:fill="D9D9D9"/>
          </w:tcPr>
          <w:p w:rsidR="004D6F0E" w:rsidRDefault="004D6F0E">
            <w:pPr>
              <w:spacing w:after="160" w:line="259" w:lineRule="auto"/>
              <w:ind w:left="0" w:firstLine="0"/>
            </w:pPr>
          </w:p>
        </w:tc>
        <w:tc>
          <w:tcPr>
            <w:tcW w:w="2426"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vertAlign w:val="superscript"/>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9"/>
        </w:trPr>
        <w:tc>
          <w:tcPr>
            <w:tcW w:w="284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p w:rsidR="004D6F0E" w:rsidRDefault="00490F21">
            <w:pPr>
              <w:spacing w:after="0" w:line="259" w:lineRule="auto"/>
              <w:ind w:left="257" w:firstLine="0"/>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b/>
                <w:sz w:val="18"/>
              </w:rPr>
              <w:t xml:space="preserve"> </w:t>
            </w:r>
          </w:p>
        </w:tc>
        <w:tc>
          <w:tcPr>
            <w:tcW w:w="2551" w:type="dxa"/>
            <w:tcBorders>
              <w:top w:val="nil"/>
              <w:left w:val="nil"/>
              <w:bottom w:val="nil"/>
              <w:right w:val="nil"/>
            </w:tcBorders>
            <w:shd w:val="clear" w:color="auto" w:fill="D9D9D9"/>
          </w:tcPr>
          <w:p w:rsidR="004D6F0E" w:rsidRDefault="004D6F0E">
            <w:pPr>
              <w:spacing w:after="160" w:line="259" w:lineRule="auto"/>
              <w:ind w:left="0" w:firstLine="0"/>
            </w:pPr>
          </w:p>
        </w:tc>
        <w:tc>
          <w:tcPr>
            <w:tcW w:w="2426"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7"/>
        </w:trPr>
        <w:tc>
          <w:tcPr>
            <w:tcW w:w="2842"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51"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279" w:firstLine="0"/>
              <w:jc w:val="center"/>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p w:rsidR="004D6F0E" w:rsidRDefault="00490F21">
            <w:pPr>
              <w:spacing w:after="0" w:line="259" w:lineRule="auto"/>
              <w:ind w:left="823" w:firstLine="0"/>
              <w:jc w:val="center"/>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b/>
                <w:sz w:val="18"/>
              </w:rPr>
              <w:t xml:space="preserve"> </w:t>
            </w:r>
          </w:p>
        </w:tc>
        <w:tc>
          <w:tcPr>
            <w:tcW w:w="2551" w:type="dxa"/>
            <w:tcBorders>
              <w:top w:val="nil"/>
              <w:left w:val="nil"/>
              <w:bottom w:val="nil"/>
              <w:right w:val="nil"/>
            </w:tcBorders>
            <w:shd w:val="clear" w:color="auto" w:fill="D9D9D9"/>
          </w:tcPr>
          <w:p w:rsidR="004D6F0E" w:rsidRDefault="004D6F0E">
            <w:pPr>
              <w:spacing w:after="160" w:line="259" w:lineRule="auto"/>
              <w:ind w:left="0" w:firstLine="0"/>
            </w:pPr>
          </w:p>
        </w:tc>
        <w:tc>
          <w:tcPr>
            <w:tcW w:w="2426"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2"/>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tc>
        <w:tc>
          <w:tcPr>
            <w:tcW w:w="157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0"/>
        </w:trPr>
        <w:tc>
          <w:tcPr>
            <w:tcW w:w="2842" w:type="dxa"/>
            <w:tcBorders>
              <w:top w:val="nil"/>
              <w:left w:val="nil"/>
              <w:bottom w:val="nil"/>
              <w:right w:val="nil"/>
            </w:tcBorders>
          </w:tcPr>
          <w:p w:rsidR="004D6F0E" w:rsidRDefault="00490F21">
            <w:pPr>
              <w:spacing w:after="42"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17"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279" w:firstLine="0"/>
              <w:jc w:val="center"/>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0.70% </w:t>
            </w:r>
          </w:p>
          <w:p w:rsidR="004D6F0E" w:rsidRDefault="00490F21">
            <w:pPr>
              <w:spacing w:after="0" w:line="259" w:lineRule="auto"/>
              <w:ind w:left="823" w:firstLine="0"/>
              <w:jc w:val="center"/>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12"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8"/>
        </w:trPr>
        <w:tc>
          <w:tcPr>
            <w:tcW w:w="2842" w:type="dxa"/>
            <w:tcBorders>
              <w:top w:val="nil"/>
              <w:left w:val="nil"/>
              <w:bottom w:val="nil"/>
              <w:right w:val="nil"/>
            </w:tcBorders>
            <w:shd w:val="clear" w:color="auto" w:fill="D9D9D9"/>
          </w:tcPr>
          <w:p w:rsidR="004D6F0E" w:rsidRDefault="00490F21">
            <w:pPr>
              <w:tabs>
                <w:tab w:val="center" w:pos="2374"/>
              </w:tabs>
              <w:spacing w:after="0" w:line="259" w:lineRule="auto"/>
              <w:ind w:left="0" w:firstLine="0"/>
            </w:pPr>
            <w:r>
              <w:rPr>
                <w:sz w:val="18"/>
              </w:rPr>
              <w:t>南非蘭特對沖股份類別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1279" w:firstLine="0"/>
              <w:jc w:val="center"/>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823" w:firstLine="0"/>
              <w:jc w:val="center"/>
            </w:pPr>
            <w:r>
              <w:rPr>
                <w:rFonts w:ascii="Arial" w:eastAsia="Arial" w:hAnsi="Arial" w:cs="Arial"/>
                <w:sz w:val="18"/>
              </w:rPr>
              <w:t xml:space="preserve"> </w:t>
            </w:r>
          </w:p>
        </w:tc>
        <w:tc>
          <w:tcPr>
            <w:tcW w:w="157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4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lastRenderedPageBreak/>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p w:rsidR="004D6F0E" w:rsidRDefault="00490F21">
            <w:pPr>
              <w:spacing w:after="0" w:line="259" w:lineRule="auto"/>
              <w:ind w:left="257" w:firstLine="0"/>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8"/>
        </w:trPr>
        <w:tc>
          <w:tcPr>
            <w:tcW w:w="2842" w:type="dxa"/>
            <w:tcBorders>
              <w:top w:val="nil"/>
              <w:left w:val="nil"/>
              <w:bottom w:val="nil"/>
              <w:right w:val="nil"/>
            </w:tcBorders>
            <w:shd w:val="clear" w:color="auto" w:fill="D9D9D9"/>
          </w:tcPr>
          <w:p w:rsidR="004D6F0E" w:rsidRDefault="00490F21">
            <w:pPr>
              <w:tabs>
                <w:tab w:val="center" w:pos="2374"/>
              </w:tabs>
              <w:spacing w:after="0" w:line="259" w:lineRule="auto"/>
              <w:ind w:left="0" w:firstLine="0"/>
            </w:pPr>
            <w:r>
              <w:rPr>
                <w:sz w:val="18"/>
              </w:rPr>
              <w:t>捷克克朗對沖股份類別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1279" w:firstLine="0"/>
              <w:jc w:val="center"/>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823" w:firstLine="0"/>
              <w:jc w:val="center"/>
            </w:pPr>
            <w:r>
              <w:rPr>
                <w:rFonts w:ascii="Arial" w:eastAsia="Arial" w:hAnsi="Arial" w:cs="Arial"/>
                <w:sz w:val="18"/>
              </w:rPr>
              <w:t xml:space="preserve"> </w:t>
            </w:r>
          </w:p>
        </w:tc>
        <w:tc>
          <w:tcPr>
            <w:tcW w:w="157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4"/>
        </w:trPr>
        <w:tc>
          <w:tcPr>
            <w:tcW w:w="284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51"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4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 </w:t>
            </w:r>
          </w:p>
          <w:p w:rsidR="004D6F0E" w:rsidRDefault="00490F21">
            <w:pPr>
              <w:spacing w:after="0" w:line="259" w:lineRule="auto"/>
              <w:ind w:left="257" w:firstLine="0"/>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842" w:type="dxa"/>
            <w:tcBorders>
              <w:top w:val="nil"/>
              <w:left w:val="nil"/>
              <w:bottom w:val="nil"/>
              <w:right w:val="nil"/>
            </w:tcBorders>
            <w:shd w:val="clear" w:color="auto" w:fill="D9D9D9"/>
          </w:tcPr>
          <w:p w:rsidR="004D6F0E" w:rsidRDefault="00490F21">
            <w:pPr>
              <w:tabs>
                <w:tab w:val="center" w:pos="2374"/>
              </w:tabs>
              <w:spacing w:after="0" w:line="259" w:lineRule="auto"/>
              <w:ind w:left="0" w:firstLine="0"/>
            </w:pPr>
            <w:r>
              <w:rPr>
                <w:sz w:val="18"/>
              </w:rPr>
              <w:t>港元對沖股份類別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551" w:type="dxa"/>
            <w:tcBorders>
              <w:top w:val="nil"/>
              <w:left w:val="nil"/>
              <w:bottom w:val="nil"/>
              <w:right w:val="nil"/>
            </w:tcBorders>
            <w:shd w:val="clear" w:color="auto" w:fill="D9D9D9"/>
          </w:tcPr>
          <w:p w:rsidR="004D6F0E" w:rsidRDefault="00490F21">
            <w:pPr>
              <w:spacing w:after="0" w:line="259" w:lineRule="auto"/>
              <w:ind w:left="1279" w:firstLine="0"/>
              <w:jc w:val="center"/>
            </w:pPr>
            <w:r>
              <w:rPr>
                <w:rFonts w:ascii="Arial" w:eastAsia="Arial" w:hAnsi="Arial" w:cs="Arial"/>
                <w:sz w:val="18"/>
              </w:rPr>
              <w:t xml:space="preserve"> </w:t>
            </w:r>
          </w:p>
        </w:tc>
        <w:tc>
          <w:tcPr>
            <w:tcW w:w="2426" w:type="dxa"/>
            <w:tcBorders>
              <w:top w:val="nil"/>
              <w:left w:val="nil"/>
              <w:bottom w:val="nil"/>
              <w:right w:val="nil"/>
            </w:tcBorders>
            <w:shd w:val="clear" w:color="auto" w:fill="D9D9D9"/>
          </w:tcPr>
          <w:p w:rsidR="004D6F0E" w:rsidRDefault="00490F21">
            <w:pPr>
              <w:spacing w:after="0" w:line="259" w:lineRule="auto"/>
              <w:ind w:left="823" w:firstLine="0"/>
              <w:jc w:val="center"/>
            </w:pPr>
            <w:r>
              <w:rPr>
                <w:rFonts w:ascii="Arial" w:eastAsia="Arial" w:hAnsi="Arial" w:cs="Arial"/>
                <w:sz w:val="18"/>
              </w:rPr>
              <w:t xml:space="preserve"> </w:t>
            </w:r>
          </w:p>
        </w:tc>
        <w:tc>
          <w:tcPr>
            <w:tcW w:w="157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382"/>
          <w:tab w:val="center" w:pos="5642"/>
          <w:tab w:val="center" w:pos="7902"/>
          <w:tab w:val="right" w:pos="10205"/>
        </w:tabs>
        <w:spacing w:after="20"/>
        <w:ind w:left="0"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港元股份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1.50% </w:t>
      </w:r>
      <w:r>
        <w:rPr>
          <w:rFonts w:ascii="Arial" w:eastAsia="Arial" w:hAnsi="Arial" w:cs="Arial"/>
          <w:sz w:val="18"/>
        </w:rPr>
        <w:tab/>
        <w:t xml:space="preserve">0.70%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D6F0E">
      <w:pPr>
        <w:sectPr w:rsidR="004D6F0E">
          <w:type w:val="continuous"/>
          <w:pgSz w:w="12240" w:h="15840"/>
          <w:pgMar w:top="997" w:right="1603" w:bottom="2246" w:left="432" w:header="720" w:footer="720" w:gutter="0"/>
          <w:cols w:space="720"/>
        </w:sectPr>
      </w:pPr>
    </w:p>
    <w:p w:rsidR="004D6F0E" w:rsidRDefault="00490F21">
      <w:pPr>
        <w:spacing w:after="0" w:line="259" w:lineRule="auto"/>
        <w:ind w:left="1" w:firstLine="0"/>
      </w:pPr>
      <w:r>
        <w:rPr>
          <w:rFonts w:ascii="Arial" w:eastAsia="Arial" w:hAnsi="Arial" w:cs="Arial"/>
          <w:sz w:val="18"/>
        </w:rPr>
        <w:t xml:space="preserve"> </w:t>
      </w:r>
    </w:p>
    <w:p w:rsidR="004D6F0E" w:rsidRDefault="00490F21">
      <w:pPr>
        <w:spacing w:after="0" w:line="259" w:lineRule="auto"/>
        <w:ind w:left="1" w:firstLine="0"/>
      </w:pPr>
      <w:r>
        <w:rPr>
          <w:rFonts w:ascii="Arial" w:eastAsia="Arial" w:hAnsi="Arial" w:cs="Arial"/>
          <w:sz w:val="18"/>
        </w:rPr>
        <w:t xml:space="preserve"> </w:t>
      </w:r>
    </w:p>
    <w:p w:rsidR="004D6F0E" w:rsidRDefault="00490F21">
      <w:pPr>
        <w:numPr>
          <w:ilvl w:val="0"/>
          <w:numId w:val="14"/>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w:t>
      </w:r>
      <w:r>
        <w:rPr>
          <w:sz w:val="16"/>
        </w:rPr>
        <w:t>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A(1.70%)</w:t>
      </w:r>
      <w:r>
        <w:rPr>
          <w:sz w:val="16"/>
        </w:rPr>
        <w:t>、</w:t>
      </w:r>
      <w:r>
        <w:rPr>
          <w:rFonts w:ascii="Arial" w:eastAsia="Arial" w:hAnsi="Arial" w:cs="Arial"/>
          <w:sz w:val="16"/>
        </w:rPr>
        <w:t>AD(1.70%)</w:t>
      </w:r>
      <w:r>
        <w:rPr>
          <w:sz w:val="16"/>
        </w:rPr>
        <w:t>、</w:t>
      </w:r>
      <w:r>
        <w:rPr>
          <w:rFonts w:ascii="Arial" w:eastAsia="Arial" w:hAnsi="Arial" w:cs="Arial"/>
          <w:sz w:val="16"/>
        </w:rPr>
        <w:t>C(2.60%)</w:t>
      </w:r>
      <w:r>
        <w:rPr>
          <w:sz w:val="16"/>
        </w:rPr>
        <w:t>、</w:t>
      </w:r>
      <w:r>
        <w:rPr>
          <w:rFonts w:ascii="Arial" w:eastAsia="Arial" w:hAnsi="Arial" w:cs="Arial"/>
          <w:sz w:val="16"/>
        </w:rPr>
        <w:t>I(0.90%)</w:t>
      </w:r>
      <w:r>
        <w:rPr>
          <w:sz w:val="16"/>
        </w:rPr>
        <w:t>、</w:t>
      </w:r>
      <w:r>
        <w:rPr>
          <w:rFonts w:ascii="Arial" w:eastAsia="Arial" w:hAnsi="Arial" w:cs="Arial"/>
          <w:sz w:val="16"/>
        </w:rPr>
        <w:t xml:space="preserve">S(0.15%) </w:t>
      </w:r>
      <w:r>
        <w:rPr>
          <w:sz w:val="16"/>
        </w:rPr>
        <w:t>、</w:t>
      </w:r>
      <w:r>
        <w:rPr>
          <w:rFonts w:ascii="Arial" w:eastAsia="Arial" w:hAnsi="Arial" w:cs="Arial"/>
          <w:sz w:val="16"/>
        </w:rPr>
        <w:t>S1(0.80%)</w:t>
      </w:r>
      <w:r>
        <w:rPr>
          <w:sz w:val="16"/>
        </w:rPr>
        <w:t>、</w:t>
      </w:r>
      <w:r>
        <w:rPr>
          <w:rFonts w:ascii="Arial" w:eastAsia="Arial" w:hAnsi="Arial" w:cs="Arial"/>
          <w:sz w:val="16"/>
        </w:rPr>
        <w:t>SD(0.15%)</w:t>
      </w:r>
      <w:r>
        <w:rPr>
          <w:sz w:val="16"/>
        </w:rPr>
        <w:t>及</w:t>
      </w:r>
      <w:r>
        <w:rPr>
          <w:sz w:val="16"/>
        </w:rPr>
        <w:t xml:space="preserve"> </w:t>
      </w:r>
      <w:r>
        <w:rPr>
          <w:rFonts w:ascii="Arial" w:eastAsia="Arial" w:hAnsi="Arial" w:cs="Arial"/>
          <w:sz w:val="16"/>
        </w:rPr>
        <w:t>2(1.35%)</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4"/>
        </w:numPr>
        <w:spacing w:after="57"/>
        <w:ind w:right="13" w:hanging="360"/>
        <w:jc w:val="both"/>
      </w:pPr>
      <w:r>
        <w:rPr>
          <w:sz w:val="16"/>
        </w:rPr>
        <w:t>佔購買價的百分比。</w:t>
      </w: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p>
    <w:p w:rsidR="004D6F0E" w:rsidRDefault="00490F21">
      <w:pPr>
        <w:numPr>
          <w:ilvl w:val="0"/>
          <w:numId w:val="14"/>
        </w:numPr>
        <w:ind w:right="13" w:hanging="360"/>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numPr>
          <w:ilvl w:val="0"/>
          <w:numId w:val="14"/>
        </w:numPr>
        <w:ind w:right="13" w:hanging="360"/>
        <w:jc w:val="both"/>
      </w:pPr>
      <w:r>
        <w:rPr>
          <w:sz w:val="16"/>
        </w:rPr>
        <w:t>佔每日平均資產淨值的年百分比。</w:t>
      </w:r>
      <w:r>
        <w:rPr>
          <w:rFonts w:ascii="Arial" w:eastAsia="Arial" w:hAnsi="Arial" w:cs="Arial"/>
          <w:sz w:val="16"/>
        </w:rPr>
        <w:t xml:space="preserve"> </w:t>
      </w:r>
    </w:p>
    <w:p w:rsidR="004D6F0E" w:rsidRDefault="00490F21">
      <w:pPr>
        <w:numPr>
          <w:ilvl w:val="0"/>
          <w:numId w:val="14"/>
        </w:numPr>
        <w:ind w:right="13" w:hanging="360"/>
        <w:jc w:val="both"/>
      </w:pPr>
      <w:r>
        <w:rPr>
          <w:sz w:val="16"/>
        </w:rPr>
        <w:t>佔所贖回股份的現行資產淨值或原始成本此兩數字中較低者的有關百分比，並視乎該等股份的持有時間而定。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類股份）而言，交易商可在某些情況下選擇減免或有遞延銷售費</w:t>
      </w:r>
      <w:r>
        <w:rPr>
          <w:sz w:val="16"/>
        </w:rPr>
        <w:t>。</w:t>
      </w:r>
      <w:r>
        <w:rPr>
          <w:rFonts w:ascii="Arial" w:eastAsia="Arial" w:hAnsi="Arial" w:cs="Arial"/>
          <w:sz w:val="16"/>
        </w:rPr>
        <w:t xml:space="preserve"> </w:t>
      </w:r>
    </w:p>
    <w:p w:rsidR="004D6F0E" w:rsidRDefault="00490F21">
      <w:pPr>
        <w:numPr>
          <w:ilvl w:val="0"/>
          <w:numId w:val="14"/>
        </w:numPr>
        <w:ind w:right="13" w:hanging="360"/>
        <w:jc w:val="both"/>
      </w:pPr>
      <w:r>
        <w:rPr>
          <w:rFonts w:ascii="Arial" w:eastAsia="Arial" w:hAnsi="Arial" w:cs="Arial"/>
          <w:sz w:val="16"/>
        </w:rPr>
        <w:t xml:space="preserve">S </w:t>
      </w:r>
      <w:r>
        <w:rPr>
          <w:sz w:val="16"/>
        </w:rPr>
        <w:t>及</w:t>
      </w:r>
      <w:r>
        <w:rPr>
          <w:sz w:val="16"/>
        </w:rPr>
        <w:t xml:space="preserve"> </w:t>
      </w:r>
      <w:r>
        <w:rPr>
          <w:rFonts w:ascii="Arial" w:eastAsia="Arial" w:hAnsi="Arial" w:cs="Arial"/>
          <w:sz w:val="16"/>
        </w:rPr>
        <w:t xml:space="preserve">SD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4"/>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D6F0E">
      <w:pPr>
        <w:sectPr w:rsidR="004D6F0E">
          <w:type w:val="continuous"/>
          <w:pgSz w:w="12240" w:h="15840"/>
          <w:pgMar w:top="1440" w:right="718" w:bottom="1440" w:left="431" w:header="720" w:footer="720" w:gutter="0"/>
          <w:cols w:num="2" w:space="720" w:equalWidth="0">
            <w:col w:w="5331" w:space="717"/>
            <w:col w:w="5043"/>
          </w:cols>
        </w:sectPr>
      </w:pPr>
    </w:p>
    <w:p w:rsidR="004D6F0E" w:rsidRDefault="00490F21">
      <w:pPr>
        <w:spacing w:after="0" w:line="259" w:lineRule="auto"/>
        <w:ind w:left="0" w:firstLine="0"/>
      </w:pPr>
      <w:r>
        <w:rPr>
          <w:rFonts w:ascii="Arial" w:eastAsia="Arial" w:hAnsi="Arial" w:cs="Arial"/>
          <w:sz w:val="20"/>
        </w:rPr>
        <w:t xml:space="preserve"> </w:t>
      </w:r>
    </w:p>
    <w:p w:rsidR="004D6F0E" w:rsidRDefault="00490F21">
      <w:pPr>
        <w:spacing w:after="29" w:line="259" w:lineRule="auto"/>
        <w:ind w:left="0" w:right="-170" w:firstLine="0"/>
      </w:pPr>
      <w:r>
        <w:rPr>
          <w:rFonts w:ascii="Calibri" w:eastAsia="Calibri" w:hAnsi="Calibri" w:cs="Calibri"/>
          <w:noProof/>
          <w:sz w:val="22"/>
        </w:rPr>
        <mc:AlternateContent>
          <mc:Choice Requires="wpg">
            <w:drawing>
              <wp:inline distT="0" distB="0" distL="0" distR="0">
                <wp:extent cx="7200900" cy="18288"/>
                <wp:effectExtent l="0" t="0" r="0" b="0"/>
                <wp:docPr id="465281" name="Group 465281"/>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7999" name="Shape 657999"/>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5281" style="width:567pt;height:1.44pt;mso-position-horizontal-relative:char;mso-position-vertical-relative:line" coordsize="72009,182">
                <v:shape id="Shape 658000" style="position:absolute;width:72009;height:182;left:0;top:0;" coordsize="7200900,18288" path="m0,0l7200900,0l7200900,18288l0,18288l0,0">
                  <v:stroke weight="0pt" endcap="flat" joinstyle="miter" miterlimit="10" on="false" color="#000000" opacity="0"/>
                  <v:fill on="true" color="#000000"/>
                </v:shape>
              </v:group>
            </w:pict>
          </mc:Fallback>
        </mc:AlternateContent>
      </w:r>
    </w:p>
    <w:p w:rsidR="004D6F0E" w:rsidRDefault="00490F21">
      <w:pPr>
        <w:spacing w:after="60"/>
        <w:ind w:left="124" w:right="2"/>
      </w:pPr>
      <w:r>
        <w:t>其他股份類別特色</w:t>
      </w:r>
      <w:r>
        <w:rPr>
          <w:rFonts w:ascii="Arial" w:eastAsia="Arial" w:hAnsi="Arial" w:cs="Arial"/>
          <w:b/>
        </w:rPr>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829" w:right="13" w:hanging="2714"/>
      </w:pPr>
      <w:r>
        <w:rPr>
          <w:rFonts w:ascii="Arial" w:eastAsia="Arial" w:hAnsi="Arial" w:cs="Arial"/>
          <w:b/>
          <w:sz w:val="18"/>
        </w:rPr>
        <w:t xml:space="preserve"> </w:t>
      </w:r>
      <w:r>
        <w:rPr>
          <w:sz w:val="18"/>
        </w:rPr>
        <w:t>發售貨幣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p w:rsidR="004D6F0E" w:rsidRDefault="00490F21">
      <w:pPr>
        <w:spacing w:after="11" w:line="259" w:lineRule="auto"/>
        <w:ind w:left="2354" w:right="-83" w:firstLine="0"/>
      </w:pPr>
      <w:r>
        <w:rPr>
          <w:rFonts w:ascii="Calibri" w:eastAsia="Calibri" w:hAnsi="Calibri" w:cs="Calibri"/>
          <w:noProof/>
          <w:sz w:val="22"/>
        </w:rPr>
        <mc:AlternateContent>
          <mc:Choice Requires="wpg">
            <w:drawing>
              <wp:inline distT="0" distB="0" distL="0" distR="0">
                <wp:extent cx="5650992" cy="6096"/>
                <wp:effectExtent l="0" t="0" r="0" b="0"/>
                <wp:docPr id="465282" name="Group 465282"/>
                <wp:cNvGraphicFramePr/>
                <a:graphic xmlns:a="http://schemas.openxmlformats.org/drawingml/2006/main">
                  <a:graphicData uri="http://schemas.microsoft.com/office/word/2010/wordprocessingGroup">
                    <wpg:wgp>
                      <wpg:cNvGrpSpPr/>
                      <wpg:grpSpPr>
                        <a:xfrm>
                          <a:off x="0" y="0"/>
                          <a:ext cx="5650992" cy="6096"/>
                          <a:chOff x="0" y="0"/>
                          <a:chExt cx="5650992" cy="6096"/>
                        </a:xfrm>
                      </wpg:grpSpPr>
                      <wps:wsp>
                        <wps:cNvPr id="658001" name="Shape 658001"/>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02" name="Shape 658002"/>
                        <wps:cNvSpPr/>
                        <wps:spPr>
                          <a:xfrm>
                            <a:off x="117043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03" name="Shape 658003"/>
                        <wps:cNvSpPr/>
                        <wps:spPr>
                          <a:xfrm>
                            <a:off x="243078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04" name="Shape 658004"/>
                        <wps:cNvSpPr/>
                        <wps:spPr>
                          <a:xfrm>
                            <a:off x="3599688" y="0"/>
                            <a:ext cx="790956" cy="9144"/>
                          </a:xfrm>
                          <a:custGeom>
                            <a:avLst/>
                            <a:gdLst/>
                            <a:ahLst/>
                            <a:cxnLst/>
                            <a:rect l="0" t="0" r="0" b="0"/>
                            <a:pathLst>
                              <a:path w="790956" h="9144">
                                <a:moveTo>
                                  <a:pt x="0" y="0"/>
                                </a:moveTo>
                                <a:lnTo>
                                  <a:pt x="790956" y="0"/>
                                </a:lnTo>
                                <a:lnTo>
                                  <a:pt x="790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05" name="Shape 658005"/>
                        <wps:cNvSpPr/>
                        <wps:spPr>
                          <a:xfrm>
                            <a:off x="450037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5282" style="width:444.96pt;height:0.47998pt;mso-position-horizontal-relative:char;mso-position-vertical-relative:line" coordsize="56509,60">
                <v:shape id="Shape 658006" style="position:absolute;width:10607;height:91;left:0;top:0;" coordsize="1060704,9144" path="m0,0l1060704,0l1060704,9144l0,9144l0,0">
                  <v:stroke weight="0pt" endcap="flat" joinstyle="miter" miterlimit="10" on="false" color="#000000" opacity="0"/>
                  <v:fill on="true" color="#000000"/>
                </v:shape>
                <v:shape id="Shape 658007" style="position:absolute;width:11506;height:91;left:11704;top:0;" coordsize="1150620,9144" path="m0,0l1150620,0l1150620,9144l0,9144l0,0">
                  <v:stroke weight="0pt" endcap="flat" joinstyle="miter" miterlimit="10" on="false" color="#000000" opacity="0"/>
                  <v:fill on="true" color="#000000"/>
                </v:shape>
                <v:shape id="Shape 658008" style="position:absolute;width:10607;height:91;left:24307;top:0;" coordsize="1060704,9144" path="m0,0l1060704,0l1060704,9144l0,9144l0,0">
                  <v:stroke weight="0pt" endcap="flat" joinstyle="miter" miterlimit="10" on="false" color="#000000" opacity="0"/>
                  <v:fill on="true" color="#000000"/>
                </v:shape>
                <v:shape id="Shape 658009" style="position:absolute;width:7909;height:91;left:35996;top:0;" coordsize="790956,9144" path="m0,0l790956,0l790956,9144l0,9144l0,0">
                  <v:stroke weight="0pt" endcap="flat" joinstyle="miter" miterlimit="10" on="false" color="#000000" opacity="0"/>
                  <v:fill on="true" color="#000000"/>
                </v:shape>
                <v:shape id="Shape 658010" style="position:absolute;width:11506;height:91;left:45003;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b/>
          <w:sz w:val="6"/>
        </w:rPr>
        <w:t xml:space="preserve"> </w:t>
      </w:r>
      <w:r>
        <w:rPr>
          <w:rFonts w:ascii="Arial" w:eastAsia="Arial" w:hAnsi="Arial" w:cs="Arial"/>
          <w:b/>
          <w:sz w:val="6"/>
        </w:rPr>
        <w:tab/>
      </w: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340" w:type="dxa"/>
        <w:tblInd w:w="0" w:type="dxa"/>
        <w:tblCellMar>
          <w:top w:w="22" w:type="dxa"/>
          <w:left w:w="0" w:type="dxa"/>
          <w:bottom w:w="0" w:type="dxa"/>
          <w:right w:w="115" w:type="dxa"/>
        </w:tblCellMar>
        <w:tblLook w:val="04A0" w:firstRow="1" w:lastRow="0" w:firstColumn="1" w:lastColumn="0" w:noHBand="0" w:noVBand="1"/>
      </w:tblPr>
      <w:tblGrid>
        <w:gridCol w:w="115"/>
        <w:gridCol w:w="2623"/>
        <w:gridCol w:w="1488"/>
        <w:gridCol w:w="24"/>
        <w:gridCol w:w="2069"/>
        <w:gridCol w:w="91"/>
        <w:gridCol w:w="1642"/>
        <w:gridCol w:w="504"/>
        <w:gridCol w:w="914"/>
        <w:gridCol w:w="622"/>
        <w:gridCol w:w="1127"/>
        <w:gridCol w:w="121"/>
      </w:tblGrid>
      <w:tr w:rsidR="004D6F0E">
        <w:trPr>
          <w:trHeight w:val="293"/>
        </w:trPr>
        <w:tc>
          <w:tcPr>
            <w:tcW w:w="273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日圓計價股份類別</w:t>
            </w:r>
            <w:r>
              <w:rPr>
                <w:rFonts w:ascii="Arial" w:eastAsia="Arial" w:hAnsi="Arial" w:cs="Arial"/>
                <w:sz w:val="18"/>
              </w:rPr>
              <w:t xml:space="preserve"> </w:t>
            </w:r>
          </w:p>
        </w:tc>
        <w:tc>
          <w:tcPr>
            <w:tcW w:w="1512" w:type="dxa"/>
            <w:gridSpan w:val="2"/>
            <w:tcBorders>
              <w:top w:val="nil"/>
              <w:left w:val="nil"/>
              <w:bottom w:val="nil"/>
              <w:right w:val="nil"/>
            </w:tcBorders>
            <w:shd w:val="clear" w:color="auto" w:fill="D9D9D9"/>
          </w:tcPr>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shd w:val="clear" w:color="auto" w:fill="D9D9D9"/>
          </w:tcPr>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shd w:val="clear" w:color="auto" w:fill="D9D9D9"/>
          </w:tcPr>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70"/>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日圓</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324" w:firstLine="0"/>
            </w:pPr>
            <w:r>
              <w:rPr>
                <w:rFonts w:ascii="Arial" w:eastAsia="Arial" w:hAnsi="Arial" w:cs="Arial"/>
                <w:sz w:val="18"/>
              </w:rPr>
              <w:t xml:space="preserve">200,000 </w:t>
            </w:r>
            <w:r>
              <w:rPr>
                <w:sz w:val="18"/>
              </w:rPr>
              <w:t>日圓</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221" w:firstLine="0"/>
            </w:pPr>
            <w:r>
              <w:rPr>
                <w:rFonts w:ascii="Arial" w:eastAsia="Arial" w:hAnsi="Arial" w:cs="Arial"/>
                <w:sz w:val="18"/>
              </w:rPr>
              <w:t xml:space="preserve">80,000 </w:t>
            </w:r>
            <w:r>
              <w:rPr>
                <w:sz w:val="18"/>
              </w:rPr>
              <w:t>日圓</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日圓</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324" w:firstLine="0"/>
            </w:pPr>
            <w:r>
              <w:rPr>
                <w:rFonts w:ascii="Arial" w:eastAsia="Arial" w:hAnsi="Arial" w:cs="Arial"/>
                <w:sz w:val="18"/>
              </w:rPr>
              <w:t xml:space="preserve">200,000 </w:t>
            </w:r>
            <w:r>
              <w:rPr>
                <w:sz w:val="18"/>
              </w:rPr>
              <w:t>日圓</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221" w:firstLine="0"/>
            </w:pPr>
            <w:r>
              <w:rPr>
                <w:rFonts w:ascii="Arial" w:eastAsia="Arial" w:hAnsi="Arial" w:cs="Arial"/>
                <w:sz w:val="18"/>
              </w:rPr>
              <w:t xml:space="preserve">80,000 </w:t>
            </w:r>
            <w:r>
              <w:rPr>
                <w:sz w:val="18"/>
              </w:rPr>
              <w:t>日圓</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日圓</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324" w:firstLine="0"/>
            </w:pPr>
            <w:r>
              <w:rPr>
                <w:rFonts w:ascii="Arial" w:eastAsia="Arial" w:hAnsi="Arial" w:cs="Arial"/>
                <w:sz w:val="18"/>
              </w:rPr>
              <w:t xml:space="preserve">200,000 </w:t>
            </w:r>
            <w:r>
              <w:rPr>
                <w:sz w:val="18"/>
              </w:rPr>
              <w:t>日圓</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221" w:firstLine="0"/>
            </w:pPr>
            <w:r>
              <w:rPr>
                <w:rFonts w:ascii="Arial" w:eastAsia="Arial" w:hAnsi="Arial" w:cs="Arial"/>
                <w:sz w:val="18"/>
              </w:rPr>
              <w:t xml:space="preserve">80,000 </w:t>
            </w:r>
            <w:r>
              <w:rPr>
                <w:sz w:val="18"/>
              </w:rPr>
              <w:t>日圓</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I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日圓</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79" w:firstLine="0"/>
            </w:pPr>
            <w:r>
              <w:rPr>
                <w:rFonts w:ascii="Arial" w:eastAsia="Arial" w:hAnsi="Arial" w:cs="Arial"/>
                <w:sz w:val="18"/>
              </w:rPr>
              <w:t xml:space="preserve">100,000,000 </w:t>
            </w:r>
            <w:r>
              <w:rPr>
                <w:sz w:val="18"/>
              </w:rPr>
              <w:t>日圓</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日圓</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46" w:firstLine="0"/>
            </w:pPr>
            <w:r>
              <w:rPr>
                <w:rFonts w:ascii="Arial" w:eastAsia="Arial" w:hAnsi="Arial" w:cs="Arial"/>
                <w:sz w:val="18"/>
              </w:rPr>
              <w:t xml:space="preserve">2,500,000,000 </w:t>
            </w:r>
            <w:r>
              <w:rPr>
                <w:sz w:val="18"/>
              </w:rPr>
              <w:t>日圓</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0"/>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SD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日圓</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46" w:firstLine="0"/>
            </w:pPr>
            <w:r>
              <w:rPr>
                <w:rFonts w:ascii="Arial" w:eastAsia="Arial" w:hAnsi="Arial" w:cs="Arial"/>
                <w:sz w:val="18"/>
              </w:rPr>
              <w:t xml:space="preserve">2,500,000,000 </w:t>
            </w:r>
            <w:r>
              <w:rPr>
                <w:sz w:val="18"/>
              </w:rPr>
              <w:t>日圓</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65"/>
        </w:trPr>
        <w:tc>
          <w:tcPr>
            <w:tcW w:w="2738"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10" w:line="259" w:lineRule="auto"/>
              <w:ind w:left="271" w:firstLine="0"/>
            </w:pPr>
            <w:r>
              <w:rPr>
                <w:sz w:val="18"/>
              </w:rPr>
              <w:t>日圓</w:t>
            </w:r>
            <w:r>
              <w:rPr>
                <w:rFonts w:ascii="Arial" w:eastAsia="Arial" w:hAnsi="Arial" w:cs="Arial"/>
                <w:sz w:val="18"/>
              </w:rPr>
              <w:t xml:space="preserve"> </w:t>
            </w:r>
          </w:p>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14" w:line="259" w:lineRule="auto"/>
              <w:ind w:left="79" w:firstLine="0"/>
            </w:pPr>
            <w:r>
              <w:rPr>
                <w:rFonts w:ascii="Arial" w:eastAsia="Arial" w:hAnsi="Arial" w:cs="Arial"/>
                <w:sz w:val="18"/>
              </w:rPr>
              <w:t xml:space="preserve">400,000,000 </w:t>
            </w:r>
            <w:r>
              <w:rPr>
                <w:sz w:val="18"/>
              </w:rPr>
              <w:t>日圓</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9"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3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1512" w:type="dxa"/>
            <w:gridSpan w:val="2"/>
            <w:tcBorders>
              <w:top w:val="nil"/>
              <w:left w:val="nil"/>
              <w:bottom w:val="nil"/>
              <w:right w:val="nil"/>
            </w:tcBorders>
            <w:shd w:val="clear" w:color="auto" w:fill="D9D9D9"/>
          </w:tcPr>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shd w:val="clear" w:color="auto" w:fill="D9D9D9"/>
          </w:tcPr>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shd w:val="clear" w:color="auto" w:fill="D9D9D9"/>
          </w:tcPr>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9"/>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歐元</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歐元</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271" w:firstLine="0"/>
            </w:pPr>
            <w:r>
              <w:rPr>
                <w:sz w:val="18"/>
              </w:rPr>
              <w:t>歐元</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38"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10" w:line="259" w:lineRule="auto"/>
              <w:ind w:left="271" w:firstLine="0"/>
            </w:pPr>
            <w:r>
              <w:rPr>
                <w:sz w:val="18"/>
              </w:rPr>
              <w:t>歐元</w:t>
            </w:r>
            <w:r>
              <w:rPr>
                <w:rFonts w:ascii="Arial" w:eastAsia="Arial" w:hAnsi="Arial" w:cs="Arial"/>
                <w:sz w:val="18"/>
              </w:rPr>
              <w:t xml:space="preserve"> </w:t>
            </w:r>
          </w:p>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14" w:line="259" w:lineRule="auto"/>
              <w:ind w:left="13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9"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3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波蘭茲羅提計價股份類別</w:t>
            </w:r>
            <w:r>
              <w:rPr>
                <w:rFonts w:ascii="Arial" w:eastAsia="Arial" w:hAnsi="Arial" w:cs="Arial"/>
                <w:sz w:val="18"/>
              </w:rPr>
              <w:t xml:space="preserve"> </w:t>
            </w:r>
          </w:p>
        </w:tc>
        <w:tc>
          <w:tcPr>
            <w:tcW w:w="1512" w:type="dxa"/>
            <w:gridSpan w:val="2"/>
            <w:tcBorders>
              <w:top w:val="nil"/>
              <w:left w:val="nil"/>
              <w:bottom w:val="nil"/>
              <w:right w:val="nil"/>
            </w:tcBorders>
            <w:shd w:val="clear" w:color="auto" w:fill="D9D9D9"/>
          </w:tcPr>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shd w:val="clear" w:color="auto" w:fill="D9D9D9"/>
          </w:tcPr>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shd w:val="clear" w:color="auto" w:fill="D9D9D9"/>
          </w:tcPr>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439"/>
        </w:trPr>
        <w:tc>
          <w:tcPr>
            <w:tcW w:w="2738" w:type="dxa"/>
            <w:gridSpan w:val="2"/>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7" w:line="259" w:lineRule="auto"/>
              <w:ind w:left="0" w:firstLine="0"/>
            </w:pPr>
            <w:r>
              <w:rPr>
                <w:sz w:val="18"/>
              </w:rPr>
              <w:t>波蘭茲羅提</w:t>
            </w:r>
            <w:r>
              <w:rPr>
                <w:rFonts w:ascii="Arial" w:eastAsia="Arial" w:hAnsi="Arial" w:cs="Arial"/>
                <w:sz w:val="18"/>
              </w:rPr>
              <w:t xml:space="preserve"> </w:t>
            </w:r>
          </w:p>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12" w:line="259" w:lineRule="auto"/>
              <w:ind w:left="156" w:firstLine="0"/>
            </w:pPr>
            <w:r>
              <w:rPr>
                <w:rFonts w:ascii="Arial" w:eastAsia="Arial" w:hAnsi="Arial" w:cs="Arial"/>
                <w:sz w:val="18"/>
              </w:rPr>
              <w:t xml:space="preserve">7,500 </w:t>
            </w:r>
            <w:r>
              <w:rPr>
                <w:sz w:val="18"/>
              </w:rPr>
              <w:t>波蘭茲羅提</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3,000 </w:t>
            </w:r>
            <w:r>
              <w:rPr>
                <w:sz w:val="18"/>
              </w:rPr>
              <w:t>波蘭茲羅提</w:t>
            </w:r>
            <w:r>
              <w:rPr>
                <w:rFonts w:ascii="Arial" w:eastAsia="Arial" w:hAnsi="Arial" w:cs="Arial"/>
                <w:sz w:val="18"/>
              </w:rPr>
              <w:t xml:space="preserve"> </w:t>
            </w:r>
          </w:p>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3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1512" w:type="dxa"/>
            <w:gridSpan w:val="2"/>
            <w:tcBorders>
              <w:top w:val="nil"/>
              <w:left w:val="nil"/>
              <w:bottom w:val="nil"/>
              <w:right w:val="nil"/>
            </w:tcBorders>
            <w:shd w:val="clear" w:color="auto" w:fill="D9D9D9"/>
          </w:tcPr>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shd w:val="clear" w:color="auto" w:fill="D9D9D9"/>
          </w:tcPr>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shd w:val="clear" w:color="auto" w:fill="D9D9D9"/>
          </w:tcPr>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38"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0" w:line="259" w:lineRule="auto"/>
              <w:ind w:left="91" w:firstLine="0"/>
            </w:pPr>
            <w:r>
              <w:rPr>
                <w:sz w:val="18"/>
              </w:rPr>
              <w:t>新加坡元</w:t>
            </w: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0" w:line="259" w:lineRule="auto"/>
              <w:ind w:left="91"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9"/>
        </w:trPr>
        <w:tc>
          <w:tcPr>
            <w:tcW w:w="2738" w:type="dxa"/>
            <w:gridSpan w:val="2"/>
            <w:tcBorders>
              <w:top w:val="nil"/>
              <w:left w:val="nil"/>
              <w:bottom w:val="nil"/>
              <w:right w:val="nil"/>
            </w:tcBorders>
          </w:tcPr>
          <w:p w:rsidR="004D6F0E" w:rsidRDefault="00490F21">
            <w:pPr>
              <w:spacing w:after="13"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2" w:type="dxa"/>
            <w:gridSpan w:val="2"/>
            <w:tcBorders>
              <w:top w:val="nil"/>
              <w:left w:val="nil"/>
              <w:bottom w:val="nil"/>
              <w:right w:val="nil"/>
            </w:tcBorders>
          </w:tcPr>
          <w:p w:rsidR="004D6F0E" w:rsidRDefault="00490F21">
            <w:pPr>
              <w:spacing w:after="7" w:line="259" w:lineRule="auto"/>
              <w:ind w:left="91" w:firstLine="0"/>
            </w:pPr>
            <w:r>
              <w:rPr>
                <w:sz w:val="18"/>
              </w:rPr>
              <w:t>新加坡元</w:t>
            </w:r>
            <w:r>
              <w:rPr>
                <w:rFonts w:ascii="Arial" w:eastAsia="Arial" w:hAnsi="Arial" w:cs="Arial"/>
                <w:sz w:val="18"/>
              </w:rPr>
              <w:t xml:space="preserve"> </w:t>
            </w:r>
          </w:p>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tcPr>
          <w:p w:rsidR="004D6F0E" w:rsidRDefault="00490F21">
            <w:pPr>
              <w:spacing w:after="7"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9"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3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512" w:type="dxa"/>
            <w:gridSpan w:val="2"/>
            <w:tcBorders>
              <w:top w:val="nil"/>
              <w:left w:val="nil"/>
              <w:bottom w:val="nil"/>
              <w:right w:val="nil"/>
            </w:tcBorders>
            <w:shd w:val="clear" w:color="auto" w:fill="D9D9D9"/>
          </w:tcPr>
          <w:p w:rsidR="004D6F0E" w:rsidRDefault="00490F21">
            <w:pPr>
              <w:spacing w:after="0" w:line="259" w:lineRule="auto"/>
              <w:ind w:left="451" w:firstLine="0"/>
            </w:pPr>
            <w:r>
              <w:rPr>
                <w:rFonts w:ascii="Arial" w:eastAsia="Arial" w:hAnsi="Arial" w:cs="Arial"/>
                <w:sz w:val="18"/>
              </w:rPr>
              <w:t xml:space="preserve"> </w:t>
            </w:r>
          </w:p>
        </w:tc>
        <w:tc>
          <w:tcPr>
            <w:tcW w:w="2069" w:type="dxa"/>
            <w:tcBorders>
              <w:top w:val="nil"/>
              <w:left w:val="nil"/>
              <w:bottom w:val="nil"/>
              <w:right w:val="nil"/>
            </w:tcBorders>
            <w:shd w:val="clear" w:color="auto" w:fill="D9D9D9"/>
          </w:tcPr>
          <w:p w:rsidR="004D6F0E" w:rsidRDefault="00490F21">
            <w:pPr>
              <w:spacing w:after="0" w:line="259" w:lineRule="auto"/>
              <w:ind w:left="852" w:firstLine="0"/>
            </w:pPr>
            <w:r>
              <w:rPr>
                <w:rFonts w:ascii="Arial" w:eastAsia="Arial" w:hAnsi="Arial" w:cs="Arial"/>
                <w:sz w:val="18"/>
              </w:rPr>
              <w:t xml:space="preserve"> </w:t>
            </w:r>
          </w:p>
        </w:tc>
        <w:tc>
          <w:tcPr>
            <w:tcW w:w="2237" w:type="dxa"/>
            <w:gridSpan w:val="3"/>
            <w:tcBorders>
              <w:top w:val="nil"/>
              <w:left w:val="nil"/>
              <w:bottom w:val="nil"/>
              <w:right w:val="nil"/>
            </w:tcBorders>
            <w:shd w:val="clear" w:color="auto" w:fill="D9D9D9"/>
          </w:tcPr>
          <w:p w:rsidR="004D6F0E" w:rsidRDefault="00490F21">
            <w:pPr>
              <w:spacing w:after="0" w:line="259" w:lineRule="auto"/>
              <w:ind w:left="698" w:firstLine="0"/>
            </w:pPr>
            <w:r>
              <w:rPr>
                <w:rFonts w:ascii="Arial" w:eastAsia="Arial" w:hAnsi="Arial" w:cs="Arial"/>
                <w:sz w:val="18"/>
              </w:rPr>
              <w:t xml:space="preserve"> </w:t>
            </w:r>
          </w:p>
        </w:tc>
        <w:tc>
          <w:tcPr>
            <w:tcW w:w="1536"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blPrEx>
          <w:tblCellMar>
            <w:top w:w="2" w:type="dxa"/>
            <w:right w:w="0" w:type="dxa"/>
          </w:tblCellMar>
        </w:tblPrEx>
        <w:trPr>
          <w:gridBefore w:val="1"/>
          <w:gridAfter w:val="1"/>
          <w:wBefore w:w="115" w:type="dxa"/>
          <w:wAfter w:w="121" w:type="dxa"/>
          <w:trHeight w:val="215"/>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488" w:type="dxa"/>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3"/>
            <w:tcBorders>
              <w:top w:val="nil"/>
              <w:left w:val="nil"/>
              <w:bottom w:val="nil"/>
              <w:right w:val="nil"/>
            </w:tcBorders>
          </w:tcPr>
          <w:p w:rsidR="004D6F0E" w:rsidRDefault="00490F21">
            <w:pPr>
              <w:spacing w:after="0" w:line="259" w:lineRule="auto"/>
              <w:ind w:left="44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642"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418" w:type="dxa"/>
            <w:gridSpan w:val="2"/>
            <w:tcBorders>
              <w:top w:val="nil"/>
              <w:left w:val="nil"/>
              <w:bottom w:val="nil"/>
              <w:right w:val="nil"/>
            </w:tcBorders>
          </w:tcPr>
          <w:p w:rsidR="004D6F0E" w:rsidRDefault="00490F21">
            <w:pPr>
              <w:spacing w:after="0" w:line="259" w:lineRule="auto"/>
              <w:ind w:left="504" w:firstLine="0"/>
            </w:pPr>
            <w:r>
              <w:rPr>
                <w:sz w:val="18"/>
              </w:rPr>
              <w:t>無</w:t>
            </w: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0" w:line="259" w:lineRule="auto"/>
              <w:ind w:left="7" w:firstLine="0"/>
              <w:jc w:val="center"/>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1" w:type="dxa"/>
          <w:trHeight w:val="233"/>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488" w:type="dxa"/>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3"/>
            <w:tcBorders>
              <w:top w:val="nil"/>
              <w:left w:val="nil"/>
              <w:bottom w:val="nil"/>
              <w:right w:val="nil"/>
            </w:tcBorders>
          </w:tcPr>
          <w:p w:rsidR="004D6F0E" w:rsidRDefault="00490F21">
            <w:pPr>
              <w:spacing w:after="0" w:line="259" w:lineRule="auto"/>
              <w:ind w:left="44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642"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418" w:type="dxa"/>
            <w:gridSpan w:val="2"/>
            <w:tcBorders>
              <w:top w:val="nil"/>
              <w:left w:val="nil"/>
              <w:bottom w:val="nil"/>
              <w:right w:val="nil"/>
            </w:tcBorders>
          </w:tcPr>
          <w:p w:rsidR="004D6F0E" w:rsidRDefault="00490F21">
            <w:pPr>
              <w:spacing w:after="0" w:line="259" w:lineRule="auto"/>
              <w:ind w:left="504" w:firstLine="0"/>
            </w:pPr>
            <w:r>
              <w:rPr>
                <w:sz w:val="18"/>
              </w:rPr>
              <w:t>無</w:t>
            </w: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0" w:line="259" w:lineRule="auto"/>
              <w:ind w:left="7" w:firstLine="0"/>
              <w:jc w:val="center"/>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1" w:type="dxa"/>
          <w:trHeight w:val="235"/>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488" w:type="dxa"/>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3"/>
            <w:tcBorders>
              <w:top w:val="nil"/>
              <w:left w:val="nil"/>
              <w:bottom w:val="nil"/>
              <w:right w:val="nil"/>
            </w:tcBorders>
          </w:tcPr>
          <w:p w:rsidR="004D6F0E" w:rsidRDefault="00490F21">
            <w:pPr>
              <w:spacing w:after="0" w:line="259" w:lineRule="auto"/>
              <w:ind w:left="204"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642" w:type="dxa"/>
            <w:tcBorders>
              <w:top w:val="nil"/>
              <w:left w:val="nil"/>
              <w:bottom w:val="nil"/>
              <w:right w:val="nil"/>
            </w:tcBorders>
          </w:tcPr>
          <w:p w:rsidR="004D6F0E" w:rsidRDefault="00490F21">
            <w:pPr>
              <w:spacing w:after="0" w:line="259" w:lineRule="auto"/>
              <w:ind w:left="516" w:firstLine="0"/>
            </w:pPr>
            <w:r>
              <w:rPr>
                <w:sz w:val="18"/>
              </w:rPr>
              <w:t>無</w:t>
            </w:r>
            <w:r>
              <w:rPr>
                <w:rFonts w:ascii="Arial" w:eastAsia="Arial" w:hAnsi="Arial" w:cs="Arial"/>
                <w:sz w:val="18"/>
              </w:rPr>
              <w:t xml:space="preserve"> </w:t>
            </w:r>
          </w:p>
        </w:tc>
        <w:tc>
          <w:tcPr>
            <w:tcW w:w="1418" w:type="dxa"/>
            <w:gridSpan w:val="2"/>
            <w:tcBorders>
              <w:top w:val="nil"/>
              <w:left w:val="nil"/>
              <w:bottom w:val="nil"/>
              <w:right w:val="nil"/>
            </w:tcBorders>
          </w:tcPr>
          <w:p w:rsidR="004D6F0E" w:rsidRDefault="00490F21">
            <w:pPr>
              <w:spacing w:after="0" w:line="259" w:lineRule="auto"/>
              <w:ind w:left="504" w:firstLine="0"/>
            </w:pPr>
            <w:r>
              <w:rPr>
                <w:sz w:val="18"/>
              </w:rPr>
              <w:t>無</w:t>
            </w: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0" w:line="259" w:lineRule="auto"/>
              <w:ind w:left="7" w:firstLine="0"/>
              <w:jc w:val="center"/>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1" w:type="dxa"/>
          <w:trHeight w:val="238"/>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488" w:type="dxa"/>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3"/>
            <w:tcBorders>
              <w:top w:val="nil"/>
              <w:left w:val="nil"/>
              <w:bottom w:val="nil"/>
              <w:right w:val="nil"/>
            </w:tcBorders>
          </w:tcPr>
          <w:p w:rsidR="004D6F0E" w:rsidRDefault="00490F21">
            <w:pPr>
              <w:spacing w:after="0" w:line="259" w:lineRule="auto"/>
              <w:ind w:left="154"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642" w:type="dxa"/>
            <w:tcBorders>
              <w:top w:val="nil"/>
              <w:left w:val="nil"/>
              <w:bottom w:val="nil"/>
              <w:right w:val="nil"/>
            </w:tcBorders>
          </w:tcPr>
          <w:p w:rsidR="004D6F0E" w:rsidRDefault="00490F21">
            <w:pPr>
              <w:spacing w:after="0" w:line="259" w:lineRule="auto"/>
              <w:ind w:left="516" w:firstLine="0"/>
            </w:pPr>
            <w:r>
              <w:rPr>
                <w:sz w:val="18"/>
              </w:rPr>
              <w:t>無</w:t>
            </w:r>
            <w:r>
              <w:rPr>
                <w:rFonts w:ascii="Arial" w:eastAsia="Arial" w:hAnsi="Arial" w:cs="Arial"/>
                <w:sz w:val="18"/>
              </w:rPr>
              <w:t xml:space="preserve"> </w:t>
            </w:r>
          </w:p>
        </w:tc>
        <w:tc>
          <w:tcPr>
            <w:tcW w:w="1418" w:type="dxa"/>
            <w:gridSpan w:val="2"/>
            <w:tcBorders>
              <w:top w:val="nil"/>
              <w:left w:val="nil"/>
              <w:bottom w:val="nil"/>
              <w:right w:val="nil"/>
            </w:tcBorders>
          </w:tcPr>
          <w:p w:rsidR="004D6F0E" w:rsidRDefault="00490F21">
            <w:pPr>
              <w:spacing w:after="0" w:line="259" w:lineRule="auto"/>
              <w:ind w:left="504" w:firstLine="0"/>
            </w:pPr>
            <w:r>
              <w:rPr>
                <w:sz w:val="18"/>
              </w:rPr>
              <w:t>無</w:t>
            </w: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0" w:line="259" w:lineRule="auto"/>
              <w:ind w:left="7" w:firstLine="0"/>
              <w:jc w:val="center"/>
            </w:pPr>
            <w:r>
              <w:rPr>
                <w:rFonts w:ascii="Arial" w:eastAsia="Arial" w:hAnsi="Arial" w:cs="Arial"/>
                <w:sz w:val="18"/>
              </w:rPr>
              <w:t xml:space="preserve">0.01% </w:t>
            </w:r>
          </w:p>
        </w:tc>
      </w:tr>
      <w:tr w:rsidR="004D6F0E">
        <w:tblPrEx>
          <w:tblCellMar>
            <w:top w:w="2" w:type="dxa"/>
            <w:right w:w="0" w:type="dxa"/>
          </w:tblCellMar>
        </w:tblPrEx>
        <w:trPr>
          <w:gridBefore w:val="1"/>
          <w:gridAfter w:val="1"/>
          <w:wBefore w:w="115" w:type="dxa"/>
          <w:wAfter w:w="121" w:type="dxa"/>
          <w:trHeight w:val="208"/>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488" w:type="dxa"/>
            <w:tcBorders>
              <w:top w:val="nil"/>
              <w:left w:val="nil"/>
              <w:bottom w:val="nil"/>
              <w:right w:val="nil"/>
            </w:tcBorders>
          </w:tcPr>
          <w:p w:rsidR="004D6F0E" w:rsidRDefault="00490F21">
            <w:pPr>
              <w:spacing w:after="0" w:line="259" w:lineRule="auto"/>
              <w:ind w:left="451" w:firstLine="0"/>
            </w:pPr>
            <w:r>
              <w:rPr>
                <w:rFonts w:ascii="Arial" w:eastAsia="Arial" w:hAnsi="Arial" w:cs="Arial"/>
                <w:sz w:val="18"/>
              </w:rPr>
              <w:t xml:space="preserve"> </w:t>
            </w:r>
          </w:p>
        </w:tc>
        <w:tc>
          <w:tcPr>
            <w:tcW w:w="2184" w:type="dxa"/>
            <w:gridSpan w:val="3"/>
            <w:tcBorders>
              <w:top w:val="nil"/>
              <w:left w:val="nil"/>
              <w:bottom w:val="nil"/>
              <w:right w:val="nil"/>
            </w:tcBorders>
          </w:tcPr>
          <w:p w:rsidR="004D6F0E" w:rsidRDefault="00490F21">
            <w:pPr>
              <w:spacing w:after="0" w:line="259" w:lineRule="auto"/>
              <w:ind w:left="876" w:firstLine="0"/>
            </w:pPr>
            <w:r>
              <w:rPr>
                <w:rFonts w:ascii="Arial" w:eastAsia="Arial" w:hAnsi="Arial" w:cs="Arial"/>
                <w:sz w:val="18"/>
              </w:rPr>
              <w:t xml:space="preserve"> </w:t>
            </w:r>
          </w:p>
        </w:tc>
        <w:tc>
          <w:tcPr>
            <w:tcW w:w="1642" w:type="dxa"/>
            <w:tcBorders>
              <w:top w:val="nil"/>
              <w:left w:val="nil"/>
              <w:bottom w:val="nil"/>
              <w:right w:val="nil"/>
            </w:tcBorders>
          </w:tcPr>
          <w:p w:rsidR="004D6F0E" w:rsidRDefault="00490F21">
            <w:pPr>
              <w:spacing w:after="0" w:line="259" w:lineRule="auto"/>
              <w:ind w:left="607" w:firstLine="0"/>
            </w:pPr>
            <w:r>
              <w:rPr>
                <w:rFonts w:ascii="Arial" w:eastAsia="Arial" w:hAnsi="Arial" w:cs="Arial"/>
                <w:sz w:val="18"/>
              </w:rPr>
              <w:t xml:space="preserve"> </w:t>
            </w:r>
          </w:p>
        </w:tc>
        <w:tc>
          <w:tcPr>
            <w:tcW w:w="1418" w:type="dxa"/>
            <w:gridSpan w:val="2"/>
            <w:tcBorders>
              <w:top w:val="nil"/>
              <w:left w:val="nil"/>
              <w:bottom w:val="nil"/>
              <w:right w:val="nil"/>
            </w:tcBorders>
          </w:tcPr>
          <w:p w:rsidR="004D6F0E" w:rsidRDefault="00490F21">
            <w:pPr>
              <w:spacing w:after="0" w:line="259" w:lineRule="auto"/>
              <w:ind w:left="593" w:firstLine="0"/>
            </w:pP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0" w:line="259" w:lineRule="auto"/>
              <w:ind w:left="53" w:firstLine="0"/>
              <w:jc w:val="center"/>
            </w:pPr>
            <w:r>
              <w:rPr>
                <w:rFonts w:ascii="Arial" w:eastAsia="Arial" w:hAnsi="Arial" w:cs="Arial"/>
                <w:sz w:val="18"/>
              </w:rPr>
              <w:t xml:space="preserve"> </w:t>
            </w:r>
          </w:p>
        </w:tc>
      </w:tr>
      <w:tr w:rsidR="004D6F0E">
        <w:tblPrEx>
          <w:tblCellMar>
            <w:top w:w="2" w:type="dxa"/>
            <w:right w:w="0" w:type="dxa"/>
          </w:tblCellMar>
        </w:tblPrEx>
        <w:trPr>
          <w:gridBefore w:val="1"/>
          <w:gridAfter w:val="1"/>
          <w:wBefore w:w="115" w:type="dxa"/>
          <w:wAfter w:w="121" w:type="dxa"/>
          <w:trHeight w:val="433"/>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1488" w:type="dxa"/>
            <w:tcBorders>
              <w:top w:val="nil"/>
              <w:left w:val="nil"/>
              <w:bottom w:val="nil"/>
              <w:right w:val="nil"/>
            </w:tcBorders>
            <w:vAlign w:val="bottom"/>
          </w:tcPr>
          <w:p w:rsidR="004D6F0E" w:rsidRDefault="00490F21">
            <w:pPr>
              <w:spacing w:after="0" w:line="259" w:lineRule="auto"/>
              <w:ind w:left="91" w:firstLine="0"/>
            </w:pPr>
            <w:r>
              <w:rPr>
                <w:sz w:val="18"/>
              </w:rPr>
              <w:t>對沖貨幣</w:t>
            </w:r>
            <w:r>
              <w:rPr>
                <w:rFonts w:ascii="Arial" w:eastAsia="Arial" w:hAnsi="Arial" w:cs="Arial"/>
                <w:sz w:val="18"/>
              </w:rPr>
              <w:t xml:space="preserve"> </w:t>
            </w:r>
          </w:p>
        </w:tc>
        <w:tc>
          <w:tcPr>
            <w:tcW w:w="2184" w:type="dxa"/>
            <w:gridSpan w:val="3"/>
            <w:tcBorders>
              <w:top w:val="nil"/>
              <w:left w:val="nil"/>
              <w:bottom w:val="nil"/>
              <w:right w:val="nil"/>
            </w:tcBorders>
            <w:vAlign w:val="bottom"/>
          </w:tcPr>
          <w:p w:rsidR="004D6F0E" w:rsidRDefault="00490F21">
            <w:pPr>
              <w:spacing w:after="0" w:line="259" w:lineRule="auto"/>
              <w:ind w:left="300" w:firstLine="0"/>
            </w:pPr>
            <w:r>
              <w:rPr>
                <w:sz w:val="18"/>
              </w:rPr>
              <w:t>最低首次投資</w:t>
            </w:r>
            <w:r>
              <w:rPr>
                <w:rFonts w:ascii="Arial" w:eastAsia="Arial" w:hAnsi="Arial" w:cs="Arial"/>
                <w:b/>
                <w:sz w:val="18"/>
              </w:rPr>
              <w:t>*</w:t>
            </w:r>
            <w:r>
              <w:rPr>
                <w:rFonts w:ascii="Arial" w:eastAsia="Arial" w:hAnsi="Arial" w:cs="Arial"/>
                <w:sz w:val="18"/>
              </w:rPr>
              <w:t xml:space="preserve"> </w:t>
            </w:r>
          </w:p>
        </w:tc>
        <w:tc>
          <w:tcPr>
            <w:tcW w:w="1642" w:type="dxa"/>
            <w:tcBorders>
              <w:top w:val="nil"/>
              <w:left w:val="nil"/>
              <w:bottom w:val="nil"/>
              <w:right w:val="nil"/>
            </w:tcBorders>
            <w:vAlign w:val="bottom"/>
          </w:tcPr>
          <w:p w:rsidR="004D6F0E" w:rsidRDefault="00490F21">
            <w:pPr>
              <w:spacing w:after="0" w:line="259" w:lineRule="auto"/>
              <w:ind w:left="31" w:firstLine="0"/>
            </w:pPr>
            <w:r>
              <w:rPr>
                <w:sz w:val="18"/>
              </w:rPr>
              <w:t>最低後續投資</w:t>
            </w:r>
            <w:r>
              <w:rPr>
                <w:rFonts w:ascii="Arial" w:eastAsia="Arial" w:hAnsi="Arial" w:cs="Arial"/>
                <w:b/>
                <w:sz w:val="18"/>
              </w:rPr>
              <w:t>*</w:t>
            </w:r>
            <w:r>
              <w:rPr>
                <w:rFonts w:ascii="Arial" w:eastAsia="Arial" w:hAnsi="Arial" w:cs="Arial"/>
                <w:sz w:val="18"/>
              </w:rPr>
              <w:t xml:space="preserve"> </w:t>
            </w:r>
          </w:p>
        </w:tc>
        <w:tc>
          <w:tcPr>
            <w:tcW w:w="1418" w:type="dxa"/>
            <w:gridSpan w:val="2"/>
            <w:tcBorders>
              <w:top w:val="nil"/>
              <w:left w:val="nil"/>
              <w:bottom w:val="nil"/>
              <w:right w:val="nil"/>
            </w:tcBorders>
            <w:vAlign w:val="bottom"/>
          </w:tcPr>
          <w:p w:rsidR="004D6F0E" w:rsidRDefault="00490F21">
            <w:pPr>
              <w:spacing w:after="0" w:line="259" w:lineRule="auto"/>
              <w:ind w:left="163" w:firstLine="0"/>
            </w:pPr>
            <w:r>
              <w:rPr>
                <w:sz w:val="18"/>
              </w:rPr>
              <w:t>最高投資</w:t>
            </w:r>
            <w:r>
              <w:rPr>
                <w:rFonts w:ascii="Arial" w:eastAsia="Arial" w:hAnsi="Arial" w:cs="Arial"/>
                <w:b/>
                <w:sz w:val="18"/>
              </w:rPr>
              <w:t>**</w:t>
            </w:r>
            <w:r>
              <w:rPr>
                <w:rFonts w:ascii="Arial" w:eastAsia="Arial" w:hAnsi="Arial" w:cs="Arial"/>
                <w:sz w:val="18"/>
              </w:rPr>
              <w:t xml:space="preserve"> </w:t>
            </w:r>
          </w:p>
        </w:tc>
        <w:tc>
          <w:tcPr>
            <w:tcW w:w="1749" w:type="dxa"/>
            <w:gridSpan w:val="2"/>
            <w:tcBorders>
              <w:top w:val="nil"/>
              <w:left w:val="nil"/>
              <w:bottom w:val="nil"/>
              <w:right w:val="nil"/>
            </w:tcBorders>
          </w:tcPr>
          <w:p w:rsidR="004D6F0E" w:rsidRDefault="00490F21">
            <w:pPr>
              <w:spacing w:after="13" w:line="259" w:lineRule="auto"/>
              <w:ind w:left="130" w:firstLine="0"/>
              <w:jc w:val="both"/>
            </w:pPr>
            <w:r>
              <w:rPr>
                <w:sz w:val="18"/>
              </w:rPr>
              <w:t>盧森堡年稅</w:t>
            </w:r>
            <w:r>
              <w:t>（</w:t>
            </w:r>
            <w:r>
              <w:rPr>
                <w:rFonts w:ascii="Arial" w:eastAsia="Arial" w:hAnsi="Arial" w:cs="Arial"/>
                <w:b/>
                <w:i/>
                <w:sz w:val="18"/>
              </w:rPr>
              <w:t xml:space="preserve">Taxe </w:t>
            </w:r>
          </w:p>
          <w:p w:rsidR="004D6F0E" w:rsidRDefault="00490F21">
            <w:pPr>
              <w:spacing w:after="0" w:line="259" w:lineRule="auto"/>
              <w:ind w:left="55" w:firstLine="0"/>
              <w:jc w:val="both"/>
            </w:pP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tc>
      </w:tr>
    </w:tbl>
    <w:p w:rsidR="004D6F0E" w:rsidRDefault="00490F21">
      <w:pPr>
        <w:spacing w:after="16" w:line="259" w:lineRule="auto"/>
        <w:ind w:left="2354" w:right="-83" w:firstLine="0"/>
      </w:pPr>
      <w:r>
        <w:rPr>
          <w:rFonts w:ascii="Calibri" w:eastAsia="Calibri" w:hAnsi="Calibri" w:cs="Calibri"/>
          <w:noProof/>
          <w:sz w:val="22"/>
        </w:rPr>
        <mc:AlternateContent>
          <mc:Choice Requires="wpg">
            <w:drawing>
              <wp:inline distT="0" distB="0" distL="0" distR="0">
                <wp:extent cx="5650992" cy="6096"/>
                <wp:effectExtent l="0" t="0" r="0" b="0"/>
                <wp:docPr id="465284" name="Group 465284"/>
                <wp:cNvGraphicFramePr/>
                <a:graphic xmlns:a="http://schemas.openxmlformats.org/drawingml/2006/main">
                  <a:graphicData uri="http://schemas.microsoft.com/office/word/2010/wordprocessingGroup">
                    <wpg:wgp>
                      <wpg:cNvGrpSpPr/>
                      <wpg:grpSpPr>
                        <a:xfrm>
                          <a:off x="0" y="0"/>
                          <a:ext cx="5650992" cy="6096"/>
                          <a:chOff x="0" y="0"/>
                          <a:chExt cx="5650992" cy="6096"/>
                        </a:xfrm>
                      </wpg:grpSpPr>
                      <wps:wsp>
                        <wps:cNvPr id="658011" name="Shape 658011"/>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12" name="Shape 658012"/>
                        <wps:cNvSpPr/>
                        <wps:spPr>
                          <a:xfrm>
                            <a:off x="117043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13" name="Shape 658013"/>
                        <wps:cNvSpPr/>
                        <wps:spPr>
                          <a:xfrm>
                            <a:off x="243078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14" name="Shape 658014"/>
                        <wps:cNvSpPr/>
                        <wps:spPr>
                          <a:xfrm>
                            <a:off x="3599688" y="0"/>
                            <a:ext cx="790956" cy="9144"/>
                          </a:xfrm>
                          <a:custGeom>
                            <a:avLst/>
                            <a:gdLst/>
                            <a:ahLst/>
                            <a:cxnLst/>
                            <a:rect l="0" t="0" r="0" b="0"/>
                            <a:pathLst>
                              <a:path w="790956" h="9144">
                                <a:moveTo>
                                  <a:pt x="0" y="0"/>
                                </a:moveTo>
                                <a:lnTo>
                                  <a:pt x="790956" y="0"/>
                                </a:lnTo>
                                <a:lnTo>
                                  <a:pt x="790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15" name="Shape 658015"/>
                        <wps:cNvSpPr/>
                        <wps:spPr>
                          <a:xfrm>
                            <a:off x="450037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5284" style="width:444.96pt;height:0.480011pt;mso-position-horizontal-relative:char;mso-position-vertical-relative:line" coordsize="56509,60">
                <v:shape id="Shape 658016" style="position:absolute;width:10607;height:91;left:0;top:0;" coordsize="1060704,9144" path="m0,0l1060704,0l1060704,9144l0,9144l0,0">
                  <v:stroke weight="0pt" endcap="flat" joinstyle="miter" miterlimit="10" on="false" color="#000000" opacity="0"/>
                  <v:fill on="true" color="#000000"/>
                </v:shape>
                <v:shape id="Shape 658017" style="position:absolute;width:11506;height:91;left:11704;top:0;" coordsize="1150620,9144" path="m0,0l1150620,0l1150620,9144l0,9144l0,0">
                  <v:stroke weight="0pt" endcap="flat" joinstyle="miter" miterlimit="10" on="false" color="#000000" opacity="0"/>
                  <v:fill on="true" color="#000000"/>
                </v:shape>
                <v:shape id="Shape 658018" style="position:absolute;width:10607;height:91;left:24307;top:0;" coordsize="1060704,9144" path="m0,0l1060704,0l1060704,9144l0,9144l0,0">
                  <v:stroke weight="0pt" endcap="flat" joinstyle="miter" miterlimit="10" on="false" color="#000000" opacity="0"/>
                  <v:fill on="true" color="#000000"/>
                </v:shape>
                <v:shape id="Shape 658019" style="position:absolute;width:7909;height:91;left:35996;top:0;" coordsize="790956,9144" path="m0,0l790956,0l790956,9144l0,9144l0,0">
                  <v:stroke weight="0pt" endcap="flat" joinstyle="miter" miterlimit="10" on="false" color="#000000" opacity="0"/>
                  <v:fill on="true" color="#000000"/>
                </v:shape>
                <v:shape id="Shape 658020" style="position:absolute;width:11506;height:91;left:45003;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b/>
          <w:sz w:val="6"/>
        </w:rPr>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r>
        <w:rPr>
          <w:rFonts w:ascii="Arial" w:eastAsia="Arial" w:hAnsi="Arial" w:cs="Arial"/>
          <w:b/>
          <w:sz w:val="6"/>
        </w:rPr>
        <w:tab/>
        <w:t xml:space="preserve"> </w:t>
      </w:r>
    </w:p>
    <w:tbl>
      <w:tblPr>
        <w:tblStyle w:val="TableGrid"/>
        <w:tblW w:w="11340" w:type="dxa"/>
        <w:tblInd w:w="0" w:type="dxa"/>
        <w:tblCellMar>
          <w:top w:w="21" w:type="dxa"/>
          <w:left w:w="0" w:type="dxa"/>
          <w:bottom w:w="0" w:type="dxa"/>
          <w:right w:w="104" w:type="dxa"/>
        </w:tblCellMar>
        <w:tblLook w:val="04A0" w:firstRow="1" w:lastRow="0" w:firstColumn="1" w:lastColumn="0" w:noHBand="0" w:noVBand="1"/>
      </w:tblPr>
      <w:tblGrid>
        <w:gridCol w:w="115"/>
        <w:gridCol w:w="2623"/>
        <w:gridCol w:w="272"/>
        <w:gridCol w:w="1216"/>
        <w:gridCol w:w="154"/>
        <w:gridCol w:w="2030"/>
        <w:gridCol w:w="255"/>
        <w:gridCol w:w="1891"/>
        <w:gridCol w:w="914"/>
        <w:gridCol w:w="622"/>
        <w:gridCol w:w="561"/>
        <w:gridCol w:w="687"/>
      </w:tblGrid>
      <w:tr w:rsidR="004D6F0E">
        <w:trPr>
          <w:trHeight w:val="233"/>
        </w:trPr>
        <w:tc>
          <w:tcPr>
            <w:tcW w:w="3010" w:type="dxa"/>
            <w:gridSpan w:val="3"/>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歐元對沖股份類別</w:t>
            </w:r>
            <w:r>
              <w:rPr>
                <w:rFonts w:ascii="Arial" w:eastAsia="Arial" w:hAnsi="Arial" w:cs="Arial"/>
                <w:b/>
                <w:sz w:val="18"/>
              </w:rPr>
              <w:t xml:space="preserve"> </w:t>
            </w:r>
            <w:r>
              <w:rPr>
                <w:rFonts w:ascii="Arial" w:eastAsia="Arial" w:hAnsi="Arial" w:cs="Arial"/>
                <w:b/>
                <w:sz w:val="18"/>
              </w:rPr>
              <w:tab/>
              <w:t xml:space="preserve"> </w:t>
            </w:r>
          </w:p>
        </w:tc>
        <w:tc>
          <w:tcPr>
            <w:tcW w:w="1370" w:type="dxa"/>
            <w:gridSpan w:val="2"/>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2285" w:type="dxa"/>
            <w:gridSpan w:val="2"/>
            <w:tcBorders>
              <w:top w:val="nil"/>
              <w:left w:val="nil"/>
              <w:bottom w:val="nil"/>
              <w:right w:val="nil"/>
            </w:tcBorders>
            <w:shd w:val="clear" w:color="auto" w:fill="D9D9D9"/>
          </w:tcPr>
          <w:p w:rsidR="004D6F0E" w:rsidRDefault="00490F21">
            <w:pPr>
              <w:spacing w:after="0" w:line="259" w:lineRule="auto"/>
              <w:ind w:left="1831" w:firstLine="0"/>
            </w:pPr>
            <w:r>
              <w:rPr>
                <w:rFonts w:ascii="Arial" w:eastAsia="Arial" w:hAnsi="Arial" w:cs="Arial"/>
                <w:b/>
                <w:sz w:val="18"/>
              </w:rPr>
              <w:t xml:space="preserve"> </w:t>
            </w:r>
          </w:p>
        </w:tc>
        <w:tc>
          <w:tcPr>
            <w:tcW w:w="1891" w:type="dxa"/>
            <w:tcBorders>
              <w:top w:val="nil"/>
              <w:left w:val="nil"/>
              <w:bottom w:val="nil"/>
              <w:right w:val="nil"/>
            </w:tcBorders>
            <w:shd w:val="clear" w:color="auto" w:fill="D9D9D9"/>
          </w:tcPr>
          <w:p w:rsidR="004D6F0E" w:rsidRDefault="00490F21">
            <w:pPr>
              <w:spacing w:after="0" w:line="259" w:lineRule="auto"/>
              <w:ind w:left="1037" w:firstLine="0"/>
              <w:jc w:val="center"/>
            </w:pPr>
            <w:r>
              <w:rPr>
                <w:rFonts w:ascii="Arial" w:eastAsia="Arial" w:hAnsi="Arial" w:cs="Arial"/>
                <w:b/>
                <w:sz w:val="18"/>
              </w:rPr>
              <w:t xml:space="preserve"> </w:t>
            </w:r>
          </w:p>
        </w:tc>
        <w:tc>
          <w:tcPr>
            <w:tcW w:w="1536" w:type="dxa"/>
            <w:gridSpan w:val="2"/>
            <w:tcBorders>
              <w:top w:val="nil"/>
              <w:left w:val="nil"/>
              <w:bottom w:val="nil"/>
              <w:right w:val="nil"/>
            </w:tcBorders>
            <w:shd w:val="clear" w:color="auto" w:fill="D9D9D9"/>
          </w:tcPr>
          <w:p w:rsidR="004D6F0E" w:rsidRDefault="00490F21">
            <w:pPr>
              <w:spacing w:after="0" w:line="259" w:lineRule="auto"/>
              <w:ind w:left="446" w:firstLine="0"/>
              <w:jc w:val="center"/>
            </w:pPr>
            <w:r>
              <w:rPr>
                <w:rFonts w:ascii="Arial" w:eastAsia="Arial" w:hAnsi="Arial" w:cs="Arial"/>
                <w:b/>
                <w:sz w:val="18"/>
              </w:rPr>
              <w:t xml:space="preserve"> </w:t>
            </w: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3010"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7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85" w:type="dxa"/>
            <w:gridSpan w:val="2"/>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9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3010"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7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85" w:type="dxa"/>
            <w:gridSpan w:val="2"/>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9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3010"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7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85" w:type="dxa"/>
            <w:gridSpan w:val="2"/>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891" w:type="dxa"/>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3010"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S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70"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85"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891" w:type="dxa"/>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5"/>
        </w:trPr>
        <w:tc>
          <w:tcPr>
            <w:tcW w:w="3010" w:type="dxa"/>
            <w:gridSpan w:val="3"/>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70" w:type="dxa"/>
            <w:gridSpan w:val="2"/>
            <w:tcBorders>
              <w:top w:val="nil"/>
              <w:left w:val="nil"/>
              <w:bottom w:val="nil"/>
              <w:right w:val="nil"/>
            </w:tcBorders>
          </w:tcPr>
          <w:p w:rsidR="004D6F0E" w:rsidRDefault="00490F21">
            <w:pPr>
              <w:spacing w:after="10"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285" w:type="dxa"/>
            <w:gridSpan w:val="2"/>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891" w:type="dxa"/>
            <w:tcBorders>
              <w:top w:val="nil"/>
              <w:left w:val="nil"/>
              <w:bottom w:val="nil"/>
              <w:right w:val="nil"/>
            </w:tcBorders>
          </w:tcPr>
          <w:p w:rsidR="004D6F0E" w:rsidRDefault="00490F21">
            <w:pPr>
              <w:spacing w:after="9" w:line="259" w:lineRule="auto"/>
              <w:ind w:left="262" w:firstLine="0"/>
            </w:pPr>
            <w:r>
              <w:rPr>
                <w:sz w:val="18"/>
              </w:rPr>
              <w:t>無</w:t>
            </w:r>
            <w:r>
              <w:rPr>
                <w:rFonts w:ascii="Arial" w:eastAsia="Arial" w:hAnsi="Arial" w:cs="Arial"/>
                <w:sz w:val="18"/>
              </w:rPr>
              <w:t xml:space="preserve"> </w:t>
            </w:r>
          </w:p>
          <w:p w:rsidR="004D6F0E" w:rsidRDefault="00490F21">
            <w:pPr>
              <w:spacing w:after="0" w:line="259" w:lineRule="auto"/>
              <w:ind w:left="353" w:firstLine="0"/>
            </w:pPr>
            <w:r>
              <w:rPr>
                <w:rFonts w:ascii="Arial" w:eastAsia="Arial" w:hAnsi="Arial" w:cs="Arial"/>
                <w:sz w:val="18"/>
              </w:rPr>
              <w:t xml:space="preserve"> </w:t>
            </w:r>
          </w:p>
        </w:tc>
        <w:tc>
          <w:tcPr>
            <w:tcW w:w="153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3010"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美元對沖股份類別</w:t>
            </w:r>
            <w:r>
              <w:rPr>
                <w:rFonts w:ascii="Arial" w:eastAsia="Arial" w:hAnsi="Arial" w:cs="Arial"/>
                <w:sz w:val="18"/>
              </w:rPr>
              <w:t xml:space="preserve"> </w:t>
            </w:r>
          </w:p>
        </w:tc>
        <w:tc>
          <w:tcPr>
            <w:tcW w:w="137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85"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91" w:type="dxa"/>
            <w:tcBorders>
              <w:top w:val="nil"/>
              <w:left w:val="nil"/>
              <w:bottom w:val="nil"/>
              <w:right w:val="nil"/>
            </w:tcBorders>
            <w:shd w:val="clear" w:color="auto" w:fill="D9D9D9"/>
          </w:tcPr>
          <w:p w:rsidR="004D6F0E" w:rsidRDefault="004D6F0E">
            <w:pPr>
              <w:spacing w:after="160" w:line="259" w:lineRule="auto"/>
              <w:ind w:left="0" w:firstLine="0"/>
            </w:pPr>
          </w:p>
        </w:tc>
        <w:tc>
          <w:tcPr>
            <w:tcW w:w="153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Before w:val="1"/>
          <w:gridAfter w:val="1"/>
          <w:wBefore w:w="115" w:type="dxa"/>
          <w:wAfter w:w="687" w:type="dxa"/>
          <w:trHeight w:val="212"/>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88" w:type="dxa"/>
            <w:gridSpan w:val="2"/>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44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146"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83"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87" w:type="dxa"/>
          <w:trHeight w:val="235"/>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88" w:type="dxa"/>
            <w:gridSpan w:val="2"/>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44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146"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83"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87" w:type="dxa"/>
          <w:trHeight w:val="234"/>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88" w:type="dxa"/>
            <w:gridSpan w:val="2"/>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204"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146" w:type="dxa"/>
            <w:gridSpan w:val="2"/>
            <w:tcBorders>
              <w:top w:val="nil"/>
              <w:left w:val="nil"/>
              <w:bottom w:val="nil"/>
              <w:right w:val="nil"/>
            </w:tcBorders>
          </w:tcPr>
          <w:p w:rsidR="004D6F0E" w:rsidRDefault="00490F21">
            <w:pPr>
              <w:spacing w:after="0" w:line="259" w:lineRule="auto"/>
              <w:ind w:left="516" w:firstLine="0"/>
            </w:pPr>
            <w:r>
              <w:rPr>
                <w:sz w:val="18"/>
              </w:rPr>
              <w:t>無</w:t>
            </w:r>
            <w:r>
              <w:rPr>
                <w:rFonts w:ascii="Arial" w:eastAsia="Arial" w:hAnsi="Arial" w:cs="Arial"/>
                <w:sz w:val="18"/>
              </w:rPr>
              <w:t xml:space="preserve"> </w:t>
            </w: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83"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87" w:type="dxa"/>
          <w:trHeight w:val="234"/>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88" w:type="dxa"/>
            <w:gridSpan w:val="2"/>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154"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2146" w:type="dxa"/>
            <w:gridSpan w:val="2"/>
            <w:tcBorders>
              <w:top w:val="nil"/>
              <w:left w:val="nil"/>
              <w:bottom w:val="nil"/>
              <w:right w:val="nil"/>
            </w:tcBorders>
          </w:tcPr>
          <w:p w:rsidR="004D6F0E" w:rsidRDefault="00490F21">
            <w:pPr>
              <w:spacing w:after="0" w:line="259" w:lineRule="auto"/>
              <w:ind w:left="516" w:firstLine="0"/>
            </w:pPr>
            <w:r>
              <w:rPr>
                <w:sz w:val="18"/>
              </w:rPr>
              <w:t>無</w:t>
            </w:r>
            <w:r>
              <w:rPr>
                <w:rFonts w:ascii="Arial" w:eastAsia="Arial" w:hAnsi="Arial" w:cs="Arial"/>
                <w:sz w:val="18"/>
              </w:rPr>
              <w:t xml:space="preserve"> </w:t>
            </w: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83"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0.01% </w:t>
            </w:r>
          </w:p>
        </w:tc>
      </w:tr>
      <w:tr w:rsidR="004D6F0E">
        <w:tblPrEx>
          <w:tblCellMar>
            <w:top w:w="2" w:type="dxa"/>
            <w:right w:w="0" w:type="dxa"/>
          </w:tblCellMar>
        </w:tblPrEx>
        <w:trPr>
          <w:gridBefore w:val="1"/>
          <w:gridAfter w:val="1"/>
          <w:wBefore w:w="115" w:type="dxa"/>
          <w:wAfter w:w="687" w:type="dxa"/>
          <w:trHeight w:val="215"/>
        </w:trPr>
        <w:tc>
          <w:tcPr>
            <w:tcW w:w="262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88" w:type="dxa"/>
            <w:gridSpan w:val="2"/>
            <w:tcBorders>
              <w:top w:val="nil"/>
              <w:left w:val="nil"/>
              <w:bottom w:val="nil"/>
              <w:right w:val="nil"/>
            </w:tcBorders>
          </w:tcPr>
          <w:p w:rsidR="004D6F0E" w:rsidRDefault="00490F21">
            <w:pPr>
              <w:spacing w:after="0" w:line="259" w:lineRule="auto"/>
              <w:ind w:left="271" w:firstLine="0"/>
            </w:pPr>
            <w:r>
              <w:rPr>
                <w:sz w:val="18"/>
              </w:rPr>
              <w:t>美元</w:t>
            </w:r>
            <w:r>
              <w:rPr>
                <w:rFonts w:ascii="Arial" w:eastAsia="Arial" w:hAnsi="Arial" w:cs="Arial"/>
                <w:sz w:val="18"/>
              </w:rPr>
              <w:t xml:space="preserve"> </w:t>
            </w:r>
          </w:p>
        </w:tc>
        <w:tc>
          <w:tcPr>
            <w:tcW w:w="2184" w:type="dxa"/>
            <w:gridSpan w:val="2"/>
            <w:tcBorders>
              <w:top w:val="nil"/>
              <w:left w:val="nil"/>
              <w:bottom w:val="nil"/>
              <w:right w:val="nil"/>
            </w:tcBorders>
          </w:tcPr>
          <w:p w:rsidR="004D6F0E" w:rsidRDefault="00490F21">
            <w:pPr>
              <w:spacing w:after="0" w:line="259" w:lineRule="auto"/>
              <w:ind w:left="154"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2146" w:type="dxa"/>
            <w:gridSpan w:val="2"/>
            <w:tcBorders>
              <w:top w:val="nil"/>
              <w:left w:val="nil"/>
              <w:bottom w:val="nil"/>
              <w:right w:val="nil"/>
            </w:tcBorders>
          </w:tcPr>
          <w:p w:rsidR="004D6F0E" w:rsidRDefault="00490F21">
            <w:pPr>
              <w:spacing w:after="0" w:line="259" w:lineRule="auto"/>
              <w:ind w:left="516" w:firstLine="0"/>
            </w:pPr>
            <w:r>
              <w:rPr>
                <w:sz w:val="18"/>
              </w:rPr>
              <w:t>無</w:t>
            </w:r>
            <w:r>
              <w:rPr>
                <w:rFonts w:ascii="Arial" w:eastAsia="Arial" w:hAnsi="Arial" w:cs="Arial"/>
                <w:sz w:val="18"/>
              </w:rPr>
              <w:t xml:space="preserve"> </w:t>
            </w: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83"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0.01% </w:t>
            </w:r>
          </w:p>
        </w:tc>
      </w:tr>
    </w:tbl>
    <w:p w:rsidR="004D6F0E" w:rsidRDefault="00490F21">
      <w:pPr>
        <w:spacing w:after="0"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spacing w:after="0" w:line="259" w:lineRule="auto"/>
        <w:ind w:left="0" w:firstLine="0"/>
      </w:pPr>
      <w:r>
        <w:rPr>
          <w:rFonts w:ascii="Arial" w:eastAsia="Arial" w:hAnsi="Arial" w:cs="Arial"/>
          <w:sz w:val="20"/>
        </w:rPr>
        <w:t xml:space="preserve"> </w:t>
      </w:r>
    </w:p>
    <w:tbl>
      <w:tblPr>
        <w:tblStyle w:val="TableGrid"/>
        <w:tblW w:w="11340" w:type="dxa"/>
        <w:tblInd w:w="0" w:type="dxa"/>
        <w:tblCellMar>
          <w:top w:w="20" w:type="dxa"/>
          <w:left w:w="0" w:type="dxa"/>
          <w:bottom w:w="0" w:type="dxa"/>
          <w:right w:w="68" w:type="dxa"/>
        </w:tblCellMar>
        <w:tblLook w:val="04A0" w:firstRow="1" w:lastRow="0" w:firstColumn="1" w:lastColumn="0" w:noHBand="0" w:noVBand="1"/>
      </w:tblPr>
      <w:tblGrid>
        <w:gridCol w:w="2820"/>
        <w:gridCol w:w="1435"/>
        <w:gridCol w:w="2074"/>
        <w:gridCol w:w="2400"/>
        <w:gridCol w:w="1565"/>
        <w:gridCol w:w="1046"/>
      </w:tblGrid>
      <w:tr w:rsidR="004D6F0E">
        <w:trPr>
          <w:trHeight w:val="235"/>
        </w:trPr>
        <w:tc>
          <w:tcPr>
            <w:tcW w:w="2820"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sz w:val="18"/>
              </w:rPr>
              <w:t xml:space="preserve"> </w:t>
            </w:r>
          </w:p>
        </w:tc>
        <w:tc>
          <w:tcPr>
            <w:tcW w:w="1435" w:type="dxa"/>
            <w:tcBorders>
              <w:top w:val="nil"/>
              <w:left w:val="nil"/>
              <w:bottom w:val="nil"/>
              <w:right w:val="nil"/>
            </w:tcBorders>
            <w:shd w:val="clear" w:color="auto" w:fill="D9D9D9"/>
          </w:tcPr>
          <w:p w:rsidR="004D6F0E" w:rsidRDefault="004D6F0E">
            <w:pPr>
              <w:spacing w:after="160" w:line="259" w:lineRule="auto"/>
              <w:ind w:left="0" w:firstLine="0"/>
            </w:pPr>
          </w:p>
        </w:tc>
        <w:tc>
          <w:tcPr>
            <w:tcW w:w="2074" w:type="dxa"/>
            <w:tcBorders>
              <w:top w:val="nil"/>
              <w:left w:val="nil"/>
              <w:bottom w:val="nil"/>
              <w:right w:val="nil"/>
            </w:tcBorders>
            <w:shd w:val="clear" w:color="auto" w:fill="D9D9D9"/>
          </w:tcPr>
          <w:p w:rsidR="004D6F0E" w:rsidRDefault="004D6F0E">
            <w:pPr>
              <w:spacing w:after="160" w:line="259" w:lineRule="auto"/>
              <w:ind w:left="0" w:firstLine="0"/>
            </w:pPr>
          </w:p>
        </w:tc>
        <w:tc>
          <w:tcPr>
            <w:tcW w:w="2400" w:type="dxa"/>
            <w:tcBorders>
              <w:top w:val="nil"/>
              <w:left w:val="nil"/>
              <w:bottom w:val="nil"/>
              <w:right w:val="nil"/>
            </w:tcBorders>
            <w:shd w:val="clear" w:color="auto" w:fill="D9D9D9"/>
          </w:tcPr>
          <w:p w:rsidR="004D6F0E" w:rsidRDefault="004D6F0E">
            <w:pPr>
              <w:spacing w:after="160" w:line="259" w:lineRule="auto"/>
              <w:ind w:left="0" w:firstLine="0"/>
            </w:pPr>
          </w:p>
        </w:tc>
        <w:tc>
          <w:tcPr>
            <w:tcW w:w="1565" w:type="dxa"/>
            <w:tcBorders>
              <w:top w:val="nil"/>
              <w:left w:val="nil"/>
              <w:bottom w:val="nil"/>
              <w:right w:val="nil"/>
            </w:tcBorders>
            <w:shd w:val="clear" w:color="auto" w:fill="D9D9D9"/>
          </w:tcPr>
          <w:p w:rsidR="004D6F0E" w:rsidRDefault="004D6F0E">
            <w:pPr>
              <w:spacing w:after="160" w:line="259" w:lineRule="auto"/>
              <w:ind w:left="0" w:firstLine="0"/>
            </w:pPr>
          </w:p>
        </w:tc>
        <w:tc>
          <w:tcPr>
            <w:tcW w:w="104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2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820"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7" w:line="259" w:lineRule="auto"/>
              <w:ind w:left="180" w:firstLine="0"/>
            </w:pPr>
            <w:r>
              <w:rPr>
                <w:sz w:val="18"/>
              </w:rPr>
              <w:t>澳元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12"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12"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p w:rsidR="004D6F0E" w:rsidRDefault="00490F21">
            <w:pPr>
              <w:spacing w:after="0" w:line="259" w:lineRule="auto"/>
              <w:ind w:left="658" w:firstLine="0"/>
            </w:pP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820"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1435" w:type="dxa"/>
            <w:tcBorders>
              <w:top w:val="nil"/>
              <w:left w:val="nil"/>
              <w:bottom w:val="nil"/>
              <w:right w:val="nil"/>
            </w:tcBorders>
            <w:shd w:val="clear" w:color="auto" w:fill="D9D9D9"/>
          </w:tcPr>
          <w:p w:rsidR="004D6F0E" w:rsidRDefault="004D6F0E">
            <w:pPr>
              <w:spacing w:after="160" w:line="259" w:lineRule="auto"/>
              <w:ind w:left="0" w:firstLine="0"/>
            </w:pPr>
          </w:p>
        </w:tc>
        <w:tc>
          <w:tcPr>
            <w:tcW w:w="2074" w:type="dxa"/>
            <w:tcBorders>
              <w:top w:val="nil"/>
              <w:left w:val="nil"/>
              <w:bottom w:val="nil"/>
              <w:right w:val="nil"/>
            </w:tcBorders>
            <w:shd w:val="clear" w:color="auto" w:fill="D9D9D9"/>
          </w:tcPr>
          <w:p w:rsidR="004D6F0E" w:rsidRDefault="004D6F0E">
            <w:pPr>
              <w:spacing w:after="160" w:line="259" w:lineRule="auto"/>
              <w:ind w:left="0" w:firstLine="0"/>
            </w:pPr>
          </w:p>
        </w:tc>
        <w:tc>
          <w:tcPr>
            <w:tcW w:w="2400" w:type="dxa"/>
            <w:tcBorders>
              <w:top w:val="nil"/>
              <w:left w:val="nil"/>
              <w:bottom w:val="nil"/>
              <w:right w:val="nil"/>
            </w:tcBorders>
            <w:shd w:val="clear" w:color="auto" w:fill="D9D9D9"/>
          </w:tcPr>
          <w:p w:rsidR="004D6F0E" w:rsidRDefault="004D6F0E">
            <w:pPr>
              <w:spacing w:after="160" w:line="259" w:lineRule="auto"/>
              <w:ind w:left="0" w:firstLine="0"/>
            </w:pPr>
          </w:p>
        </w:tc>
        <w:tc>
          <w:tcPr>
            <w:tcW w:w="1565" w:type="dxa"/>
            <w:tcBorders>
              <w:top w:val="nil"/>
              <w:left w:val="nil"/>
              <w:bottom w:val="nil"/>
              <w:right w:val="nil"/>
            </w:tcBorders>
            <w:shd w:val="clear" w:color="auto" w:fill="D9D9D9"/>
          </w:tcPr>
          <w:p w:rsidR="004D6F0E" w:rsidRDefault="004D6F0E">
            <w:pPr>
              <w:spacing w:after="160" w:line="259" w:lineRule="auto"/>
              <w:ind w:left="0" w:firstLine="0"/>
            </w:pPr>
          </w:p>
        </w:tc>
        <w:tc>
          <w:tcPr>
            <w:tcW w:w="104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82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0" w:line="259" w:lineRule="auto"/>
              <w:ind w:left="0" w:firstLine="0"/>
            </w:pPr>
            <w:r>
              <w:rPr>
                <w:sz w:val="18"/>
              </w:rPr>
              <w:t>紐西蘭元</w:t>
            </w: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5"/>
        </w:trPr>
        <w:tc>
          <w:tcPr>
            <w:tcW w:w="2820"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10" w:line="259" w:lineRule="auto"/>
              <w:ind w:left="0" w:firstLine="0"/>
            </w:pPr>
            <w:r>
              <w:rPr>
                <w:sz w:val="18"/>
              </w:rPr>
              <w:t>紐西蘭元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15" w:line="259" w:lineRule="auto"/>
              <w:ind w:left="245"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15" w:line="259" w:lineRule="auto"/>
              <w:ind w:left="50"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p w:rsidR="004D6F0E" w:rsidRDefault="00490F21">
            <w:pPr>
              <w:spacing w:after="0" w:line="259" w:lineRule="auto"/>
              <w:ind w:left="658" w:firstLine="0"/>
            </w:pP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820"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sz w:val="18"/>
              </w:rPr>
              <w:t xml:space="preserve"> </w:t>
            </w:r>
          </w:p>
        </w:tc>
        <w:tc>
          <w:tcPr>
            <w:tcW w:w="1435" w:type="dxa"/>
            <w:tcBorders>
              <w:top w:val="nil"/>
              <w:left w:val="nil"/>
              <w:bottom w:val="nil"/>
              <w:right w:val="nil"/>
            </w:tcBorders>
            <w:shd w:val="clear" w:color="auto" w:fill="D9D9D9"/>
          </w:tcPr>
          <w:p w:rsidR="004D6F0E" w:rsidRDefault="004D6F0E">
            <w:pPr>
              <w:spacing w:after="160" w:line="259" w:lineRule="auto"/>
              <w:ind w:left="0" w:firstLine="0"/>
            </w:pPr>
          </w:p>
        </w:tc>
        <w:tc>
          <w:tcPr>
            <w:tcW w:w="2074" w:type="dxa"/>
            <w:tcBorders>
              <w:top w:val="nil"/>
              <w:left w:val="nil"/>
              <w:bottom w:val="nil"/>
              <w:right w:val="nil"/>
            </w:tcBorders>
            <w:shd w:val="clear" w:color="auto" w:fill="D9D9D9"/>
          </w:tcPr>
          <w:p w:rsidR="004D6F0E" w:rsidRDefault="004D6F0E">
            <w:pPr>
              <w:spacing w:after="160" w:line="259" w:lineRule="auto"/>
              <w:ind w:left="0" w:firstLine="0"/>
            </w:pPr>
          </w:p>
        </w:tc>
        <w:tc>
          <w:tcPr>
            <w:tcW w:w="2400" w:type="dxa"/>
            <w:tcBorders>
              <w:top w:val="nil"/>
              <w:left w:val="nil"/>
              <w:bottom w:val="nil"/>
              <w:right w:val="nil"/>
            </w:tcBorders>
            <w:shd w:val="clear" w:color="auto" w:fill="D9D9D9"/>
          </w:tcPr>
          <w:p w:rsidR="004D6F0E" w:rsidRDefault="004D6F0E">
            <w:pPr>
              <w:spacing w:after="160" w:line="259" w:lineRule="auto"/>
              <w:ind w:left="0" w:firstLine="0"/>
            </w:pPr>
          </w:p>
        </w:tc>
        <w:tc>
          <w:tcPr>
            <w:tcW w:w="1565" w:type="dxa"/>
            <w:tcBorders>
              <w:top w:val="nil"/>
              <w:left w:val="nil"/>
              <w:bottom w:val="nil"/>
              <w:right w:val="nil"/>
            </w:tcBorders>
            <w:shd w:val="clear" w:color="auto" w:fill="D9D9D9"/>
          </w:tcPr>
          <w:p w:rsidR="004D6F0E" w:rsidRDefault="004D6F0E">
            <w:pPr>
              <w:spacing w:after="160" w:line="259" w:lineRule="auto"/>
              <w:ind w:left="0" w:firstLine="0"/>
            </w:pPr>
          </w:p>
        </w:tc>
        <w:tc>
          <w:tcPr>
            <w:tcW w:w="104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2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2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820" w:type="dxa"/>
            <w:tcBorders>
              <w:top w:val="nil"/>
              <w:left w:val="nil"/>
              <w:bottom w:val="nil"/>
              <w:right w:val="nil"/>
            </w:tcBorders>
          </w:tcPr>
          <w:p w:rsidR="004D6F0E" w:rsidRDefault="00490F21">
            <w:pPr>
              <w:spacing w:after="13" w:line="259" w:lineRule="auto"/>
              <w:ind w:left="115"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7"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7" w:line="259" w:lineRule="auto"/>
              <w:ind w:left="569" w:firstLine="0"/>
            </w:pPr>
            <w:r>
              <w:rPr>
                <w:sz w:val="18"/>
              </w:rPr>
              <w:t>無</w:t>
            </w:r>
            <w:r>
              <w:rPr>
                <w:rFonts w:ascii="Arial" w:eastAsia="Arial" w:hAnsi="Arial" w:cs="Arial"/>
                <w:sz w:val="18"/>
              </w:rPr>
              <w:t xml:space="preserve"> </w:t>
            </w:r>
          </w:p>
          <w:p w:rsidR="004D6F0E" w:rsidRDefault="00490F21">
            <w:pPr>
              <w:spacing w:after="0" w:line="259" w:lineRule="auto"/>
              <w:ind w:left="658" w:firstLine="0"/>
            </w:pP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820" w:type="dxa"/>
            <w:tcBorders>
              <w:top w:val="nil"/>
              <w:left w:val="nil"/>
              <w:bottom w:val="nil"/>
              <w:right w:val="nil"/>
            </w:tcBorders>
            <w:shd w:val="clear" w:color="auto" w:fill="D9D9D9"/>
          </w:tcPr>
          <w:p w:rsidR="004D6F0E" w:rsidRDefault="00490F21">
            <w:pPr>
              <w:tabs>
                <w:tab w:val="center" w:pos="2357"/>
              </w:tabs>
              <w:spacing w:after="0" w:line="259" w:lineRule="auto"/>
              <w:ind w:left="0" w:firstLine="0"/>
            </w:pPr>
            <w:r>
              <w:rPr>
                <w:sz w:val="18"/>
              </w:rPr>
              <w:t>南非蘭特對沖股份類別</w:t>
            </w:r>
            <w:r>
              <w:rPr>
                <w:rFonts w:ascii="Arial" w:eastAsia="Arial" w:hAnsi="Arial" w:cs="Arial"/>
                <w:sz w:val="18"/>
              </w:rPr>
              <w:t xml:space="preserve"> </w:t>
            </w:r>
            <w:r>
              <w:rPr>
                <w:rFonts w:ascii="Arial" w:eastAsia="Arial" w:hAnsi="Arial" w:cs="Arial"/>
                <w:sz w:val="18"/>
              </w:rPr>
              <w:tab/>
              <w:t xml:space="preserve"> </w:t>
            </w:r>
          </w:p>
        </w:tc>
        <w:tc>
          <w:tcPr>
            <w:tcW w:w="1435" w:type="dxa"/>
            <w:tcBorders>
              <w:top w:val="nil"/>
              <w:left w:val="nil"/>
              <w:bottom w:val="nil"/>
              <w:right w:val="nil"/>
            </w:tcBorders>
            <w:shd w:val="clear" w:color="auto" w:fill="D9D9D9"/>
          </w:tcPr>
          <w:p w:rsidR="004D6F0E" w:rsidRDefault="004D6F0E">
            <w:pPr>
              <w:spacing w:after="160" w:line="259" w:lineRule="auto"/>
              <w:ind w:left="0" w:firstLine="0"/>
            </w:pPr>
          </w:p>
        </w:tc>
        <w:tc>
          <w:tcPr>
            <w:tcW w:w="2074" w:type="dxa"/>
            <w:tcBorders>
              <w:top w:val="nil"/>
              <w:left w:val="nil"/>
              <w:bottom w:val="nil"/>
              <w:right w:val="nil"/>
            </w:tcBorders>
            <w:shd w:val="clear" w:color="auto" w:fill="D9D9D9"/>
          </w:tcPr>
          <w:p w:rsidR="004D6F0E" w:rsidRDefault="00490F21">
            <w:pPr>
              <w:spacing w:after="0" w:line="259" w:lineRule="auto"/>
              <w:ind w:left="-19" w:firstLine="0"/>
            </w:pPr>
            <w:r>
              <w:rPr>
                <w:rFonts w:ascii="Arial" w:eastAsia="Arial" w:hAnsi="Arial" w:cs="Arial"/>
                <w:sz w:val="18"/>
              </w:rPr>
              <w:t xml:space="preserve"> </w:t>
            </w:r>
            <w:r>
              <w:rPr>
                <w:rFonts w:ascii="Arial" w:eastAsia="Arial" w:hAnsi="Arial" w:cs="Arial"/>
                <w:sz w:val="18"/>
              </w:rPr>
              <w:tab/>
              <w:t xml:space="preserve"> </w:t>
            </w:r>
          </w:p>
        </w:tc>
        <w:tc>
          <w:tcPr>
            <w:tcW w:w="2400" w:type="dxa"/>
            <w:tcBorders>
              <w:top w:val="nil"/>
              <w:left w:val="nil"/>
              <w:bottom w:val="nil"/>
              <w:right w:val="nil"/>
            </w:tcBorders>
            <w:shd w:val="clear" w:color="auto" w:fill="D9D9D9"/>
          </w:tcPr>
          <w:p w:rsidR="004D6F0E" w:rsidRDefault="00490F21">
            <w:pPr>
              <w:spacing w:after="0" w:line="259" w:lineRule="auto"/>
              <w:ind w:left="1049" w:firstLine="0"/>
              <w:jc w:val="center"/>
            </w:pPr>
            <w:r>
              <w:rPr>
                <w:rFonts w:ascii="Arial" w:eastAsia="Arial" w:hAnsi="Arial" w:cs="Arial"/>
                <w:sz w:val="18"/>
              </w:rPr>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842" w:firstLine="0"/>
              <w:jc w:val="center"/>
            </w:pPr>
            <w:r>
              <w:rPr>
                <w:rFonts w:ascii="Arial" w:eastAsia="Arial" w:hAnsi="Arial" w:cs="Arial"/>
                <w:sz w:val="18"/>
              </w:rPr>
              <w:t xml:space="preserve"> </w:t>
            </w:r>
          </w:p>
        </w:tc>
        <w:tc>
          <w:tcPr>
            <w:tcW w:w="104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20"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35" w:type="dxa"/>
            <w:tcBorders>
              <w:top w:val="nil"/>
              <w:left w:val="nil"/>
              <w:bottom w:val="nil"/>
              <w:right w:val="nil"/>
            </w:tcBorders>
          </w:tcPr>
          <w:p w:rsidR="004D6F0E" w:rsidRDefault="00490F21">
            <w:pPr>
              <w:spacing w:after="10" w:line="259" w:lineRule="auto"/>
              <w:ind w:left="0" w:firstLine="0"/>
            </w:pPr>
            <w:r>
              <w:rPr>
                <w:sz w:val="18"/>
              </w:rPr>
              <w:t>南非蘭特</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14" w:line="259" w:lineRule="auto"/>
              <w:ind w:left="194"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400" w:type="dxa"/>
            <w:tcBorders>
              <w:top w:val="nil"/>
              <w:left w:val="nil"/>
              <w:bottom w:val="nil"/>
              <w:right w:val="nil"/>
            </w:tcBorders>
          </w:tcPr>
          <w:p w:rsidR="004D6F0E" w:rsidRDefault="00490F21">
            <w:pPr>
              <w:spacing w:after="15" w:line="259" w:lineRule="auto"/>
              <w:ind w:left="50"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p w:rsidR="004D6F0E" w:rsidRDefault="00490F21">
            <w:pPr>
              <w:spacing w:after="0" w:line="259" w:lineRule="auto"/>
              <w:ind w:left="658" w:firstLine="0"/>
            </w:pP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820" w:type="dxa"/>
            <w:tcBorders>
              <w:top w:val="nil"/>
              <w:left w:val="nil"/>
              <w:bottom w:val="nil"/>
              <w:right w:val="nil"/>
            </w:tcBorders>
            <w:shd w:val="clear" w:color="auto" w:fill="D9D9D9"/>
          </w:tcPr>
          <w:p w:rsidR="004D6F0E" w:rsidRDefault="00490F21">
            <w:pPr>
              <w:tabs>
                <w:tab w:val="center" w:pos="2357"/>
              </w:tabs>
              <w:spacing w:after="0" w:line="259" w:lineRule="auto"/>
              <w:ind w:left="0" w:firstLine="0"/>
            </w:pPr>
            <w:r>
              <w:rPr>
                <w:sz w:val="18"/>
              </w:rPr>
              <w:t>捷克克朗對沖股份類別</w:t>
            </w:r>
            <w:r>
              <w:rPr>
                <w:rFonts w:ascii="Arial" w:eastAsia="Arial" w:hAnsi="Arial" w:cs="Arial"/>
                <w:sz w:val="18"/>
              </w:rPr>
              <w:t xml:space="preserve"> </w:t>
            </w:r>
            <w:r>
              <w:rPr>
                <w:rFonts w:ascii="Arial" w:eastAsia="Arial" w:hAnsi="Arial" w:cs="Arial"/>
                <w:sz w:val="18"/>
              </w:rPr>
              <w:tab/>
              <w:t xml:space="preserve"> </w:t>
            </w:r>
          </w:p>
        </w:tc>
        <w:tc>
          <w:tcPr>
            <w:tcW w:w="1435" w:type="dxa"/>
            <w:tcBorders>
              <w:top w:val="nil"/>
              <w:left w:val="nil"/>
              <w:bottom w:val="nil"/>
              <w:right w:val="nil"/>
            </w:tcBorders>
            <w:shd w:val="clear" w:color="auto" w:fill="D9D9D9"/>
          </w:tcPr>
          <w:p w:rsidR="004D6F0E" w:rsidRDefault="004D6F0E">
            <w:pPr>
              <w:spacing w:after="160" w:line="259" w:lineRule="auto"/>
              <w:ind w:left="0" w:firstLine="0"/>
            </w:pPr>
          </w:p>
        </w:tc>
        <w:tc>
          <w:tcPr>
            <w:tcW w:w="2074" w:type="dxa"/>
            <w:tcBorders>
              <w:top w:val="nil"/>
              <w:left w:val="nil"/>
              <w:bottom w:val="nil"/>
              <w:right w:val="nil"/>
            </w:tcBorders>
            <w:shd w:val="clear" w:color="auto" w:fill="D9D9D9"/>
          </w:tcPr>
          <w:p w:rsidR="004D6F0E" w:rsidRDefault="00490F21">
            <w:pPr>
              <w:spacing w:after="0" w:line="259" w:lineRule="auto"/>
              <w:ind w:left="-19" w:firstLine="0"/>
            </w:pPr>
            <w:r>
              <w:rPr>
                <w:rFonts w:ascii="Arial" w:eastAsia="Arial" w:hAnsi="Arial" w:cs="Arial"/>
                <w:sz w:val="18"/>
              </w:rPr>
              <w:t xml:space="preserve"> </w:t>
            </w:r>
            <w:r>
              <w:rPr>
                <w:rFonts w:ascii="Arial" w:eastAsia="Arial" w:hAnsi="Arial" w:cs="Arial"/>
                <w:sz w:val="18"/>
              </w:rPr>
              <w:tab/>
              <w:t xml:space="preserve"> </w:t>
            </w:r>
          </w:p>
        </w:tc>
        <w:tc>
          <w:tcPr>
            <w:tcW w:w="2400" w:type="dxa"/>
            <w:tcBorders>
              <w:top w:val="nil"/>
              <w:left w:val="nil"/>
              <w:bottom w:val="nil"/>
              <w:right w:val="nil"/>
            </w:tcBorders>
            <w:shd w:val="clear" w:color="auto" w:fill="D9D9D9"/>
          </w:tcPr>
          <w:p w:rsidR="004D6F0E" w:rsidRDefault="00490F21">
            <w:pPr>
              <w:spacing w:after="0" w:line="259" w:lineRule="auto"/>
              <w:ind w:left="1049" w:firstLine="0"/>
              <w:jc w:val="center"/>
            </w:pPr>
            <w:r>
              <w:rPr>
                <w:rFonts w:ascii="Arial" w:eastAsia="Arial" w:hAnsi="Arial" w:cs="Arial"/>
                <w:sz w:val="18"/>
              </w:rPr>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842" w:firstLine="0"/>
              <w:jc w:val="center"/>
            </w:pPr>
            <w:r>
              <w:rPr>
                <w:rFonts w:ascii="Arial" w:eastAsia="Arial" w:hAnsi="Arial" w:cs="Arial"/>
                <w:sz w:val="18"/>
              </w:rPr>
              <w:t xml:space="preserve"> </w:t>
            </w:r>
          </w:p>
        </w:tc>
        <w:tc>
          <w:tcPr>
            <w:tcW w:w="1046"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820"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35" w:type="dxa"/>
            <w:tcBorders>
              <w:top w:val="nil"/>
              <w:left w:val="nil"/>
              <w:bottom w:val="nil"/>
              <w:right w:val="nil"/>
            </w:tcBorders>
          </w:tcPr>
          <w:p w:rsidR="004D6F0E" w:rsidRDefault="00490F21">
            <w:pPr>
              <w:spacing w:after="0" w:line="259" w:lineRule="auto"/>
              <w:ind w:left="0" w:firstLine="0"/>
            </w:pPr>
            <w:r>
              <w:rPr>
                <w:sz w:val="18"/>
              </w:rPr>
              <w:t>捷克克朗</w:t>
            </w:r>
            <w:r>
              <w:rPr>
                <w:rFonts w:ascii="Arial" w:eastAsia="Arial" w:hAnsi="Arial" w:cs="Arial"/>
                <w:sz w:val="18"/>
              </w:rPr>
              <w:t xml:space="preserve"> </w:t>
            </w:r>
          </w:p>
        </w:tc>
        <w:tc>
          <w:tcPr>
            <w:tcW w:w="2074" w:type="dxa"/>
            <w:tcBorders>
              <w:top w:val="nil"/>
              <w:left w:val="nil"/>
              <w:bottom w:val="nil"/>
              <w:right w:val="nil"/>
            </w:tcBorders>
          </w:tcPr>
          <w:p w:rsidR="004D6F0E" w:rsidRDefault="00490F21">
            <w:pPr>
              <w:spacing w:after="28" w:line="259" w:lineRule="auto"/>
              <w:ind w:left="194" w:firstLine="0"/>
            </w:pPr>
            <w:r>
              <w:rPr>
                <w:rFonts w:ascii="Arial" w:eastAsia="Arial" w:hAnsi="Arial" w:cs="Arial"/>
                <w:sz w:val="18"/>
              </w:rPr>
              <w:t xml:space="preserve">50,000 </w:t>
            </w:r>
            <w:r>
              <w:rPr>
                <w:sz w:val="18"/>
              </w:rPr>
              <w:t>捷克克朗</w:t>
            </w:r>
            <w:r>
              <w:rPr>
                <w:rFonts w:ascii="Arial" w:eastAsia="Arial" w:hAnsi="Arial" w:cs="Arial"/>
                <w:sz w:val="18"/>
              </w:rPr>
              <w:t xml:space="preserve"> </w:t>
            </w:r>
          </w:p>
          <w:p w:rsidR="004D6F0E" w:rsidRDefault="00490F21">
            <w:pPr>
              <w:spacing w:after="0" w:line="259" w:lineRule="auto"/>
              <w:ind w:left="-19" w:firstLine="0"/>
            </w:pPr>
            <w:r>
              <w:rPr>
                <w:rFonts w:ascii="Arial" w:eastAsia="Arial" w:hAnsi="Arial" w:cs="Arial"/>
                <w:sz w:val="18"/>
              </w:rPr>
              <w:t xml:space="preserve"> </w:t>
            </w:r>
            <w:r>
              <w:rPr>
                <w:rFonts w:ascii="Arial" w:eastAsia="Arial" w:hAnsi="Arial" w:cs="Arial"/>
                <w:sz w:val="18"/>
              </w:rPr>
              <w:tab/>
              <w:t xml:space="preserve"> </w:t>
            </w:r>
          </w:p>
        </w:tc>
        <w:tc>
          <w:tcPr>
            <w:tcW w:w="2400"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20,000 </w:t>
            </w:r>
            <w:r>
              <w:rPr>
                <w:sz w:val="18"/>
              </w:rPr>
              <w:t>捷克克朗</w:t>
            </w:r>
            <w:r>
              <w:rPr>
                <w:rFonts w:ascii="Arial" w:eastAsia="Arial" w:hAnsi="Arial" w:cs="Arial"/>
                <w:sz w:val="18"/>
              </w:rPr>
              <w:t xml:space="preserve"> </w:t>
            </w:r>
          </w:p>
          <w:p w:rsidR="004D6F0E" w:rsidRDefault="00490F21">
            <w:pPr>
              <w:spacing w:after="0" w:line="259" w:lineRule="auto"/>
              <w:ind w:left="1049" w:firstLine="0"/>
              <w:jc w:val="center"/>
            </w:pP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42" w:firstLine="0"/>
              <w:jc w:val="center"/>
            </w:pPr>
            <w:r>
              <w:rPr>
                <w:rFonts w:ascii="Arial" w:eastAsia="Arial" w:hAnsi="Arial" w:cs="Arial"/>
                <w:sz w:val="18"/>
              </w:rPr>
              <w:t xml:space="preserve"> </w:t>
            </w:r>
          </w:p>
        </w:tc>
        <w:tc>
          <w:tcPr>
            <w:tcW w:w="10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20" w:type="dxa"/>
            <w:tcBorders>
              <w:top w:val="nil"/>
              <w:left w:val="nil"/>
              <w:bottom w:val="nil"/>
              <w:right w:val="nil"/>
            </w:tcBorders>
            <w:shd w:val="clear" w:color="auto" w:fill="D9D9D9"/>
          </w:tcPr>
          <w:p w:rsidR="004D6F0E" w:rsidRDefault="00490F21">
            <w:pPr>
              <w:tabs>
                <w:tab w:val="center" w:pos="2357"/>
              </w:tabs>
              <w:spacing w:after="0" w:line="259" w:lineRule="auto"/>
              <w:ind w:left="0" w:firstLine="0"/>
            </w:pPr>
            <w:r>
              <w:rPr>
                <w:sz w:val="18"/>
              </w:rPr>
              <w:lastRenderedPageBreak/>
              <w:t>港元對沖股份類別</w:t>
            </w:r>
            <w:r>
              <w:rPr>
                <w:rFonts w:ascii="Arial" w:eastAsia="Arial" w:hAnsi="Arial" w:cs="Arial"/>
                <w:sz w:val="18"/>
              </w:rPr>
              <w:t xml:space="preserve"> </w:t>
            </w:r>
            <w:r>
              <w:rPr>
                <w:rFonts w:ascii="Arial" w:eastAsia="Arial" w:hAnsi="Arial" w:cs="Arial"/>
                <w:sz w:val="18"/>
              </w:rPr>
              <w:tab/>
              <w:t xml:space="preserve"> </w:t>
            </w:r>
          </w:p>
        </w:tc>
        <w:tc>
          <w:tcPr>
            <w:tcW w:w="1435" w:type="dxa"/>
            <w:tcBorders>
              <w:top w:val="nil"/>
              <w:left w:val="nil"/>
              <w:bottom w:val="nil"/>
              <w:right w:val="nil"/>
            </w:tcBorders>
            <w:shd w:val="clear" w:color="auto" w:fill="D9D9D9"/>
          </w:tcPr>
          <w:p w:rsidR="004D6F0E" w:rsidRDefault="004D6F0E">
            <w:pPr>
              <w:spacing w:after="160" w:line="259" w:lineRule="auto"/>
              <w:ind w:left="0" w:firstLine="0"/>
            </w:pPr>
          </w:p>
        </w:tc>
        <w:tc>
          <w:tcPr>
            <w:tcW w:w="2074" w:type="dxa"/>
            <w:tcBorders>
              <w:top w:val="nil"/>
              <w:left w:val="nil"/>
              <w:bottom w:val="nil"/>
              <w:right w:val="nil"/>
            </w:tcBorders>
            <w:shd w:val="clear" w:color="auto" w:fill="D9D9D9"/>
          </w:tcPr>
          <w:p w:rsidR="004D6F0E" w:rsidRDefault="00490F21">
            <w:pPr>
              <w:spacing w:after="0" w:line="259" w:lineRule="auto"/>
              <w:ind w:left="-19" w:firstLine="0"/>
            </w:pPr>
            <w:r>
              <w:rPr>
                <w:rFonts w:ascii="Arial" w:eastAsia="Arial" w:hAnsi="Arial" w:cs="Arial"/>
                <w:sz w:val="18"/>
              </w:rPr>
              <w:t xml:space="preserve"> </w:t>
            </w:r>
            <w:r>
              <w:rPr>
                <w:rFonts w:ascii="Arial" w:eastAsia="Arial" w:hAnsi="Arial" w:cs="Arial"/>
                <w:sz w:val="18"/>
              </w:rPr>
              <w:tab/>
              <w:t xml:space="preserve"> </w:t>
            </w:r>
          </w:p>
        </w:tc>
        <w:tc>
          <w:tcPr>
            <w:tcW w:w="2400" w:type="dxa"/>
            <w:tcBorders>
              <w:top w:val="nil"/>
              <w:left w:val="nil"/>
              <w:bottom w:val="nil"/>
              <w:right w:val="nil"/>
            </w:tcBorders>
            <w:shd w:val="clear" w:color="auto" w:fill="D9D9D9"/>
          </w:tcPr>
          <w:p w:rsidR="004D6F0E" w:rsidRDefault="00490F21">
            <w:pPr>
              <w:spacing w:after="0" w:line="259" w:lineRule="auto"/>
              <w:ind w:left="1049" w:firstLine="0"/>
              <w:jc w:val="center"/>
            </w:pPr>
            <w:r>
              <w:rPr>
                <w:rFonts w:ascii="Arial" w:eastAsia="Arial" w:hAnsi="Arial" w:cs="Arial"/>
                <w:sz w:val="18"/>
              </w:rPr>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842" w:firstLine="0"/>
              <w:jc w:val="center"/>
            </w:pPr>
            <w:r>
              <w:rPr>
                <w:rFonts w:ascii="Arial" w:eastAsia="Arial" w:hAnsi="Arial" w:cs="Arial"/>
                <w:sz w:val="18"/>
              </w:rPr>
              <w:t xml:space="preserve"> </w:t>
            </w:r>
          </w:p>
        </w:tc>
        <w:tc>
          <w:tcPr>
            <w:tcW w:w="1046"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180"/>
          <w:tab w:val="center" w:pos="5109"/>
          <w:tab w:val="center" w:pos="6988"/>
          <w:tab w:val="center" w:pos="8819"/>
          <w:tab w:val="center" w:pos="10550"/>
        </w:tabs>
        <w:spacing w:after="20"/>
        <w:ind w:left="0" w:firstLine="0"/>
      </w:pPr>
      <w:r>
        <w:rPr>
          <w:rFonts w:ascii="Arial" w:eastAsia="Arial" w:hAnsi="Arial" w:cs="Arial"/>
          <w:sz w:val="18"/>
        </w:rPr>
        <w:t xml:space="preserve">I </w:t>
      </w:r>
      <w:r>
        <w:rPr>
          <w:sz w:val="18"/>
        </w:rPr>
        <w:t>類</w:t>
      </w:r>
      <w:r>
        <w:rPr>
          <w:sz w:val="18"/>
        </w:rPr>
        <w:t xml:space="preserve"> </w:t>
      </w:r>
      <w:r>
        <w:rPr>
          <w:rFonts w:ascii="Arial" w:eastAsia="Arial" w:hAnsi="Arial" w:cs="Arial"/>
          <w:sz w:val="18"/>
        </w:rPr>
        <w:t xml:space="preserve">H </w:t>
      </w:r>
      <w:r>
        <w:rPr>
          <w:sz w:val="18"/>
        </w:rPr>
        <w:t>港元股份</w:t>
      </w:r>
      <w:r>
        <w:rPr>
          <w:rFonts w:ascii="Arial" w:eastAsia="Arial" w:hAnsi="Arial" w:cs="Arial"/>
          <w:sz w:val="18"/>
        </w:rPr>
        <w:t xml:space="preserve"> </w:t>
      </w:r>
      <w:r>
        <w:rPr>
          <w:rFonts w:ascii="Arial" w:eastAsia="Arial" w:hAnsi="Arial" w:cs="Arial"/>
          <w:sz w:val="18"/>
        </w:rPr>
        <w:tab/>
      </w:r>
      <w:r>
        <w:rPr>
          <w:sz w:val="18"/>
        </w:rPr>
        <w:t>港元</w:t>
      </w:r>
      <w:r>
        <w:rPr>
          <w:rFonts w:ascii="Arial" w:eastAsia="Arial" w:hAnsi="Arial" w:cs="Arial"/>
          <w:sz w:val="18"/>
        </w:rPr>
        <w:t xml:space="preserve"> </w:t>
      </w:r>
      <w:r>
        <w:rPr>
          <w:rFonts w:ascii="Arial" w:eastAsia="Arial" w:hAnsi="Arial" w:cs="Arial"/>
          <w:sz w:val="18"/>
        </w:rPr>
        <w:tab/>
        <w:t xml:space="preserve">8,000,000 </w:t>
      </w:r>
      <w:r>
        <w:rPr>
          <w:sz w:val="18"/>
        </w:rPr>
        <w:t>港元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7" w:line="259" w:lineRule="auto"/>
        <w:ind w:left="0" w:right="37" w:firstLine="0"/>
        <w:jc w:val="center"/>
      </w:pPr>
      <w:r>
        <w:rPr>
          <w:rFonts w:ascii="Arial" w:eastAsia="Arial" w:hAnsi="Arial" w:cs="Arial"/>
          <w:sz w:val="16"/>
        </w:rPr>
        <w:t xml:space="preserve"> </w:t>
      </w:r>
    </w:p>
    <w:p w:rsidR="004D6F0E" w:rsidRDefault="00490F21">
      <w:pPr>
        <w:tabs>
          <w:tab w:val="center" w:pos="7349"/>
        </w:tabs>
        <w:ind w:left="-13" w:firstLine="0"/>
      </w:pPr>
      <w:r>
        <w:rPr>
          <w:rFonts w:ascii="Arial" w:eastAsia="Arial" w:hAnsi="Arial" w:cs="Arial"/>
          <w:i/>
          <w:sz w:val="18"/>
        </w:rPr>
        <w:t>*</w:t>
      </w: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r>
      <w:r>
        <w:rPr>
          <w:rFonts w:ascii="Arial" w:eastAsia="Arial" w:hAnsi="Arial" w:cs="Arial"/>
          <w:i/>
          <w:sz w:val="18"/>
        </w:rPr>
        <w:t>***</w:t>
      </w: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p w:rsidR="004D6F0E" w:rsidRDefault="00490F21">
      <w:pPr>
        <w:ind w:left="-3" w:right="13" w:hanging="10"/>
        <w:jc w:val="both"/>
      </w:pPr>
      <w:r>
        <w:rPr>
          <w:rFonts w:ascii="Arial" w:eastAsia="Arial" w:hAnsi="Arial" w:cs="Arial"/>
          <w:i/>
          <w:sz w:val="18"/>
        </w:rPr>
        <w:t>**</w:t>
      </w: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p>
    <w:p w:rsidR="004D6F0E" w:rsidRDefault="004D6F0E">
      <w:pPr>
        <w:sectPr w:rsidR="004D6F0E">
          <w:type w:val="continuous"/>
          <w:pgSz w:w="12240" w:h="15840"/>
          <w:pgMar w:top="995" w:right="638" w:bottom="3055" w:left="432" w:header="720" w:footer="720" w:gutter="0"/>
          <w:cols w:space="720"/>
        </w:sectPr>
      </w:pPr>
    </w:p>
    <w:p w:rsidR="004D6F0E" w:rsidRDefault="00490F21">
      <w:pPr>
        <w:pStyle w:val="Heading3"/>
        <w:ind w:left="14"/>
      </w:pPr>
      <w:r>
        <w:lastRenderedPageBreak/>
        <w:t>其他基金資料</w:t>
      </w:r>
      <w:r>
        <w:rPr>
          <w:rFonts w:ascii="Arial" w:eastAsia="Arial" w:hAnsi="Arial" w:cs="Arial"/>
        </w:rPr>
        <w:t xml:space="preserve"> </w:t>
      </w:r>
    </w:p>
    <w:p w:rsidR="004D6F0E" w:rsidRDefault="00490F21">
      <w:pPr>
        <w:spacing w:after="63"/>
        <w:ind w:left="11" w:right="2"/>
      </w:pPr>
      <w:r>
        <w:t>主要投資類別</w:t>
      </w:r>
      <w:r>
        <w:rPr>
          <w:rFonts w:ascii="Arial" w:eastAsia="Arial" w:hAnsi="Arial" w:cs="Arial"/>
          <w:b/>
        </w:rPr>
        <w:t xml:space="preserve"> </w:t>
      </w:r>
    </w:p>
    <w:p w:rsidR="004D6F0E" w:rsidRDefault="00490F21">
      <w:pPr>
        <w:spacing w:after="106"/>
        <w:ind w:left="11" w:right="2"/>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63"/>
        <w:ind w:left="11" w:right="2"/>
      </w:pPr>
      <w:r>
        <w:t>風險資料</w:t>
      </w:r>
      <w:r>
        <w:rPr>
          <w:rFonts w:ascii="Arial" w:eastAsia="Arial" w:hAnsi="Arial" w:cs="Arial"/>
          <w:b/>
        </w:rPr>
        <w:t xml:space="preserve"> </w:t>
      </w:r>
    </w:p>
    <w:p w:rsidR="004D6F0E" w:rsidRDefault="00490F21">
      <w:pPr>
        <w:spacing w:after="102"/>
        <w:ind w:left="11" w:right="2"/>
      </w:pPr>
      <w:r>
        <w:t>本基金的股本投資須承受股本投資固有的較高風險。一般而言，股本投資的價值或會因應個別公司的業務及業績或因難於</w:t>
      </w:r>
      <w:r>
        <w:t>預測的整體市場、經濟、政治及自然狀況而波動，有時甚至會大幅波動。此等因素包括突然或長期市場下滑及與個別公司相關的風險。一直以來，股本證券的長期回報及短期風險一向高於其他投資工具。</w:t>
      </w:r>
      <w:r>
        <w:rPr>
          <w:rFonts w:ascii="Arial" w:eastAsia="Arial" w:hAnsi="Arial" w:cs="Arial"/>
        </w:rPr>
        <w:t xml:space="preserve"> </w:t>
      </w:r>
    </w:p>
    <w:p w:rsidR="004D6F0E" w:rsidRDefault="00490F21">
      <w:pPr>
        <w:spacing w:after="100"/>
        <w:ind w:left="11" w:right="2"/>
      </w:pPr>
      <w:r>
        <w:t>由於基金將主要投資於日本發行人的證券，基金將直接受日本證券市場的波動影響，而日本證券市場曾經歷大升或大跌，並受日本整體經濟及政治的轉變所影響。</w:t>
      </w:r>
      <w:r>
        <w:rPr>
          <w:rFonts w:ascii="Arial" w:eastAsia="Arial" w:hAnsi="Arial" w:cs="Arial"/>
        </w:rPr>
        <w:t xml:space="preserve"> </w:t>
      </w:r>
    </w:p>
    <w:p w:rsidR="004D6F0E" w:rsidRDefault="00490F21">
      <w:pPr>
        <w:spacing w:after="103"/>
        <w:ind w:left="11" w:right="2"/>
      </w:pPr>
      <w:r>
        <w:t>本基金須承受市場、利率及貨幣波動及證券投資固有的其他風險。因此，不能保證投資目標將獲達致、投資資本將得以保全或資本得以增值。每月、每季或每年的投資業績均可能出現重大變化。本基金內的投資</w:t>
      </w:r>
      <w:r>
        <w:t>並非代表完整的投資計劃。</w:t>
      </w:r>
      <w:r>
        <w:rPr>
          <w:rFonts w:ascii="Arial" w:eastAsia="Arial" w:hAnsi="Arial" w:cs="Arial"/>
        </w:rPr>
        <w:t xml:space="preserve"> </w:t>
      </w:r>
    </w:p>
    <w:p w:rsidR="004D6F0E" w:rsidRDefault="00490F21">
      <w:pPr>
        <w:spacing w:after="108"/>
        <w:ind w:left="11" w:right="2"/>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63"/>
        <w:ind w:left="11" w:right="2"/>
      </w:pPr>
      <w:r>
        <w:t>典型投資者的資料</w:t>
      </w:r>
      <w:r>
        <w:rPr>
          <w:rFonts w:ascii="Arial" w:eastAsia="Arial" w:hAnsi="Arial" w:cs="Arial"/>
          <w:b/>
        </w:rPr>
        <w:t xml:space="preserve"> </w:t>
      </w:r>
    </w:p>
    <w:p w:rsidR="004D6F0E" w:rsidRDefault="00490F21">
      <w:pPr>
        <w:spacing w:after="102"/>
        <w:ind w:left="11" w:right="2"/>
      </w:pPr>
      <w:r>
        <w:t>本基金適合尋求中長期股本投資回報且能承受較高風險的投資者。有關本基金是否適合其投資需要，投資者敬請諮詢其獨立財務顧問。</w:t>
      </w:r>
      <w:r>
        <w:rPr>
          <w:rFonts w:ascii="Arial" w:eastAsia="Arial" w:hAnsi="Arial" w:cs="Arial"/>
        </w:rPr>
        <w:t xml:space="preserve"> </w:t>
      </w:r>
    </w:p>
    <w:p w:rsidR="004D6F0E" w:rsidRDefault="00490F21">
      <w:pPr>
        <w:spacing w:after="68"/>
        <w:ind w:left="11" w:right="2"/>
      </w:pPr>
      <w:r>
        <w:t>派息</w:t>
      </w:r>
      <w:r>
        <w:rPr>
          <w:rFonts w:ascii="Arial" w:eastAsia="Arial" w:hAnsi="Arial" w:cs="Arial"/>
          <w:b/>
        </w:rPr>
        <w:t xml:space="preserve"> </w:t>
      </w:r>
    </w:p>
    <w:p w:rsidR="004D6F0E" w:rsidRDefault="00490F21">
      <w:pPr>
        <w:spacing w:after="5194"/>
        <w:ind w:left="11" w:right="2"/>
      </w:pPr>
      <w:r>
        <w:t>就</w:t>
      </w:r>
      <w:r>
        <w:t xml:space="preserve"> </w:t>
      </w:r>
      <w:r>
        <w:rPr>
          <w:rFonts w:ascii="Arial" w:eastAsia="Arial" w:hAnsi="Arial" w:cs="Arial"/>
        </w:rPr>
        <w:t>A</w:t>
      </w:r>
      <w:r>
        <w:t>、</w:t>
      </w:r>
      <w:r>
        <w:rPr>
          <w:rFonts w:ascii="Arial" w:eastAsia="Arial" w:hAnsi="Arial" w:cs="Arial"/>
        </w:rPr>
        <w:t>C</w:t>
      </w:r>
      <w:r>
        <w:t>、</w:t>
      </w:r>
      <w:r>
        <w:rPr>
          <w:rFonts w:ascii="Arial" w:eastAsia="Arial" w:hAnsi="Arial" w:cs="Arial"/>
        </w:rPr>
        <w:t>I</w:t>
      </w:r>
      <w:r>
        <w:t>、</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2 </w:t>
      </w:r>
      <w:r>
        <w:t>類股份（及相應</w:t>
      </w:r>
      <w:r>
        <w:t xml:space="preserve"> </w:t>
      </w:r>
      <w:r>
        <w:rPr>
          <w:rFonts w:ascii="Arial" w:eastAsia="Arial" w:hAnsi="Arial" w:cs="Arial"/>
        </w:rPr>
        <w:t xml:space="preserve">H </w:t>
      </w:r>
      <w:r>
        <w:t>類股份）而言，管理公司現時無意就股份派息。因此，股份應佔的任何淨收入及淨實現利潤均將於此等股份各自的資產淨值中反映。</w:t>
      </w:r>
      <w:r>
        <w:rPr>
          <w:rFonts w:ascii="Arial" w:eastAsia="Arial" w:hAnsi="Arial" w:cs="Arial"/>
        </w:rPr>
        <w:t xml:space="preserve"> </w:t>
      </w:r>
    </w:p>
    <w:p w:rsidR="004D6F0E" w:rsidRDefault="00490F21">
      <w:pPr>
        <w:spacing w:after="30" w:line="259" w:lineRule="auto"/>
        <w:ind w:right="46" w:hanging="10"/>
        <w:jc w:val="right"/>
      </w:pPr>
      <w:r>
        <w:rPr>
          <w:rFonts w:ascii="Times New Roman" w:eastAsia="Times New Roman" w:hAnsi="Times New Roman" w:cs="Times New Roman"/>
          <w:sz w:val="20"/>
        </w:rPr>
        <w:t>I-32</w:t>
      </w:r>
      <w:r>
        <w:rPr>
          <w:rFonts w:ascii="Times New Roman" w:eastAsia="Times New Roman" w:hAnsi="Times New Roman" w:cs="Times New Roman"/>
          <w:sz w:val="18"/>
        </w:rPr>
        <w:t xml:space="preserve"> </w:t>
      </w:r>
    </w:p>
    <w:p w:rsidR="004D6F0E" w:rsidRDefault="00490F21">
      <w:pPr>
        <w:spacing w:after="0" w:line="259" w:lineRule="auto"/>
        <w:ind w:left="0" w:right="177" w:firstLine="0"/>
        <w:jc w:val="right"/>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right="75" w:hanging="10"/>
        <w:jc w:val="right"/>
      </w:pPr>
      <w:r>
        <w:rPr>
          <w:sz w:val="18"/>
        </w:rPr>
        <w:t>聯博</w:t>
      </w:r>
      <w:r>
        <w:rPr>
          <w:rFonts w:ascii="Arial" w:eastAsia="Arial" w:hAnsi="Arial" w:cs="Arial"/>
          <w:sz w:val="18"/>
        </w:rPr>
        <w:t>—</w:t>
      </w:r>
      <w:r>
        <w:rPr>
          <w:sz w:val="18"/>
        </w:rPr>
        <w:t>日本策略價值基金</w:t>
      </w:r>
    </w:p>
    <w:p w:rsidR="004D6F0E" w:rsidRDefault="00490F21">
      <w:pPr>
        <w:spacing w:after="499" w:line="259" w:lineRule="auto"/>
        <w:ind w:left="0" w:firstLine="0"/>
        <w:jc w:val="right"/>
      </w:pPr>
      <w:r>
        <w:rPr>
          <w:sz w:val="18"/>
        </w:rPr>
        <w:t xml:space="preserve"> </w:t>
      </w:r>
    </w:p>
    <w:p w:rsidR="004D6F0E" w:rsidRDefault="00490F21">
      <w:pPr>
        <w:spacing w:after="64"/>
        <w:ind w:left="11" w:right="2"/>
      </w:pPr>
      <w:r>
        <w:t>就</w:t>
      </w:r>
      <w:r>
        <w:t xml:space="preserve"> </w:t>
      </w:r>
      <w:r>
        <w:rPr>
          <w:rFonts w:ascii="Arial" w:eastAsia="Arial" w:hAnsi="Arial" w:cs="Arial"/>
        </w:rPr>
        <w:t xml:space="preserve">AD </w:t>
      </w:r>
      <w:r>
        <w:t>及</w:t>
      </w:r>
      <w:r>
        <w:t xml:space="preserve"> </w:t>
      </w:r>
      <w:r>
        <w:rPr>
          <w:rFonts w:ascii="Arial" w:eastAsia="Arial" w:hAnsi="Arial" w:cs="Arial"/>
        </w:rPr>
        <w:t xml:space="preserve">SD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因此派息率將來自未扣除費用及開支前的總收入、已實現及未實現的收益及有關股份類別應佔的資本。超過淨收入（扣除費用及開支後的總收入）的派息相當於退還投資者的原本投資本金，因此可能導致有關類別的每股資產淨值減少。管理公</w:t>
      </w:r>
      <w:r>
        <w:t>司也可酌情決定派息是否包括或在多大程度上包括已實現資本收益及／或是否或在多大程度上從相關股份類別應佔的資本中支付。派息可按股東的選擇自動再投資。管理公司、行政管理人、存管人及過戶代理費用</w:t>
      </w:r>
      <w:r>
        <w:rPr>
          <w:rFonts w:ascii="Arial" w:eastAsia="Arial" w:hAnsi="Arial" w:cs="Arial"/>
          <w:b/>
        </w:rPr>
        <w:t xml:space="preserve"> </w:t>
      </w:r>
    </w:p>
    <w:p w:rsidR="004D6F0E" w:rsidRDefault="00490F21">
      <w:pPr>
        <w:spacing w:after="102" w:line="273" w:lineRule="auto"/>
        <w:ind w:left="14" w:right="41"/>
        <w:jc w:val="both"/>
      </w:pPr>
      <w:r>
        <w:t>就除</w:t>
      </w:r>
      <w:r>
        <w:t xml:space="preserve"> </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SD </w:t>
      </w:r>
      <w:r>
        <w:t>類股份（及相應</w:t>
      </w:r>
      <w:r>
        <w:t xml:space="preserve"> </w:t>
      </w:r>
      <w:r>
        <w:rPr>
          <w:rFonts w:ascii="Arial" w:eastAsia="Arial" w:hAnsi="Arial" w:cs="Arial"/>
        </w:rPr>
        <w:t xml:space="preserve">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rPr>
          <w:rFonts w:ascii="Arial" w:eastAsia="Arial" w:hAnsi="Arial" w:cs="Arial"/>
        </w:rPr>
        <w:t xml:space="preserve">0.05% </w:t>
      </w:r>
      <w:r>
        <w:t>。管理公司按</w:t>
      </w:r>
      <w:r>
        <w:t xml:space="preserve"> </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SD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美元或日</w:t>
      </w:r>
      <w:r>
        <w:t>均資產淨值的</w:t>
      </w:r>
      <w:r>
        <w:t xml:space="preserve"> </w:t>
      </w:r>
      <w:r>
        <w:rPr>
          <w:rFonts w:ascii="Arial" w:eastAsia="Arial" w:hAnsi="Arial" w:cs="Arial"/>
        </w:rPr>
        <w:t>0.01%</w:t>
      </w:r>
      <w:r>
        <w:t>（以較低者為準）。</w:t>
      </w:r>
      <w:r>
        <w:rPr>
          <w:rFonts w:ascii="Arial" w:eastAsia="Arial" w:hAnsi="Arial" w:cs="Arial"/>
        </w:rPr>
        <w:t xml:space="preserve"> </w:t>
      </w:r>
    </w:p>
    <w:p w:rsidR="004D6F0E" w:rsidRDefault="00490F21">
      <w:pPr>
        <w:spacing w:after="103"/>
        <w:ind w:left="11" w:right="2"/>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部分「行政管理人、存管人及過戶代理費用」所規定的固定最高金額。此等費用的增減是取決於本基金資產及交易量或其他原因。</w:t>
      </w:r>
      <w:r>
        <w:rPr>
          <w:rFonts w:ascii="Arial" w:eastAsia="Arial" w:hAnsi="Arial" w:cs="Arial"/>
        </w:rPr>
        <w:t xml:space="preserve"> </w:t>
      </w:r>
    </w:p>
    <w:p w:rsidR="004D6F0E" w:rsidRDefault="00490F21">
      <w:pPr>
        <w:spacing w:after="63"/>
        <w:ind w:left="11" w:right="2"/>
      </w:pPr>
      <w:r>
        <w:t>設立開支</w:t>
      </w:r>
      <w:r>
        <w:rPr>
          <w:rFonts w:ascii="Arial" w:eastAsia="Arial" w:hAnsi="Arial" w:cs="Arial"/>
          <w:b/>
        </w:rPr>
        <w:t xml:space="preserve"> </w:t>
      </w:r>
    </w:p>
    <w:p w:rsidR="004D6F0E" w:rsidRDefault="00490F21">
      <w:pPr>
        <w:spacing w:after="105"/>
        <w:ind w:left="11" w:right="2"/>
      </w:pPr>
      <w:r>
        <w:t>本基金並無未攤銷設立開支。</w:t>
      </w:r>
      <w:r>
        <w:rPr>
          <w:rFonts w:ascii="Arial" w:eastAsia="Arial" w:hAnsi="Arial" w:cs="Arial"/>
        </w:rPr>
        <w:t xml:space="preserve"> </w:t>
      </w:r>
    </w:p>
    <w:p w:rsidR="004D6F0E" w:rsidRDefault="00490F21">
      <w:pPr>
        <w:spacing w:after="63"/>
        <w:ind w:left="11" w:right="2"/>
      </w:pPr>
      <w:r>
        <w:t>過往表現</w:t>
      </w:r>
      <w:r>
        <w:rPr>
          <w:rFonts w:ascii="Arial" w:eastAsia="Arial" w:hAnsi="Arial" w:cs="Arial"/>
          <w:b/>
        </w:rPr>
        <w:t xml:space="preserve"> </w:t>
      </w:r>
    </w:p>
    <w:p w:rsidR="004D6F0E" w:rsidRDefault="00490F21">
      <w:pPr>
        <w:spacing w:after="122" w:line="254" w:lineRule="auto"/>
        <w:ind w:left="8" w:hanging="10"/>
      </w:pPr>
      <w:r>
        <w:t>有關本基金過往表現的資料，一旦公佈，可瀏覽</w:t>
      </w:r>
      <w:r>
        <w:t xml:space="preserve"> </w:t>
      </w:r>
      <w:hyperlink r:id="rId113">
        <w:r>
          <w:rPr>
            <w:rFonts w:ascii="Arial" w:eastAsia="Arial" w:hAnsi="Arial" w:cs="Arial"/>
            <w:color w:val="0000FF"/>
            <w:u w:val="single" w:color="0000FF"/>
          </w:rPr>
          <w:t>www.alliancebernstein.com</w:t>
        </w:r>
      </w:hyperlink>
      <w:hyperlink r:id="rId114">
        <w:r>
          <w:t>。</w:t>
        </w:r>
      </w:hyperlink>
      <w:r>
        <w:rPr>
          <w:rFonts w:ascii="Arial" w:eastAsia="Arial" w:hAnsi="Arial" w:cs="Arial"/>
        </w:rPr>
        <w:t xml:space="preserve"> </w:t>
      </w:r>
    </w:p>
    <w:p w:rsidR="004D6F0E" w:rsidRDefault="00490F21">
      <w:pPr>
        <w:spacing w:after="63"/>
        <w:ind w:left="11" w:right="2"/>
      </w:pPr>
      <w:r>
        <w:lastRenderedPageBreak/>
        <w:t>歷史</w:t>
      </w:r>
      <w:r>
        <w:rPr>
          <w:rFonts w:ascii="Arial" w:eastAsia="Arial" w:hAnsi="Arial" w:cs="Arial"/>
          <w:b/>
        </w:rPr>
        <w:t xml:space="preserve"> </w:t>
      </w:r>
    </w:p>
    <w:p w:rsidR="004D6F0E" w:rsidRDefault="00490F21">
      <w:pPr>
        <w:ind w:left="11" w:right="2"/>
      </w:pPr>
      <w:r>
        <w:t>本基金於二零零五年十二月十五日設立，作為本傘子基金下的基金。</w:t>
      </w:r>
    </w:p>
    <w:p w:rsidR="004D6F0E" w:rsidRDefault="004D6F0E">
      <w:pPr>
        <w:sectPr w:rsidR="004D6F0E">
          <w:headerReference w:type="even" r:id="rId115"/>
          <w:headerReference w:type="default" r:id="rId116"/>
          <w:footerReference w:type="even" r:id="rId117"/>
          <w:footerReference w:type="default" r:id="rId118"/>
          <w:headerReference w:type="first" r:id="rId119"/>
          <w:footerReference w:type="first" r:id="rId120"/>
          <w:pgSz w:w="12240" w:h="15840"/>
          <w:pgMar w:top="1440" w:right="630" w:bottom="1440" w:left="432" w:header="720" w:footer="720" w:gutter="0"/>
          <w:cols w:num="2" w:space="720" w:equalWidth="0">
            <w:col w:w="5801" w:space="114"/>
            <w:col w:w="5263"/>
          </w:cols>
          <w:titlePg/>
        </w:sectPr>
      </w:pPr>
    </w:p>
    <w:p w:rsidR="004D6F0E" w:rsidRDefault="00490F21">
      <w:pPr>
        <w:spacing w:after="8" w:line="259" w:lineRule="auto"/>
        <w:ind w:left="0" w:firstLine="0"/>
      </w:pPr>
      <w:r>
        <w:rPr>
          <w:rFonts w:ascii="Times New Roman" w:eastAsia="Times New Roman" w:hAnsi="Times New Roman" w:cs="Times New Roman"/>
          <w:sz w:val="18"/>
        </w:rPr>
        <w:t xml:space="preserve"> </w:t>
      </w:r>
    </w:p>
    <w:p w:rsidR="004D6F0E" w:rsidRDefault="00490F21">
      <w:pPr>
        <w:spacing w:after="88" w:line="259" w:lineRule="auto"/>
        <w:ind w:left="0" w:firstLine="0"/>
      </w:pPr>
      <w:r>
        <w:rPr>
          <w:rFonts w:ascii="SimSun" w:eastAsia="SimSun" w:hAnsi="SimSun" w:cs="SimSun"/>
        </w:rPr>
        <w:t xml:space="preserve"> </w:t>
      </w:r>
    </w:p>
    <w:p w:rsidR="004D6F0E" w:rsidRDefault="00490F21">
      <w:pPr>
        <w:pStyle w:val="Heading2"/>
        <w:spacing w:after="0"/>
        <w:ind w:left="8"/>
      </w:pPr>
      <w:r>
        <w:t>聯博</w:t>
      </w:r>
      <w:r>
        <w:rPr>
          <w:rFonts w:ascii="Arial" w:eastAsia="Arial" w:hAnsi="Arial" w:cs="Arial"/>
        </w:rPr>
        <w:t>—</w:t>
      </w:r>
      <w:r>
        <w:t>中國低波幅策略股票基金</w:t>
      </w:r>
      <w:r>
        <w:rPr>
          <w:rFonts w:ascii="Arial" w:eastAsia="Arial" w:hAnsi="Arial" w:cs="Arial"/>
        </w:rPr>
        <w:t xml:space="preserve"> </w:t>
      </w:r>
    </w:p>
    <w:p w:rsidR="004D6F0E" w:rsidRDefault="00490F21">
      <w:pPr>
        <w:spacing w:after="20" w:line="259" w:lineRule="auto"/>
        <w:ind w:left="0" w:firstLine="0"/>
      </w:pPr>
      <w:r>
        <w:rPr>
          <w:rFonts w:ascii="Arial" w:eastAsia="Arial" w:hAnsi="Arial" w:cs="Arial"/>
          <w:b/>
          <w:sz w:val="20"/>
        </w:rPr>
        <w:t xml:space="preserve"> </w:t>
      </w:r>
    </w:p>
    <w:p w:rsidR="004D6F0E" w:rsidRDefault="00490F21">
      <w:pPr>
        <w:pStyle w:val="Heading3"/>
        <w:ind w:left="14"/>
      </w:pPr>
      <w:r>
        <w:t>投資目標及政策</w:t>
      </w:r>
      <w:r>
        <w:rPr>
          <w:rFonts w:ascii="Arial" w:eastAsia="Arial" w:hAnsi="Arial" w:cs="Arial"/>
        </w:rPr>
        <w:t xml:space="preserve"> </w:t>
      </w:r>
    </w:p>
    <w:tbl>
      <w:tblPr>
        <w:tblStyle w:val="TableGrid"/>
        <w:tblpPr w:vertAnchor="text" w:tblpX="5909" w:tblpY="-22"/>
        <w:tblOverlap w:val="never"/>
        <w:tblW w:w="5030" w:type="dxa"/>
        <w:tblInd w:w="0"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9"/>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624"/>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bl>
    <w:p w:rsidR="004D6F0E" w:rsidRDefault="00490F21">
      <w:pPr>
        <w:spacing w:after="50"/>
        <w:ind w:left="11" w:right="197"/>
      </w:pPr>
      <w:r>
        <w:t>投資目標本基金的投資目標是實現長線資本增值。</w:t>
      </w:r>
      <w:r>
        <w:rPr>
          <w:rFonts w:ascii="Arial" w:eastAsia="Arial" w:hAnsi="Arial" w:cs="Arial"/>
          <w:sz w:val="24"/>
        </w:rPr>
        <w:t xml:space="preserve"> </w:t>
      </w:r>
    </w:p>
    <w:p w:rsidR="004D6F0E" w:rsidRDefault="00490F21">
      <w:pPr>
        <w:spacing w:after="45"/>
        <w:ind w:left="11" w:right="197"/>
      </w:pPr>
      <w:r>
        <w:t>投資規則和程序</w:t>
      </w:r>
      <w:r>
        <w:rPr>
          <w:rFonts w:ascii="Arial" w:eastAsia="Arial" w:hAnsi="Arial" w:cs="Arial"/>
          <w:b/>
        </w:rPr>
        <w:t xml:space="preserve"> </w:t>
      </w:r>
    </w:p>
    <w:p w:rsidR="004D6F0E" w:rsidRDefault="00490F21">
      <w:pPr>
        <w:spacing w:after="100"/>
        <w:ind w:left="11" w:right="197"/>
      </w:pPr>
      <w:r>
        <w:t>本基金尋求透過將其至少</w:t>
      </w:r>
      <w:r>
        <w:t xml:space="preserve"> </w:t>
      </w:r>
      <w:r>
        <w:rPr>
          <w:rFonts w:ascii="Arial" w:eastAsia="Arial" w:hAnsi="Arial" w:cs="Arial"/>
        </w:rPr>
        <w:t>80%</w:t>
      </w:r>
      <w:r>
        <w:t>的總資產投資於可提供投資於投資管理人認為從基本因素來看波幅較低，且未來下行風險較低的中國公司的證券，以實現其投資目標。投資管理人利用其專有風險及回報模型，以及其管理投資組合的判斷及經驗構建一</w:t>
      </w:r>
      <w:r>
        <w:tab/>
      </w:r>
      <w:r>
        <w:rPr>
          <w:rFonts w:ascii="Arial" w:eastAsia="Arial" w:hAnsi="Arial" w:cs="Arial"/>
          <w:b/>
          <w:sz w:val="10"/>
        </w:rPr>
        <w:t xml:space="preserve"> </w:t>
      </w:r>
    </w:p>
    <w:p w:rsidR="004D6F0E" w:rsidRDefault="00490F21">
      <w:pPr>
        <w:spacing w:after="31"/>
        <w:ind w:left="11" w:right="2"/>
      </w:pPr>
      <w:r>
        <w:t>個在質量、穩定性及合理估值之間取得平衡的投資組合。投資</w:t>
      </w:r>
      <w:r>
        <w:t xml:space="preserve"> </w:t>
      </w: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：有關金融衍管理人尋求實現本投資目標，同時限制與</w:t>
      </w:r>
      <w:r>
        <w:t xml:space="preserve"> </w:t>
      </w:r>
      <w:r>
        <w:rPr>
          <w:rFonts w:ascii="Arial" w:eastAsia="Arial" w:hAnsi="Arial" w:cs="Arial"/>
        </w:rPr>
        <w:t xml:space="preserve">MSCI </w:t>
      </w:r>
      <w:r>
        <w:t>中國指數（美</w:t>
      </w:r>
      <w:r>
        <w:t xml:space="preserve"> </w:t>
      </w:r>
      <w:r>
        <w:t>生工具、金融技術及工具以及抵押品管理的額外資料」。</w:t>
      </w:r>
      <w:r>
        <w:rPr>
          <w:rFonts w:ascii="Arial" w:eastAsia="Arial" w:hAnsi="Arial" w:cs="Arial"/>
        </w:rPr>
        <w:t xml:space="preserve"> </w:t>
      </w:r>
    </w:p>
    <w:p w:rsidR="004D6F0E" w:rsidRDefault="00490F21">
      <w:pPr>
        <w:ind w:left="11" w:right="2"/>
      </w:pPr>
      <w:r>
        <w:t>元）相關的波幅。</w:t>
      </w:r>
      <w:r>
        <w:rPr>
          <w:rFonts w:ascii="Arial" w:eastAsia="Arial" w:hAnsi="Arial" w:cs="Arial"/>
        </w:rPr>
        <w:t xml:space="preserve">  </w:t>
      </w:r>
    </w:p>
    <w:p w:rsidR="004D6F0E" w:rsidRDefault="00490F21">
      <w:pPr>
        <w:spacing w:after="40" w:line="349" w:lineRule="auto"/>
        <w:ind w:left="11" w:right="2"/>
      </w:pPr>
      <w:r>
        <w:rPr>
          <w:rFonts w:ascii="Arial" w:eastAsia="Arial" w:hAnsi="Arial" w:cs="Arial"/>
          <w:sz w:val="29"/>
          <w:vertAlign w:val="subscript"/>
        </w:rPr>
        <w:t xml:space="preserve"> </w:t>
      </w:r>
      <w:r>
        <w:rPr>
          <w:rFonts w:ascii="Arial" w:eastAsia="Arial" w:hAnsi="Arial" w:cs="Arial"/>
          <w:sz w:val="29"/>
          <w:vertAlign w:val="subscript"/>
        </w:rPr>
        <w:tab/>
      </w:r>
      <w:r>
        <w:t>風險度量。用於監測使用金融衍生工具所產生的全球風險</w:t>
      </w:r>
      <w:r>
        <w:t>（市中國公司包括以下公司：</w:t>
      </w:r>
      <w:r>
        <w:rPr>
          <w:rFonts w:ascii="Arial" w:eastAsia="Arial" w:hAnsi="Arial" w:cs="Arial"/>
        </w:rPr>
        <w:t>(i)</w:t>
      </w:r>
      <w:r>
        <w:t>於中國註冊或成立；</w:t>
      </w:r>
      <w:r>
        <w:rPr>
          <w:rFonts w:ascii="Arial" w:eastAsia="Arial" w:hAnsi="Arial" w:cs="Arial"/>
        </w:rPr>
        <w:t>(ii)</w:t>
      </w:r>
      <w:r>
        <w:t>於中國成立</w:t>
      </w:r>
      <w:r>
        <w:tab/>
      </w:r>
      <w:r>
        <w:t>場風險）的方法為根據盧森堡金融業監管委員會（</w:t>
      </w:r>
      <w:r>
        <w:rPr>
          <w:rFonts w:ascii="Arial" w:eastAsia="Arial" w:hAnsi="Arial" w:cs="Arial"/>
        </w:rPr>
        <w:t>CSSF</w:t>
      </w:r>
      <w:r>
        <w:t>）</w:t>
      </w:r>
      <w:r>
        <w:rPr>
          <w:rFonts w:ascii="Arial" w:eastAsia="Arial" w:hAnsi="Arial" w:cs="Arial"/>
        </w:rPr>
        <w:t xml:space="preserve">11/512 </w:t>
      </w:r>
      <w:r>
        <w:t>並開展業務活動；</w:t>
      </w:r>
      <w:r>
        <w:rPr>
          <w:rFonts w:ascii="Arial" w:eastAsia="Arial" w:hAnsi="Arial" w:cs="Arial"/>
        </w:rPr>
        <w:t>(iii)</w:t>
      </w:r>
      <w:r>
        <w:t>於中國開展其大部分經濟活動；或</w:t>
      </w:r>
      <w:r>
        <w:rPr>
          <w:rFonts w:ascii="Arial" w:eastAsia="Arial" w:hAnsi="Arial" w:cs="Arial"/>
        </w:rPr>
        <w:t>(iv)</w:t>
      </w:r>
      <w:r>
        <w:t>擁有</w:t>
      </w:r>
      <w:r>
        <w:tab/>
      </w:r>
      <w:r>
        <w:t>號公告採用的承擔法。</w:t>
      </w:r>
      <w:r>
        <w:rPr>
          <w:rFonts w:ascii="Arial" w:eastAsia="Arial" w:hAnsi="Arial" w:cs="Arial"/>
        </w:rPr>
        <w:t xml:space="preserve"> </w:t>
      </w:r>
    </w:p>
    <w:p w:rsidR="004D6F0E" w:rsidRDefault="00490F21">
      <w:pPr>
        <w:ind w:left="11" w:right="2"/>
      </w:pPr>
      <w:r>
        <w:t>受中國經濟發展重大影響的業務。</w:t>
      </w:r>
      <w:r>
        <w:rPr>
          <w:rFonts w:ascii="Arial" w:eastAsia="Arial" w:hAnsi="Arial" w:cs="Arial"/>
        </w:rPr>
        <w:t xml:space="preserve"> </w:t>
      </w:r>
      <w:r>
        <w:rPr>
          <w:rFonts w:ascii="Arial" w:eastAsia="Arial" w:hAnsi="Arial" w:cs="Arial"/>
        </w:rPr>
        <w:tab/>
      </w:r>
      <w:r>
        <w:t>基準。本基金的基準為</w:t>
      </w:r>
      <w:r>
        <w:t xml:space="preserve"> </w:t>
      </w:r>
      <w:r>
        <w:rPr>
          <w:rFonts w:ascii="Arial" w:eastAsia="Arial" w:hAnsi="Arial" w:cs="Arial"/>
        </w:rPr>
        <w:t xml:space="preserve">MSCI </w:t>
      </w:r>
      <w:r>
        <w:t>中國指數（美元）。本基金利用該</w:t>
      </w:r>
      <w:r>
        <w:t xml:space="preserve"> </w:t>
      </w:r>
      <w:r>
        <w:rPr>
          <w:rFonts w:ascii="Arial" w:eastAsia="Arial" w:hAnsi="Arial" w:cs="Arial"/>
          <w:sz w:val="29"/>
          <w:vertAlign w:val="superscript"/>
        </w:rPr>
        <w:t xml:space="preserve"> </w:t>
      </w:r>
      <w:r>
        <w:rPr>
          <w:rFonts w:ascii="Arial" w:eastAsia="Arial" w:hAnsi="Arial" w:cs="Arial"/>
          <w:sz w:val="29"/>
          <w:vertAlign w:val="superscript"/>
        </w:rPr>
        <w:tab/>
      </w:r>
      <w:r>
        <w:t>基準作表現比較及波動度量。本基金採取主動式管理，投資管本基金可投資於任何有資本增值潛力的中國公司、產業界別及</w:t>
      </w:r>
      <w:r>
        <w:tab/>
      </w:r>
      <w:r>
        <w:t>理人於實施本基金投資策略時不受其基準限制。儘管本基金可</w:t>
      </w:r>
      <w:r>
        <w:rPr>
          <w:sz w:val="29"/>
          <w:vertAlign w:val="superscript"/>
        </w:rPr>
        <w:t>證券類型。</w:t>
      </w:r>
      <w:r>
        <w:rPr>
          <w:rFonts w:ascii="Arial" w:eastAsia="Arial" w:hAnsi="Arial" w:cs="Arial"/>
          <w:sz w:val="29"/>
          <w:vertAlign w:val="superscript"/>
        </w:rPr>
        <w:t xml:space="preserve"> </w:t>
      </w:r>
      <w:r>
        <w:rPr>
          <w:rFonts w:ascii="Arial" w:eastAsia="Arial" w:hAnsi="Arial" w:cs="Arial"/>
          <w:sz w:val="29"/>
          <w:vertAlign w:val="superscript"/>
        </w:rPr>
        <w:tab/>
      </w:r>
      <w:r>
        <w:t>於若干市況下由投資管理人全權酌情決定持有基準內的絕大部</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line="216" w:lineRule="auto"/>
        <w:ind w:left="2" w:right="2" w:firstLine="5904"/>
      </w:pPr>
      <w:r>
        <w:t>分成分證券，但不會持有基準的每項成分證券，而且亦可持有本基金投資於某一特定貨幣計價證券的資產份額並無限制，而</w:t>
      </w:r>
    </w:p>
    <w:p w:rsidR="004D6F0E" w:rsidRDefault="00490F21">
      <w:pPr>
        <w:spacing w:after="3" w:line="259" w:lineRule="auto"/>
        <w:ind w:left="5655" w:right="2884" w:hanging="10"/>
        <w:jc w:val="center"/>
      </w:pPr>
      <w:r>
        <w:t>並非基準一部分的證券。</w:t>
      </w:r>
      <w:r>
        <w:rPr>
          <w:rFonts w:ascii="Arial" w:eastAsia="Arial" w:hAnsi="Arial" w:cs="Arial"/>
        </w:rPr>
        <w:t xml:space="preserve"> </w:t>
      </w:r>
    </w:p>
    <w:p w:rsidR="004D6F0E" w:rsidRDefault="00490F21">
      <w:pPr>
        <w:spacing w:after="130"/>
        <w:ind w:left="11" w:right="2"/>
      </w:pPr>
      <w:r>
        <w:t>且本基金的大部分資產預期會投資於非美元計價的證券。</w:t>
      </w:r>
      <w:r>
        <w:rPr>
          <w:rFonts w:ascii="Arial" w:eastAsia="Arial" w:hAnsi="Arial" w:cs="Arial"/>
        </w:rPr>
        <w:t xml:space="preserve"> </w:t>
      </w:r>
    </w:p>
    <w:p w:rsidR="004D6F0E" w:rsidRDefault="00490F21">
      <w:pPr>
        <w:tabs>
          <w:tab w:val="center" w:pos="6665"/>
        </w:tabs>
        <w:ind w:left="0" w:firstLine="0"/>
      </w:pPr>
      <w:r>
        <w:t>本基金可透過能夠進入中國市場的一個或多個資本市場制度投</w:t>
      </w:r>
      <w:r>
        <w:tab/>
      </w:r>
      <w:r>
        <w:t>貨幣對沖股份類別</w:t>
      </w:r>
      <w:r>
        <w:rPr>
          <w:rFonts w:ascii="Arial" w:eastAsia="Arial" w:hAnsi="Arial" w:cs="Arial"/>
          <w:sz w:val="24"/>
        </w:rPr>
        <w:t xml:space="preserve"> </w:t>
      </w:r>
    </w:p>
    <w:p w:rsidR="004D6F0E" w:rsidRDefault="00490F21">
      <w:pPr>
        <w:ind w:left="11" w:right="2"/>
      </w:pPr>
      <w:r>
        <w:lastRenderedPageBreak/>
        <w:t>資中國</w:t>
      </w:r>
      <w:r>
        <w:t xml:space="preserve"> </w:t>
      </w:r>
      <w:r>
        <w:rPr>
          <w:rFonts w:ascii="Arial" w:eastAsia="Arial" w:hAnsi="Arial" w:cs="Arial"/>
        </w:rPr>
        <w:t xml:space="preserve">A </w:t>
      </w:r>
      <w:r>
        <w:t>股，包括滬港股票市場交易互聯互通機制（「滬港通</w:t>
      </w:r>
    </w:p>
    <w:p w:rsidR="004D6F0E" w:rsidRDefault="00490F21">
      <w:pPr>
        <w:ind w:left="5913" w:right="2"/>
      </w:pPr>
      <w:r>
        <w:t>用某種貨幣（各稱「發售貨幣」）發售的一項或多項本基金股份</w:t>
      </w:r>
    </w:p>
    <w:p w:rsidR="004D6F0E" w:rsidRDefault="00490F21">
      <w:pPr>
        <w:ind w:left="11" w:right="2"/>
      </w:pPr>
      <w:r>
        <w:t>」）、深港股票市場交易互聯互通機制（「深港通」，與滬港通</w:t>
      </w:r>
    </w:p>
    <w:p w:rsidR="004D6F0E" w:rsidRDefault="00490F21">
      <w:pPr>
        <w:ind w:left="5913" w:right="2"/>
      </w:pPr>
      <w:r>
        <w:t>類別可用該發售貨幣對沖。任何此等股份類別將構成「貨幣對</w:t>
      </w:r>
    </w:p>
    <w:p w:rsidR="004D6F0E" w:rsidRDefault="00490F21">
      <w:pPr>
        <w:ind w:left="11" w:right="2"/>
      </w:pPr>
      <w:r>
        <w:t>統稱「中華通」）及</w:t>
      </w:r>
      <w:r>
        <w:t xml:space="preserve"> </w:t>
      </w:r>
      <w:r>
        <w:rPr>
          <w:rFonts w:ascii="Arial" w:eastAsia="Arial" w:hAnsi="Arial" w:cs="Arial"/>
        </w:rPr>
        <w:t xml:space="preserve">QFI </w:t>
      </w:r>
      <w:r>
        <w:t>計劃。有關中國資本市場的其他詳情</w:t>
      </w:r>
    </w:p>
    <w:p w:rsidR="004D6F0E" w:rsidRDefault="00490F21">
      <w:pPr>
        <w:ind w:left="5913" w:right="2"/>
      </w:pPr>
      <w:r>
        <w:t>沖股份類別」。貨幣對沖股份類別的目的是透過降低本基金基</w:t>
      </w:r>
    </w:p>
    <w:p w:rsidR="004D6F0E" w:rsidRDefault="00490F21">
      <w:pPr>
        <w:ind w:left="11" w:right="2"/>
      </w:pPr>
      <w:r>
        <w:t>，請參閱本傘子基金的一般資料「風險因素」內的「國家風險</w:t>
      </w:r>
      <w:r>
        <w:rPr>
          <w:rFonts w:ascii="Arial" w:eastAsia="Arial" w:hAnsi="Arial" w:cs="Arial"/>
        </w:rPr>
        <w:t xml:space="preserve"> — </w:t>
      </w:r>
    </w:p>
    <w:p w:rsidR="004D6F0E" w:rsidRDefault="00490F21">
      <w:pPr>
        <w:ind w:left="5913" w:right="2"/>
      </w:pPr>
      <w:r>
        <w:t>準貨幣（即美元）與相關發售貨幣之間匯率波動的影響，並計及</w:t>
      </w:r>
    </w:p>
    <w:p w:rsidR="004D6F0E" w:rsidRDefault="00490F21">
      <w:pPr>
        <w:ind w:left="11" w:right="2"/>
      </w:pPr>
      <w:r>
        <w:t>中國」。</w:t>
      </w:r>
      <w:r>
        <w:rPr>
          <w:rFonts w:ascii="Arial" w:eastAsia="Arial" w:hAnsi="Arial" w:cs="Arial"/>
        </w:rPr>
        <w:t xml:space="preserve"> </w:t>
      </w:r>
    </w:p>
    <w:p w:rsidR="004D6F0E" w:rsidRDefault="00490F21">
      <w:pPr>
        <w:ind w:left="5913" w:right="2"/>
      </w:pPr>
      <w:r>
        <w:t>交易成本等實際考量因素，為投資者提供與本基金基準貨幣回</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line="216" w:lineRule="auto"/>
        <w:ind w:left="2" w:right="2" w:firstLine="5904"/>
      </w:pPr>
      <w:r>
        <w:t>報率更具相關性的回報率。採用的對沖策略在設計上是爲了降其他投資政策</w:t>
      </w:r>
      <w:r>
        <w:rPr>
          <w:rFonts w:ascii="Arial" w:eastAsia="Arial" w:hAnsi="Arial" w:cs="Arial"/>
          <w:b/>
        </w:rPr>
        <w:t xml:space="preserve"> </w:t>
      </w:r>
    </w:p>
    <w:p w:rsidR="004D6F0E" w:rsidRDefault="00490F21">
      <w:pPr>
        <w:ind w:left="5913" w:right="2"/>
      </w:pPr>
      <w:r>
        <w:t>低（但未必消除）本</w:t>
      </w:r>
      <w:r>
        <w:t>基金基準貨幣和發售貨幣之間的貨幣風險。</w:t>
      </w:r>
      <w:r>
        <w:rPr>
          <w:rFonts w:ascii="Arial" w:eastAsia="Arial" w:hAnsi="Arial" w:cs="Arial"/>
        </w:rPr>
        <w:t xml:space="preserve"> </w:t>
      </w:r>
    </w:p>
    <w:p w:rsidR="004D6F0E" w:rsidRDefault="00490F21">
      <w:pPr>
        <w:spacing w:after="52"/>
        <w:ind w:left="11" w:right="2"/>
      </w:pPr>
      <w:r>
        <w:t>作為暫時性的防守策略或為準備資金贖回證券，本基金可（但</w:t>
      </w:r>
    </w:p>
    <w:p w:rsidR="004D6F0E" w:rsidRDefault="00490F21">
      <w:pPr>
        <w:ind w:left="11" w:right="2"/>
      </w:pPr>
      <w:r>
        <w:t>不限於）持有現金、現金等價物或短期固定收益債務（包括貨幣</w:t>
      </w:r>
      <w:r>
        <w:tab/>
      </w:r>
      <w:r>
        <w:t>貨幣對沖股份類別並不影響本基金所屬資產的投資管理，因為</w:t>
      </w:r>
      <w:r>
        <w:rPr>
          <w:sz w:val="29"/>
          <w:vertAlign w:val="superscript"/>
        </w:rPr>
        <w:t>市場工具）。</w:t>
      </w:r>
      <w:r>
        <w:rPr>
          <w:rFonts w:ascii="Arial" w:eastAsia="Arial" w:hAnsi="Arial" w:cs="Arial"/>
          <w:sz w:val="29"/>
          <w:vertAlign w:val="superscript"/>
        </w:rPr>
        <w:t xml:space="preserve"> </w:t>
      </w:r>
      <w:r>
        <w:rPr>
          <w:rFonts w:ascii="Arial" w:eastAsia="Arial" w:hAnsi="Arial" w:cs="Arial"/>
          <w:sz w:val="29"/>
          <w:vertAlign w:val="superscript"/>
        </w:rPr>
        <w:tab/>
      </w:r>
      <w:r>
        <w:t>用發售貨幣對沖的只是貨幣對沖股份類別的資產淨值，而非本本基金最多可投資淨資產的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II</w:t>
      </w:r>
      <w:r>
        <w:rPr>
          <w:rFonts w:ascii="Arial" w:eastAsia="Arial" w:hAnsi="Arial" w:cs="Arial"/>
        </w:rPr>
        <w:tab/>
      </w:r>
      <w:r>
        <w:t>基金所屬資產。此類對沖活動引起的開支由引起該等開支的貨部分附錄</w:t>
      </w:r>
      <w:r>
        <w:t xml:space="preserve"> </w:t>
      </w:r>
      <w:r>
        <w:rPr>
          <w:rFonts w:ascii="Arial" w:eastAsia="Arial" w:hAnsi="Arial" w:cs="Arial"/>
        </w:rPr>
        <w:t>A</w:t>
      </w:r>
      <w:r>
        <w:t>「投資限制」第</w:t>
      </w:r>
      <w:r>
        <w:rPr>
          <w:rFonts w:ascii="Arial" w:eastAsia="Arial" w:hAnsi="Arial" w:cs="Arial"/>
        </w:rPr>
        <w:t>(5)</w:t>
      </w:r>
      <w:r>
        <w:t>段。因此，本基金可能會難以隨</w:t>
      </w:r>
      <w:r>
        <w:tab/>
      </w:r>
      <w:r>
        <w:t>幣對沖股份類別承擔。</w:t>
      </w:r>
      <w:r>
        <w:rPr>
          <w:rFonts w:ascii="Arial" w:eastAsia="Arial" w:hAnsi="Arial" w:cs="Arial"/>
          <w:sz w:val="24"/>
        </w:rPr>
        <w:t xml:space="preserve"> </w:t>
      </w:r>
    </w:p>
    <w:p w:rsidR="004D6F0E" w:rsidRDefault="00490F21">
      <w:pPr>
        <w:ind w:left="11" w:right="2"/>
      </w:pPr>
      <w:r>
        <w:t>時出售該等證券。此外，轉售該等證券可能會有合約限制。</w:t>
      </w:r>
      <w:r>
        <w:rPr>
          <w:rFonts w:ascii="Arial" w:eastAsia="Arial" w:hAnsi="Arial" w:cs="Arial"/>
        </w:rPr>
        <w:t xml:space="preserve"> </w:t>
      </w:r>
    </w:p>
    <w:p w:rsidR="004D6F0E" w:rsidRDefault="00490F21">
      <w:pPr>
        <w:spacing w:after="36" w:line="216" w:lineRule="auto"/>
        <w:ind w:left="2" w:right="2" w:firstLine="5904"/>
      </w:pPr>
      <w:r>
        <w:t>欲進一步了解股份類別對沖詳情，請參閱第</w:t>
      </w:r>
      <w:r>
        <w:t xml:space="preserve"> </w:t>
      </w:r>
      <w:r>
        <w:rPr>
          <w:rFonts w:ascii="Arial" w:eastAsia="Arial" w:hAnsi="Arial" w:cs="Arial"/>
        </w:rPr>
        <w:t xml:space="preserve">II </w:t>
      </w:r>
      <w:r>
        <w:t>部分「如何購買金融衍生工具／有效基金管理技術</w:t>
      </w:r>
      <w:r>
        <w:rPr>
          <w:rFonts w:ascii="Arial" w:eastAsia="Arial" w:hAnsi="Arial" w:cs="Arial"/>
          <w:sz w:val="37"/>
          <w:vertAlign w:val="superscript"/>
        </w:rPr>
        <w:t xml:space="preserve"> </w:t>
      </w:r>
      <w:r>
        <w:rPr>
          <w:rFonts w:ascii="Arial" w:eastAsia="Arial" w:hAnsi="Arial" w:cs="Arial"/>
          <w:sz w:val="37"/>
          <w:vertAlign w:val="superscript"/>
        </w:rPr>
        <w:tab/>
      </w:r>
      <w:r>
        <w:t>股份</w:t>
      </w:r>
      <w:r>
        <w:rPr>
          <w:rFonts w:ascii="Arial" w:eastAsia="Arial" w:hAnsi="Arial" w:cs="Arial"/>
        </w:rPr>
        <w:t>—</w:t>
      </w:r>
      <w:r>
        <w:t>貨幣對沖股份類別」。</w:t>
      </w:r>
      <w:r>
        <w:rPr>
          <w:rFonts w:ascii="Arial" w:eastAsia="Arial" w:hAnsi="Arial" w:cs="Arial"/>
        </w:rPr>
        <w:t xml:space="preserve"> </w:t>
      </w:r>
    </w:p>
    <w:p w:rsidR="004D6F0E" w:rsidRDefault="00490F21">
      <w:pPr>
        <w:spacing w:after="37"/>
        <w:ind w:left="11" w:right="2"/>
      </w:pPr>
      <w:r>
        <w:t>本基金可能使用衍生工具用於對沖、有效基金管理，或其他風</w:t>
      </w:r>
      <w:r>
        <w:tab/>
      </w:r>
      <w:r>
        <w:t>與人民幣對沖股份類別掛鈎的風險因素。自二零零五年起，人險管理目的。此類金融衍生工具及有效基金管理技術可包括但</w:t>
      </w:r>
      <w:r>
        <w:tab/>
      </w:r>
      <w:r>
        <w:t>民幣匯率不再與美元掛鈎。人民幣現已轉為參照一籃子外幣並不限於交易所交易及場外市場衍生工具，如掉期合約、期權、期</w:t>
      </w:r>
      <w:r>
        <w:tab/>
      </w:r>
      <w:r>
        <w:t>基於市場供應及需求，採用受管控浮動匯率制度。人民幣於銀貨、指數期貨及貨幣交易（包括遠期貨幣合約）。</w:t>
      </w:r>
      <w:r>
        <w:rPr>
          <w:rFonts w:ascii="Arial" w:eastAsia="Arial" w:hAnsi="Arial" w:cs="Arial"/>
          <w:sz w:val="24"/>
        </w:rPr>
        <w:t xml:space="preserve"> </w:t>
      </w:r>
      <w:r>
        <w:rPr>
          <w:rFonts w:ascii="Arial" w:eastAsia="Arial" w:hAnsi="Arial" w:cs="Arial"/>
          <w:sz w:val="24"/>
        </w:rPr>
        <w:tab/>
      </w:r>
      <w:r>
        <w:t>行間外匯市場兌其他主要貨幣的每日買賣價可在中國人民銀行根據證券融資交易規例有關透明度之要求，下表反映本基金將</w:t>
      </w:r>
      <w:r>
        <w:tab/>
      </w:r>
      <w:r>
        <w:t>公佈的中間價附近窄幅浮動。從離岸人民幣兌換為在岸人民幣投資證券融資交易（</w:t>
      </w:r>
      <w:r>
        <w:rPr>
          <w:sz w:val="20"/>
        </w:rPr>
        <w:t>即</w:t>
      </w:r>
      <w:r>
        <w:t>借出證券交易以及回購協議及逆回購協</w:t>
      </w:r>
      <w:r>
        <w:tab/>
      </w:r>
      <w:r>
        <w:t>的人民幣可兌換性是一個受管控的貨幣流程，須遵守中國政府議）（「</w:t>
      </w:r>
      <w:r>
        <w:rPr>
          <w:rFonts w:ascii="Arial" w:eastAsia="Arial" w:hAnsi="Arial" w:cs="Arial"/>
          <w:i/>
        </w:rPr>
        <w:t>SFT</w:t>
      </w:r>
      <w:r>
        <w:t>」）及總回報掉期及／或具類似特徵的其他金融衍</w:t>
      </w:r>
      <w:r>
        <w:tab/>
      </w:r>
      <w:r>
        <w:t>在與香港金融管理局（香港金管局）的協調下頒佈的外匯管制生工具（「</w:t>
      </w:r>
      <w:r>
        <w:rPr>
          <w:rFonts w:ascii="Arial" w:eastAsia="Arial" w:hAnsi="Arial" w:cs="Arial"/>
          <w:i/>
        </w:rPr>
        <w:t>TRS</w:t>
      </w:r>
      <w:r>
        <w:t>」）的（如適用）預期及最高淨資產水平，並</w:t>
      </w:r>
      <w:r>
        <w:lastRenderedPageBreak/>
        <w:t>指</w:t>
      </w:r>
      <w:r>
        <w:tab/>
      </w:r>
      <w:r>
        <w:t>政策及匯回限制。由於多個因素，離岸人民幣的價值可能會與明於若干情況下此比例或會較高。</w:t>
      </w:r>
      <w:r>
        <w:rPr>
          <w:rFonts w:ascii="Arial" w:eastAsia="Arial" w:hAnsi="Arial" w:cs="Arial"/>
        </w:rPr>
        <w:t xml:space="preserve"> </w:t>
      </w:r>
      <w:r>
        <w:rPr>
          <w:rFonts w:ascii="Arial" w:eastAsia="Arial" w:hAnsi="Arial" w:cs="Arial"/>
        </w:rPr>
        <w:tab/>
      </w:r>
      <w:r>
        <w:t>在岸人民幣的價值相異而有關差異可能重大，該等因素包括但不限於中國政府不時實施的外匯管制政策及匯回限制以及其他外部市場力量。</w:t>
      </w:r>
      <w:r>
        <w:rPr>
          <w:rFonts w:ascii="Arial" w:eastAsia="Arial" w:hAnsi="Arial" w:cs="Arial"/>
        </w:rPr>
        <w:t xml:space="preserve"> </w:t>
      </w:r>
    </w:p>
    <w:p w:rsidR="004D6F0E" w:rsidRDefault="00490F21">
      <w:pPr>
        <w:spacing w:after="0" w:line="259" w:lineRule="auto"/>
        <w:ind w:left="717" w:firstLine="0"/>
        <w:jc w:val="center"/>
      </w:pPr>
      <w:r>
        <w:rPr>
          <w:rFonts w:ascii="Times New Roman" w:eastAsia="Times New Roman" w:hAnsi="Times New Roman" w:cs="Times New Roman"/>
          <w:sz w:val="18"/>
        </w:rPr>
        <w:t xml:space="preserve"> </w:t>
      </w:r>
    </w:p>
    <w:p w:rsidR="004D6F0E" w:rsidRDefault="00490F21">
      <w:pPr>
        <w:spacing w:after="0" w:line="259" w:lineRule="auto"/>
        <w:ind w:left="725" w:firstLine="0"/>
        <w:jc w:val="center"/>
      </w:pPr>
      <w:r>
        <w:rPr>
          <w:rFonts w:ascii="Arial" w:eastAsia="Arial" w:hAnsi="Arial" w:cs="Arial"/>
        </w:rPr>
        <w:t xml:space="preserve"> </w:t>
      </w:r>
    </w:p>
    <w:p w:rsidR="004D6F0E" w:rsidRDefault="00490F21">
      <w:pPr>
        <w:spacing w:after="0" w:line="259" w:lineRule="auto"/>
        <w:ind w:left="725" w:firstLine="0"/>
        <w:jc w:val="center"/>
      </w:pPr>
      <w:r>
        <w:rPr>
          <w:rFonts w:ascii="Arial" w:eastAsia="Arial" w:hAnsi="Arial" w:cs="Arial"/>
        </w:rPr>
        <w:t xml:space="preserve"> </w:t>
      </w:r>
    </w:p>
    <w:p w:rsidR="004D6F0E" w:rsidRDefault="00490F21">
      <w:pPr>
        <w:spacing w:after="187" w:line="259" w:lineRule="auto"/>
        <w:ind w:left="725" w:firstLine="0"/>
        <w:jc w:val="center"/>
      </w:pPr>
      <w:r>
        <w:rPr>
          <w:rFonts w:ascii="Arial" w:eastAsia="Arial" w:hAnsi="Arial" w:cs="Arial"/>
        </w:rPr>
        <w:t xml:space="preserve"> </w:t>
      </w:r>
    </w:p>
    <w:p w:rsidR="004D6F0E" w:rsidRDefault="00490F21">
      <w:pPr>
        <w:spacing w:after="3" w:line="259" w:lineRule="auto"/>
        <w:ind w:right="52" w:hanging="10"/>
        <w:jc w:val="center"/>
      </w:pPr>
      <w:r>
        <w:rPr>
          <w:rFonts w:ascii="Times New Roman" w:eastAsia="Times New Roman" w:hAnsi="Times New Roman" w:cs="Times New Roman"/>
          <w:sz w:val="20"/>
        </w:rPr>
        <w:t xml:space="preserve">I-33 </w:t>
      </w:r>
    </w:p>
    <w:p w:rsidR="004D6F0E" w:rsidRDefault="004D6F0E">
      <w:pPr>
        <w:sectPr w:rsidR="004D6F0E">
          <w:type w:val="continuous"/>
          <w:pgSz w:w="12240" w:h="15840"/>
          <w:pgMar w:top="1440" w:right="672" w:bottom="1440" w:left="432" w:header="720" w:footer="720" w:gutter="0"/>
          <w:cols w:space="720"/>
        </w:sectPr>
      </w:pPr>
    </w:p>
    <w:p w:rsidR="004D6F0E" w:rsidRDefault="00490F21">
      <w:pPr>
        <w:spacing w:after="17" w:line="235" w:lineRule="auto"/>
        <w:ind w:left="0" w:right="5717" w:firstLine="0"/>
      </w:pPr>
      <w:r>
        <w:rPr>
          <w:rFonts w:ascii="Arial" w:eastAsia="Arial" w:hAnsi="Arial" w:cs="Arial"/>
        </w:rPr>
        <w:t xml:space="preserve"> </w:t>
      </w:r>
      <w:r>
        <w:rPr>
          <w:rFonts w:ascii="Times New Roman" w:eastAsia="Times New Roman" w:hAnsi="Times New Roman" w:cs="Times New Roman"/>
          <w:sz w:val="18"/>
        </w:rPr>
        <w:t xml:space="preserve"> </w:t>
      </w:r>
    </w:p>
    <w:p w:rsidR="004D6F0E" w:rsidRDefault="00490F21">
      <w:pPr>
        <w:ind w:left="11" w:right="2"/>
      </w:pPr>
      <w:r>
        <w:t>自二零零五年起，中國政府實施的外匯管制政策已導致人民幣（包括離岸人民幣及在岸人民幣）整體升值。有關升值情況可能會亦可能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rPr>
          <w:rFonts w:ascii="Arial" w:eastAsia="Arial" w:hAnsi="Arial" w:cs="Arial"/>
        </w:rPr>
        <w:t xml:space="preserve">H </w:t>
      </w:r>
      <w:r>
        <w:t>人民幣股份參與離岸人民幣市場，允許投資者在中國內地以外與香港市場內的核准銀行（獲香港金管局核准的銀行）自由交易離岸人民幣。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9466" w:line="238" w:lineRule="auto"/>
        <w:ind w:left="0" w:right="5717" w:firstLine="0"/>
      </w:pPr>
      <w:r>
        <w:rPr>
          <w:rFonts w:ascii="Arial" w:eastAsia="Arial" w:hAnsi="Arial" w:cs="Arial"/>
          <w:sz w:val="18"/>
        </w:rPr>
        <w:t xml:space="preserve"> </w:t>
      </w: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I-34</w:t>
      </w: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right="7" w:firstLine="0"/>
        <w:jc w:val="right"/>
      </w:pPr>
      <w:r>
        <w:rPr>
          <w:rFonts w:ascii="Arial" w:eastAsia="Arial" w:hAnsi="Arial" w:cs="Arial"/>
          <w:sz w:val="20"/>
        </w:rPr>
        <w:t xml:space="preserve"> </w:t>
      </w:r>
    </w:p>
    <w:p w:rsidR="004D6F0E" w:rsidRDefault="00490F21">
      <w:pPr>
        <w:spacing w:after="183" w:line="259" w:lineRule="auto"/>
        <w:ind w:left="0" w:firstLine="0"/>
      </w:pPr>
      <w:r>
        <w:rPr>
          <w:rFonts w:ascii="Arial" w:eastAsia="Arial" w:hAnsi="Arial" w:cs="Arial"/>
        </w:rPr>
        <w:t xml:space="preserve"> </w:t>
      </w:r>
    </w:p>
    <w:p w:rsidR="004D6F0E" w:rsidRDefault="00490F21">
      <w:pPr>
        <w:ind w:left="11" w:right="2"/>
      </w:pPr>
      <w:r>
        <w:t>負責任投資。本</w:t>
      </w:r>
      <w:r>
        <w:t>基金整合</w:t>
      </w:r>
      <w:r>
        <w:rPr>
          <w:rFonts w:ascii="Arial" w:eastAsia="Arial" w:hAnsi="Arial" w:cs="Arial"/>
        </w:rPr>
        <w:t>ESG</w:t>
      </w:r>
      <w:r>
        <w:t>考慮因素。本基金應用若干排除條件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r>
        <w:rPr>
          <w:rFonts w:ascii="Arial" w:eastAsia="Arial" w:hAnsi="Arial" w:cs="Arial"/>
          <w:color w:val="0000FF"/>
          <w:u w:val="single" w:color="0000FF"/>
        </w:rPr>
        <w:t>www.alliancebernstein.com</w:t>
      </w:r>
    </w:p>
    <w:p w:rsidR="004D6F0E" w:rsidRDefault="00490F21">
      <w:pPr>
        <w:spacing w:after="216" w:line="254" w:lineRule="auto"/>
        <w:ind w:left="8" w:hanging="10"/>
      </w:pPr>
      <w:r>
        <w:rPr>
          <w:rFonts w:ascii="Arial" w:eastAsia="Arial" w:hAnsi="Arial" w:cs="Arial"/>
          <w:color w:val="0000FF"/>
          <w:u w:val="single" w:color="0000FF"/>
        </w:rPr>
        <w:t>/go/ABFCPIExclusionChart</w:t>
      </w:r>
      <w:r>
        <w:t>。</w:t>
      </w:r>
      <w:r>
        <w:rPr>
          <w:rFonts w:ascii="Arial" w:eastAsia="Arial" w:hAnsi="Arial" w:cs="Arial"/>
        </w:rPr>
        <w:t xml:space="preserve">  </w:t>
      </w:r>
    </w:p>
    <w:p w:rsidR="004D6F0E" w:rsidRDefault="00490F21">
      <w:pPr>
        <w:spacing w:after="202"/>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D6F0E">
      <w:pPr>
        <w:sectPr w:rsidR="004D6F0E">
          <w:type w:val="continuous"/>
          <w:pgSz w:w="12240" w:h="15840"/>
          <w:pgMar w:top="1440" w:right="658" w:bottom="1440" w:left="432" w:header="720" w:footer="720" w:gutter="0"/>
          <w:cols w:num="2" w:space="720" w:equalWidth="0">
            <w:col w:w="5770" w:space="134"/>
            <w:col w:w="5246"/>
          </w:cols>
        </w:sectPr>
      </w:pPr>
    </w:p>
    <w:p w:rsidR="004D6F0E" w:rsidRDefault="00490F21">
      <w:pPr>
        <w:pStyle w:val="Heading3"/>
        <w:spacing w:after="8"/>
        <w:ind w:left="4" w:firstLine="11088"/>
      </w:pPr>
      <w:r>
        <w:rPr>
          <w:rFonts w:ascii="Times New Roman" w:eastAsia="Times New Roman" w:hAnsi="Times New Roman" w:cs="Times New Roman"/>
          <w:sz w:val="19"/>
        </w:rPr>
        <w:lastRenderedPageBreak/>
        <w:t xml:space="preserve"> </w:t>
      </w:r>
      <w:r>
        <w:t>摘要資料</w:t>
      </w:r>
      <w:r>
        <w:rPr>
          <w:rFonts w:ascii="Arial" w:eastAsia="Arial" w:hAnsi="Arial" w:cs="Arial"/>
          <w:sz w:val="19"/>
        </w:rPr>
        <w:t xml:space="preserve"> </w:t>
      </w:r>
    </w:p>
    <w:p w:rsidR="004D6F0E" w:rsidRDefault="00490F21">
      <w:pPr>
        <w:spacing w:after="24" w:line="259" w:lineRule="auto"/>
        <w:ind w:left="0" w:right="-140" w:firstLine="0"/>
      </w:pPr>
      <w:r>
        <w:rPr>
          <w:rFonts w:ascii="Calibri" w:eastAsia="Calibri" w:hAnsi="Calibri" w:cs="Calibri"/>
          <w:noProof/>
          <w:sz w:val="22"/>
        </w:rPr>
        <mc:AlternateContent>
          <mc:Choice Requires="wpg">
            <w:drawing>
              <wp:inline distT="0" distB="0" distL="0" distR="0">
                <wp:extent cx="7159752" cy="18288"/>
                <wp:effectExtent l="0" t="0" r="0" b="0"/>
                <wp:docPr id="470706" name="Group 470706"/>
                <wp:cNvGraphicFramePr/>
                <a:graphic xmlns:a="http://schemas.openxmlformats.org/drawingml/2006/main">
                  <a:graphicData uri="http://schemas.microsoft.com/office/word/2010/wordprocessingGroup">
                    <wpg:wgp>
                      <wpg:cNvGrpSpPr/>
                      <wpg:grpSpPr>
                        <a:xfrm>
                          <a:off x="0" y="0"/>
                          <a:ext cx="7159752" cy="18288"/>
                          <a:chOff x="0" y="0"/>
                          <a:chExt cx="7159752" cy="18288"/>
                        </a:xfrm>
                      </wpg:grpSpPr>
                      <wps:wsp>
                        <wps:cNvPr id="658021" name="Shape 658021"/>
                        <wps:cNvSpPr/>
                        <wps:spPr>
                          <a:xfrm>
                            <a:off x="0" y="0"/>
                            <a:ext cx="7159752" cy="18288"/>
                          </a:xfrm>
                          <a:custGeom>
                            <a:avLst/>
                            <a:gdLst/>
                            <a:ahLst/>
                            <a:cxnLst/>
                            <a:rect l="0" t="0" r="0" b="0"/>
                            <a:pathLst>
                              <a:path w="7159752" h="18288">
                                <a:moveTo>
                                  <a:pt x="0" y="0"/>
                                </a:moveTo>
                                <a:lnTo>
                                  <a:pt x="7159752" y="0"/>
                                </a:lnTo>
                                <a:lnTo>
                                  <a:pt x="71597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0706" style="width:563.76pt;height:1.44pt;mso-position-horizontal-relative:char;mso-position-vertical-relative:line" coordsize="71597,182">
                <v:shape id="Shape 658022" style="position:absolute;width:71597;height:182;left:0;top:0;" coordsize="7159752,18288" path="m0,0l7159752,0l7159752,18288l0,18288l0,0">
                  <v:stroke weight="0pt" endcap="flat" joinstyle="miter" miterlimit="10" on="false" color="#000000" opacity="0"/>
                  <v:fill on="true" color="#000000"/>
                </v:shape>
              </v:group>
            </w:pict>
          </mc:Fallback>
        </mc:AlternateContent>
      </w:r>
    </w:p>
    <w:p w:rsidR="004D6F0E" w:rsidRDefault="00490F21">
      <w:pPr>
        <w:ind w:left="117" w:right="2"/>
      </w:pPr>
      <w:r>
        <w:t>基金特色</w:t>
      </w:r>
      <w:r>
        <w:rPr>
          <w:rFonts w:ascii="Arial" w:eastAsia="Arial" w:hAnsi="Arial" w:cs="Arial"/>
          <w:sz w:val="24"/>
        </w:rPr>
        <w:t xml:space="preserve"> </w:t>
      </w:r>
    </w:p>
    <w:tbl>
      <w:tblPr>
        <w:tblStyle w:val="TableGrid"/>
        <w:tblW w:w="11083" w:type="dxa"/>
        <w:tblInd w:w="108" w:type="dxa"/>
        <w:tblCellMar>
          <w:top w:w="27" w:type="dxa"/>
          <w:left w:w="0" w:type="dxa"/>
          <w:bottom w:w="0" w:type="dxa"/>
          <w:right w:w="0" w:type="dxa"/>
        </w:tblCellMar>
        <w:tblLook w:val="04A0" w:firstRow="1" w:lastRow="0" w:firstColumn="1" w:lastColumn="0" w:noHBand="0" w:noVBand="1"/>
      </w:tblPr>
      <w:tblGrid>
        <w:gridCol w:w="1080"/>
        <w:gridCol w:w="6390"/>
        <w:gridCol w:w="1080"/>
        <w:gridCol w:w="5919"/>
      </w:tblGrid>
      <w:tr w:rsidR="004D6F0E">
        <w:trPr>
          <w:trHeight w:val="2913"/>
        </w:trPr>
        <w:tc>
          <w:tcPr>
            <w:tcW w:w="1668" w:type="dxa"/>
            <w:tcBorders>
              <w:top w:val="nil"/>
              <w:left w:val="nil"/>
              <w:bottom w:val="nil"/>
              <w:right w:val="nil"/>
            </w:tcBorders>
          </w:tcPr>
          <w:p w:rsidR="004D6F0E" w:rsidRDefault="00490F21">
            <w:pPr>
              <w:spacing w:after="1" w:line="259" w:lineRule="auto"/>
              <w:ind w:left="0" w:firstLine="0"/>
            </w:pPr>
            <w:r>
              <w:rPr>
                <w:sz w:val="18"/>
              </w:rPr>
              <w:t>基金貨幣</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sz w:val="18"/>
              </w:rPr>
              <w:t>資產淨值計算</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股份類別名稱</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36"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p>
        </w:tc>
        <w:tc>
          <w:tcPr>
            <w:tcW w:w="4836" w:type="dxa"/>
            <w:tcBorders>
              <w:top w:val="nil"/>
              <w:left w:val="nil"/>
              <w:bottom w:val="nil"/>
              <w:right w:val="nil"/>
            </w:tcBorders>
          </w:tcPr>
          <w:p w:rsidR="004D6F0E" w:rsidRDefault="00490F21">
            <w:pPr>
              <w:spacing w:after="0" w:line="281" w:lineRule="auto"/>
              <w:ind w:left="427" w:right="399" w:firstLine="0"/>
            </w:pPr>
            <w:r>
              <w:rPr>
                <w:sz w:val="18"/>
              </w:rPr>
              <w:t>美元</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r>
              <w:rPr>
                <w:sz w:val="18"/>
              </w:rPr>
              <w:t>每個營業日</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r>
              <w:rPr>
                <w:rFonts w:ascii="Arial" w:eastAsia="Arial" w:hAnsi="Arial" w:cs="Arial"/>
                <w:sz w:val="18"/>
              </w:rPr>
              <w:tab/>
              <w:t xml:space="preserve"> </w:t>
            </w:r>
            <w:r>
              <w:rPr>
                <w:sz w:val="18"/>
              </w:rPr>
              <w:t>可在</w:t>
            </w:r>
            <w:r>
              <w:rPr>
                <w:sz w:val="18"/>
              </w:rPr>
              <w:t xml:space="preserve"> </w:t>
            </w:r>
            <w:hyperlink r:id="rId121">
              <w:r>
                <w:rPr>
                  <w:rFonts w:ascii="Arial" w:eastAsia="Arial" w:hAnsi="Arial" w:cs="Arial"/>
                  <w:color w:val="0000FF"/>
                  <w:sz w:val="18"/>
                  <w:u w:val="single" w:color="0000FF"/>
                </w:rPr>
                <w:t>www.alliancebernstein.com</w:t>
              </w:r>
            </w:hyperlink>
            <w:r>
              <w:rPr>
                <w:rFonts w:ascii="Arial" w:eastAsia="Arial" w:hAnsi="Arial" w:cs="Arial"/>
                <w:color w:val="0000FF"/>
                <w:sz w:val="18"/>
                <w:u w:val="single" w:color="0000FF"/>
              </w:rPr>
              <w:t xml:space="preserve"> </w:t>
            </w:r>
            <w:hyperlink r:id="rId122">
              <w:r>
                <w:rPr>
                  <w:sz w:val="18"/>
                </w:rPr>
                <w:t>查</w:t>
              </w:r>
            </w:hyperlink>
            <w:r>
              <w:rPr>
                <w:sz w:val="18"/>
              </w:rPr>
              <w:t>閱</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b/>
                <w:sz w:val="18"/>
              </w:rPr>
              <w:t xml:space="preserve"> </w:t>
            </w:r>
          </w:p>
          <w:p w:rsidR="004D6F0E" w:rsidRDefault="00490F21">
            <w:pPr>
              <w:spacing w:after="0" w:line="278" w:lineRule="auto"/>
              <w:ind w:left="427" w:right="562" w:firstLine="0"/>
              <w:jc w:val="both"/>
            </w:pP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 </w:t>
            </w:r>
            <w:r>
              <w:rPr>
                <w:sz w:val="18"/>
              </w:rPr>
              <w:t>貨幣對沖股份類別」和「風險因素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948" w:type="dxa"/>
            <w:tcBorders>
              <w:top w:val="nil"/>
              <w:left w:val="nil"/>
              <w:bottom w:val="nil"/>
              <w:right w:val="nil"/>
            </w:tcBorders>
          </w:tcPr>
          <w:p w:rsidR="004D6F0E" w:rsidRDefault="00490F21">
            <w:pPr>
              <w:spacing w:after="0" w:line="273" w:lineRule="auto"/>
              <w:ind w:left="0" w:firstLine="0"/>
            </w:pPr>
            <w:r>
              <w:rPr>
                <w:sz w:val="18"/>
              </w:rPr>
              <w:t>指示截止時間</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31" w:line="239" w:lineRule="auto"/>
              <w:ind w:left="0" w:right="898" w:firstLine="0"/>
            </w:pPr>
            <w:r>
              <w:rPr>
                <w:rFonts w:ascii="Arial" w:eastAsia="Arial" w:hAnsi="Arial" w:cs="Arial"/>
                <w:sz w:val="18"/>
              </w:rPr>
              <w:t xml:space="preserve">  </w:t>
            </w:r>
          </w:p>
          <w:p w:rsidR="004D6F0E" w:rsidRDefault="00490F21">
            <w:pPr>
              <w:spacing w:after="0" w:line="259" w:lineRule="auto"/>
              <w:ind w:left="0" w:firstLine="0"/>
            </w:pPr>
            <w:r>
              <w:rPr>
                <w:sz w:val="18"/>
              </w:rPr>
              <w:t>派息</w:t>
            </w:r>
            <w:r>
              <w:rPr>
                <w:rFonts w:ascii="Arial" w:eastAsia="Arial" w:hAnsi="Arial" w:cs="Arial"/>
                <w:sz w:val="18"/>
              </w:rPr>
              <w:t>*</w:t>
            </w:r>
            <w:r>
              <w:rPr>
                <w:rFonts w:ascii="Arial" w:eastAsia="Arial" w:hAnsi="Arial" w:cs="Arial"/>
                <w:sz w:val="24"/>
              </w:rPr>
              <w:t xml:space="preserve"> </w:t>
            </w:r>
          </w:p>
        </w:tc>
        <w:tc>
          <w:tcPr>
            <w:tcW w:w="3631" w:type="dxa"/>
            <w:tcBorders>
              <w:top w:val="nil"/>
              <w:left w:val="nil"/>
              <w:bottom w:val="nil"/>
              <w:right w:val="nil"/>
            </w:tcBorders>
          </w:tcPr>
          <w:p w:rsidR="004D6F0E" w:rsidRDefault="00490F21">
            <w:pPr>
              <w:spacing w:after="0" w:line="279" w:lineRule="auto"/>
              <w:ind w:left="161" w:hanging="12"/>
            </w:pPr>
            <w:r>
              <w:t>所有股份類別（人民幣對沖股份類別除外）</w:t>
            </w:r>
            <w:r>
              <w:rPr>
                <w:sz w:val="18"/>
              </w:rPr>
              <w:t>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161" w:firstLine="0"/>
            </w:pPr>
            <w:r>
              <w:rPr>
                <w:rFonts w:ascii="Arial" w:eastAsia="Arial" w:hAnsi="Arial" w:cs="Arial"/>
                <w:sz w:val="18"/>
              </w:rPr>
              <w:t xml:space="preserve"> </w:t>
            </w:r>
          </w:p>
          <w:p w:rsidR="004D6F0E" w:rsidRDefault="00490F21">
            <w:pPr>
              <w:spacing w:after="0" w:line="279" w:lineRule="auto"/>
              <w:ind w:left="161" w:hanging="12"/>
            </w:pPr>
            <w:r>
              <w:t>人民幣對沖股份類別</w:t>
            </w:r>
            <w:r>
              <w:rPr>
                <w:sz w:val="18"/>
              </w:rPr>
              <w:t>歐洲中部時間各營業日下午</w:t>
            </w:r>
            <w:r>
              <w:rPr>
                <w:sz w:val="18"/>
              </w:rPr>
              <w:t xml:space="preserve"> </w:t>
            </w:r>
            <w:r>
              <w:rPr>
                <w:rFonts w:ascii="Arial" w:eastAsia="Arial" w:hAnsi="Arial" w:cs="Arial"/>
                <w:sz w:val="18"/>
              </w:rPr>
              <w:t xml:space="preserve">1:00 </w:t>
            </w:r>
          </w:p>
          <w:p w:rsidR="004D6F0E" w:rsidRDefault="00490F21">
            <w:pPr>
              <w:spacing w:after="0" w:line="259" w:lineRule="auto"/>
              <w:ind w:left="161" w:firstLine="0"/>
            </w:pPr>
            <w:r>
              <w:rPr>
                <w:rFonts w:ascii="Arial" w:eastAsia="Arial" w:hAnsi="Arial" w:cs="Arial"/>
                <w:sz w:val="18"/>
              </w:rPr>
              <w:t xml:space="preserve"> </w:t>
            </w:r>
          </w:p>
          <w:p w:rsidR="004D6F0E" w:rsidRDefault="00490F21">
            <w:pPr>
              <w:spacing w:after="0" w:line="226" w:lineRule="auto"/>
              <w:ind w:left="161" w:right="724" w:firstLine="0"/>
            </w:pPr>
            <w:r>
              <w:rPr>
                <w:rFonts w:ascii="Arial" w:eastAsia="Arial" w:hAnsi="Arial" w:cs="Arial"/>
                <w:i/>
                <w:sz w:val="18"/>
              </w:rPr>
              <w:t>A</w:t>
            </w:r>
            <w:r>
              <w:t>、</w:t>
            </w:r>
            <w:r>
              <w:rPr>
                <w:rFonts w:ascii="Arial" w:eastAsia="Arial" w:hAnsi="Arial" w:cs="Arial"/>
                <w:i/>
                <w:sz w:val="18"/>
              </w:rPr>
              <w:t>B</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S</w:t>
            </w:r>
            <w:r>
              <w:t>及</w:t>
            </w:r>
            <w:r>
              <w:rPr>
                <w:rFonts w:ascii="Arial" w:eastAsia="Arial" w:hAnsi="Arial" w:cs="Arial"/>
                <w:i/>
                <w:sz w:val="18"/>
              </w:rPr>
              <w:t>S1</w:t>
            </w:r>
            <w:r>
              <w:t>類股份</w:t>
            </w:r>
            <w:r>
              <w:rPr>
                <w:sz w:val="18"/>
              </w:rPr>
              <w:t>無。</w:t>
            </w:r>
            <w:r>
              <w:rPr>
                <w:rFonts w:ascii="Arial" w:eastAsia="Arial" w:hAnsi="Arial" w:cs="Arial"/>
                <w:sz w:val="24"/>
              </w:rPr>
              <w:t xml:space="preserve"> </w:t>
            </w:r>
          </w:p>
          <w:p w:rsidR="004D6F0E" w:rsidRDefault="00490F21">
            <w:pPr>
              <w:spacing w:after="0" w:line="259" w:lineRule="auto"/>
              <w:ind w:left="161" w:firstLine="0"/>
            </w:pPr>
            <w:r>
              <w:rPr>
                <w:rFonts w:ascii="Arial" w:eastAsia="Arial" w:hAnsi="Arial" w:cs="Arial"/>
                <w:sz w:val="18"/>
              </w:rPr>
              <w:t xml:space="preserve"> </w:t>
            </w:r>
          </w:p>
          <w:p w:rsidR="004D6F0E" w:rsidRDefault="00490F21">
            <w:pPr>
              <w:spacing w:after="29" w:line="259" w:lineRule="auto"/>
              <w:ind w:left="161" w:firstLine="0"/>
            </w:pPr>
            <w:r>
              <w:rPr>
                <w:rFonts w:ascii="Arial" w:eastAsia="Arial" w:hAnsi="Arial" w:cs="Arial"/>
                <w:i/>
                <w:sz w:val="18"/>
              </w:rPr>
              <w:t>AD</w:t>
            </w:r>
            <w:r>
              <w:t>類股份</w:t>
            </w:r>
            <w:r>
              <w:rPr>
                <w:rFonts w:ascii="Arial" w:eastAsia="Arial" w:hAnsi="Arial" w:cs="Arial"/>
                <w:i/>
                <w:sz w:val="18"/>
              </w:rPr>
              <w:t xml:space="preserve"> </w:t>
            </w:r>
          </w:p>
          <w:p w:rsidR="004D6F0E" w:rsidRDefault="00490F21">
            <w:pPr>
              <w:spacing w:after="0" w:line="259" w:lineRule="auto"/>
              <w:ind w:left="161" w:firstLine="0"/>
            </w:pPr>
            <w:r>
              <w:rPr>
                <w:sz w:val="18"/>
              </w:rPr>
              <w:t>按月宣派及派付。</w:t>
            </w:r>
            <w:r>
              <w:rPr>
                <w:rFonts w:ascii="Arial" w:eastAsia="Arial" w:hAnsi="Arial" w:cs="Arial"/>
                <w:sz w:val="24"/>
              </w:rPr>
              <w:t xml:space="preserve"> </w:t>
            </w:r>
          </w:p>
          <w:p w:rsidR="004D6F0E" w:rsidRDefault="00490F21">
            <w:pPr>
              <w:spacing w:after="0" w:line="259" w:lineRule="auto"/>
              <w:ind w:left="161" w:firstLine="0"/>
            </w:pPr>
            <w:r>
              <w:rPr>
                <w:rFonts w:ascii="Arial" w:eastAsia="Arial" w:hAnsi="Arial" w:cs="Arial"/>
                <w:sz w:val="18"/>
              </w:rPr>
              <w:t xml:space="preserve"> </w:t>
            </w:r>
          </w:p>
          <w:p w:rsidR="004D6F0E" w:rsidRDefault="00490F21">
            <w:pPr>
              <w:spacing w:after="0" w:line="259" w:lineRule="auto"/>
              <w:ind w:left="161" w:firstLine="0"/>
            </w:pPr>
            <w:r>
              <w:rPr>
                <w:sz w:val="18"/>
              </w:rPr>
              <w:t>見下文「派息」。</w:t>
            </w:r>
            <w:r>
              <w:rPr>
                <w:rFonts w:ascii="Arial" w:eastAsia="Arial" w:hAnsi="Arial" w:cs="Arial"/>
                <w:sz w:val="18"/>
              </w:rPr>
              <w:t xml:space="preserve"> </w:t>
            </w:r>
          </w:p>
        </w:tc>
      </w:tr>
    </w:tbl>
    <w:p w:rsidR="004D6F0E" w:rsidRDefault="00490F21">
      <w:pPr>
        <w:spacing w:after="15" w:line="259" w:lineRule="auto"/>
        <w:ind w:left="4356" w:firstLine="0"/>
        <w:jc w:val="center"/>
      </w:pPr>
      <w:r>
        <w:rPr>
          <w:rFonts w:ascii="Arial" w:eastAsia="Arial" w:hAnsi="Arial" w:cs="Arial"/>
          <w:sz w:val="18"/>
        </w:rPr>
        <w:t xml:space="preserve"> </w:t>
      </w:r>
    </w:p>
    <w:p w:rsidR="004D6F0E" w:rsidRDefault="00490F21">
      <w:pPr>
        <w:ind w:left="7731" w:right="13" w:hanging="10"/>
      </w:pPr>
      <w:r>
        <w:rPr>
          <w:rFonts w:ascii="Arial" w:eastAsia="Arial" w:hAnsi="Arial" w:cs="Arial"/>
          <w:sz w:val="18"/>
        </w:rPr>
        <w:t>*</w:t>
      </w:r>
      <w:r>
        <w:rPr>
          <w:sz w:val="18"/>
        </w:rPr>
        <w:t>包括對沖股份類別</w:t>
      </w:r>
      <w:r>
        <w:rPr>
          <w:rFonts w:ascii="Arial" w:eastAsia="Arial" w:hAnsi="Arial" w:cs="Arial"/>
          <w:sz w:val="24"/>
        </w:rPr>
        <w:t xml:space="preserve"> </w:t>
      </w:r>
    </w:p>
    <w:p w:rsidR="004D6F0E" w:rsidRDefault="00490F21">
      <w:pPr>
        <w:spacing w:after="0" w:line="259" w:lineRule="auto"/>
        <w:ind w:left="-7" w:right="-133" w:firstLine="0"/>
      </w:pPr>
      <w:r>
        <w:rPr>
          <w:rFonts w:ascii="Calibri" w:eastAsia="Calibri" w:hAnsi="Calibri" w:cs="Calibri"/>
          <w:noProof/>
          <w:sz w:val="22"/>
        </w:rPr>
        <mc:AlternateContent>
          <mc:Choice Requires="wpg">
            <w:drawing>
              <wp:inline distT="0" distB="0" distL="0" distR="0">
                <wp:extent cx="7159752" cy="374904"/>
                <wp:effectExtent l="0" t="0" r="0" b="0"/>
                <wp:docPr id="470707" name="Group 470707"/>
                <wp:cNvGraphicFramePr/>
                <a:graphic xmlns:a="http://schemas.openxmlformats.org/drawingml/2006/main">
                  <a:graphicData uri="http://schemas.microsoft.com/office/word/2010/wordprocessingGroup">
                    <wpg:wgp>
                      <wpg:cNvGrpSpPr/>
                      <wpg:grpSpPr>
                        <a:xfrm>
                          <a:off x="0" y="0"/>
                          <a:ext cx="7159752" cy="374904"/>
                          <a:chOff x="0" y="0"/>
                          <a:chExt cx="7159752" cy="374904"/>
                        </a:xfrm>
                      </wpg:grpSpPr>
                      <wps:wsp>
                        <wps:cNvPr id="16425" name="Rectangle 16425"/>
                        <wps:cNvSpPr/>
                        <wps:spPr>
                          <a:xfrm>
                            <a:off x="73152" y="36487"/>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16426" name="Rectangle 16426"/>
                        <wps:cNvSpPr/>
                        <wps:spPr>
                          <a:xfrm>
                            <a:off x="1132332" y="34441"/>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16427" name="Rectangle 16427"/>
                        <wps:cNvSpPr/>
                        <wps:spPr>
                          <a:xfrm>
                            <a:off x="1173480" y="44803"/>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sz w:val="18"/>
                                </w:rPr>
                                <w:t xml:space="preserve"> </w:t>
                              </w:r>
                            </w:p>
                          </w:txbxContent>
                        </wps:txbx>
                        <wps:bodyPr horzOverflow="overflow" vert="horz" lIns="0" tIns="0" rIns="0" bIns="0" rtlCol="0">
                          <a:noAutofit/>
                        </wps:bodyPr>
                      </wps:wsp>
                      <wps:wsp>
                        <wps:cNvPr id="658025" name="Shape 65802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26" name="Shape 658026"/>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27" name="Shape 658027"/>
                        <wps:cNvSpPr/>
                        <wps:spPr>
                          <a:xfrm>
                            <a:off x="22860" y="0"/>
                            <a:ext cx="1312164" cy="18288"/>
                          </a:xfrm>
                          <a:custGeom>
                            <a:avLst/>
                            <a:gdLst/>
                            <a:ahLst/>
                            <a:cxnLst/>
                            <a:rect l="0" t="0" r="0" b="0"/>
                            <a:pathLst>
                              <a:path w="1312164" h="18288">
                                <a:moveTo>
                                  <a:pt x="0" y="0"/>
                                </a:moveTo>
                                <a:lnTo>
                                  <a:pt x="1312164" y="0"/>
                                </a:lnTo>
                                <a:lnTo>
                                  <a:pt x="13121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28" name="Shape 658028"/>
                        <wps:cNvSpPr/>
                        <wps:spPr>
                          <a:xfrm>
                            <a:off x="13350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29" name="Shape 658029"/>
                        <wps:cNvSpPr/>
                        <wps:spPr>
                          <a:xfrm>
                            <a:off x="1353312" y="0"/>
                            <a:ext cx="2496312" cy="18288"/>
                          </a:xfrm>
                          <a:custGeom>
                            <a:avLst/>
                            <a:gdLst/>
                            <a:ahLst/>
                            <a:cxnLst/>
                            <a:rect l="0" t="0" r="0" b="0"/>
                            <a:pathLst>
                              <a:path w="2496312" h="18288">
                                <a:moveTo>
                                  <a:pt x="0" y="0"/>
                                </a:moveTo>
                                <a:lnTo>
                                  <a:pt x="2496312" y="0"/>
                                </a:lnTo>
                                <a:lnTo>
                                  <a:pt x="24963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30" name="Shape 658030"/>
                        <wps:cNvSpPr/>
                        <wps:spPr>
                          <a:xfrm>
                            <a:off x="38496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31" name="Shape 658031"/>
                        <wps:cNvSpPr/>
                        <wps:spPr>
                          <a:xfrm>
                            <a:off x="3867912" y="0"/>
                            <a:ext cx="266700" cy="18288"/>
                          </a:xfrm>
                          <a:custGeom>
                            <a:avLst/>
                            <a:gdLst/>
                            <a:ahLst/>
                            <a:cxnLst/>
                            <a:rect l="0" t="0" r="0" b="0"/>
                            <a:pathLst>
                              <a:path w="266700" h="18288">
                                <a:moveTo>
                                  <a:pt x="0" y="0"/>
                                </a:moveTo>
                                <a:lnTo>
                                  <a:pt x="266700" y="0"/>
                                </a:lnTo>
                                <a:lnTo>
                                  <a:pt x="2667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32" name="Shape 658032"/>
                        <wps:cNvSpPr/>
                        <wps:spPr>
                          <a:xfrm>
                            <a:off x="41346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33" name="Shape 658033"/>
                        <wps:cNvSpPr/>
                        <wps:spPr>
                          <a:xfrm>
                            <a:off x="4152900" y="0"/>
                            <a:ext cx="685800" cy="18288"/>
                          </a:xfrm>
                          <a:custGeom>
                            <a:avLst/>
                            <a:gdLst/>
                            <a:ahLst/>
                            <a:cxnLst/>
                            <a:rect l="0" t="0" r="0" b="0"/>
                            <a:pathLst>
                              <a:path w="685800" h="18288">
                                <a:moveTo>
                                  <a:pt x="0" y="0"/>
                                </a:moveTo>
                                <a:lnTo>
                                  <a:pt x="685800" y="0"/>
                                </a:lnTo>
                                <a:lnTo>
                                  <a:pt x="6858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34" name="Shape 658034"/>
                        <wps:cNvSpPr/>
                        <wps:spPr>
                          <a:xfrm>
                            <a:off x="48387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35" name="Shape 658035"/>
                        <wps:cNvSpPr/>
                        <wps:spPr>
                          <a:xfrm>
                            <a:off x="4856988" y="0"/>
                            <a:ext cx="2302764" cy="18288"/>
                          </a:xfrm>
                          <a:custGeom>
                            <a:avLst/>
                            <a:gdLst/>
                            <a:ahLst/>
                            <a:cxnLst/>
                            <a:rect l="0" t="0" r="0" b="0"/>
                            <a:pathLst>
                              <a:path w="2302764" h="18288">
                                <a:moveTo>
                                  <a:pt x="0" y="0"/>
                                </a:moveTo>
                                <a:lnTo>
                                  <a:pt x="2302764" y="0"/>
                                </a:lnTo>
                                <a:lnTo>
                                  <a:pt x="23027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0" name="Rectangle 16440"/>
                        <wps:cNvSpPr/>
                        <wps:spPr>
                          <a:xfrm>
                            <a:off x="1827276" y="225463"/>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16441" name="Rectangle 16441"/>
                        <wps:cNvSpPr/>
                        <wps:spPr>
                          <a:xfrm>
                            <a:off x="2429256" y="223417"/>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16442" name="Rectangle 16442"/>
                        <wps:cNvSpPr/>
                        <wps:spPr>
                          <a:xfrm>
                            <a:off x="2470404" y="206041"/>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038" name="Shape 658038"/>
                        <wps:cNvSpPr/>
                        <wps:spPr>
                          <a:xfrm>
                            <a:off x="1487424" y="368808"/>
                            <a:ext cx="1322845" cy="9144"/>
                          </a:xfrm>
                          <a:custGeom>
                            <a:avLst/>
                            <a:gdLst/>
                            <a:ahLst/>
                            <a:cxnLst/>
                            <a:rect l="0" t="0" r="0" b="0"/>
                            <a:pathLst>
                              <a:path w="1322845" h="9144">
                                <a:moveTo>
                                  <a:pt x="0" y="0"/>
                                </a:moveTo>
                                <a:lnTo>
                                  <a:pt x="1322845" y="0"/>
                                </a:lnTo>
                                <a:lnTo>
                                  <a:pt x="13228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4" name="Rectangle 16444"/>
                        <wps:cNvSpPr/>
                        <wps:spPr>
                          <a:xfrm>
                            <a:off x="3372612" y="225463"/>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16445" name="Rectangle 16445"/>
                        <wps:cNvSpPr/>
                        <wps:spPr>
                          <a:xfrm>
                            <a:off x="3745992" y="223417"/>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16446" name="Rectangle 16446"/>
                        <wps:cNvSpPr/>
                        <wps:spPr>
                          <a:xfrm>
                            <a:off x="3787140" y="206041"/>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041" name="Shape 658041"/>
                        <wps:cNvSpPr/>
                        <wps:spPr>
                          <a:xfrm>
                            <a:off x="2918460" y="368808"/>
                            <a:ext cx="1322845" cy="9144"/>
                          </a:xfrm>
                          <a:custGeom>
                            <a:avLst/>
                            <a:gdLst/>
                            <a:ahLst/>
                            <a:cxnLst/>
                            <a:rect l="0" t="0" r="0" b="0"/>
                            <a:pathLst>
                              <a:path w="1322845" h="9144">
                                <a:moveTo>
                                  <a:pt x="0" y="0"/>
                                </a:moveTo>
                                <a:lnTo>
                                  <a:pt x="1322845" y="0"/>
                                </a:lnTo>
                                <a:lnTo>
                                  <a:pt x="13228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8" name="Rectangle 16448"/>
                        <wps:cNvSpPr/>
                        <wps:spPr>
                          <a:xfrm>
                            <a:off x="4805172" y="225463"/>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16449" name="Rectangle 16449"/>
                        <wps:cNvSpPr/>
                        <wps:spPr>
                          <a:xfrm>
                            <a:off x="5178552" y="223417"/>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16450" name="Rectangle 16450"/>
                        <wps:cNvSpPr/>
                        <wps:spPr>
                          <a:xfrm>
                            <a:off x="5219700" y="206041"/>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044" name="Shape 658044"/>
                        <wps:cNvSpPr/>
                        <wps:spPr>
                          <a:xfrm>
                            <a:off x="4351020" y="368808"/>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2" name="Rectangle 16452"/>
                        <wps:cNvSpPr/>
                        <wps:spPr>
                          <a:xfrm>
                            <a:off x="6007608" y="225463"/>
                            <a:ext cx="1064134"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16453" name="Rectangle 16453"/>
                        <wps:cNvSpPr/>
                        <wps:spPr>
                          <a:xfrm>
                            <a:off x="6838188" y="223417"/>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sz w:val="12"/>
                                </w:rPr>
                                <w:t>6</w:t>
                              </w:r>
                            </w:p>
                          </w:txbxContent>
                        </wps:txbx>
                        <wps:bodyPr horzOverflow="overflow" vert="horz" lIns="0" tIns="0" rIns="0" bIns="0" rtlCol="0">
                          <a:noAutofit/>
                        </wps:bodyPr>
                      </wps:wsp>
                      <wps:wsp>
                        <wps:cNvPr id="16454" name="Rectangle 16454"/>
                        <wps:cNvSpPr/>
                        <wps:spPr>
                          <a:xfrm>
                            <a:off x="6879336" y="206041"/>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047" name="Shape 658047"/>
                        <wps:cNvSpPr/>
                        <wps:spPr>
                          <a:xfrm>
                            <a:off x="5782056" y="368808"/>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70707" o:spid="_x0000_s1158" style="width:563.75pt;height:29.5pt;mso-position-horizontal-relative:char;mso-position-vertical-relative:line" coordsize="71597,3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">
                <v:rect id="Rectangle 16425" o:spid="_x0000_s1159" style="position:absolute;left:731;top:364;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16426" o:spid="_x0000_s1160" style="position:absolute;left:11323;top:344;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16427" o:spid="_x0000_s1161" style="position:absolute;left:11734;top:448;width:423;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ioCxAAAAN4AAAAPAAAAZHJzL2Rvd25yZXYueG1sRE9Li8Iw&#10;EL4L/ocwgjdNVxY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HkuKgL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18"/>
                          </w:rPr>
                          <w:t xml:space="preserve"> </w:t>
                        </w:r>
                      </w:p>
                    </w:txbxContent>
                  </v:textbox>
                </v:rect>
                <v:shape id="Shape 658025" o:spid="_x0000_s1162"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" path="m,l9144,r,18288l,18288,,e" fillcolor="black" stroked="f" strokeweight="0">
                  <v:stroke miterlimit="83231f" joinstyle="miter"/>
                  <v:path arrowok="t" textboxrect="0,0,9144,18288"/>
                </v:shape>
                <v:shape id="Shape 658026" o:spid="_x0000_s1163" style="position:absolute;left: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" path="m,l18288,r,18288l,18288,,e" fillcolor="black" stroked="f" strokeweight="0">
                  <v:stroke miterlimit="83231f" joinstyle="miter"/>
                  <v:path arrowok="t" textboxrect="0,0,18288,18288"/>
                </v:shape>
                <v:shape id="Shape 658027" o:spid="_x0000_s1164" style="position:absolute;left:228;width:13122;height:182;visibility:visible;mso-wrap-style:square;v-text-anchor:top" coordsize="13121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" path="m,l1312164,r,18288l,18288,,e" fillcolor="black" stroked="f" strokeweight="0">
                  <v:stroke miterlimit="83231f" joinstyle="miter"/>
                  <v:path arrowok="t" textboxrect="0,0,1312164,18288"/>
                </v:shape>
                <v:shape id="Shape 658028" o:spid="_x0000_s1165" style="position:absolute;left:1335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" path="m,l18288,r,18288l,18288,,e" fillcolor="black" stroked="f" strokeweight="0">
                  <v:stroke miterlimit="83231f" joinstyle="miter"/>
                  <v:path arrowok="t" textboxrect="0,0,18288,18288"/>
                </v:shape>
                <v:shape id="Shape 658029" o:spid="_x0000_s1166" style="position:absolute;left:13533;width:24963;height:182;visibility:visible;mso-wrap-style:square;v-text-anchor:top" coordsize="24963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" path="m,l2496312,r,18288l,18288,,e" fillcolor="black" stroked="f" strokeweight="0">
                  <v:stroke miterlimit="83231f" joinstyle="miter"/>
                  <v:path arrowok="t" textboxrect="0,0,2496312,18288"/>
                </v:shape>
                <v:shape id="Shape 658030" o:spid="_x0000_s1167" style="position:absolute;left:3849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" path="m,l18288,r,18288l,18288,,e" fillcolor="black" stroked="f" strokeweight="0">
                  <v:stroke miterlimit="83231f" joinstyle="miter"/>
                  <v:path arrowok="t" textboxrect="0,0,18288,18288"/>
                </v:shape>
                <v:shape id="Shape 658031" o:spid="_x0000_s1168" style="position:absolute;left:38679;width:2667;height:182;visibility:visible;mso-wrap-style:square;v-text-anchor:top" coordsize="2667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" path="m,l266700,r,18288l,18288,,e" fillcolor="black" stroked="f" strokeweight="0">
                  <v:stroke miterlimit="83231f" joinstyle="miter"/>
                  <v:path arrowok="t" textboxrect="0,0,266700,18288"/>
                </v:shape>
                <v:shape id="Shape 658032" o:spid="_x0000_s1169" style="position:absolute;left:4134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" path="m,l18288,r,18288l,18288,,e" fillcolor="black" stroked="f" strokeweight="0">
                  <v:stroke miterlimit="83231f" joinstyle="miter"/>
                  <v:path arrowok="t" textboxrect="0,0,18288,18288"/>
                </v:shape>
                <v:shape id="Shape 658033" o:spid="_x0000_s1170" style="position:absolute;left:41529;width:6858;height:182;visibility:visible;mso-wrap-style:square;v-text-anchor:top" coordsize="6858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" path="m,l685800,r,18288l,18288,,e" fillcolor="black" stroked="f" strokeweight="0">
                  <v:stroke miterlimit="83231f" joinstyle="miter"/>
                  <v:path arrowok="t" textboxrect="0,0,685800,18288"/>
                </v:shape>
                <v:shape id="Shape 658034" o:spid="_x0000_s1171" style="position:absolute;left:48387;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" path="m,l18288,r,18288l,18288,,e" fillcolor="black" stroked="f" strokeweight="0">
                  <v:stroke miterlimit="83231f" joinstyle="miter"/>
                  <v:path arrowok="t" textboxrect="0,0,18288,18288"/>
                </v:shape>
                <v:shape id="Shape 658035" o:spid="_x0000_s1172" style="position:absolute;left:48569;width:23028;height:182;visibility:visible;mso-wrap-style:square;v-text-anchor:top" coordsize="2302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" path="m,l2302764,r,18288l,18288,,e" fillcolor="black" stroked="f" strokeweight="0">
                  <v:stroke miterlimit="83231f" joinstyle="miter"/>
                  <v:path arrowok="t" textboxrect="0,0,2302764,18288"/>
                </v:shape>
                <v:rect id="Rectangle 16440" o:spid="_x0000_s1173" style="position:absolute;left:18272;top:2254;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fWxwAAAN4AAAAPAAAAZHJzL2Rvd25yZXYueG1sRI9Ba8JA&#10;EIXvBf/DMkJvdaOI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CsYV9b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首次銷售費</w:t>
                        </w:r>
                      </w:p>
                    </w:txbxContent>
                  </v:textbox>
                </v:rect>
                <v:rect id="Rectangle 16441" o:spid="_x0000_s1174" style="position:absolute;left:24292;top:2234;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16442" o:spid="_x0000_s1175" style="position:absolute;left:24704;top:206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038" o:spid="_x0000_s1176" style="position:absolute;left:14874;top:3688;width:13228;height:91;visibility:visible;mso-wrap-style:square;v-text-anchor:top" coordsize="13228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" path="m,l1322845,r,9144l,9144,,e" fillcolor="black" stroked="f" strokeweight="0">
                  <v:stroke miterlimit="83231f" joinstyle="miter"/>
                  <v:path arrowok="t" textboxrect="0,0,1322845,9144"/>
                </v:shape>
                <v:rect id="Rectangle 16444" o:spid="_x0000_s1177" style="position:absolute;left:33726;top:2254;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" filled="f" stroked="f">
                  <v:textbox inset="0,0,0,0">
                    <w:txbxContent>
                      <w:p w:rsidR="004D6F0E" w:rsidRDefault="00490F21">
                        <w:pPr>
                          <w:spacing w:after="160" w:line="259" w:lineRule="auto"/>
                          <w:ind w:left="0" w:firstLine="0"/>
                        </w:pPr>
                        <w:r>
                          <w:rPr>
                            <w:sz w:val="18"/>
                          </w:rPr>
                          <w:t>管理費</w:t>
                        </w:r>
                      </w:p>
                    </w:txbxContent>
                  </v:textbox>
                </v:rect>
                <v:rect id="Rectangle 16445" o:spid="_x0000_s1178" style="position:absolute;left:37459;top:2234;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16446" o:spid="_x0000_s1179" style="position:absolute;left:37871;top:206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041" o:spid="_x0000_s1180" style="position:absolute;left:29184;top:3688;width:13229;height:91;visibility:visible;mso-wrap-style:square;v-text-anchor:top" coordsize="13228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" path="m,l1322845,r,9144l,9144,,e" fillcolor="black" stroked="f" strokeweight="0">
                  <v:stroke miterlimit="83231f" joinstyle="miter"/>
                  <v:path arrowok="t" textboxrect="0,0,1322845,9144"/>
                </v:shape>
                <v:rect id="Rectangle 16448" o:spid="_x0000_s1181" style="position:absolute;left:48051;top:2254;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vQxwAAAN4AAAAPAAAAZHJzL2Rvd25yZXYueG1sRI9Ba8JA&#10;EIXvBf/DMkJvdaOI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NVuW9D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分銷費</w:t>
                        </w:r>
                      </w:p>
                    </w:txbxContent>
                  </v:textbox>
                </v:rect>
                <v:rect id="Rectangle 16449" o:spid="_x0000_s1182" style="position:absolute;left:51785;top:2234;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5LxQAAAN4AAAAPAAAAZHJzL2Rvd25yZXYueG1sRE9Na8JA&#10;EL0L/odlBG+6sUg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C6Iv5L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16450" o:spid="_x0000_s1183" style="position:absolute;left:52197;top:206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ELyAAAAN4AAAAPAAAAZHJzL2Rvd25yZXYueG1sRI9Lb8JA&#10;DITvSPyHlZG4wYYK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CuwcEL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044" o:spid="_x0000_s1184" style="position:absolute;left:43510;top:3688;width:13228;height:91;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" path="m,l1322832,r,9144l,9144,,e" fillcolor="black" stroked="f" strokeweight="0">
                  <v:stroke miterlimit="83231f" joinstyle="miter"/>
                  <v:path arrowok="t" textboxrect="0,0,1322832,9144"/>
                </v:shape>
                <v:rect id="Rectangle 16452" o:spid="_x0000_s1185" style="position:absolute;left:60076;top:2254;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nxQAAAN4AAAAPAAAAZHJzL2Rvd25yZXYueG1sRE9Na8JA&#10;EL0X/A/LCL3VTaU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AxX/rnxQAAAN4AAAAP&#10;AAAAAAAAAAAAAAAAAAcCAABkcnMvZG93bnJldi54bWxQSwUGAAAAAAMAAwC3AAAA+QIAAAAA&#10;" filled="f" stroked="f">
                  <v:textbox inset="0,0,0,0">
                    <w:txbxContent>
                      <w:p w:rsidR="004D6F0E" w:rsidRDefault="00490F21">
                        <w:pPr>
                          <w:spacing w:after="160" w:line="259" w:lineRule="auto"/>
                          <w:ind w:left="0" w:firstLine="0"/>
                        </w:pPr>
                        <w:r>
                          <w:rPr>
                            <w:sz w:val="18"/>
                          </w:rPr>
                          <w:t>或有遞延銷售費</w:t>
                        </w:r>
                      </w:p>
                    </w:txbxContent>
                  </v:textbox>
                </v:rect>
                <v:rect id="Rectangle 16453" o:spid="_x0000_s1186" style="position:absolute;left:68381;top:2234;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sz w:val="12"/>
                          </w:rPr>
                          <w:t>6</w:t>
                        </w:r>
                      </w:p>
                    </w:txbxContent>
                  </v:textbox>
                </v:rect>
                <v:rect id="Rectangle 16454" o:spid="_x0000_s1187" style="position:absolute;left:68793;top:206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IxQAAAN4AAAAPAAAAZHJzL2Rvd25yZXYueG1sRE9Na8JA&#10;EL0X/A/LCL3VTc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DR+scI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047" o:spid="_x0000_s1188" style="position:absolute;left:57820;top:3688;width:13228;height:91;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" path="m,l1322832,r,9144l,9144,,e" fillcolor="black" stroked="f" strokeweight="0">
                  <v:stroke miterlimit="83231f" joinstyle="miter"/>
                  <v:path arrowok="t" textboxrect="0,0,1322832,9144"/>
                </v:shape>
                <w10:anchorlock/>
              </v:group>
            </w:pict>
          </mc:Fallback>
        </mc:AlternateConten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275" w:type="dxa"/>
        <w:tblInd w:w="-7" w:type="dxa"/>
        <w:tblCellMar>
          <w:top w:w="27" w:type="dxa"/>
          <w:left w:w="0" w:type="dxa"/>
          <w:bottom w:w="0" w:type="dxa"/>
          <w:right w:w="259" w:type="dxa"/>
        </w:tblCellMar>
        <w:tblLook w:val="04A0" w:firstRow="1" w:lastRow="0" w:firstColumn="1" w:lastColumn="0" w:noHBand="0" w:noVBand="1"/>
      </w:tblPr>
      <w:tblGrid>
        <w:gridCol w:w="2837"/>
        <w:gridCol w:w="2544"/>
        <w:gridCol w:w="2256"/>
        <w:gridCol w:w="1807"/>
        <w:gridCol w:w="1831"/>
      </w:tblGrid>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美元計價股份類別</w:t>
            </w:r>
            <w:r>
              <w:rPr>
                <w:rFonts w:ascii="Arial" w:eastAsia="Arial" w:hAnsi="Arial" w:cs="Arial"/>
                <w:b/>
                <w:sz w:val="18"/>
              </w:rPr>
              <w:t xml:space="preserve"> </w:t>
            </w:r>
            <w:r>
              <w:rPr>
                <w:rFonts w:ascii="Arial" w:eastAsia="Arial" w:hAnsi="Arial" w:cs="Arial"/>
                <w:b/>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342" w:firstLine="0"/>
              <w:jc w:val="center"/>
            </w:pPr>
            <w:r>
              <w:rPr>
                <w:rFonts w:ascii="Arial" w:eastAsia="Arial" w:hAnsi="Arial" w:cs="Arial"/>
                <w:b/>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1054" w:firstLine="0"/>
              <w:jc w:val="center"/>
            </w:pPr>
            <w:r>
              <w:rPr>
                <w:rFonts w:ascii="Arial" w:eastAsia="Arial" w:hAnsi="Arial" w:cs="Arial"/>
                <w:b/>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3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64"/>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807"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612" w:firstLine="0"/>
            </w:pPr>
            <w:r>
              <w:rPr>
                <w:sz w:val="18"/>
              </w:rPr>
              <w:t>無</w:t>
            </w:r>
            <w:r>
              <w:rPr>
                <w:rFonts w:ascii="Arial" w:eastAsia="Arial" w:hAnsi="Arial" w:cs="Arial"/>
                <w:sz w:val="18"/>
              </w:rPr>
              <w:t xml:space="preserve"> </w:t>
            </w:r>
          </w:p>
        </w:tc>
      </w:tr>
      <w:tr w:rsidR="004D6F0E">
        <w:trPr>
          <w:trHeight w:val="1361"/>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sz w:val="18"/>
              </w:rPr>
              <w:t xml:space="preserve"> </w:t>
            </w:r>
            <w:r>
              <w:rPr>
                <w:rFonts w:ascii="Arial" w:eastAsia="Arial" w:hAnsi="Arial" w:cs="Arial"/>
                <w:sz w:val="12"/>
              </w:rPr>
              <w:t>2**</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807"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31" w:type="dxa"/>
            <w:tcBorders>
              <w:top w:val="nil"/>
              <w:left w:val="nil"/>
              <w:bottom w:val="nil"/>
              <w:right w:val="nil"/>
            </w:tcBorders>
          </w:tcPr>
          <w:p w:rsidR="004D6F0E" w:rsidRDefault="00490F21">
            <w:pPr>
              <w:spacing w:after="68"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=4.0% </w:t>
            </w:r>
          </w:p>
          <w:p w:rsidR="004D6F0E" w:rsidRDefault="00490F21">
            <w:pPr>
              <w:spacing w:after="7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=3.0% </w:t>
            </w:r>
          </w:p>
          <w:p w:rsidR="004D6F0E" w:rsidRDefault="00490F21">
            <w:pPr>
              <w:spacing w:after="68"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=2.0% </w:t>
            </w:r>
          </w:p>
          <w:p w:rsidR="004D6F0E" w:rsidRDefault="00490F21">
            <w:pPr>
              <w:spacing w:after="63" w:line="259" w:lineRule="auto"/>
              <w:ind w:left="202" w:firstLine="0"/>
            </w:pPr>
            <w:r>
              <w:rPr>
                <w:rFonts w:ascii="Arial" w:eastAsia="Arial" w:hAnsi="Arial" w:cs="Arial"/>
                <w:sz w:val="18"/>
              </w:rPr>
              <w:t xml:space="preserve">3-4 </w:t>
            </w:r>
            <w:r>
              <w:rPr>
                <w:sz w:val="18"/>
              </w:rPr>
              <w:t>年</w:t>
            </w:r>
            <w:r>
              <w:rPr>
                <w:rFonts w:ascii="Arial" w:eastAsia="Arial" w:hAnsi="Arial" w:cs="Arial"/>
                <w:sz w:val="18"/>
              </w:rPr>
              <w:t xml:space="preserve">=1.0% </w:t>
            </w:r>
          </w:p>
          <w:p w:rsidR="004D6F0E" w:rsidRDefault="00490F21">
            <w:pPr>
              <w:spacing w:after="0" w:line="259" w:lineRule="auto"/>
              <w:ind w:left="178" w:firstLine="0"/>
            </w:pPr>
            <w:r>
              <w:rPr>
                <w:rFonts w:ascii="Arial" w:eastAsia="Arial" w:hAnsi="Arial" w:cs="Arial"/>
                <w:sz w:val="18"/>
              </w:rPr>
              <w:t xml:space="preserve">4 </w:t>
            </w:r>
            <w:r>
              <w:rPr>
                <w:sz w:val="18"/>
              </w:rPr>
              <w:t>年以上</w:t>
            </w:r>
            <w:r>
              <w:rPr>
                <w:rFonts w:ascii="Arial" w:eastAsia="Arial" w:hAnsi="Arial" w:cs="Arial"/>
                <w:sz w:val="18"/>
              </w:rPr>
              <w:t xml:space="preserve">=0% </w:t>
            </w:r>
          </w:p>
        </w:tc>
      </w:tr>
      <w:tr w:rsidR="004D6F0E">
        <w:trPr>
          <w:trHeight w:val="507"/>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2.15% </w:t>
            </w:r>
          </w:p>
        </w:tc>
        <w:tc>
          <w:tcPr>
            <w:tcW w:w="1807"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341" w:hanging="341"/>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89"/>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1807"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612" w:firstLine="0"/>
            </w:pPr>
            <w:r>
              <w:rPr>
                <w:sz w:val="18"/>
              </w:rPr>
              <w:t>無</w:t>
            </w:r>
            <w:r>
              <w:rPr>
                <w:rFonts w:ascii="Arial" w:eastAsia="Arial" w:hAnsi="Arial" w:cs="Arial"/>
                <w:sz w:val="18"/>
              </w:rPr>
              <w:t xml:space="preserve"> </w:t>
            </w:r>
          </w:p>
        </w:tc>
      </w:tr>
      <w:tr w:rsidR="004D6F0E">
        <w:trPr>
          <w:trHeight w:val="260"/>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 xml:space="preserve">7 </w:t>
            </w:r>
          </w:p>
        </w:tc>
        <w:tc>
          <w:tcPr>
            <w:tcW w:w="254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612" w:firstLine="0"/>
            </w:pPr>
            <w:r>
              <w:rPr>
                <w:sz w:val="18"/>
              </w:rPr>
              <w:t>無</w:t>
            </w:r>
            <w:r>
              <w:rPr>
                <w:rFonts w:ascii="Arial" w:eastAsia="Arial" w:hAnsi="Arial" w:cs="Arial"/>
                <w:sz w:val="18"/>
              </w:rPr>
              <w:t xml:space="preserve"> </w:t>
            </w:r>
          </w:p>
        </w:tc>
      </w:tr>
      <w:tr w:rsidR="004D6F0E">
        <w:trPr>
          <w:trHeight w:val="543"/>
        </w:trPr>
        <w:tc>
          <w:tcPr>
            <w:tcW w:w="2837" w:type="dxa"/>
            <w:tcBorders>
              <w:top w:val="nil"/>
              <w:left w:val="nil"/>
              <w:bottom w:val="nil"/>
              <w:right w:val="nil"/>
            </w:tcBorders>
          </w:tcPr>
          <w:p w:rsidR="004D6F0E" w:rsidRDefault="00490F21">
            <w:pPr>
              <w:spacing w:after="53"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48"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38" w:line="259" w:lineRule="auto"/>
              <w:ind w:left="0" w:firstLine="0"/>
            </w:pPr>
            <w:r>
              <w:rPr>
                <w:rFonts w:ascii="Arial" w:eastAsia="Arial" w:hAnsi="Arial" w:cs="Arial"/>
                <w:sz w:val="18"/>
              </w:rPr>
              <w:t xml:space="preserve">0.75% </w:t>
            </w:r>
          </w:p>
          <w:p w:rsidR="004D6F0E" w:rsidRDefault="00490F21">
            <w:pPr>
              <w:spacing w:after="0" w:line="259" w:lineRule="auto"/>
              <w:ind w:left="25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48"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48" w:line="259" w:lineRule="auto"/>
              <w:ind w:left="612" w:firstLine="0"/>
            </w:pPr>
            <w:r>
              <w:rPr>
                <w:sz w:val="18"/>
              </w:rPr>
              <w:t>無</w:t>
            </w:r>
            <w:r>
              <w:rPr>
                <w:rFonts w:ascii="Arial" w:eastAsia="Arial" w:hAnsi="Arial" w:cs="Arial"/>
                <w:sz w:val="18"/>
              </w:rPr>
              <w:t xml:space="preserve"> </w:t>
            </w:r>
          </w:p>
          <w:p w:rsidR="004D6F0E" w:rsidRDefault="00490F21">
            <w:pPr>
              <w:spacing w:after="0" w:line="259" w:lineRule="auto"/>
              <w:ind w:left="703" w:firstLine="0"/>
            </w:pP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31" w:type="dxa"/>
            <w:tcBorders>
              <w:top w:val="nil"/>
              <w:left w:val="nil"/>
              <w:bottom w:val="nil"/>
              <w:right w:val="nil"/>
            </w:tcBorders>
            <w:shd w:val="clear" w:color="auto" w:fill="D9D9D9"/>
          </w:tcPr>
          <w:p w:rsidR="004D6F0E" w:rsidRDefault="00490F21">
            <w:pPr>
              <w:spacing w:after="0" w:line="259" w:lineRule="auto"/>
              <w:ind w:left="703" w:firstLine="0"/>
            </w:pPr>
            <w:r>
              <w:rPr>
                <w:rFonts w:ascii="Arial" w:eastAsia="Arial" w:hAnsi="Arial" w:cs="Arial"/>
                <w:sz w:val="18"/>
              </w:rPr>
              <w:t xml:space="preserve"> </w:t>
            </w:r>
          </w:p>
        </w:tc>
      </w:tr>
      <w:tr w:rsidR="004D6F0E">
        <w:trPr>
          <w:trHeight w:val="270"/>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tc>
        <w:tc>
          <w:tcPr>
            <w:tcW w:w="1807"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612" w:firstLine="0"/>
            </w:pPr>
            <w:r>
              <w:rPr>
                <w:sz w:val="18"/>
              </w:rPr>
              <w:t>無</w:t>
            </w:r>
            <w:r>
              <w:rPr>
                <w:rFonts w:ascii="Arial" w:eastAsia="Arial" w:hAnsi="Arial" w:cs="Arial"/>
                <w:sz w:val="18"/>
              </w:rPr>
              <w:t xml:space="preserve"> </w:t>
            </w:r>
          </w:p>
        </w:tc>
      </w:tr>
      <w:tr w:rsidR="004D6F0E">
        <w:trPr>
          <w:trHeight w:val="1176"/>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lastRenderedPageBreak/>
              <w:t xml:space="preserve">B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1.70% </w:t>
            </w:r>
          </w:p>
        </w:tc>
        <w:tc>
          <w:tcPr>
            <w:tcW w:w="1807"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31" w:type="dxa"/>
            <w:tcBorders>
              <w:top w:val="nil"/>
              <w:left w:val="nil"/>
              <w:bottom w:val="nil"/>
              <w:right w:val="nil"/>
            </w:tcBorders>
          </w:tcPr>
          <w:p w:rsidR="004D6F0E" w:rsidRDefault="00490F21">
            <w:pPr>
              <w:spacing w:after="30"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=4.0%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=3.0% </w:t>
            </w:r>
          </w:p>
          <w:p w:rsidR="004D6F0E" w:rsidRDefault="00490F21">
            <w:pPr>
              <w:spacing w:after="27"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=2.0% </w:t>
            </w:r>
          </w:p>
          <w:p w:rsidR="004D6F0E" w:rsidRDefault="00490F21">
            <w:pPr>
              <w:spacing w:after="25" w:line="259" w:lineRule="auto"/>
              <w:ind w:left="202" w:firstLine="0"/>
            </w:pPr>
            <w:r>
              <w:rPr>
                <w:rFonts w:ascii="Arial" w:eastAsia="Arial" w:hAnsi="Arial" w:cs="Arial"/>
                <w:sz w:val="18"/>
              </w:rPr>
              <w:t xml:space="preserve">3-4 </w:t>
            </w:r>
            <w:r>
              <w:rPr>
                <w:sz w:val="18"/>
              </w:rPr>
              <w:t>年</w:t>
            </w:r>
            <w:r>
              <w:rPr>
                <w:rFonts w:ascii="Arial" w:eastAsia="Arial" w:hAnsi="Arial" w:cs="Arial"/>
                <w:sz w:val="18"/>
              </w:rPr>
              <w:t xml:space="preserve">=1.0% </w:t>
            </w:r>
          </w:p>
          <w:p w:rsidR="004D6F0E" w:rsidRDefault="00490F21">
            <w:pPr>
              <w:spacing w:after="0" w:line="259" w:lineRule="auto"/>
              <w:ind w:left="178" w:firstLine="0"/>
            </w:pPr>
            <w:r>
              <w:rPr>
                <w:rFonts w:ascii="Arial" w:eastAsia="Arial" w:hAnsi="Arial" w:cs="Arial"/>
                <w:sz w:val="18"/>
              </w:rPr>
              <w:t xml:space="preserve">4 </w:t>
            </w:r>
            <w:r>
              <w:rPr>
                <w:sz w:val="18"/>
              </w:rPr>
              <w:t>年以上</w:t>
            </w:r>
            <w:r>
              <w:rPr>
                <w:rFonts w:ascii="Arial" w:eastAsia="Arial" w:hAnsi="Arial" w:cs="Arial"/>
                <w:sz w:val="18"/>
              </w:rPr>
              <w:t xml:space="preserve">=0% </w:t>
            </w:r>
          </w:p>
        </w:tc>
      </w:tr>
      <w:tr w:rsidR="004D6F0E">
        <w:trPr>
          <w:trHeight w:val="487"/>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2.15% </w:t>
            </w:r>
          </w:p>
        </w:tc>
        <w:tc>
          <w:tcPr>
            <w:tcW w:w="1807"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341" w:hanging="341"/>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9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0.90% </w:t>
            </w:r>
          </w:p>
        </w:tc>
        <w:tc>
          <w:tcPr>
            <w:tcW w:w="1807"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0" w:line="259" w:lineRule="auto"/>
              <w:ind w:left="612" w:firstLine="0"/>
            </w:pPr>
            <w:r>
              <w:rPr>
                <w:sz w:val="18"/>
              </w:rPr>
              <w:t>無</w:t>
            </w:r>
            <w:r>
              <w:rPr>
                <w:rFonts w:ascii="Arial" w:eastAsia="Arial" w:hAnsi="Arial" w:cs="Arial"/>
                <w:sz w:val="18"/>
              </w:rPr>
              <w:t xml:space="preserve"> </w:t>
            </w:r>
          </w:p>
        </w:tc>
      </w:tr>
      <w:tr w:rsidR="004D6F0E">
        <w:trPr>
          <w:trHeight w:val="445"/>
        </w:trPr>
        <w:tc>
          <w:tcPr>
            <w:tcW w:w="2837"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0.75% </w:t>
            </w:r>
          </w:p>
          <w:p w:rsidR="004D6F0E" w:rsidRDefault="00490F21">
            <w:pPr>
              <w:spacing w:after="0" w:line="259" w:lineRule="auto"/>
              <w:ind w:left="25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9" w:line="259" w:lineRule="auto"/>
              <w:ind w:left="612" w:firstLine="0"/>
            </w:pPr>
            <w:r>
              <w:rPr>
                <w:sz w:val="18"/>
              </w:rPr>
              <w:t>無</w:t>
            </w:r>
            <w:r>
              <w:rPr>
                <w:rFonts w:ascii="Arial" w:eastAsia="Arial" w:hAnsi="Arial" w:cs="Arial"/>
                <w:sz w:val="18"/>
              </w:rPr>
              <w:t xml:space="preserve"> </w:t>
            </w:r>
          </w:p>
          <w:p w:rsidR="004D6F0E" w:rsidRDefault="00490F21">
            <w:pPr>
              <w:spacing w:after="0" w:line="259" w:lineRule="auto"/>
              <w:ind w:left="703" w:firstLine="0"/>
            </w:pPr>
            <w:r>
              <w:rPr>
                <w:rFonts w:ascii="Arial" w:eastAsia="Arial" w:hAnsi="Arial" w:cs="Arial"/>
                <w:sz w:val="18"/>
              </w:rPr>
              <w:t xml:space="preserve"> </w:t>
            </w:r>
          </w:p>
        </w:tc>
      </w:tr>
      <w:tr w:rsidR="004D6F0E">
        <w:trPr>
          <w:trHeight w:val="274"/>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31" w:type="dxa"/>
            <w:tcBorders>
              <w:top w:val="nil"/>
              <w:left w:val="nil"/>
              <w:bottom w:val="nil"/>
              <w:right w:val="nil"/>
            </w:tcBorders>
            <w:shd w:val="clear" w:color="auto" w:fill="D9D9D9"/>
          </w:tcPr>
          <w:p w:rsidR="004D6F0E" w:rsidRDefault="00490F21">
            <w:pPr>
              <w:spacing w:after="0" w:line="259" w:lineRule="auto"/>
              <w:ind w:left="703" w:firstLine="0"/>
            </w:pPr>
            <w:r>
              <w:rPr>
                <w:rFonts w:ascii="Arial" w:eastAsia="Arial" w:hAnsi="Arial" w:cs="Arial"/>
                <w:sz w:val="18"/>
              </w:rPr>
              <w:t xml:space="preserve"> </w:t>
            </w:r>
          </w:p>
        </w:tc>
      </w:tr>
      <w:tr w:rsidR="004D6F0E">
        <w:trPr>
          <w:trHeight w:val="521"/>
        </w:trPr>
        <w:tc>
          <w:tcPr>
            <w:tcW w:w="2837" w:type="dxa"/>
            <w:tcBorders>
              <w:top w:val="nil"/>
              <w:left w:val="nil"/>
              <w:bottom w:val="nil"/>
              <w:right w:val="nil"/>
            </w:tcBorders>
          </w:tcPr>
          <w:p w:rsidR="004D6F0E" w:rsidRDefault="00490F21">
            <w:pPr>
              <w:spacing w:after="51"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43"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38" w:line="259" w:lineRule="auto"/>
              <w:ind w:left="0" w:firstLine="0"/>
            </w:pPr>
            <w:r>
              <w:rPr>
                <w:rFonts w:ascii="Arial" w:eastAsia="Arial" w:hAnsi="Arial" w:cs="Arial"/>
                <w:sz w:val="18"/>
              </w:rPr>
              <w:t xml:space="preserve">1.70% </w:t>
            </w:r>
          </w:p>
          <w:p w:rsidR="004D6F0E" w:rsidRDefault="00490F21">
            <w:pPr>
              <w:spacing w:after="0" w:line="259" w:lineRule="auto"/>
              <w:ind w:left="25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45"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45" w:line="259" w:lineRule="auto"/>
              <w:ind w:left="612" w:firstLine="0"/>
            </w:pPr>
            <w:r>
              <w:rPr>
                <w:sz w:val="18"/>
              </w:rPr>
              <w:t>無</w:t>
            </w:r>
            <w:r>
              <w:rPr>
                <w:rFonts w:ascii="Arial" w:eastAsia="Arial" w:hAnsi="Arial" w:cs="Arial"/>
                <w:sz w:val="18"/>
              </w:rPr>
              <w:t xml:space="preserve"> </w:t>
            </w:r>
          </w:p>
          <w:p w:rsidR="004D6F0E" w:rsidRDefault="00490F21">
            <w:pPr>
              <w:spacing w:after="0" w:line="259" w:lineRule="auto"/>
              <w:ind w:left="703" w:firstLine="0"/>
            </w:pPr>
            <w:r>
              <w:rPr>
                <w:rFonts w:ascii="Arial" w:eastAsia="Arial" w:hAnsi="Arial" w:cs="Arial"/>
                <w:sz w:val="18"/>
              </w:rPr>
              <w:t xml:space="preserve"> </w:t>
            </w:r>
          </w:p>
        </w:tc>
      </w:tr>
      <w:tr w:rsidR="004D6F0E">
        <w:trPr>
          <w:trHeight w:val="247"/>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歐元對沖股份類別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342" w:firstLine="0"/>
              <w:jc w:val="center"/>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1054" w:firstLine="0"/>
              <w:jc w:val="center"/>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3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521"/>
        </w:trPr>
        <w:tc>
          <w:tcPr>
            <w:tcW w:w="2837" w:type="dxa"/>
            <w:tcBorders>
              <w:top w:val="nil"/>
              <w:left w:val="nil"/>
              <w:bottom w:val="nil"/>
              <w:right w:val="nil"/>
            </w:tcBorders>
          </w:tcPr>
          <w:p w:rsidR="004D6F0E" w:rsidRDefault="00490F21">
            <w:pPr>
              <w:spacing w:after="53"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31"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38" w:line="259" w:lineRule="auto"/>
              <w:ind w:left="0" w:firstLine="0"/>
            </w:pPr>
            <w:r>
              <w:rPr>
                <w:rFonts w:ascii="Arial" w:eastAsia="Arial" w:hAnsi="Arial" w:cs="Arial"/>
                <w:sz w:val="18"/>
              </w:rPr>
              <w:t xml:space="preserve">1.70% </w:t>
            </w:r>
          </w:p>
          <w:p w:rsidR="004D6F0E" w:rsidRDefault="00490F21">
            <w:pPr>
              <w:spacing w:after="0" w:line="259" w:lineRule="auto"/>
              <w:ind w:left="25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48"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31" w:type="dxa"/>
            <w:tcBorders>
              <w:top w:val="nil"/>
              <w:left w:val="nil"/>
              <w:bottom w:val="nil"/>
              <w:right w:val="nil"/>
            </w:tcBorders>
          </w:tcPr>
          <w:p w:rsidR="004D6F0E" w:rsidRDefault="00490F21">
            <w:pPr>
              <w:spacing w:after="69" w:line="259" w:lineRule="auto"/>
              <w:ind w:left="612" w:firstLine="0"/>
            </w:pPr>
            <w:r>
              <w:rPr>
                <w:sz w:val="18"/>
              </w:rPr>
              <w:t>無</w:t>
            </w:r>
            <w:r>
              <w:rPr>
                <w:rFonts w:ascii="Arial" w:eastAsia="Arial" w:hAnsi="Arial" w:cs="Arial"/>
                <w:sz w:val="18"/>
              </w:rPr>
              <w:t xml:space="preserve"> </w:t>
            </w:r>
          </w:p>
          <w:p w:rsidR="004D6F0E" w:rsidRDefault="00490F21">
            <w:pPr>
              <w:spacing w:after="0" w:line="259" w:lineRule="auto"/>
              <w:ind w:left="703" w:firstLine="0"/>
            </w:pPr>
            <w:r>
              <w:rPr>
                <w:rFonts w:ascii="Arial" w:eastAsia="Arial" w:hAnsi="Arial" w:cs="Arial"/>
                <w:sz w:val="18"/>
              </w:rPr>
              <w:t xml:space="preserve"> </w:t>
            </w:r>
          </w:p>
        </w:tc>
      </w:tr>
      <w:tr w:rsidR="004D6F0E">
        <w:trPr>
          <w:trHeight w:val="276"/>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澳元對沖股份類別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342" w:firstLine="0"/>
              <w:jc w:val="center"/>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1054" w:firstLine="0"/>
              <w:jc w:val="center"/>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31"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378"/>
          <w:tab w:val="center" w:pos="5630"/>
          <w:tab w:val="center" w:pos="7885"/>
          <w:tab w:val="center" w:pos="10139"/>
        </w:tabs>
        <w:spacing w:after="82"/>
        <w:ind w:left="0"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b/>
          <w:sz w:val="18"/>
        </w:rPr>
        <w:t xml:space="preserve"> </w:t>
      </w:r>
      <w:r>
        <w:rPr>
          <w:rFonts w:ascii="Arial" w:eastAsia="Arial" w:hAnsi="Arial" w:cs="Arial"/>
          <w:b/>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1.70%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spacing w:after="114" w:line="259" w:lineRule="auto"/>
        <w:ind w:left="108"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3" w:line="259" w:lineRule="auto"/>
        <w:ind w:right="51" w:hanging="10"/>
        <w:jc w:val="center"/>
      </w:pPr>
      <w:r>
        <w:rPr>
          <w:rFonts w:ascii="Times New Roman" w:eastAsia="Times New Roman" w:hAnsi="Times New Roman" w:cs="Times New Roman"/>
          <w:sz w:val="20"/>
        </w:rPr>
        <w:t xml:space="preserve">I-35 </w:t>
      </w:r>
    </w:p>
    <w:p w:rsidR="004D6F0E" w:rsidRDefault="00490F21">
      <w:pPr>
        <w:spacing w:after="0" w:line="259" w:lineRule="auto"/>
        <w:ind w:left="2" w:firstLine="0"/>
        <w:jc w:val="center"/>
      </w:pPr>
      <w:r>
        <w:rPr>
          <w:rFonts w:ascii="Times New Roman" w:eastAsia="Times New Roman" w:hAnsi="Times New Roman" w:cs="Times New Roman"/>
          <w:sz w:val="20"/>
        </w:rPr>
        <w:t xml:space="preserve"> </w:t>
      </w:r>
    </w:p>
    <w:p w:rsidR="004D6F0E" w:rsidRDefault="00490F21">
      <w:pPr>
        <w:spacing w:after="0" w:line="242" w:lineRule="auto"/>
        <w:ind w:left="0" w:right="11042" w:firstLine="0"/>
      </w:pPr>
      <w:r>
        <w:rPr>
          <w:rFonts w:ascii="Arial" w:eastAsia="Arial" w:hAnsi="Arial" w:cs="Arial"/>
          <w:sz w:val="12"/>
        </w:rPr>
        <w:t xml:space="preserve">   </w:t>
      </w:r>
    </w:p>
    <w:p w:rsidR="004D6F0E" w:rsidRDefault="00490F21">
      <w:pPr>
        <w:spacing w:after="20" w:line="259" w:lineRule="auto"/>
        <w:ind w:left="0" w:right="1" w:firstLine="0"/>
        <w:jc w:val="right"/>
      </w:pPr>
      <w:r>
        <w:rPr>
          <w:sz w:val="18"/>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tbl>
      <w:tblPr>
        <w:tblStyle w:val="TableGrid"/>
        <w:tblW w:w="11275" w:type="dxa"/>
        <w:tblInd w:w="-7" w:type="dxa"/>
        <w:tblCellMar>
          <w:top w:w="27" w:type="dxa"/>
          <w:left w:w="0" w:type="dxa"/>
          <w:bottom w:w="0" w:type="dxa"/>
          <w:right w:w="115" w:type="dxa"/>
        </w:tblCellMar>
        <w:tblLook w:val="04A0" w:firstRow="1" w:lastRow="0" w:firstColumn="1" w:lastColumn="0" w:noHBand="0" w:noVBand="1"/>
      </w:tblPr>
      <w:tblGrid>
        <w:gridCol w:w="2836"/>
        <w:gridCol w:w="2544"/>
        <w:gridCol w:w="2422"/>
        <w:gridCol w:w="2254"/>
        <w:gridCol w:w="1219"/>
      </w:tblGrid>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加元對沖股份類別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7"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4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257" w:firstLine="0"/>
            </w:pPr>
            <w:r>
              <w:rPr>
                <w:rFonts w:ascii="Arial" w:eastAsia="Arial" w:hAnsi="Arial" w:cs="Arial"/>
                <w:sz w:val="18"/>
              </w:rPr>
              <w:t xml:space="preserve"> </w:t>
            </w:r>
          </w:p>
        </w:tc>
        <w:tc>
          <w:tcPr>
            <w:tcW w:w="2254"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219"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英鎊對沖股份類別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7"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新加坡元對沖股份類別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837"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紐西蘭元對沖股份類別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7"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lastRenderedPageBreak/>
              <w:t xml:space="preserve">AD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人民幣</w:t>
            </w:r>
            <w:r>
              <w:rPr>
                <w:rFonts w:ascii="Arial" w:eastAsia="Arial" w:hAnsi="Arial" w:cs="Arial"/>
                <w:b/>
                <w:sz w:val="18"/>
                <w:vertAlign w:val="superscript"/>
              </w:rPr>
              <w:t>*</w:t>
            </w:r>
            <w:r>
              <w:rPr>
                <w:sz w:val="18"/>
              </w:rPr>
              <w:t>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7"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南非蘭特對沖股份類別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7"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1.70%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b/>
                <w:sz w:val="18"/>
              </w:rPr>
              <w:t xml:space="preserve"> </w:t>
            </w:r>
          </w:p>
        </w:tc>
        <w:tc>
          <w:tcPr>
            <w:tcW w:w="2544" w:type="dxa"/>
            <w:tcBorders>
              <w:top w:val="nil"/>
              <w:left w:val="nil"/>
              <w:bottom w:val="nil"/>
              <w:right w:val="nil"/>
            </w:tcBorders>
            <w:shd w:val="clear" w:color="auto" w:fill="D9D9D9"/>
          </w:tcPr>
          <w:p w:rsidR="004D6F0E" w:rsidRDefault="004D6F0E">
            <w:pPr>
              <w:spacing w:after="160" w:line="259" w:lineRule="auto"/>
              <w:ind w:left="0" w:firstLine="0"/>
            </w:pPr>
          </w:p>
        </w:tc>
        <w:tc>
          <w:tcPr>
            <w:tcW w:w="2422" w:type="dxa"/>
            <w:tcBorders>
              <w:top w:val="nil"/>
              <w:left w:val="nil"/>
              <w:bottom w:val="nil"/>
              <w:right w:val="nil"/>
            </w:tcBorders>
            <w:shd w:val="clear" w:color="auto" w:fill="D9D9D9"/>
          </w:tcPr>
          <w:p w:rsidR="004D6F0E" w:rsidRDefault="004D6F0E">
            <w:pPr>
              <w:spacing w:after="160" w:line="259" w:lineRule="auto"/>
              <w:ind w:left="0" w:firstLine="0"/>
            </w:pPr>
          </w:p>
        </w:tc>
        <w:tc>
          <w:tcPr>
            <w:tcW w:w="2254" w:type="dxa"/>
            <w:tcBorders>
              <w:top w:val="nil"/>
              <w:left w:val="nil"/>
              <w:bottom w:val="nil"/>
              <w:right w:val="nil"/>
            </w:tcBorders>
            <w:shd w:val="clear" w:color="auto" w:fill="D9D9D9"/>
          </w:tcPr>
          <w:p w:rsidR="004D6F0E" w:rsidRDefault="004D6F0E">
            <w:pPr>
              <w:spacing w:after="160" w:line="259" w:lineRule="auto"/>
              <w:ind w:left="0" w:firstLine="0"/>
            </w:pPr>
          </w:p>
        </w:tc>
        <w:tc>
          <w:tcPr>
            <w:tcW w:w="1219"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376"/>
          <w:tab w:val="center" w:pos="5630"/>
          <w:tab w:val="center" w:pos="7885"/>
          <w:tab w:val="center" w:pos="10139"/>
        </w:tabs>
        <w:ind w:left="0"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rFonts w:ascii="Arial" w:eastAsia="Arial" w:hAnsi="Arial" w:cs="Arial"/>
          <w:sz w:val="18"/>
        </w:rPr>
        <w:tab/>
      </w:r>
      <w:r>
        <w:rPr>
          <w:sz w:val="18"/>
        </w:rPr>
        <w:t>最高為</w:t>
      </w:r>
      <w:r>
        <w:rPr>
          <w:rFonts w:ascii="Arial" w:eastAsia="Arial" w:hAnsi="Arial" w:cs="Arial"/>
          <w:sz w:val="18"/>
        </w:rPr>
        <w:t xml:space="preserve"> 5.00% </w:t>
      </w:r>
      <w:r>
        <w:rPr>
          <w:rFonts w:ascii="Arial" w:eastAsia="Arial" w:hAnsi="Arial" w:cs="Arial"/>
          <w:sz w:val="18"/>
        </w:rPr>
        <w:tab/>
        <w:t xml:space="preserve">1.70%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D6F0E">
      <w:pPr>
        <w:sectPr w:rsidR="004D6F0E">
          <w:headerReference w:type="even" r:id="rId123"/>
          <w:headerReference w:type="default" r:id="rId124"/>
          <w:footerReference w:type="even" r:id="rId125"/>
          <w:footerReference w:type="default" r:id="rId126"/>
          <w:headerReference w:type="first" r:id="rId127"/>
          <w:footerReference w:type="first" r:id="rId128"/>
          <w:pgSz w:w="12240" w:h="15840"/>
          <w:pgMar w:top="746" w:right="673" w:bottom="402" w:left="432" w:header="746" w:footer="720" w:gutter="0"/>
          <w:cols w:space="720"/>
          <w:titlePg/>
        </w:sectPr>
      </w:pPr>
    </w:p>
    <w:p w:rsidR="004D6F0E" w:rsidRDefault="00490F21">
      <w:pPr>
        <w:spacing w:after="4" w:line="259" w:lineRule="auto"/>
        <w:ind w:left="0" w:firstLine="0"/>
      </w:pP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15"/>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A(1.99%)</w:t>
      </w:r>
      <w:r>
        <w:rPr>
          <w:sz w:val="16"/>
        </w:rPr>
        <w:t>、</w:t>
      </w:r>
      <w:r>
        <w:rPr>
          <w:rFonts w:ascii="Arial" w:eastAsia="Arial" w:hAnsi="Arial" w:cs="Arial"/>
          <w:sz w:val="16"/>
        </w:rPr>
        <w:t>AD(1.99%)</w:t>
      </w:r>
      <w:r>
        <w:rPr>
          <w:sz w:val="16"/>
        </w:rPr>
        <w:t>、</w:t>
      </w:r>
      <w:r>
        <w:rPr>
          <w:rFonts w:ascii="Arial" w:eastAsia="Arial" w:hAnsi="Arial" w:cs="Arial"/>
          <w:sz w:val="16"/>
        </w:rPr>
        <w:t>B(2.99%)</w:t>
      </w:r>
      <w:r>
        <w:rPr>
          <w:sz w:val="16"/>
        </w:rPr>
        <w:t>、</w:t>
      </w:r>
      <w:r>
        <w:rPr>
          <w:rFonts w:ascii="Arial" w:eastAsia="Arial" w:hAnsi="Arial" w:cs="Arial"/>
          <w:sz w:val="16"/>
        </w:rPr>
        <w:t>C(2.44%)</w:t>
      </w:r>
      <w:r>
        <w:rPr>
          <w:sz w:val="16"/>
        </w:rPr>
        <w:t>、</w:t>
      </w:r>
      <w:r>
        <w:rPr>
          <w:sz w:val="16"/>
        </w:rPr>
        <w:t xml:space="preserve"> </w:t>
      </w:r>
      <w:r>
        <w:rPr>
          <w:rFonts w:ascii="Arial" w:eastAsia="Arial" w:hAnsi="Arial" w:cs="Arial"/>
          <w:sz w:val="16"/>
        </w:rPr>
        <w:t>I(1.19%)</w:t>
      </w:r>
      <w:r>
        <w:rPr>
          <w:sz w:val="16"/>
        </w:rPr>
        <w:t>、</w:t>
      </w:r>
      <w:r>
        <w:rPr>
          <w:rFonts w:ascii="Arial" w:eastAsia="Arial" w:hAnsi="Arial" w:cs="Arial"/>
          <w:sz w:val="16"/>
        </w:rPr>
        <w:t>S</w:t>
      </w:r>
      <w:r>
        <w:rPr>
          <w:rFonts w:ascii="Arial" w:eastAsia="Arial" w:hAnsi="Arial" w:cs="Arial"/>
          <w:sz w:val="16"/>
        </w:rPr>
        <w:t>(0.16%)</w:t>
      </w:r>
      <w:r>
        <w:rPr>
          <w:sz w:val="16"/>
        </w:rPr>
        <w:t>及</w:t>
      </w:r>
      <w:r>
        <w:rPr>
          <w:sz w:val="16"/>
        </w:rPr>
        <w:t xml:space="preserve"> </w:t>
      </w:r>
      <w:r>
        <w:rPr>
          <w:rFonts w:ascii="Arial" w:eastAsia="Arial" w:hAnsi="Arial" w:cs="Arial"/>
          <w:sz w:val="16"/>
        </w:rPr>
        <w:t>S1(0.91%)</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5"/>
        </w:numPr>
        <w:ind w:right="13" w:hanging="360"/>
        <w:jc w:val="both"/>
      </w:pPr>
      <w:r>
        <w:rPr>
          <w:rFonts w:ascii="Arial" w:eastAsia="Arial" w:hAnsi="Arial" w:cs="Arial"/>
          <w:sz w:val="16"/>
        </w:rPr>
        <w:t xml:space="preserve">B </w:t>
      </w:r>
      <w:r>
        <w:rPr>
          <w:sz w:val="16"/>
        </w:rPr>
        <w:t>類股份自認購日起六年後合資格轉入</w:t>
      </w:r>
      <w:r>
        <w:rPr>
          <w:sz w:val="16"/>
        </w:rPr>
        <w:t xml:space="preserve"> </w:t>
      </w:r>
      <w:r>
        <w:rPr>
          <w:rFonts w:ascii="Arial" w:eastAsia="Arial" w:hAnsi="Arial" w:cs="Arial"/>
          <w:sz w:val="16"/>
        </w:rPr>
        <w:t xml:space="preserve">A </w:t>
      </w:r>
      <w:r>
        <w:rPr>
          <w:sz w:val="16"/>
        </w:rPr>
        <w:t>類股份，本傘子基金和管理公司均不會因此收取費用。欲進一步了解換股詳情，請參閱認購章程第</w:t>
      </w:r>
    </w:p>
    <w:p w:rsidR="004D6F0E" w:rsidRDefault="00490F21">
      <w:pPr>
        <w:ind w:left="437" w:right="13" w:hanging="10"/>
        <w:jc w:val="both"/>
      </w:pPr>
      <w:r>
        <w:rPr>
          <w:rFonts w:ascii="Arial" w:eastAsia="Arial" w:hAnsi="Arial" w:cs="Arial"/>
          <w:sz w:val="16"/>
        </w:rPr>
        <w:t xml:space="preserve">II </w:t>
      </w:r>
      <w:r>
        <w:rPr>
          <w:sz w:val="16"/>
        </w:rPr>
        <w:t>部分的「如何交換或轉換股份－轉換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15"/>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15"/>
        </w:numPr>
        <w:spacing w:after="4571"/>
        <w:ind w:right="13" w:hanging="360"/>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I-36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numPr>
          <w:ilvl w:val="0"/>
          <w:numId w:val="15"/>
        </w:numPr>
        <w:ind w:right="13" w:hanging="360"/>
        <w:jc w:val="both"/>
      </w:pPr>
      <w:r>
        <w:rPr>
          <w:sz w:val="16"/>
        </w:rPr>
        <w:t>佔每日平均資產淨值的年百分比。</w:t>
      </w:r>
      <w:r>
        <w:rPr>
          <w:rFonts w:ascii="Arial" w:eastAsia="Arial" w:hAnsi="Arial" w:cs="Arial"/>
          <w:sz w:val="16"/>
        </w:rPr>
        <w:t xml:space="preserve"> </w:t>
      </w:r>
    </w:p>
    <w:p w:rsidR="004D6F0E" w:rsidRDefault="00490F21">
      <w:pPr>
        <w:numPr>
          <w:ilvl w:val="0"/>
          <w:numId w:val="15"/>
        </w:numPr>
        <w:ind w:right="13" w:hanging="360"/>
        <w:jc w:val="both"/>
      </w:pPr>
      <w:r>
        <w:rPr>
          <w:sz w:val="16"/>
        </w:rPr>
        <w:t>佔所贖回股份的現行資產淨值或原始成本此兩數字中較低者的有關百分比，並視乎該等股份的持有時間而定。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類股份而言，交易商可在某些情況下選擇減免或有遞延銷售費。</w:t>
      </w:r>
      <w:r>
        <w:rPr>
          <w:rFonts w:ascii="Arial" w:eastAsia="Arial" w:hAnsi="Arial" w:cs="Arial"/>
          <w:sz w:val="16"/>
        </w:rPr>
        <w:t xml:space="preserve"> </w:t>
      </w:r>
    </w:p>
    <w:p w:rsidR="004D6F0E" w:rsidRDefault="00490F21">
      <w:pPr>
        <w:numPr>
          <w:ilvl w:val="0"/>
          <w:numId w:val="15"/>
        </w:numPr>
        <w:ind w:right="13" w:hanging="360"/>
        <w:jc w:val="both"/>
      </w:pPr>
      <w:r>
        <w:rPr>
          <w:rFonts w:ascii="Arial" w:eastAsia="Arial" w:hAnsi="Arial" w:cs="Arial"/>
          <w:sz w:val="16"/>
        </w:rPr>
        <w:t xml:space="preserve">S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5"/>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ind w:left="347" w:right="13" w:hanging="360"/>
        <w:jc w:val="both"/>
      </w:pP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」），而非稱為</w:t>
      </w:r>
      <w:r>
        <w:rPr>
          <w:sz w:val="16"/>
        </w:rPr>
        <w:t xml:space="preserve"> </w:t>
      </w:r>
      <w:r>
        <w:rPr>
          <w:rFonts w:ascii="Arial" w:eastAsia="Arial" w:hAnsi="Arial" w:cs="Arial"/>
          <w:sz w:val="16"/>
        </w:rPr>
        <w:t xml:space="preserve">CNY </w:t>
      </w:r>
      <w:r>
        <w:rPr>
          <w:sz w:val="16"/>
        </w:rPr>
        <w:t>的在岸人民幣。</w:t>
      </w:r>
      <w:r>
        <w:rPr>
          <w:rFonts w:ascii="Arial" w:eastAsia="Arial" w:hAnsi="Arial" w:cs="Arial"/>
          <w:sz w:val="18"/>
        </w:rPr>
        <w:t xml:space="preserve"> </w:t>
      </w:r>
    </w:p>
    <w:p w:rsidR="004D6F0E" w:rsidRDefault="00490F21">
      <w:pPr>
        <w:spacing w:after="32"/>
        <w:ind w:left="347" w:right="13" w:hanging="360"/>
        <w:jc w:val="both"/>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D6F0E">
      <w:pPr>
        <w:sectPr w:rsidR="004D6F0E">
          <w:type w:val="continuous"/>
          <w:pgSz w:w="12240" w:h="15840"/>
          <w:pgMar w:top="1440" w:right="715" w:bottom="1440" w:left="432" w:header="720" w:footer="720" w:gutter="0"/>
          <w:cols w:num="2" w:space="720" w:equalWidth="0">
            <w:col w:w="5727" w:space="290"/>
            <w:col w:w="5076"/>
          </w:cols>
        </w:sectPr>
      </w:pPr>
    </w:p>
    <w:p w:rsidR="004D6F0E" w:rsidRDefault="00490F21">
      <w:pPr>
        <w:spacing w:after="0" w:line="259" w:lineRule="auto"/>
        <w:ind w:left="0" w:right="30" w:firstLine="0"/>
        <w:jc w:val="right"/>
      </w:pPr>
      <w:r>
        <w:rPr>
          <w:sz w:val="20"/>
        </w:rPr>
        <w:lastRenderedPageBreak/>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p w:rsidR="004D6F0E" w:rsidRDefault="00490F21">
      <w:pPr>
        <w:spacing w:after="4" w:line="259" w:lineRule="auto"/>
        <w:ind w:left="0" w:firstLine="0"/>
      </w:pPr>
      <w:r>
        <w:rPr>
          <w:rFonts w:ascii="Arial" w:eastAsia="Arial" w:hAnsi="Arial" w:cs="Arial"/>
          <w:sz w:val="16"/>
        </w:rPr>
        <w:t xml:space="preserve"> </w:t>
      </w:r>
    </w:p>
    <w:p w:rsidR="004D6F0E" w:rsidRDefault="00490F21">
      <w:pPr>
        <w:spacing w:before="27"/>
        <w:ind w:left="124" w:right="2"/>
      </w:pPr>
      <w:r>
        <w:t>其他股份類別特色</w:t>
      </w:r>
      <w:r>
        <w:rPr>
          <w:rFonts w:ascii="Arial" w:eastAsia="Arial" w:hAnsi="Arial" w:cs="Arial"/>
          <w:sz w:val="24"/>
        </w:rPr>
        <w:t xml:space="preserve"> </w:t>
      </w:r>
    </w:p>
    <w:p w:rsidR="004D6F0E" w:rsidRDefault="00490F21">
      <w:pPr>
        <w:spacing w:after="88"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tabs>
          <w:tab w:val="center" w:pos="3043"/>
          <w:tab w:val="center" w:pos="4956"/>
          <w:tab w:val="center" w:pos="6735"/>
          <w:tab w:val="center" w:pos="8507"/>
          <w:tab w:val="right" w:pos="11170"/>
        </w:tabs>
        <w:ind w:left="0" w:firstLine="0"/>
      </w:pPr>
      <w:r>
        <w:rPr>
          <w:rFonts w:ascii="Arial" w:eastAsia="Arial" w:hAnsi="Arial" w:cs="Arial"/>
          <w:b/>
          <w:sz w:val="28"/>
          <w:vertAlign w:val="superscript"/>
        </w:rPr>
        <w:t xml:space="preserve"> </w:t>
      </w:r>
      <w:r>
        <w:rPr>
          <w:rFonts w:ascii="Arial" w:eastAsia="Arial" w:hAnsi="Arial" w:cs="Arial"/>
          <w:b/>
          <w:sz w:val="28"/>
          <w:vertAlign w:val="superscript"/>
        </w:rPr>
        <w:tab/>
      </w:r>
      <w:r>
        <w:rPr>
          <w:sz w:val="18"/>
        </w:rPr>
        <w:t>發售貨幣</w:t>
      </w:r>
      <w:r>
        <w:rPr>
          <w:rFonts w:ascii="Arial" w:eastAsia="Arial" w:hAnsi="Arial" w:cs="Arial"/>
          <w:sz w:val="24"/>
        </w:rPr>
        <w:t xml:space="preserve"> </w:t>
      </w:r>
      <w:r>
        <w:rPr>
          <w:rFonts w:ascii="Arial" w:eastAsia="Arial" w:hAnsi="Arial" w:cs="Arial"/>
          <w:sz w:val="24"/>
        </w:rPr>
        <w:tab/>
      </w:r>
      <w:r>
        <w:rPr>
          <w:sz w:val="18"/>
        </w:rPr>
        <w:t>最低首次投資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最低後續投資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最高投資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24"/>
        </w:rPr>
        <w:t xml:space="preserve"> </w:t>
      </w:r>
    </w:p>
    <w:p w:rsidR="004D6F0E" w:rsidRDefault="00490F21">
      <w:pPr>
        <w:spacing w:after="12" w:line="259" w:lineRule="auto"/>
        <w:ind w:left="2069" w:right="-83" w:firstLine="0"/>
      </w:pPr>
      <w:r>
        <w:rPr>
          <w:rFonts w:ascii="Calibri" w:eastAsia="Calibri" w:hAnsi="Calibri" w:cs="Calibri"/>
          <w:noProof/>
          <w:sz w:val="22"/>
        </w:rPr>
        <mc:AlternateContent>
          <mc:Choice Requires="wpg">
            <w:drawing>
              <wp:inline distT="0" distB="0" distL="0" distR="0">
                <wp:extent cx="5832348" cy="6096"/>
                <wp:effectExtent l="0" t="0" r="0" b="0"/>
                <wp:docPr id="475895" name="Group 475895"/>
                <wp:cNvGraphicFramePr/>
                <a:graphic xmlns:a="http://schemas.openxmlformats.org/drawingml/2006/main">
                  <a:graphicData uri="http://schemas.microsoft.com/office/word/2010/wordprocessingGroup">
                    <wpg:wgp>
                      <wpg:cNvGrpSpPr/>
                      <wpg:grpSpPr>
                        <a:xfrm>
                          <a:off x="0" y="0"/>
                          <a:ext cx="5832348" cy="6096"/>
                          <a:chOff x="0" y="0"/>
                          <a:chExt cx="5832348" cy="6096"/>
                        </a:xfrm>
                      </wpg:grpSpPr>
                      <wps:wsp>
                        <wps:cNvPr id="658073" name="Shape 658073"/>
                        <wps:cNvSpPr/>
                        <wps:spPr>
                          <a:xfrm>
                            <a:off x="0" y="0"/>
                            <a:ext cx="1237488" cy="9144"/>
                          </a:xfrm>
                          <a:custGeom>
                            <a:avLst/>
                            <a:gdLst/>
                            <a:ahLst/>
                            <a:cxnLst/>
                            <a:rect l="0" t="0" r="0" b="0"/>
                            <a:pathLst>
                              <a:path w="1237488" h="9144">
                                <a:moveTo>
                                  <a:pt x="0" y="0"/>
                                </a:moveTo>
                                <a:lnTo>
                                  <a:pt x="1237488" y="0"/>
                                </a:lnTo>
                                <a:lnTo>
                                  <a:pt x="1237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74" name="Shape 658074"/>
                        <wps:cNvSpPr/>
                        <wps:spPr>
                          <a:xfrm>
                            <a:off x="1347216" y="0"/>
                            <a:ext cx="973836" cy="9144"/>
                          </a:xfrm>
                          <a:custGeom>
                            <a:avLst/>
                            <a:gdLst/>
                            <a:ahLst/>
                            <a:cxnLst/>
                            <a:rect l="0" t="0" r="0" b="0"/>
                            <a:pathLst>
                              <a:path w="973836" h="9144">
                                <a:moveTo>
                                  <a:pt x="0" y="0"/>
                                </a:moveTo>
                                <a:lnTo>
                                  <a:pt x="973836" y="0"/>
                                </a:lnTo>
                                <a:lnTo>
                                  <a:pt x="973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75" name="Shape 658075"/>
                        <wps:cNvSpPr/>
                        <wps:spPr>
                          <a:xfrm>
                            <a:off x="2432304"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76" name="Shape 658076"/>
                        <wps:cNvSpPr/>
                        <wps:spPr>
                          <a:xfrm>
                            <a:off x="3602736"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77" name="Shape 658077"/>
                        <wps:cNvSpPr/>
                        <wps:spPr>
                          <a:xfrm>
                            <a:off x="4681728"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5895" style="width:459.24pt;height:0.47998pt;mso-position-horizontal-relative:char;mso-position-vertical-relative:line" coordsize="58323,60">
                <v:shape id="Shape 658078" style="position:absolute;width:12374;height:91;left:0;top:0;" coordsize="1237488,9144" path="m0,0l1237488,0l1237488,9144l0,9144l0,0">
                  <v:stroke weight="0pt" endcap="flat" joinstyle="miter" miterlimit="10" on="false" color="#000000" opacity="0"/>
                  <v:fill on="true" color="#000000"/>
                </v:shape>
                <v:shape id="Shape 658079" style="position:absolute;width:9738;height:91;left:13472;top:0;" coordsize="973836,9144" path="m0,0l973836,0l973836,9144l0,9144l0,0">
                  <v:stroke weight="0pt" endcap="flat" joinstyle="miter" miterlimit="10" on="false" color="#000000" opacity="0"/>
                  <v:fill on="true" color="#000000"/>
                </v:shape>
                <v:shape id="Shape 658080" style="position:absolute;width:10607;height:91;left:24323;top:0;" coordsize="1060704,9144" path="m0,0l1060704,0l1060704,9144l0,9144l0,0">
                  <v:stroke weight="0pt" endcap="flat" joinstyle="miter" miterlimit="10" on="false" color="#000000" opacity="0"/>
                  <v:fill on="true" color="#000000"/>
                </v:shape>
                <v:shape id="Shape 658081" style="position:absolute;width:9708;height:91;left:36027;top:0;" coordsize="970801,9144" path="m0,0l970801,0l970801,9144l0,9144l0,0">
                  <v:stroke weight="0pt" endcap="flat" joinstyle="miter" miterlimit="10" on="false" color="#000000" opacity="0"/>
                  <v:fill on="true" color="#000000"/>
                </v:shape>
                <v:shape id="Shape 658082" style="position:absolute;width:11506;height:91;left:46817;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340" w:type="dxa"/>
        <w:tblInd w:w="0" w:type="dxa"/>
        <w:tblCellMar>
          <w:top w:w="22" w:type="dxa"/>
          <w:left w:w="0" w:type="dxa"/>
          <w:bottom w:w="0" w:type="dxa"/>
          <w:right w:w="156" w:type="dxa"/>
        </w:tblCellMar>
        <w:tblLook w:val="04A0" w:firstRow="1" w:lastRow="0" w:firstColumn="1" w:lastColumn="0" w:noHBand="0" w:noVBand="1"/>
      </w:tblPr>
      <w:tblGrid>
        <w:gridCol w:w="2864"/>
        <w:gridCol w:w="1370"/>
        <w:gridCol w:w="2148"/>
        <w:gridCol w:w="1596"/>
        <w:gridCol w:w="2114"/>
        <w:gridCol w:w="1248"/>
      </w:tblGrid>
      <w:tr w:rsidR="004D6F0E">
        <w:trPr>
          <w:trHeight w:val="262"/>
        </w:trPr>
        <w:tc>
          <w:tcPr>
            <w:tcW w:w="286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美元計價股份類別</w:t>
            </w:r>
            <w:r>
              <w:rPr>
                <w:rFonts w:ascii="Arial" w:eastAsia="Arial" w:hAnsi="Arial" w:cs="Arial"/>
                <w:b/>
                <w:sz w:val="18"/>
              </w:rPr>
              <w:t xml:space="preserve"> </w:t>
            </w:r>
            <w:r>
              <w:rPr>
                <w:rFonts w:ascii="Arial" w:eastAsia="Arial" w:hAnsi="Arial" w:cs="Arial"/>
                <w:b/>
                <w:sz w:val="18"/>
              </w:rPr>
              <w:tab/>
              <w:t xml:space="preserve"> </w:t>
            </w:r>
          </w:p>
        </w:tc>
        <w:tc>
          <w:tcPr>
            <w:tcW w:w="1370" w:type="dxa"/>
            <w:tcBorders>
              <w:top w:val="nil"/>
              <w:left w:val="nil"/>
              <w:bottom w:val="nil"/>
              <w:right w:val="nil"/>
            </w:tcBorders>
            <w:shd w:val="clear" w:color="auto" w:fill="D9D9D9"/>
          </w:tcPr>
          <w:p w:rsidR="004D6F0E" w:rsidRDefault="004D6F0E">
            <w:pPr>
              <w:spacing w:after="160" w:line="259" w:lineRule="auto"/>
              <w:ind w:left="0" w:firstLine="0"/>
            </w:pPr>
          </w:p>
        </w:tc>
        <w:tc>
          <w:tcPr>
            <w:tcW w:w="2148" w:type="dxa"/>
            <w:tcBorders>
              <w:top w:val="nil"/>
              <w:left w:val="nil"/>
              <w:bottom w:val="nil"/>
              <w:right w:val="nil"/>
            </w:tcBorders>
            <w:shd w:val="clear" w:color="auto" w:fill="D9D9D9"/>
          </w:tcPr>
          <w:p w:rsidR="004D6F0E" w:rsidRDefault="00490F21">
            <w:pPr>
              <w:spacing w:after="0" w:line="259" w:lineRule="auto"/>
              <w:ind w:left="-14" w:firstLine="0"/>
            </w:pPr>
            <w:r>
              <w:rPr>
                <w:rFonts w:ascii="Arial" w:eastAsia="Arial" w:hAnsi="Arial" w:cs="Arial"/>
                <w:b/>
                <w:sz w:val="18"/>
              </w:rPr>
              <w:t xml:space="preserve"> </w:t>
            </w:r>
            <w:r>
              <w:rPr>
                <w:rFonts w:ascii="Arial" w:eastAsia="Arial" w:hAnsi="Arial" w:cs="Arial"/>
                <w:b/>
                <w:sz w:val="18"/>
              </w:rPr>
              <w:tab/>
              <w:t xml:space="preserve"> </w:t>
            </w:r>
          </w:p>
        </w:tc>
        <w:tc>
          <w:tcPr>
            <w:tcW w:w="1596"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2114" w:type="dxa"/>
            <w:tcBorders>
              <w:top w:val="nil"/>
              <w:left w:val="nil"/>
              <w:bottom w:val="nil"/>
              <w:right w:val="nil"/>
            </w:tcBorders>
            <w:shd w:val="clear" w:color="auto" w:fill="D9D9D9"/>
          </w:tcPr>
          <w:p w:rsidR="004D6F0E" w:rsidRDefault="00490F21">
            <w:pPr>
              <w:spacing w:after="0" w:line="259" w:lineRule="auto"/>
              <w:ind w:left="1078" w:firstLine="0"/>
              <w:jc w:val="center"/>
            </w:pPr>
            <w:r>
              <w:rPr>
                <w:rFonts w:ascii="Arial" w:eastAsia="Arial" w:hAnsi="Arial" w:cs="Arial"/>
                <w:b/>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48"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9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48"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9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48"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9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48"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96" w:type="dxa"/>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96" w:type="dxa"/>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6"/>
        </w:trPr>
        <w:tc>
          <w:tcPr>
            <w:tcW w:w="2863" w:type="dxa"/>
            <w:tcBorders>
              <w:top w:val="nil"/>
              <w:left w:val="nil"/>
              <w:bottom w:val="nil"/>
              <w:right w:val="nil"/>
            </w:tcBorders>
          </w:tcPr>
          <w:p w:rsidR="004D6F0E" w:rsidRDefault="00490F21">
            <w:pPr>
              <w:spacing w:after="27"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148" w:type="dxa"/>
            <w:tcBorders>
              <w:top w:val="nil"/>
              <w:left w:val="nil"/>
              <w:bottom w:val="nil"/>
              <w:right w:val="nil"/>
            </w:tcBorders>
          </w:tcPr>
          <w:p w:rsidR="004D6F0E" w:rsidRDefault="00490F21">
            <w:pPr>
              <w:spacing w:after="25"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p w:rsidR="004D6F0E" w:rsidRDefault="00490F21">
            <w:pPr>
              <w:spacing w:after="0" w:line="259" w:lineRule="auto"/>
              <w:ind w:left="-14" w:firstLine="0"/>
            </w:pPr>
            <w:r>
              <w:rPr>
                <w:rFonts w:ascii="Arial" w:eastAsia="Arial" w:hAnsi="Arial" w:cs="Arial"/>
                <w:b/>
                <w:sz w:val="18"/>
              </w:rPr>
              <w:t xml:space="preserve"> </w:t>
            </w:r>
            <w:r>
              <w:rPr>
                <w:rFonts w:ascii="Arial" w:eastAsia="Arial" w:hAnsi="Arial" w:cs="Arial"/>
                <w:b/>
                <w:sz w:val="18"/>
              </w:rPr>
              <w:tab/>
              <w:t xml:space="preserve"> </w:t>
            </w:r>
          </w:p>
        </w:tc>
        <w:tc>
          <w:tcPr>
            <w:tcW w:w="1596" w:type="dxa"/>
            <w:tcBorders>
              <w:top w:val="nil"/>
              <w:left w:val="nil"/>
              <w:bottom w:val="nil"/>
              <w:right w:val="nil"/>
            </w:tcBorders>
          </w:tcPr>
          <w:p w:rsidR="004D6F0E" w:rsidRDefault="00490F21">
            <w:pPr>
              <w:spacing w:line="259" w:lineRule="auto"/>
              <w:ind w:left="262"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b/>
                <w:sz w:val="18"/>
              </w:rPr>
              <w:t xml:space="preserve"> </w:t>
            </w:r>
          </w:p>
        </w:tc>
        <w:tc>
          <w:tcPr>
            <w:tcW w:w="2114" w:type="dxa"/>
            <w:tcBorders>
              <w:top w:val="nil"/>
              <w:left w:val="nil"/>
              <w:bottom w:val="nil"/>
              <w:right w:val="nil"/>
            </w:tcBorders>
          </w:tcPr>
          <w:p w:rsidR="004D6F0E" w:rsidRDefault="00490F21">
            <w:pPr>
              <w:spacing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1078" w:firstLine="0"/>
              <w:jc w:val="center"/>
            </w:pPr>
            <w:r>
              <w:rPr>
                <w:rFonts w:ascii="Arial" w:eastAsia="Arial" w:hAnsi="Arial" w:cs="Arial"/>
                <w:b/>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86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歐元計價股份類別</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p>
        </w:tc>
        <w:tc>
          <w:tcPr>
            <w:tcW w:w="1370" w:type="dxa"/>
            <w:tcBorders>
              <w:top w:val="nil"/>
              <w:left w:val="nil"/>
              <w:bottom w:val="nil"/>
              <w:right w:val="nil"/>
            </w:tcBorders>
            <w:shd w:val="clear" w:color="auto" w:fill="D9D9D9"/>
          </w:tcPr>
          <w:p w:rsidR="004D6F0E" w:rsidRDefault="004D6F0E">
            <w:pPr>
              <w:spacing w:after="160" w:line="259" w:lineRule="auto"/>
              <w:ind w:left="0" w:firstLine="0"/>
            </w:pPr>
          </w:p>
        </w:tc>
        <w:tc>
          <w:tcPr>
            <w:tcW w:w="2148" w:type="dxa"/>
            <w:tcBorders>
              <w:top w:val="nil"/>
              <w:left w:val="nil"/>
              <w:bottom w:val="nil"/>
              <w:right w:val="nil"/>
            </w:tcBorders>
            <w:shd w:val="clear" w:color="auto" w:fill="D9D9D9"/>
          </w:tcPr>
          <w:p w:rsidR="004D6F0E" w:rsidRDefault="00490F21">
            <w:pPr>
              <w:spacing w:after="0" w:line="259" w:lineRule="auto"/>
              <w:ind w:left="-14" w:firstLine="0"/>
            </w:pPr>
            <w:r>
              <w:rPr>
                <w:rFonts w:ascii="Arial" w:eastAsia="Arial" w:hAnsi="Arial" w:cs="Arial"/>
                <w:b/>
                <w:sz w:val="18"/>
              </w:rPr>
              <w:t xml:space="preserve"> </w:t>
            </w:r>
            <w:r>
              <w:rPr>
                <w:rFonts w:ascii="Arial" w:eastAsia="Arial" w:hAnsi="Arial" w:cs="Arial"/>
                <w:b/>
                <w:sz w:val="18"/>
              </w:rPr>
              <w:tab/>
              <w:t xml:space="preserve"> </w:t>
            </w:r>
          </w:p>
        </w:tc>
        <w:tc>
          <w:tcPr>
            <w:tcW w:w="1596"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2114" w:type="dxa"/>
            <w:tcBorders>
              <w:top w:val="nil"/>
              <w:left w:val="nil"/>
              <w:bottom w:val="nil"/>
              <w:right w:val="nil"/>
            </w:tcBorders>
            <w:shd w:val="clear" w:color="auto" w:fill="D9D9D9"/>
          </w:tcPr>
          <w:p w:rsidR="004D6F0E" w:rsidRDefault="00490F21">
            <w:pPr>
              <w:spacing w:after="0" w:line="259" w:lineRule="auto"/>
              <w:ind w:left="1078" w:firstLine="0"/>
              <w:jc w:val="center"/>
            </w:pPr>
            <w:r>
              <w:rPr>
                <w:rFonts w:ascii="Arial" w:eastAsia="Arial" w:hAnsi="Arial" w:cs="Arial"/>
                <w:b/>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b/>
                <w:sz w:val="18"/>
              </w:rPr>
              <w:t xml:space="preserve"> </w:t>
            </w:r>
          </w:p>
        </w:tc>
        <w:tc>
          <w:tcPr>
            <w:tcW w:w="2148"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b/>
                <w:sz w:val="18"/>
              </w:rPr>
              <w:t xml:space="preserve"> </w:t>
            </w:r>
          </w:p>
        </w:tc>
        <w:tc>
          <w:tcPr>
            <w:tcW w:w="159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b/>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b/>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0.05%</w:t>
            </w:r>
            <w:r>
              <w:rPr>
                <w:rFonts w:ascii="Arial" w:eastAsia="Arial" w:hAnsi="Arial" w:cs="Arial"/>
                <w:b/>
                <w:sz w:val="18"/>
              </w:rPr>
              <w:t xml:space="preserve"> </w:t>
            </w:r>
          </w:p>
        </w:tc>
      </w:tr>
      <w:tr w:rsidR="004D6F0E">
        <w:trPr>
          <w:trHeight w:val="235"/>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b/>
                <w:sz w:val="18"/>
              </w:rPr>
              <w:t xml:space="preserve"> </w:t>
            </w:r>
          </w:p>
        </w:tc>
        <w:tc>
          <w:tcPr>
            <w:tcW w:w="2148"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b/>
                <w:sz w:val="18"/>
              </w:rPr>
              <w:t xml:space="preserve"> </w:t>
            </w:r>
          </w:p>
        </w:tc>
        <w:tc>
          <w:tcPr>
            <w:tcW w:w="159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b/>
                <w:sz w:val="18"/>
              </w:rPr>
              <w:t xml:space="preserve"> </w:t>
            </w:r>
          </w:p>
        </w:tc>
        <w:tc>
          <w:tcPr>
            <w:tcW w:w="21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歐元</w:t>
            </w:r>
            <w:r>
              <w:rPr>
                <w:rFonts w:ascii="Arial" w:eastAsia="Arial" w:hAnsi="Arial" w:cs="Arial"/>
                <w:b/>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0.05%</w:t>
            </w:r>
            <w:r>
              <w:rPr>
                <w:rFonts w:ascii="Arial" w:eastAsia="Arial" w:hAnsi="Arial" w:cs="Arial"/>
                <w:b/>
                <w:sz w:val="18"/>
              </w:rPr>
              <w:t xml:space="preserve"> </w:t>
            </w:r>
          </w:p>
        </w:tc>
      </w:tr>
      <w:tr w:rsidR="004D6F0E">
        <w:trPr>
          <w:trHeight w:val="233"/>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b/>
                <w:sz w:val="18"/>
              </w:rPr>
              <w:t xml:space="preserve"> </w:t>
            </w:r>
          </w:p>
        </w:tc>
        <w:tc>
          <w:tcPr>
            <w:tcW w:w="2148"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b/>
                <w:sz w:val="18"/>
              </w:rPr>
              <w:t xml:space="preserve"> </w:t>
            </w:r>
          </w:p>
        </w:tc>
        <w:tc>
          <w:tcPr>
            <w:tcW w:w="159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b/>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b/>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0.05%</w:t>
            </w:r>
            <w:r>
              <w:rPr>
                <w:rFonts w:ascii="Arial" w:eastAsia="Arial" w:hAnsi="Arial" w:cs="Arial"/>
                <w:b/>
                <w:sz w:val="18"/>
              </w:rPr>
              <w:t xml:space="preserve"> </w:t>
            </w:r>
          </w:p>
        </w:tc>
      </w:tr>
      <w:tr w:rsidR="004D6F0E">
        <w:trPr>
          <w:trHeight w:val="235"/>
        </w:trPr>
        <w:tc>
          <w:tcPr>
            <w:tcW w:w="286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b/>
                <w:sz w:val="18"/>
              </w:rPr>
              <w:t xml:space="preserve"> </w:t>
            </w:r>
          </w:p>
        </w:tc>
        <w:tc>
          <w:tcPr>
            <w:tcW w:w="2148"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w:t>
            </w:r>
            <w:r>
              <w:rPr>
                <w:rFonts w:ascii="Arial" w:eastAsia="Arial" w:hAnsi="Arial" w:cs="Arial"/>
                <w:b/>
                <w:sz w:val="18"/>
              </w:rPr>
              <w:t xml:space="preserve"> </w:t>
            </w:r>
          </w:p>
        </w:tc>
        <w:tc>
          <w:tcPr>
            <w:tcW w:w="1596" w:type="dxa"/>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b/>
                <w:sz w:val="18"/>
              </w:rPr>
              <w:t xml:space="preserve"> </w:t>
            </w:r>
          </w:p>
        </w:tc>
        <w:tc>
          <w:tcPr>
            <w:tcW w:w="2114"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b/>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0.05%</w:t>
            </w:r>
            <w:r>
              <w:rPr>
                <w:rFonts w:ascii="Arial" w:eastAsia="Arial" w:hAnsi="Arial" w:cs="Arial"/>
                <w:b/>
                <w:sz w:val="18"/>
              </w:rPr>
              <w:t xml:space="preserve"> </w:t>
            </w:r>
          </w:p>
        </w:tc>
      </w:tr>
      <w:tr w:rsidR="004D6F0E">
        <w:trPr>
          <w:trHeight w:val="436"/>
        </w:trPr>
        <w:tc>
          <w:tcPr>
            <w:tcW w:w="2863"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70" w:type="dxa"/>
            <w:tcBorders>
              <w:top w:val="nil"/>
              <w:left w:val="nil"/>
              <w:bottom w:val="nil"/>
              <w:right w:val="nil"/>
            </w:tcBorders>
          </w:tcPr>
          <w:p w:rsidR="004D6F0E" w:rsidRDefault="00490F21">
            <w:pPr>
              <w:spacing w:after="2" w:line="259" w:lineRule="auto"/>
              <w:ind w:left="0" w:firstLine="0"/>
            </w:pPr>
            <w:r>
              <w:rPr>
                <w:sz w:val="18"/>
              </w:rPr>
              <w:t>歐元</w:t>
            </w:r>
            <w:r>
              <w:rPr>
                <w:rFonts w:ascii="Arial" w:eastAsia="Arial" w:hAnsi="Arial" w:cs="Arial"/>
                <w:b/>
                <w:sz w:val="18"/>
              </w:rPr>
              <w:t xml:space="preserve"> </w:t>
            </w:r>
          </w:p>
          <w:p w:rsidR="004D6F0E" w:rsidRDefault="00490F21">
            <w:pPr>
              <w:spacing w:after="0" w:line="259" w:lineRule="auto"/>
              <w:ind w:left="180" w:firstLine="0"/>
            </w:pPr>
            <w:r>
              <w:rPr>
                <w:rFonts w:ascii="Arial" w:eastAsia="Arial" w:hAnsi="Arial" w:cs="Arial"/>
                <w:b/>
                <w:sz w:val="18"/>
              </w:rPr>
              <w:t xml:space="preserve"> </w:t>
            </w:r>
          </w:p>
        </w:tc>
        <w:tc>
          <w:tcPr>
            <w:tcW w:w="2148" w:type="dxa"/>
            <w:tcBorders>
              <w:top w:val="nil"/>
              <w:left w:val="nil"/>
              <w:bottom w:val="nil"/>
              <w:right w:val="nil"/>
            </w:tcBorders>
          </w:tcPr>
          <w:p w:rsidR="004D6F0E" w:rsidRDefault="00490F21">
            <w:pPr>
              <w:spacing w:after="7"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w:t>
            </w:r>
            <w:r>
              <w:rPr>
                <w:rFonts w:ascii="Arial" w:eastAsia="Arial" w:hAnsi="Arial" w:cs="Arial"/>
                <w:b/>
                <w:sz w:val="18"/>
              </w:rPr>
              <w:t xml:space="preserve"> </w:t>
            </w:r>
          </w:p>
          <w:p w:rsidR="004D6F0E" w:rsidRDefault="00490F21">
            <w:pPr>
              <w:spacing w:after="0" w:line="259" w:lineRule="auto"/>
              <w:ind w:left="722" w:firstLine="0"/>
            </w:pPr>
            <w:r>
              <w:rPr>
                <w:rFonts w:ascii="Arial" w:eastAsia="Arial" w:hAnsi="Arial" w:cs="Arial"/>
                <w:b/>
                <w:sz w:val="18"/>
              </w:rPr>
              <w:t xml:space="preserve"> </w:t>
            </w:r>
          </w:p>
        </w:tc>
        <w:tc>
          <w:tcPr>
            <w:tcW w:w="1596" w:type="dxa"/>
            <w:tcBorders>
              <w:top w:val="nil"/>
              <w:left w:val="nil"/>
              <w:bottom w:val="nil"/>
              <w:right w:val="nil"/>
            </w:tcBorders>
          </w:tcPr>
          <w:p w:rsidR="004D6F0E" w:rsidRDefault="00490F21">
            <w:pPr>
              <w:spacing w:after="2" w:line="259" w:lineRule="auto"/>
              <w:ind w:left="262" w:firstLine="0"/>
            </w:pPr>
            <w:r>
              <w:rPr>
                <w:sz w:val="18"/>
              </w:rPr>
              <w:t>無</w:t>
            </w:r>
            <w:r>
              <w:rPr>
                <w:rFonts w:ascii="Arial" w:eastAsia="Arial" w:hAnsi="Arial" w:cs="Arial"/>
                <w:b/>
                <w:sz w:val="18"/>
              </w:rPr>
              <w:t xml:space="preserve"> </w:t>
            </w:r>
          </w:p>
          <w:p w:rsidR="004D6F0E" w:rsidRDefault="00490F21">
            <w:pPr>
              <w:spacing w:after="0" w:line="259" w:lineRule="auto"/>
              <w:ind w:left="353" w:firstLine="0"/>
            </w:pPr>
            <w:r>
              <w:rPr>
                <w:rFonts w:ascii="Arial" w:eastAsia="Arial" w:hAnsi="Arial" w:cs="Arial"/>
                <w:b/>
                <w:sz w:val="18"/>
              </w:rPr>
              <w:t xml:space="preserve"> </w:t>
            </w:r>
          </w:p>
        </w:tc>
        <w:tc>
          <w:tcPr>
            <w:tcW w:w="2114" w:type="dxa"/>
            <w:tcBorders>
              <w:top w:val="nil"/>
              <w:left w:val="nil"/>
              <w:bottom w:val="nil"/>
              <w:right w:val="nil"/>
            </w:tcBorders>
          </w:tcPr>
          <w:p w:rsidR="004D6F0E" w:rsidRDefault="00490F21">
            <w:pPr>
              <w:spacing w:after="2" w:line="259" w:lineRule="auto"/>
              <w:ind w:left="439" w:firstLine="0"/>
            </w:pPr>
            <w:r>
              <w:rPr>
                <w:sz w:val="18"/>
              </w:rPr>
              <w:t>無</w:t>
            </w:r>
            <w:r>
              <w:rPr>
                <w:rFonts w:ascii="Arial" w:eastAsia="Arial" w:hAnsi="Arial" w:cs="Arial"/>
                <w:b/>
                <w:sz w:val="18"/>
              </w:rPr>
              <w:t xml:space="preserve"> </w:t>
            </w:r>
          </w:p>
          <w:p w:rsidR="004D6F0E" w:rsidRDefault="00490F21">
            <w:pPr>
              <w:spacing w:after="0" w:line="259" w:lineRule="auto"/>
              <w:ind w:left="528" w:firstLine="0"/>
            </w:pPr>
            <w:r>
              <w:rPr>
                <w:rFonts w:ascii="Arial" w:eastAsia="Arial" w:hAnsi="Arial" w:cs="Arial"/>
                <w:b/>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0.01%</w:t>
            </w:r>
            <w:r>
              <w:rPr>
                <w:rFonts w:ascii="Arial" w:eastAsia="Arial" w:hAnsi="Arial" w:cs="Arial"/>
                <w:b/>
                <w:sz w:val="18"/>
              </w:rPr>
              <w:t xml:space="preserve"> </w:t>
            </w:r>
          </w:p>
          <w:p w:rsidR="004D6F0E" w:rsidRDefault="00490F21">
            <w:pPr>
              <w:spacing w:after="0" w:line="259" w:lineRule="auto"/>
              <w:ind w:left="254" w:firstLine="0"/>
            </w:pPr>
            <w:r>
              <w:rPr>
                <w:rFonts w:ascii="Arial" w:eastAsia="Arial" w:hAnsi="Arial" w:cs="Arial"/>
                <w:b/>
                <w:sz w:val="18"/>
              </w:rPr>
              <w:t xml:space="preserve"> </w:t>
            </w:r>
          </w:p>
        </w:tc>
      </w:tr>
      <w:tr w:rsidR="004D6F0E">
        <w:trPr>
          <w:trHeight w:val="233"/>
        </w:trPr>
        <w:tc>
          <w:tcPr>
            <w:tcW w:w="2863"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370"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b/>
                <w:sz w:val="18"/>
              </w:rPr>
              <w:t xml:space="preserve"> </w:t>
            </w:r>
          </w:p>
        </w:tc>
        <w:tc>
          <w:tcPr>
            <w:tcW w:w="2148"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b/>
                <w:sz w:val="18"/>
              </w:rPr>
              <w:t xml:space="preserve"> </w:t>
            </w:r>
          </w:p>
        </w:tc>
        <w:tc>
          <w:tcPr>
            <w:tcW w:w="1596" w:type="dxa"/>
            <w:tcBorders>
              <w:top w:val="nil"/>
              <w:left w:val="nil"/>
              <w:bottom w:val="nil"/>
              <w:right w:val="nil"/>
            </w:tcBorders>
            <w:shd w:val="clear" w:color="auto" w:fill="D9D9D9"/>
          </w:tcPr>
          <w:p w:rsidR="004D6F0E" w:rsidRDefault="00490F21">
            <w:pPr>
              <w:spacing w:after="0" w:line="259" w:lineRule="auto"/>
              <w:ind w:left="353" w:firstLine="0"/>
            </w:pPr>
            <w:r>
              <w:rPr>
                <w:rFonts w:ascii="Arial" w:eastAsia="Arial" w:hAnsi="Arial" w:cs="Arial"/>
                <w:b/>
                <w:sz w:val="18"/>
              </w:rPr>
              <w:t xml:space="preserve"> </w:t>
            </w:r>
          </w:p>
        </w:tc>
        <w:tc>
          <w:tcPr>
            <w:tcW w:w="2114"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b/>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b/>
                <w:sz w:val="18"/>
              </w:rPr>
              <w:t xml:space="preserve"> </w:t>
            </w:r>
          </w:p>
        </w:tc>
      </w:tr>
    </w:tbl>
    <w:p w:rsidR="004D6F0E" w:rsidRDefault="00490F21">
      <w:pPr>
        <w:tabs>
          <w:tab w:val="center" w:pos="3043"/>
          <w:tab w:val="center" w:pos="4957"/>
          <w:tab w:val="center" w:pos="6736"/>
          <w:tab w:val="center" w:pos="8507"/>
          <w:tab w:val="center" w:pos="10348"/>
        </w:tabs>
        <w:spacing w:after="20"/>
        <w:ind w:left="0"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AD </w:t>
      </w:r>
      <w:r>
        <w:rPr>
          <w:sz w:val="18"/>
        </w:rPr>
        <w:t>類股份</w:t>
      </w:r>
      <w:r>
        <w:rPr>
          <w:rFonts w:ascii="Arial" w:eastAsia="Arial" w:hAnsi="Arial" w:cs="Arial"/>
          <w:sz w:val="18"/>
        </w:rPr>
        <w:t xml:space="preserve"> </w:t>
      </w:r>
      <w:r>
        <w:rPr>
          <w:rFonts w:ascii="Arial" w:eastAsia="Arial" w:hAnsi="Arial" w:cs="Arial"/>
          <w:sz w:val="18"/>
        </w:rPr>
        <w:tab/>
      </w:r>
      <w:r>
        <w:rPr>
          <w:sz w:val="18"/>
        </w:rPr>
        <w:t>港元</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15,000 </w:t>
      </w:r>
      <w:r>
        <w:rPr>
          <w:sz w:val="18"/>
        </w:rPr>
        <w:t>港元</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5,000 </w:t>
      </w:r>
      <w:r>
        <w:rPr>
          <w:sz w:val="18"/>
        </w:rPr>
        <w:t>港元</w:t>
      </w:r>
      <w:r>
        <w:rPr>
          <w:rFonts w:ascii="Arial" w:eastAsia="Arial" w:hAnsi="Arial" w:cs="Arial"/>
          <w:b/>
          <w:sz w:val="18"/>
        </w:rPr>
        <w:t xml:space="preserve"> </w:t>
      </w:r>
      <w:r>
        <w:rPr>
          <w:rFonts w:ascii="Arial" w:eastAsia="Arial" w:hAnsi="Arial" w:cs="Arial"/>
          <w:b/>
          <w:sz w:val="18"/>
        </w:rPr>
        <w:tab/>
      </w:r>
      <w:r>
        <w:rPr>
          <w:sz w:val="18"/>
        </w:rPr>
        <w:t>無</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0.05%</w:t>
      </w:r>
      <w:r>
        <w:rPr>
          <w:rFonts w:ascii="Arial" w:eastAsia="Arial" w:hAnsi="Arial" w:cs="Arial"/>
          <w:b/>
          <w:sz w:val="18"/>
        </w:rPr>
        <w:t xml:space="preserve"> </w:t>
      </w:r>
    </w:p>
    <w:p w:rsidR="004D6F0E" w:rsidRDefault="00490F21">
      <w:pPr>
        <w:spacing w:after="3" w:line="259" w:lineRule="auto"/>
        <w:ind w:left="115" w:firstLine="0"/>
      </w:pP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683" w:right="13" w:hanging="2568"/>
      </w:pPr>
      <w:r>
        <w:rPr>
          <w:rFonts w:ascii="Arial" w:eastAsia="Arial" w:hAnsi="Arial" w:cs="Arial"/>
          <w:b/>
          <w:sz w:val="18"/>
        </w:rPr>
        <w:t xml:space="preserve"> </w:t>
      </w:r>
      <w:r>
        <w:rPr>
          <w:sz w:val="18"/>
        </w:rPr>
        <w:t>對沖貨幣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p w:rsidR="004D6F0E" w:rsidRDefault="00490F21">
      <w:pPr>
        <w:spacing w:after="12" w:line="259" w:lineRule="auto"/>
        <w:ind w:left="2069" w:right="-83" w:firstLine="0"/>
      </w:pPr>
      <w:r>
        <w:rPr>
          <w:rFonts w:ascii="Calibri" w:eastAsia="Calibri" w:hAnsi="Calibri" w:cs="Calibri"/>
          <w:noProof/>
          <w:sz w:val="22"/>
        </w:rPr>
        <mc:AlternateContent>
          <mc:Choice Requires="wpg">
            <w:drawing>
              <wp:inline distT="0" distB="0" distL="0" distR="0">
                <wp:extent cx="5832348" cy="6096"/>
                <wp:effectExtent l="0" t="0" r="0" b="0"/>
                <wp:docPr id="475896" name="Group 475896"/>
                <wp:cNvGraphicFramePr/>
                <a:graphic xmlns:a="http://schemas.openxmlformats.org/drawingml/2006/main">
                  <a:graphicData uri="http://schemas.microsoft.com/office/word/2010/wordprocessingGroup">
                    <wpg:wgp>
                      <wpg:cNvGrpSpPr/>
                      <wpg:grpSpPr>
                        <a:xfrm>
                          <a:off x="0" y="0"/>
                          <a:ext cx="5832348" cy="6096"/>
                          <a:chOff x="0" y="0"/>
                          <a:chExt cx="5832348" cy="6096"/>
                        </a:xfrm>
                      </wpg:grpSpPr>
                      <wps:wsp>
                        <wps:cNvPr id="658083" name="Shape 658083"/>
                        <wps:cNvSpPr/>
                        <wps:spPr>
                          <a:xfrm>
                            <a:off x="0" y="0"/>
                            <a:ext cx="1237488" cy="9144"/>
                          </a:xfrm>
                          <a:custGeom>
                            <a:avLst/>
                            <a:gdLst/>
                            <a:ahLst/>
                            <a:cxnLst/>
                            <a:rect l="0" t="0" r="0" b="0"/>
                            <a:pathLst>
                              <a:path w="1237488" h="9144">
                                <a:moveTo>
                                  <a:pt x="0" y="0"/>
                                </a:moveTo>
                                <a:lnTo>
                                  <a:pt x="1237488" y="0"/>
                                </a:lnTo>
                                <a:lnTo>
                                  <a:pt x="1237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84" name="Shape 658084"/>
                        <wps:cNvSpPr/>
                        <wps:spPr>
                          <a:xfrm>
                            <a:off x="1347216" y="0"/>
                            <a:ext cx="973836" cy="9144"/>
                          </a:xfrm>
                          <a:custGeom>
                            <a:avLst/>
                            <a:gdLst/>
                            <a:ahLst/>
                            <a:cxnLst/>
                            <a:rect l="0" t="0" r="0" b="0"/>
                            <a:pathLst>
                              <a:path w="973836" h="9144">
                                <a:moveTo>
                                  <a:pt x="0" y="0"/>
                                </a:moveTo>
                                <a:lnTo>
                                  <a:pt x="973836" y="0"/>
                                </a:lnTo>
                                <a:lnTo>
                                  <a:pt x="973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85" name="Shape 658085"/>
                        <wps:cNvSpPr/>
                        <wps:spPr>
                          <a:xfrm>
                            <a:off x="2432304"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86" name="Shape 658086"/>
                        <wps:cNvSpPr/>
                        <wps:spPr>
                          <a:xfrm>
                            <a:off x="3602736"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87" name="Shape 658087"/>
                        <wps:cNvSpPr/>
                        <wps:spPr>
                          <a:xfrm>
                            <a:off x="4681728"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5896" style="width:459.24pt;height:0.480011pt;mso-position-horizontal-relative:char;mso-position-vertical-relative:line" coordsize="58323,60">
                <v:shape id="Shape 658088" style="position:absolute;width:12374;height:91;left:0;top:0;" coordsize="1237488,9144" path="m0,0l1237488,0l1237488,9144l0,9144l0,0">
                  <v:stroke weight="0pt" endcap="flat" joinstyle="miter" miterlimit="10" on="false" color="#000000" opacity="0"/>
                  <v:fill on="true" color="#000000"/>
                </v:shape>
                <v:shape id="Shape 658089" style="position:absolute;width:9738;height:91;left:13472;top:0;" coordsize="973836,9144" path="m0,0l973836,0l973836,9144l0,9144l0,0">
                  <v:stroke weight="0pt" endcap="flat" joinstyle="miter" miterlimit="10" on="false" color="#000000" opacity="0"/>
                  <v:fill on="true" color="#000000"/>
                </v:shape>
                <v:shape id="Shape 658090" style="position:absolute;width:10607;height:91;left:24323;top:0;" coordsize="1060704,9144" path="m0,0l1060704,0l1060704,9144l0,9144l0,0">
                  <v:stroke weight="0pt" endcap="flat" joinstyle="miter" miterlimit="10" on="false" color="#000000" opacity="0"/>
                  <v:fill on="true" color="#000000"/>
                </v:shape>
                <v:shape id="Shape 658091" style="position:absolute;width:9708;height:91;left:36027;top:0;" coordsize="970801,9144" path="m0,0l970801,0l970801,9144l0,9144l0,0">
                  <v:stroke weight="0pt" endcap="flat" joinstyle="miter" miterlimit="10" on="false" color="#000000" opacity="0"/>
                  <v:fill on="true" color="#000000"/>
                </v:shape>
                <v:shape id="Shape 658092" style="position:absolute;width:11506;height:91;left:46817;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274320</wp:posOffset>
                </wp:positionH>
                <wp:positionV relativeFrom="page">
                  <wp:posOffset>868680</wp:posOffset>
                </wp:positionV>
                <wp:extent cx="7200900" cy="18288"/>
                <wp:effectExtent l="0" t="0" r="0" b="0"/>
                <wp:wrapTopAndBottom/>
                <wp:docPr id="475894" name="Group 475894"/>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8093" name="Shape 658093"/>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894" style="width:567pt;height:1.44pt;position:absolute;mso-position-horizontal-relative:page;mso-position-horizontal:absolute;margin-left:21.6pt;mso-position-vertical-relative:page;margin-top:68.4pt;" coordsize="72009,182">
                <v:shape id="Shape 658094" style="position:absolute;width:72009;height:182;left:0;top:0;" coordsize="7200900,18288" path="m0,0l7200900,0l7200900,18288l0,18288l0,0">
                  <v:stroke weight="0pt" endcap="flat" joinstyle="miter" miterlimit="10" on="false" color="#000000" opacity="0"/>
                  <v:fill on="true" color="#000000"/>
                </v:shape>
                <w10:wrap type="topAndBottom"/>
              </v:group>
            </w:pict>
          </mc:Fallback>
        </mc:AlternateContent>
      </w: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340" w:type="dxa"/>
        <w:tblInd w:w="0" w:type="dxa"/>
        <w:tblCellMar>
          <w:top w:w="27" w:type="dxa"/>
          <w:left w:w="0" w:type="dxa"/>
          <w:bottom w:w="0" w:type="dxa"/>
          <w:right w:w="8" w:type="dxa"/>
        </w:tblCellMar>
        <w:tblLook w:val="04A0" w:firstRow="1" w:lastRow="0" w:firstColumn="1" w:lastColumn="0" w:noHBand="0" w:noVBand="1"/>
      </w:tblPr>
      <w:tblGrid>
        <w:gridCol w:w="2753"/>
        <w:gridCol w:w="1524"/>
        <w:gridCol w:w="1826"/>
        <w:gridCol w:w="2314"/>
        <w:gridCol w:w="1675"/>
        <w:gridCol w:w="1248"/>
      </w:tblGrid>
      <w:tr w:rsidR="004D6F0E">
        <w:trPr>
          <w:trHeight w:val="235"/>
        </w:trPr>
        <w:tc>
          <w:tcPr>
            <w:tcW w:w="275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歐元對沖股份類別</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p>
        </w:tc>
        <w:tc>
          <w:tcPr>
            <w:tcW w:w="152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0" w:right="118" w:firstLine="0"/>
              <w:jc w:val="right"/>
            </w:pPr>
            <w:r>
              <w:rPr>
                <w:rFonts w:ascii="Arial" w:eastAsia="Arial" w:hAnsi="Arial" w:cs="Arial"/>
                <w:b/>
                <w:sz w:val="18"/>
              </w:rPr>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080" w:firstLine="0"/>
              <w:jc w:val="center"/>
            </w:pPr>
            <w:r>
              <w:rPr>
                <w:rFonts w:ascii="Arial" w:eastAsia="Arial" w:hAnsi="Arial" w:cs="Arial"/>
                <w:b/>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490" w:firstLine="0"/>
              <w:jc w:val="center"/>
            </w:pPr>
            <w:r>
              <w:rPr>
                <w:rFonts w:ascii="Arial" w:eastAsia="Arial" w:hAnsi="Arial" w:cs="Arial"/>
                <w:b/>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27"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1524" w:type="dxa"/>
            <w:tcBorders>
              <w:top w:val="nil"/>
              <w:left w:val="nil"/>
              <w:bottom w:val="nil"/>
              <w:right w:val="nil"/>
            </w:tcBorders>
          </w:tcPr>
          <w:p w:rsidR="004D6F0E" w:rsidRDefault="00490F21">
            <w:pPr>
              <w:spacing w:after="7" w:line="259" w:lineRule="auto"/>
              <w:ind w:left="110" w:firstLine="0"/>
            </w:pPr>
            <w:r>
              <w:rPr>
                <w:sz w:val="18"/>
              </w:rPr>
              <w:t>歐元</w:t>
            </w:r>
            <w:r>
              <w:rPr>
                <w:rFonts w:ascii="Arial" w:eastAsia="Arial" w:hAnsi="Arial" w:cs="Arial"/>
                <w:b/>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12" w:line="259" w:lineRule="auto"/>
              <w:ind w:left="252" w:firstLine="0"/>
            </w:pPr>
            <w:r>
              <w:rPr>
                <w:rFonts w:ascii="Arial" w:eastAsia="Arial" w:hAnsi="Arial" w:cs="Arial"/>
                <w:sz w:val="18"/>
              </w:rPr>
              <w:t xml:space="preserve">2,000 </w:t>
            </w:r>
            <w:r>
              <w:rPr>
                <w:sz w:val="18"/>
              </w:rPr>
              <w:t>歐元</w:t>
            </w:r>
            <w:r>
              <w:rPr>
                <w:rFonts w:ascii="Arial" w:eastAsia="Arial" w:hAnsi="Arial" w:cs="Arial"/>
                <w:b/>
                <w:sz w:val="18"/>
              </w:rPr>
              <w:t xml:space="preserve"> </w:t>
            </w:r>
          </w:p>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12" w:line="259" w:lineRule="auto"/>
              <w:ind w:left="278" w:firstLine="0"/>
            </w:pPr>
            <w:r>
              <w:rPr>
                <w:rFonts w:ascii="Arial" w:eastAsia="Arial" w:hAnsi="Arial" w:cs="Arial"/>
                <w:sz w:val="18"/>
              </w:rPr>
              <w:t xml:space="preserve">750 </w:t>
            </w:r>
            <w:r>
              <w:rPr>
                <w:sz w:val="18"/>
              </w:rPr>
              <w:t>歐元</w:t>
            </w:r>
            <w:r>
              <w:rPr>
                <w:rFonts w:ascii="Arial" w:eastAsia="Arial" w:hAnsi="Arial" w:cs="Arial"/>
                <w:b/>
                <w:sz w:val="18"/>
              </w:rPr>
              <w:t xml:space="preserve"> </w:t>
            </w:r>
          </w:p>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b/>
                <w:sz w:val="18"/>
              </w:rPr>
              <w:t xml:space="preserve"> </w:t>
            </w:r>
          </w:p>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0.05%</w:t>
            </w:r>
            <w:r>
              <w:rPr>
                <w:rFonts w:ascii="Arial" w:eastAsia="Arial" w:hAnsi="Arial" w:cs="Arial"/>
                <w:b/>
                <w:sz w:val="18"/>
              </w:rPr>
              <w:t xml:space="preserve"> </w:t>
            </w:r>
          </w:p>
        </w:tc>
      </w:tr>
      <w:tr w:rsidR="004D6F0E">
        <w:trPr>
          <w:trHeight w:val="233"/>
        </w:trPr>
        <w:tc>
          <w:tcPr>
            <w:tcW w:w="275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澳元對沖股份類別</w:t>
            </w:r>
            <w:r>
              <w:rPr>
                <w:rFonts w:ascii="Arial" w:eastAsia="Arial" w:hAnsi="Arial" w:cs="Arial"/>
                <w:sz w:val="18"/>
              </w:rPr>
              <w:t xml:space="preserve"> </w:t>
            </w:r>
            <w:r>
              <w:rPr>
                <w:rFonts w:ascii="Arial" w:eastAsia="Arial" w:hAnsi="Arial" w:cs="Arial"/>
                <w:sz w:val="18"/>
              </w:rPr>
              <w:tab/>
              <w:t xml:space="preserve"> </w:t>
            </w:r>
          </w:p>
        </w:tc>
        <w:tc>
          <w:tcPr>
            <w:tcW w:w="152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30" w:line="259" w:lineRule="auto"/>
              <w:ind w:left="115" w:firstLine="0"/>
            </w:pPr>
            <w:r>
              <w:rPr>
                <w:rFonts w:ascii="Arial" w:eastAsia="Arial" w:hAnsi="Arial" w:cs="Arial"/>
                <w:sz w:val="18"/>
              </w:rPr>
              <w:lastRenderedPageBreak/>
              <w:t xml:space="preserve">AD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1524" w:type="dxa"/>
            <w:tcBorders>
              <w:top w:val="nil"/>
              <w:left w:val="nil"/>
              <w:bottom w:val="nil"/>
              <w:right w:val="nil"/>
            </w:tcBorders>
          </w:tcPr>
          <w:p w:rsidR="004D6F0E" w:rsidRDefault="00490F21">
            <w:pPr>
              <w:spacing w:after="10" w:line="259" w:lineRule="auto"/>
              <w:ind w:left="110" w:firstLine="0"/>
            </w:pPr>
            <w:r>
              <w:rPr>
                <w:sz w:val="18"/>
              </w:rPr>
              <w:t>澳元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14" w:line="259" w:lineRule="auto"/>
              <w:ind w:left="252" w:firstLine="0"/>
            </w:pPr>
            <w:r>
              <w:rPr>
                <w:rFonts w:ascii="Arial" w:eastAsia="Arial" w:hAnsi="Arial" w:cs="Arial"/>
                <w:sz w:val="18"/>
              </w:rPr>
              <w:t xml:space="preserve">2,000 </w:t>
            </w:r>
            <w:r>
              <w:rPr>
                <w:sz w:val="18"/>
              </w:rPr>
              <w:t>澳元</w:t>
            </w:r>
            <w:r>
              <w:rPr>
                <w:rFonts w:ascii="Arial" w:eastAsia="Arial" w:hAnsi="Arial" w:cs="Arial"/>
                <w:sz w:val="18"/>
              </w:rPr>
              <w:t xml:space="preserve"> </w:t>
            </w:r>
          </w:p>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14" w:line="259" w:lineRule="auto"/>
              <w:ind w:left="278" w:firstLine="0"/>
            </w:pPr>
            <w:r>
              <w:rPr>
                <w:rFonts w:ascii="Arial" w:eastAsia="Arial" w:hAnsi="Arial" w:cs="Arial"/>
                <w:sz w:val="18"/>
              </w:rPr>
              <w:t xml:space="preserve">750 </w:t>
            </w:r>
            <w:r>
              <w:rPr>
                <w:sz w:val="18"/>
              </w:rPr>
              <w:t>澳元</w:t>
            </w:r>
            <w:r>
              <w:rPr>
                <w:rFonts w:ascii="Arial" w:eastAsia="Arial" w:hAnsi="Arial" w:cs="Arial"/>
                <w:sz w:val="18"/>
              </w:rPr>
              <w:t xml:space="preserve"> </w:t>
            </w:r>
          </w:p>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加元對沖股份類別</w:t>
            </w:r>
            <w:r>
              <w:rPr>
                <w:rFonts w:ascii="Arial" w:eastAsia="Arial" w:hAnsi="Arial" w:cs="Arial"/>
                <w:sz w:val="18"/>
              </w:rPr>
              <w:t xml:space="preserve"> </w:t>
            </w:r>
            <w:r>
              <w:rPr>
                <w:rFonts w:ascii="Arial" w:eastAsia="Arial" w:hAnsi="Arial" w:cs="Arial"/>
                <w:sz w:val="18"/>
              </w:rPr>
              <w:tab/>
              <w:t xml:space="preserve"> </w:t>
            </w:r>
          </w:p>
        </w:tc>
        <w:tc>
          <w:tcPr>
            <w:tcW w:w="152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753" w:type="dxa"/>
            <w:tcBorders>
              <w:top w:val="nil"/>
              <w:left w:val="nil"/>
              <w:bottom w:val="nil"/>
              <w:right w:val="nil"/>
            </w:tcBorders>
          </w:tcPr>
          <w:p w:rsidR="004D6F0E" w:rsidRDefault="00490F21">
            <w:pPr>
              <w:spacing w:after="27"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1524" w:type="dxa"/>
            <w:tcBorders>
              <w:top w:val="nil"/>
              <w:left w:val="nil"/>
              <w:bottom w:val="nil"/>
              <w:right w:val="nil"/>
            </w:tcBorders>
          </w:tcPr>
          <w:p w:rsidR="004D6F0E" w:rsidRDefault="00490F21">
            <w:pPr>
              <w:spacing w:after="7" w:line="259" w:lineRule="auto"/>
              <w:ind w:left="110" w:firstLine="0"/>
            </w:pPr>
            <w:r>
              <w:rPr>
                <w:sz w:val="18"/>
              </w:rPr>
              <w:t>加元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12" w:line="259" w:lineRule="auto"/>
              <w:ind w:left="252" w:firstLine="0"/>
            </w:pPr>
            <w:r>
              <w:rPr>
                <w:rFonts w:ascii="Arial" w:eastAsia="Arial" w:hAnsi="Arial" w:cs="Arial"/>
                <w:sz w:val="18"/>
              </w:rPr>
              <w:t xml:space="preserve">2,000 </w:t>
            </w:r>
            <w:r>
              <w:rPr>
                <w:sz w:val="18"/>
              </w:rPr>
              <w:t>加元</w:t>
            </w:r>
            <w:r>
              <w:rPr>
                <w:rFonts w:ascii="Arial" w:eastAsia="Arial" w:hAnsi="Arial" w:cs="Arial"/>
                <w:sz w:val="18"/>
              </w:rPr>
              <w:t xml:space="preserve"> </w:t>
            </w:r>
          </w:p>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12" w:line="259" w:lineRule="auto"/>
              <w:ind w:left="278" w:firstLine="0"/>
            </w:pPr>
            <w:r>
              <w:rPr>
                <w:rFonts w:ascii="Arial" w:eastAsia="Arial" w:hAnsi="Arial" w:cs="Arial"/>
                <w:sz w:val="18"/>
              </w:rPr>
              <w:t xml:space="preserve">750 </w:t>
            </w:r>
            <w:r>
              <w:rPr>
                <w:sz w:val="18"/>
              </w:rPr>
              <w:t>加元</w:t>
            </w:r>
            <w:r>
              <w:rPr>
                <w:rFonts w:ascii="Arial" w:eastAsia="Arial" w:hAnsi="Arial" w:cs="Arial"/>
                <w:sz w:val="18"/>
              </w:rPr>
              <w:t xml:space="preserve"> </w:t>
            </w:r>
          </w:p>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英鎊對沖股份類別</w:t>
            </w:r>
            <w:r>
              <w:rPr>
                <w:rFonts w:ascii="Arial" w:eastAsia="Arial" w:hAnsi="Arial" w:cs="Arial"/>
                <w:sz w:val="18"/>
              </w:rPr>
              <w:t xml:space="preserve"> </w:t>
            </w:r>
            <w:r>
              <w:rPr>
                <w:rFonts w:ascii="Arial" w:eastAsia="Arial" w:hAnsi="Arial" w:cs="Arial"/>
                <w:sz w:val="18"/>
              </w:rPr>
              <w:tab/>
              <w:t xml:space="preserve"> </w:t>
            </w:r>
          </w:p>
        </w:tc>
        <w:tc>
          <w:tcPr>
            <w:tcW w:w="152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1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1524" w:type="dxa"/>
            <w:tcBorders>
              <w:top w:val="nil"/>
              <w:left w:val="nil"/>
              <w:bottom w:val="nil"/>
              <w:right w:val="nil"/>
            </w:tcBorders>
          </w:tcPr>
          <w:p w:rsidR="004D6F0E" w:rsidRDefault="00490F21">
            <w:pPr>
              <w:spacing w:after="0" w:line="259" w:lineRule="auto"/>
              <w:ind w:left="110" w:firstLine="0"/>
            </w:pPr>
            <w:r>
              <w:rPr>
                <w:sz w:val="18"/>
              </w:rPr>
              <w:t>英鎊</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252" w:firstLine="0"/>
            </w:pPr>
            <w:r>
              <w:rPr>
                <w:rFonts w:ascii="Arial" w:eastAsia="Arial" w:hAnsi="Arial" w:cs="Arial"/>
                <w:sz w:val="18"/>
              </w:rPr>
              <w:t xml:space="preserve">2,000 </w:t>
            </w:r>
            <w:r>
              <w:rPr>
                <w:sz w:val="18"/>
              </w:rPr>
              <w:t>英鎊</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英鎊</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3"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sz w:val="18"/>
              </w:rPr>
              <w:t xml:space="preserve"> </w:t>
            </w:r>
          </w:p>
        </w:tc>
        <w:tc>
          <w:tcPr>
            <w:tcW w:w="1524" w:type="dxa"/>
            <w:tcBorders>
              <w:top w:val="nil"/>
              <w:left w:val="nil"/>
              <w:bottom w:val="nil"/>
              <w:right w:val="nil"/>
            </w:tcBorders>
            <w:shd w:val="clear" w:color="auto" w:fill="D9D9D9"/>
          </w:tcPr>
          <w:p w:rsidR="004D6F0E" w:rsidRDefault="004D6F0E">
            <w:pPr>
              <w:spacing w:after="160" w:line="259" w:lineRule="auto"/>
              <w:ind w:left="0" w:firstLine="0"/>
            </w:pPr>
          </w:p>
        </w:tc>
        <w:tc>
          <w:tcPr>
            <w:tcW w:w="1826"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1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1524"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72"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3"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1524" w:type="dxa"/>
            <w:tcBorders>
              <w:top w:val="nil"/>
              <w:left w:val="nil"/>
              <w:bottom w:val="nil"/>
              <w:right w:val="nil"/>
            </w:tcBorders>
            <w:shd w:val="clear" w:color="auto" w:fill="D9D9D9"/>
          </w:tcPr>
          <w:p w:rsidR="004D6F0E" w:rsidRDefault="004D6F0E">
            <w:pPr>
              <w:spacing w:after="160" w:line="259" w:lineRule="auto"/>
              <w:ind w:left="0" w:firstLine="0"/>
            </w:pPr>
          </w:p>
        </w:tc>
        <w:tc>
          <w:tcPr>
            <w:tcW w:w="1826"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24" w:type="dxa"/>
            <w:tcBorders>
              <w:top w:val="nil"/>
              <w:left w:val="nil"/>
              <w:bottom w:val="nil"/>
              <w:right w:val="nil"/>
            </w:tcBorders>
          </w:tcPr>
          <w:p w:rsidR="004D6F0E" w:rsidRDefault="00490F21">
            <w:pPr>
              <w:spacing w:after="7" w:line="259" w:lineRule="auto"/>
              <w:ind w:left="0" w:firstLine="0"/>
            </w:pPr>
            <w:r>
              <w:rPr>
                <w:sz w:val="18"/>
              </w:rPr>
              <w:t>紐西蘭元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12" w:line="259" w:lineRule="auto"/>
              <w:ind w:left="72"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p w:rsidR="004D6F0E" w:rsidRDefault="00490F21">
            <w:pPr>
              <w:spacing w:after="0" w:line="259" w:lineRule="auto"/>
              <w:ind w:left="679" w:firstLine="0"/>
            </w:pP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12" w:line="259" w:lineRule="auto"/>
              <w:ind w:left="24"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p w:rsidR="004D6F0E" w:rsidRDefault="00490F21">
            <w:pPr>
              <w:spacing w:after="0" w:line="259" w:lineRule="auto"/>
              <w:ind w:left="631" w:firstLine="0"/>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9"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753" w:type="dxa"/>
            <w:tcBorders>
              <w:top w:val="nil"/>
              <w:left w:val="nil"/>
              <w:bottom w:val="nil"/>
              <w:right w:val="nil"/>
            </w:tcBorders>
            <w:shd w:val="clear" w:color="auto" w:fill="D9D9D9"/>
          </w:tcPr>
          <w:p w:rsidR="004D6F0E" w:rsidRDefault="00490F21">
            <w:pPr>
              <w:tabs>
                <w:tab w:val="center" w:pos="2098"/>
              </w:tabs>
              <w:spacing w:after="0" w:line="259" w:lineRule="auto"/>
              <w:ind w:left="0" w:firstLine="0"/>
            </w:pPr>
            <w:r>
              <w:rPr>
                <w:sz w:val="18"/>
              </w:rPr>
              <w:t>人民幣對沖股份類別</w:t>
            </w:r>
            <w:r>
              <w:rPr>
                <w:rFonts w:ascii="Arial" w:eastAsia="Arial" w:hAnsi="Arial" w:cs="Arial"/>
                <w:sz w:val="18"/>
              </w:rPr>
              <w:t xml:space="preserve"> </w:t>
            </w:r>
            <w:r>
              <w:rPr>
                <w:rFonts w:ascii="Arial" w:eastAsia="Arial" w:hAnsi="Arial" w:cs="Arial"/>
                <w:sz w:val="18"/>
              </w:rPr>
              <w:tab/>
              <w:t xml:space="preserve"> </w:t>
            </w:r>
          </w:p>
        </w:tc>
        <w:tc>
          <w:tcPr>
            <w:tcW w:w="152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26" w:type="dxa"/>
            <w:tcBorders>
              <w:top w:val="nil"/>
              <w:left w:val="nil"/>
              <w:bottom w:val="nil"/>
              <w:right w:val="nil"/>
            </w:tcBorders>
            <w:shd w:val="clear" w:color="auto" w:fill="D9D9D9"/>
          </w:tcPr>
          <w:p w:rsidR="004D6F0E" w:rsidRDefault="00490F21">
            <w:pPr>
              <w:spacing w:after="0" w:line="259" w:lineRule="auto"/>
              <w:ind w:left="0" w:right="118" w:firstLine="0"/>
              <w:jc w:val="right"/>
            </w:pPr>
            <w:r>
              <w:rPr>
                <w:rFonts w:ascii="Arial" w:eastAsia="Arial" w:hAnsi="Arial" w:cs="Arial"/>
                <w:sz w:val="18"/>
              </w:rPr>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080"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49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10"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1524" w:type="dxa"/>
            <w:tcBorders>
              <w:top w:val="nil"/>
              <w:left w:val="nil"/>
              <w:bottom w:val="nil"/>
              <w:right w:val="nil"/>
            </w:tcBorders>
          </w:tcPr>
          <w:p w:rsidR="004D6F0E" w:rsidRDefault="00490F21">
            <w:pPr>
              <w:spacing w:after="0" w:line="259" w:lineRule="auto"/>
              <w:ind w:left="19" w:firstLine="0"/>
            </w:pPr>
            <w:r>
              <w:rPr>
                <w:sz w:val="18"/>
              </w:rPr>
              <w:t>人民幣</w:t>
            </w: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0" w:line="259" w:lineRule="auto"/>
              <w:ind w:left="0"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0"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3"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sz w:val="18"/>
              </w:rPr>
              <w:t xml:space="preserve"> </w:t>
            </w:r>
          </w:p>
        </w:tc>
        <w:tc>
          <w:tcPr>
            <w:tcW w:w="1524" w:type="dxa"/>
            <w:tcBorders>
              <w:top w:val="nil"/>
              <w:left w:val="nil"/>
              <w:bottom w:val="nil"/>
              <w:right w:val="nil"/>
            </w:tcBorders>
            <w:shd w:val="clear" w:color="auto" w:fill="D9D9D9"/>
          </w:tcPr>
          <w:p w:rsidR="004D6F0E" w:rsidRDefault="004D6F0E">
            <w:pPr>
              <w:spacing w:after="160" w:line="259" w:lineRule="auto"/>
              <w:ind w:left="0" w:firstLine="0"/>
            </w:pPr>
          </w:p>
        </w:tc>
        <w:tc>
          <w:tcPr>
            <w:tcW w:w="1826"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53"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AD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b/>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24" w:type="dxa"/>
            <w:tcBorders>
              <w:top w:val="nil"/>
              <w:left w:val="nil"/>
              <w:bottom w:val="nil"/>
              <w:right w:val="nil"/>
            </w:tcBorders>
          </w:tcPr>
          <w:p w:rsidR="004D6F0E" w:rsidRDefault="00490F21">
            <w:pPr>
              <w:spacing w:after="10" w:line="259" w:lineRule="auto"/>
              <w:ind w:left="0" w:firstLine="0"/>
            </w:pPr>
            <w:r>
              <w:rPr>
                <w:sz w:val="18"/>
              </w:rPr>
              <w:t>南非蘭特</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826" w:type="dxa"/>
            <w:tcBorders>
              <w:top w:val="nil"/>
              <w:left w:val="nil"/>
              <w:bottom w:val="nil"/>
              <w:right w:val="nil"/>
            </w:tcBorders>
          </w:tcPr>
          <w:p w:rsidR="004D6F0E" w:rsidRDefault="00490F21">
            <w:pPr>
              <w:spacing w:after="14" w:line="259" w:lineRule="auto"/>
              <w:ind w:left="22"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p w:rsidR="004D6F0E" w:rsidRDefault="00490F21">
            <w:pPr>
              <w:spacing w:after="0" w:line="259" w:lineRule="auto"/>
              <w:ind w:left="679" w:firstLine="0"/>
            </w:pP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15" w:line="259" w:lineRule="auto"/>
              <w:ind w:left="24"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p w:rsidR="004D6F0E" w:rsidRDefault="00490F21">
            <w:pPr>
              <w:spacing w:after="0" w:line="259" w:lineRule="auto"/>
              <w:ind w:left="631" w:firstLine="0"/>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53"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b/>
                <w:sz w:val="18"/>
              </w:rPr>
              <w:t xml:space="preserve"> </w:t>
            </w:r>
          </w:p>
        </w:tc>
        <w:tc>
          <w:tcPr>
            <w:tcW w:w="1524" w:type="dxa"/>
            <w:tcBorders>
              <w:top w:val="nil"/>
              <w:left w:val="nil"/>
              <w:bottom w:val="nil"/>
              <w:right w:val="nil"/>
            </w:tcBorders>
            <w:shd w:val="clear" w:color="auto" w:fill="D9D9D9"/>
          </w:tcPr>
          <w:p w:rsidR="004D6F0E" w:rsidRDefault="004D6F0E">
            <w:pPr>
              <w:spacing w:after="160" w:line="259" w:lineRule="auto"/>
              <w:ind w:left="0" w:firstLine="0"/>
            </w:pPr>
          </w:p>
        </w:tc>
        <w:tc>
          <w:tcPr>
            <w:tcW w:w="1826"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052"/>
          <w:tab w:val="center" w:pos="4915"/>
          <w:tab w:val="center" w:pos="6734"/>
          <w:tab w:val="center" w:pos="8507"/>
          <w:tab w:val="center" w:pos="10348"/>
        </w:tabs>
        <w:ind w:left="0" w:firstLine="0"/>
      </w:pPr>
      <w:r>
        <w:rPr>
          <w:rFonts w:ascii="Arial" w:eastAsia="Arial" w:hAnsi="Arial" w:cs="Arial"/>
          <w:sz w:val="18"/>
        </w:rPr>
        <w:t xml:space="preserve">A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rFonts w:ascii="Arial" w:eastAsia="Arial" w:hAnsi="Arial" w:cs="Arial"/>
          <w:sz w:val="18"/>
        </w:rPr>
        <w:tab/>
      </w:r>
      <w:r>
        <w:rPr>
          <w:sz w:val="18"/>
        </w:rPr>
        <w:t>波蘭茲羅提</w:t>
      </w:r>
      <w:r>
        <w:rPr>
          <w:rFonts w:ascii="Arial" w:eastAsia="Arial" w:hAnsi="Arial" w:cs="Arial"/>
          <w:sz w:val="18"/>
        </w:rPr>
        <w:t xml:space="preserve"> </w:t>
      </w:r>
      <w:r>
        <w:rPr>
          <w:rFonts w:ascii="Arial" w:eastAsia="Arial" w:hAnsi="Arial" w:cs="Arial"/>
          <w:sz w:val="18"/>
        </w:rPr>
        <w:tab/>
        <w:t xml:space="preserve">7,500 </w:t>
      </w:r>
      <w:r>
        <w:rPr>
          <w:sz w:val="18"/>
        </w:rPr>
        <w:t>波蘭茲羅提</w:t>
      </w:r>
      <w:r>
        <w:rPr>
          <w:rFonts w:ascii="Arial" w:eastAsia="Arial" w:hAnsi="Arial" w:cs="Arial"/>
          <w:sz w:val="18"/>
        </w:rPr>
        <w:t xml:space="preserve"> </w:t>
      </w:r>
      <w:r>
        <w:rPr>
          <w:rFonts w:ascii="Arial" w:eastAsia="Arial" w:hAnsi="Arial" w:cs="Arial"/>
          <w:sz w:val="18"/>
        </w:rPr>
        <w:tab/>
        <w:t xml:space="preserve">3,000 </w:t>
      </w:r>
      <w:r>
        <w:rPr>
          <w:sz w:val="18"/>
        </w:rPr>
        <w:t>波蘭茲羅提</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0" w:line="259" w:lineRule="auto"/>
        <w:ind w:left="0" w:firstLine="0"/>
      </w:pPr>
      <w:r>
        <w:rPr>
          <w:rFonts w:ascii="Arial" w:eastAsia="Arial" w:hAnsi="Arial" w:cs="Arial"/>
          <w:sz w:val="16"/>
        </w:rPr>
        <w:t xml:space="preserve"> </w:t>
      </w:r>
    </w:p>
    <w:p w:rsidR="004D6F0E" w:rsidRDefault="00490F21">
      <w:pPr>
        <w:tabs>
          <w:tab w:val="center" w:pos="3374"/>
          <w:tab w:val="center" w:pos="5219"/>
        </w:tabs>
        <w:ind w:left="-13" w:firstLine="0"/>
      </w:pP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sz w:val="16"/>
        </w:rPr>
        <w:t>各基金按季繳付的盧森堡年稅。</w:t>
      </w:r>
      <w:r>
        <w:rPr>
          <w:rFonts w:ascii="Arial" w:eastAsia="Arial" w:hAnsi="Arial" w:cs="Arial"/>
          <w:sz w:val="16"/>
        </w:rPr>
        <w:t xml:space="preserve"> </w:t>
      </w:r>
    </w:p>
    <w:p w:rsidR="004D6F0E" w:rsidRDefault="00490F21">
      <w:pPr>
        <w:tabs>
          <w:tab w:val="center" w:pos="1441"/>
        </w:tabs>
        <w:ind w:left="-13" w:firstLine="0"/>
      </w:pPr>
      <w:r>
        <w:rPr>
          <w:rFonts w:ascii="Arial" w:eastAsia="Arial" w:hAnsi="Arial" w:cs="Arial"/>
          <w:sz w:val="16"/>
        </w:rPr>
        <w:t xml:space="preserve">** </w:t>
      </w:r>
      <w:r>
        <w:rPr>
          <w:rFonts w:ascii="Arial" w:eastAsia="Arial" w:hAnsi="Arial" w:cs="Arial"/>
          <w:sz w:val="16"/>
        </w:rPr>
        <w:tab/>
        <w:t xml:space="preserve"> </w:t>
      </w:r>
      <w:r>
        <w:rPr>
          <w:sz w:val="16"/>
        </w:rPr>
        <w:t>可由管理公司全權酌情豁免。</w:t>
      </w:r>
      <w:r>
        <w:rPr>
          <w:rFonts w:ascii="Arial" w:eastAsia="Arial" w:hAnsi="Arial" w:cs="Arial"/>
          <w:sz w:val="16"/>
        </w:rPr>
        <w:t xml:space="preserve"> </w:t>
      </w:r>
    </w:p>
    <w:p w:rsidR="004D6F0E" w:rsidRDefault="00490F21">
      <w:pPr>
        <w:spacing w:after="890" w:line="259" w:lineRule="auto"/>
        <w:ind w:left="0" w:firstLine="0"/>
      </w:pPr>
      <w:r>
        <w:rPr>
          <w:rFonts w:ascii="Arial" w:eastAsia="Arial" w:hAnsi="Arial" w:cs="Arial"/>
          <w:sz w:val="18"/>
        </w:rPr>
        <w:t xml:space="preserve"> </w:t>
      </w:r>
    </w:p>
    <w:p w:rsidR="004D6F0E" w:rsidRDefault="00490F21">
      <w:pPr>
        <w:spacing w:after="0" w:line="238" w:lineRule="auto"/>
        <w:ind w:left="0" w:right="11077" w:firstLine="0"/>
      </w:pPr>
      <w:r>
        <w:rPr>
          <w:rFonts w:ascii="Arial" w:eastAsia="Arial" w:hAnsi="Arial" w:cs="Arial"/>
          <w:sz w:val="12"/>
        </w:rPr>
        <w:t xml:space="preserve">   </w:t>
      </w:r>
    </w:p>
    <w:p w:rsidR="004D6F0E" w:rsidRDefault="004D6F0E">
      <w:pPr>
        <w:sectPr w:rsidR="004D6F0E">
          <w:type w:val="continuous"/>
          <w:pgSz w:w="12240" w:h="15840"/>
          <w:pgMar w:top="1440" w:right="638" w:bottom="1440" w:left="432" w:header="720" w:footer="720" w:gutter="0"/>
          <w:cols w:space="720"/>
        </w:sectPr>
      </w:pPr>
    </w:p>
    <w:p w:rsidR="004D6F0E" w:rsidRDefault="00490F21">
      <w:pPr>
        <w:pStyle w:val="Heading3"/>
        <w:ind w:left="14"/>
      </w:pPr>
      <w:r>
        <w:t>其他基金資料</w:t>
      </w:r>
      <w:r>
        <w:rPr>
          <w:rFonts w:ascii="Arial" w:eastAsia="Arial" w:hAnsi="Arial" w:cs="Arial"/>
        </w:rPr>
        <w:t xml:space="preserve"> </w:t>
      </w:r>
    </w:p>
    <w:p w:rsidR="004D6F0E" w:rsidRDefault="00490F21">
      <w:pPr>
        <w:spacing w:after="44"/>
        <w:ind w:left="11" w:right="2"/>
      </w:pPr>
      <w:r>
        <w:t>主要投資類別</w:t>
      </w:r>
      <w:r>
        <w:rPr>
          <w:rFonts w:ascii="Arial" w:eastAsia="Arial" w:hAnsi="Arial" w:cs="Arial"/>
          <w:b/>
        </w:rPr>
        <w:t xml:space="preserve"> </w:t>
      </w:r>
    </w:p>
    <w:p w:rsidR="004D6F0E" w:rsidRDefault="00490F21">
      <w:pPr>
        <w:spacing w:after="106"/>
        <w:ind w:left="11" w:right="2"/>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w:t>
      </w:r>
      <w:r>
        <w:lastRenderedPageBreak/>
        <w:t>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48"/>
        <w:ind w:left="11" w:right="2"/>
      </w:pPr>
      <w:r>
        <w:t>風險資料</w:t>
      </w:r>
      <w:r>
        <w:rPr>
          <w:rFonts w:ascii="Arial" w:eastAsia="Arial" w:hAnsi="Arial" w:cs="Arial"/>
          <w:b/>
        </w:rPr>
        <w:t xml:space="preserve"> </w:t>
      </w:r>
    </w:p>
    <w:p w:rsidR="004D6F0E" w:rsidRDefault="00490F21">
      <w:pPr>
        <w:ind w:left="11" w:right="2"/>
      </w:pPr>
      <w:r>
        <w:t>本基金可能使用金融衍生工具。第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p>
    <w:p w:rsidR="004D6F0E" w:rsidRDefault="00490F21">
      <w:pPr>
        <w:spacing w:after="104"/>
        <w:ind w:left="11" w:right="2"/>
      </w:pPr>
      <w:r>
        <w:rPr>
          <w:rFonts w:ascii="Arial" w:eastAsia="Arial" w:hAnsi="Arial" w:cs="Arial"/>
        </w:rPr>
        <w:t>(13)</w:t>
      </w:r>
      <w:r>
        <w:t>項投資限制不適用於本基金。</w:t>
      </w:r>
      <w:r>
        <w:rPr>
          <w:rFonts w:ascii="Arial" w:eastAsia="Arial" w:hAnsi="Arial" w:cs="Arial"/>
        </w:rPr>
        <w:t xml:space="preserve"> </w:t>
      </w:r>
    </w:p>
    <w:p w:rsidR="004D6F0E" w:rsidRDefault="00490F21">
      <w:pPr>
        <w:ind w:left="11" w:right="2"/>
      </w:pPr>
      <w:r>
        <w:t>投資於中國的股本證券涉及特定風險及於投資於較成熟經濟體系或市場並不常見的特別考慮因素，例如更大的政治、操作、稅務、外匯、流動性及監管風險。有關在中國投資的相關風險的進一步資料，請參閱本傘子基金的一般資料內的「風險因素</w:t>
      </w:r>
      <w:r>
        <w:rPr>
          <w:rFonts w:ascii="Arial" w:eastAsia="Arial" w:hAnsi="Arial" w:cs="Arial"/>
        </w:rPr>
        <w:t xml:space="preserve"> </w:t>
      </w:r>
    </w:p>
    <w:p w:rsidR="004D6F0E" w:rsidRDefault="00490F21">
      <w:pPr>
        <w:spacing w:after="101"/>
        <w:ind w:left="11" w:right="2"/>
      </w:pPr>
      <w:r>
        <w:rPr>
          <w:rFonts w:ascii="Arial" w:eastAsia="Arial" w:hAnsi="Arial" w:cs="Arial"/>
        </w:rPr>
        <w:t xml:space="preserve">— </w:t>
      </w:r>
      <w:r>
        <w:t>國家風險</w:t>
      </w:r>
      <w:r>
        <w:rPr>
          <w:rFonts w:ascii="Arial" w:eastAsia="Arial" w:hAnsi="Arial" w:cs="Arial"/>
        </w:rPr>
        <w:t xml:space="preserve"> — </w:t>
      </w:r>
      <w:r>
        <w:t>中國」。</w:t>
      </w:r>
      <w:r>
        <w:rPr>
          <w:rFonts w:ascii="Arial" w:eastAsia="Arial" w:hAnsi="Arial" w:cs="Arial"/>
        </w:rPr>
        <w:t xml:space="preserve"> </w:t>
      </w:r>
    </w:p>
    <w:p w:rsidR="004D6F0E" w:rsidRDefault="00490F21">
      <w:pPr>
        <w:spacing w:after="103"/>
        <w:ind w:left="11" w:right="2"/>
      </w:pPr>
      <w:r>
        <w:t>本基金須承受市場、利率及貨幣波動及證券投資固有的其他風險。因此，不能保證投資目標將獲達致、投資資本將得以保全或資本得以增值。每月、每季或每年的投資業績均可能出現重大變化。本基金內的投資並非代表完整的投資計劃。有關概述本基金主要風險的</w:t>
      </w:r>
      <w:r>
        <w:t>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44"/>
        <w:ind w:left="11" w:right="2"/>
      </w:pPr>
      <w:r>
        <w:t>典型投資者的資料</w:t>
      </w:r>
      <w:r>
        <w:rPr>
          <w:rFonts w:ascii="Arial" w:eastAsia="Arial" w:hAnsi="Arial" w:cs="Arial"/>
          <w:b/>
        </w:rPr>
        <w:t xml:space="preserve"> </w:t>
      </w:r>
    </w:p>
    <w:p w:rsidR="004D6F0E" w:rsidRDefault="00490F21">
      <w:pPr>
        <w:spacing w:after="40"/>
        <w:ind w:left="11" w:right="2"/>
      </w:pPr>
      <w:r>
        <w:t>本基金適合尋求中長期股本投資回報且能承受較高風險的投資者。有關本基金是否適合其投資需要，投資者敬請諮詢其獨立財務顧問。派息</w:t>
      </w:r>
      <w:r>
        <w:rPr>
          <w:rFonts w:ascii="Arial" w:eastAsia="Arial" w:hAnsi="Arial" w:cs="Arial"/>
          <w:b/>
        </w:rPr>
        <w:t xml:space="preserve"> </w:t>
      </w:r>
    </w:p>
    <w:p w:rsidR="004D6F0E" w:rsidRDefault="00490F21">
      <w:pPr>
        <w:spacing w:after="58"/>
        <w:ind w:left="11" w:right="2"/>
      </w:pPr>
      <w:r>
        <w:t>管理公司現時無意就</w:t>
      </w:r>
      <w:r>
        <w:t xml:space="preserve"> </w:t>
      </w:r>
      <w:r>
        <w:rPr>
          <w:rFonts w:ascii="Arial" w:eastAsia="Arial" w:hAnsi="Arial" w:cs="Arial"/>
        </w:rPr>
        <w:t>A</w:t>
      </w:r>
      <w:r>
        <w:t>、</w:t>
      </w:r>
      <w:r>
        <w:rPr>
          <w:rFonts w:ascii="Arial" w:eastAsia="Arial" w:hAnsi="Arial" w:cs="Arial"/>
        </w:rPr>
        <w:t>B</w:t>
      </w:r>
      <w:r>
        <w:t>、</w:t>
      </w:r>
      <w:r>
        <w:rPr>
          <w:rFonts w:ascii="Arial" w:eastAsia="Arial" w:hAnsi="Arial" w:cs="Arial"/>
        </w:rPr>
        <w:t>C</w:t>
      </w:r>
      <w:r>
        <w:t>、</w:t>
      </w:r>
      <w:r>
        <w:rPr>
          <w:rFonts w:ascii="Arial" w:eastAsia="Arial" w:hAnsi="Arial" w:cs="Arial"/>
        </w:rPr>
        <w:t>I</w:t>
      </w:r>
      <w:r>
        <w:t>、</w:t>
      </w:r>
      <w:r>
        <w:rPr>
          <w:rFonts w:ascii="Arial" w:eastAsia="Arial" w:hAnsi="Arial" w:cs="Arial"/>
        </w:rPr>
        <w:t xml:space="preserve">S </w:t>
      </w:r>
      <w:r>
        <w:t>及</w:t>
      </w:r>
      <w:r>
        <w:t xml:space="preserve"> </w:t>
      </w:r>
      <w:r>
        <w:rPr>
          <w:rFonts w:ascii="Arial" w:eastAsia="Arial" w:hAnsi="Arial" w:cs="Arial"/>
        </w:rPr>
        <w:t xml:space="preserve">S1 </w:t>
      </w:r>
      <w:r>
        <w:t>類股份派息。因此，股份應佔的任何淨收入及淨實現利潤均將於此等股份各自的資產淨值中反映。</w:t>
      </w:r>
      <w:r>
        <w:rPr>
          <w:rFonts w:ascii="Arial" w:eastAsia="Arial" w:hAnsi="Arial" w:cs="Arial"/>
          <w:sz w:val="24"/>
        </w:rPr>
        <w:t xml:space="preserve"> </w:t>
      </w:r>
    </w:p>
    <w:p w:rsidR="004D6F0E" w:rsidRDefault="00490F21">
      <w:pPr>
        <w:spacing w:after="43"/>
        <w:ind w:left="11" w:right="2"/>
      </w:pPr>
      <w:r>
        <w:t>就</w:t>
      </w:r>
      <w:r>
        <w:t xml:space="preserve"> </w:t>
      </w:r>
      <w:r>
        <w:rPr>
          <w:rFonts w:ascii="Arial" w:eastAsia="Arial" w:hAnsi="Arial" w:cs="Arial"/>
        </w:rPr>
        <w:t xml:space="preserve">AD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因此派息率將來自未扣除費用及開支前的總收入、已實現及未實現的收益及有關股份類別應佔的資本。超過淨收入（扣除費用及開支後的總收入</w:t>
      </w:r>
      <w:r>
        <w:t>）的派息相當於退還投資者的原本投資本金，因此可能導致有關類別的每股資產淨值減少。管理公司也可酌情決定派息是否包括或在多大程度上包括已實現資本收益及／或是否或在多大程度上從相關股份類別應佔的資本中支付。派息可按股東的選擇自動再投資。管理公司、行政管理人、存管人及過戶代理費用</w:t>
      </w:r>
      <w:r>
        <w:rPr>
          <w:rFonts w:ascii="Arial" w:eastAsia="Arial" w:hAnsi="Arial" w:cs="Arial"/>
          <w:b/>
        </w:rPr>
        <w:t xml:space="preserve"> </w:t>
      </w:r>
    </w:p>
    <w:p w:rsidR="004D6F0E" w:rsidRDefault="00490F21">
      <w:pPr>
        <w:spacing w:after="45" w:line="273" w:lineRule="auto"/>
        <w:ind w:left="14" w:right="41"/>
        <w:jc w:val="both"/>
      </w:pPr>
      <w:r>
        <w:t>就除</w:t>
      </w:r>
      <w:r>
        <w:t xml:space="preserve"> </w:t>
      </w:r>
      <w:r>
        <w:rPr>
          <w:rFonts w:ascii="Arial" w:eastAsia="Arial" w:hAnsi="Arial" w:cs="Arial"/>
        </w:rPr>
        <w:t xml:space="preserve">S </w:t>
      </w:r>
      <w:r>
        <w:t>及</w:t>
      </w:r>
      <w:r>
        <w:t xml:space="preserve"> </w:t>
      </w:r>
      <w:r>
        <w:rPr>
          <w:rFonts w:ascii="Arial" w:eastAsia="Arial" w:hAnsi="Arial" w:cs="Arial"/>
        </w:rPr>
        <w:t xml:space="preserve">S1 </w:t>
      </w:r>
      <w:r>
        <w:t>類股份以外的所有股份而言，管理公司按此等股份應佔的總資產淨值自本基金資產獲付一項年費，數額為日均資產淨值的</w:t>
      </w:r>
      <w:r>
        <w:t xml:space="preserve"> </w:t>
      </w:r>
      <w:r>
        <w:rPr>
          <w:rFonts w:ascii="Arial" w:eastAsia="Arial" w:hAnsi="Arial" w:cs="Arial"/>
        </w:rPr>
        <w:t>0.05%</w:t>
      </w:r>
      <w:r>
        <w:t>。管理公司按</w:t>
      </w:r>
      <w:r>
        <w:t xml:space="preserve"> </w:t>
      </w:r>
      <w:r>
        <w:rPr>
          <w:rFonts w:ascii="Arial" w:eastAsia="Arial" w:hAnsi="Arial" w:cs="Arial"/>
        </w:rPr>
        <w:t xml:space="preserve">S </w:t>
      </w:r>
      <w:r>
        <w:t>類股份應佔的總資產淨值自本基金資產獲付一項年費，數額為</w:t>
      </w:r>
      <w:r>
        <w:t xml:space="preserve"> </w:t>
      </w:r>
      <w:r>
        <w:rPr>
          <w:rFonts w:ascii="Arial" w:eastAsia="Arial" w:hAnsi="Arial" w:cs="Arial"/>
        </w:rPr>
        <w:t xml:space="preserve">50,000 </w:t>
      </w:r>
      <w:r>
        <w:t>美元或日均資產淨值的</w:t>
      </w:r>
      <w:r>
        <w:t xml:space="preserve"> </w:t>
      </w:r>
      <w:r>
        <w:rPr>
          <w:rFonts w:ascii="Arial" w:eastAsia="Arial" w:hAnsi="Arial" w:cs="Arial"/>
        </w:rPr>
        <w:t>0.01%</w:t>
      </w:r>
      <w:r>
        <w:t>（以較低者為準）。</w:t>
      </w:r>
      <w:r>
        <w:rPr>
          <w:rFonts w:ascii="Arial" w:eastAsia="Arial" w:hAnsi="Arial" w:cs="Arial"/>
          <w:sz w:val="24"/>
        </w:rPr>
        <w:t xml:space="preserve"> </w:t>
      </w:r>
    </w:p>
    <w:p w:rsidR="004D6F0E" w:rsidRDefault="00490F21">
      <w:pPr>
        <w:spacing w:after="56"/>
        <w:ind w:left="11" w:right="2"/>
      </w:pPr>
      <w:r>
        <w:t>本基金的行政管理人費、存管人費及過戶代理費乃自本基金資產按月撥付。此等費用不得超過認購章程第</w:t>
      </w:r>
      <w:r>
        <w:t xml:space="preserve"> </w:t>
      </w:r>
      <w:r>
        <w:rPr>
          <w:rFonts w:ascii="Arial" w:eastAsia="Arial" w:hAnsi="Arial" w:cs="Arial"/>
        </w:rPr>
        <w:t xml:space="preserve">II </w:t>
      </w:r>
      <w:r>
        <w:t>部分「行政管理人、存管人及過戶代理費用」所規定的固定最高金額。此等費用的增減是取決於本基金資產及交易量或其他原因。設立開支</w:t>
      </w:r>
      <w:r>
        <w:rPr>
          <w:rFonts w:ascii="Arial" w:eastAsia="Arial" w:hAnsi="Arial" w:cs="Arial"/>
          <w:b/>
        </w:rPr>
        <w:t xml:space="preserve"> </w:t>
      </w:r>
    </w:p>
    <w:p w:rsidR="004D6F0E" w:rsidRDefault="00490F21">
      <w:pPr>
        <w:spacing w:after="105"/>
        <w:ind w:left="11" w:right="2"/>
      </w:pPr>
      <w:r>
        <w:t>本基金並無未攤銷設立開支。</w:t>
      </w:r>
      <w:r>
        <w:rPr>
          <w:rFonts w:ascii="Arial" w:eastAsia="Arial" w:hAnsi="Arial" w:cs="Arial"/>
        </w:rPr>
        <w:t xml:space="preserve"> </w:t>
      </w:r>
    </w:p>
    <w:p w:rsidR="004D6F0E" w:rsidRDefault="00490F21">
      <w:pPr>
        <w:spacing w:after="50"/>
        <w:ind w:left="11" w:right="2"/>
      </w:pPr>
      <w:r>
        <w:t>過往表現</w:t>
      </w:r>
      <w:r>
        <w:rPr>
          <w:rFonts w:ascii="Arial" w:eastAsia="Arial" w:hAnsi="Arial" w:cs="Arial"/>
          <w:b/>
        </w:rPr>
        <w:t xml:space="preserve"> </w:t>
      </w:r>
    </w:p>
    <w:p w:rsidR="004D6F0E" w:rsidRDefault="00490F21">
      <w:pPr>
        <w:spacing w:after="122" w:line="254" w:lineRule="auto"/>
        <w:ind w:left="8" w:hanging="10"/>
      </w:pPr>
      <w:r>
        <w:t>有關本基金過往表現的資料可瀏覽</w:t>
      </w:r>
      <w:r>
        <w:t xml:space="preserve"> </w:t>
      </w:r>
      <w:hyperlink r:id="rId129">
        <w:r>
          <w:rPr>
            <w:rFonts w:ascii="Arial" w:eastAsia="Arial" w:hAnsi="Arial" w:cs="Arial"/>
            <w:color w:val="0000FF"/>
            <w:u w:val="single" w:color="0000FF"/>
          </w:rPr>
          <w:t>www.alliancebernstein.com</w:t>
        </w:r>
      </w:hyperlink>
      <w:hyperlink r:id="rId130">
        <w:r>
          <w:t>。</w:t>
        </w:r>
      </w:hyperlink>
      <w:r>
        <w:rPr>
          <w:rFonts w:ascii="Arial" w:eastAsia="Arial" w:hAnsi="Arial" w:cs="Arial"/>
        </w:rPr>
        <w:t xml:space="preserve"> </w:t>
      </w:r>
    </w:p>
    <w:p w:rsidR="004D6F0E" w:rsidRDefault="00490F21">
      <w:pPr>
        <w:spacing w:after="105"/>
        <w:ind w:left="11" w:right="2"/>
      </w:pPr>
      <w:r>
        <w:t>歷史</w:t>
      </w:r>
      <w:r>
        <w:rPr>
          <w:rFonts w:ascii="Arial" w:eastAsia="Arial" w:hAnsi="Arial" w:cs="Arial"/>
          <w:b/>
        </w:rPr>
        <w:t xml:space="preserve"> </w:t>
      </w:r>
    </w:p>
    <w:p w:rsidR="004D6F0E" w:rsidRDefault="00490F21">
      <w:pPr>
        <w:ind w:left="11" w:right="2"/>
      </w:pPr>
      <w:r>
        <w:t>本基金於一九九七年九月八日設立，作為</w:t>
      </w:r>
      <w:r>
        <w:t xml:space="preserve"> </w:t>
      </w:r>
      <w:r>
        <w:rPr>
          <w:rFonts w:ascii="Arial" w:eastAsia="Arial" w:hAnsi="Arial" w:cs="Arial"/>
        </w:rPr>
        <w:t xml:space="preserve">ACM </w:t>
      </w:r>
      <w:r>
        <w:t>新地寶聯下的基金，隨後以大中華基金的名稱併入本傘子基金內，自二零零七年一月三十一日起生效。本基金於二零一四年一月三十一日易名為中國機會基金。本基金已於二零二零年五月二十九日易名為中國低波幅策略股票基金。</w:t>
      </w:r>
    </w:p>
    <w:p w:rsidR="004D6F0E" w:rsidRDefault="004D6F0E">
      <w:pPr>
        <w:sectPr w:rsidR="004D6F0E">
          <w:type w:val="continuous"/>
          <w:pgSz w:w="12240" w:h="15840"/>
          <w:pgMar w:top="1440" w:right="562" w:bottom="1440" w:left="432" w:header="720" w:footer="720" w:gutter="0"/>
          <w:cols w:num="2" w:space="664"/>
        </w:sectPr>
      </w:pPr>
    </w:p>
    <w:p w:rsidR="004D6F0E" w:rsidRDefault="00490F21">
      <w:pPr>
        <w:spacing w:after="0" w:line="259" w:lineRule="auto"/>
        <w:ind w:left="0" w:firstLine="0"/>
      </w:pPr>
      <w:r>
        <w:rPr>
          <w:rFonts w:ascii="Times New Roman" w:eastAsia="Times New Roman" w:hAnsi="Times New Roman" w:cs="Times New Roman"/>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I-38 </w:t>
      </w:r>
    </w:p>
    <w:p w:rsidR="004D6F0E" w:rsidRDefault="00490F21">
      <w:pPr>
        <w:spacing w:after="0" w:line="259" w:lineRule="auto"/>
        <w:ind w:left="0" w:right="115" w:firstLine="0"/>
        <w:jc w:val="right"/>
      </w:pPr>
      <w:r>
        <w:rPr>
          <w:rFonts w:ascii="Times New Roman" w:eastAsia="Times New Roman" w:hAnsi="Times New Roman" w:cs="Times New Roman"/>
          <w:sz w:val="20"/>
        </w:rPr>
        <w:t xml:space="preserve"> </w:t>
      </w:r>
    </w:p>
    <w:p w:rsidR="004D6F0E" w:rsidRDefault="00490F21">
      <w:pPr>
        <w:spacing w:after="0" w:line="242" w:lineRule="auto"/>
        <w:ind w:left="0" w:right="5555" w:firstLine="0"/>
        <w:jc w:val="right"/>
      </w:pPr>
      <w:r>
        <w:rPr>
          <w:rFonts w:ascii="Arial" w:eastAsia="Arial" w:hAnsi="Arial" w:cs="Arial"/>
          <w:sz w:val="12"/>
        </w:rPr>
        <w:t xml:space="preserve">    </w:t>
      </w:r>
    </w:p>
    <w:p w:rsidR="004D6F0E" w:rsidRDefault="004D6F0E">
      <w:pPr>
        <w:sectPr w:rsidR="004D6F0E">
          <w:type w:val="continuous"/>
          <w:pgSz w:w="12240" w:h="15840"/>
          <w:pgMar w:top="1440" w:right="6100" w:bottom="402" w:left="432" w:header="720" w:footer="720" w:gutter="0"/>
          <w:cols w:space="720"/>
        </w:sectPr>
      </w:pPr>
    </w:p>
    <w:p w:rsidR="004D6F0E" w:rsidRDefault="00490F21">
      <w:pPr>
        <w:spacing w:after="39" w:line="259" w:lineRule="auto"/>
        <w:ind w:left="3" w:firstLine="3"/>
      </w:pPr>
      <w:r>
        <w:rPr>
          <w:sz w:val="20"/>
        </w:rPr>
        <w:lastRenderedPageBreak/>
        <w:t>固定收益</w:t>
      </w:r>
      <w:r>
        <w:rPr>
          <w:rFonts w:ascii="Arial" w:eastAsia="Arial" w:hAnsi="Arial" w:cs="Arial"/>
          <w:sz w:val="20"/>
        </w:rPr>
        <w:t xml:space="preserve"> </w:t>
      </w:r>
    </w:p>
    <w:p w:rsidR="004D6F0E" w:rsidRDefault="00490F21">
      <w:pPr>
        <w:spacing w:after="56" w:line="259" w:lineRule="auto"/>
        <w:ind w:left="0" w:firstLine="0"/>
      </w:pPr>
      <w:r>
        <w:rPr>
          <w:rFonts w:ascii="Times New Roman" w:eastAsia="Times New Roman" w:hAnsi="Times New Roman" w:cs="Times New Roman"/>
          <w:sz w:val="24"/>
        </w:rPr>
        <w:t xml:space="preserve"> </w:t>
      </w:r>
    </w:p>
    <w:p w:rsidR="004D6F0E" w:rsidRDefault="00490F21">
      <w:pPr>
        <w:pStyle w:val="Heading2"/>
        <w:ind w:left="8"/>
      </w:pPr>
      <w:r>
        <w:t>聯博</w:t>
      </w:r>
      <w:r>
        <w:rPr>
          <w:rFonts w:ascii="Arial" w:eastAsia="Arial" w:hAnsi="Arial" w:cs="Arial"/>
        </w:rPr>
        <w:t>—</w:t>
      </w:r>
      <w:r>
        <w:t>短期債券基金</w:t>
      </w:r>
      <w:r>
        <w:rPr>
          <w:rFonts w:ascii="Arial" w:eastAsia="Arial" w:hAnsi="Arial" w:cs="Arial"/>
        </w:rPr>
        <w:t xml:space="preserve"> </w:t>
      </w:r>
    </w:p>
    <w:p w:rsidR="004D6F0E" w:rsidRDefault="00490F21">
      <w:pPr>
        <w:pStyle w:val="Heading3"/>
        <w:ind w:left="14"/>
      </w:pPr>
      <w:r>
        <w:t>投資目標及政策</w:t>
      </w:r>
      <w:r>
        <w:rPr>
          <w:rFonts w:ascii="Arial" w:eastAsia="Arial" w:hAnsi="Arial" w:cs="Arial"/>
        </w:rPr>
        <w:t xml:space="preserve"> </w:t>
      </w:r>
    </w:p>
    <w:p w:rsidR="004D6F0E" w:rsidRDefault="00490F21">
      <w:pPr>
        <w:spacing w:after="41"/>
        <w:ind w:left="11" w:right="2"/>
      </w:pPr>
      <w:r>
        <w:t>投資目標</w:t>
      </w:r>
      <w:r>
        <w:rPr>
          <w:rFonts w:ascii="Arial" w:eastAsia="Arial" w:hAnsi="Arial" w:cs="Arial"/>
        </w:rPr>
        <w:t xml:space="preserve"> </w:t>
      </w:r>
    </w:p>
    <w:p w:rsidR="004D6F0E" w:rsidRDefault="00490F21">
      <w:pPr>
        <w:spacing w:after="201"/>
        <w:ind w:left="11" w:right="2"/>
      </w:pPr>
      <w:r>
        <w:t>本基金的投資目標是通過主要投資於以各種貨幣計價的投資級別固定收益證券，達到高額總投資回報。本基金的總投資回報一般可能包括利息及股息收入，還包括貼現應計項目及資本變動（包括基金證券價值的變動及貨幣波動造成的其他資產及負債）。正常市況下，本基金預期將不少於</w:t>
      </w:r>
      <w:r>
        <w:t xml:space="preserve"> </w:t>
      </w:r>
      <w:r>
        <w:rPr>
          <w:rFonts w:ascii="Arial" w:eastAsia="Arial" w:hAnsi="Arial" w:cs="Arial"/>
        </w:rPr>
        <w:t>70%</w:t>
      </w:r>
      <w:r>
        <w:t>的總資產投資於以有關基金貨幣計價的證券或對沖有關基金貨幣的證券。</w:t>
      </w:r>
      <w:r>
        <w:rPr>
          <w:rFonts w:ascii="Arial" w:eastAsia="Arial" w:hAnsi="Arial" w:cs="Arial"/>
        </w:rPr>
        <w:t xml:space="preserve"> </w:t>
      </w:r>
    </w:p>
    <w:p w:rsidR="004D6F0E" w:rsidRDefault="00490F21">
      <w:pPr>
        <w:spacing w:after="41"/>
        <w:ind w:left="11" w:right="2"/>
      </w:pPr>
      <w:r>
        <w:t>投資規則和程序</w:t>
      </w:r>
      <w:r>
        <w:rPr>
          <w:rFonts w:ascii="Arial" w:eastAsia="Arial" w:hAnsi="Arial" w:cs="Arial"/>
        </w:rPr>
        <w:t xml:space="preserve"> </w:t>
      </w:r>
    </w:p>
    <w:p w:rsidR="004D6F0E" w:rsidRDefault="00490F21">
      <w:pPr>
        <w:spacing w:after="199"/>
        <w:ind w:left="11" w:right="2"/>
      </w:pPr>
      <w:r>
        <w:t>本基金可購買由主權國家或其他政府或當地機關（包括但不限於政府機關及部門）（統稱「政府機構」）發行的債務，以及由各類旨在促進環球、地區或特定國家經濟重建或發展的組織或機</w:t>
      </w:r>
      <w:r>
        <w:t>構（統稱「超國家機構」）發行或擔保的債務。此外，本基金可購買公司或其他實體的債務。無論何時，投資管理人均會將基金總資產的至少三分之二投資於純債券，即不可轉換的債券。</w:t>
      </w:r>
      <w:r>
        <w:rPr>
          <w:rFonts w:ascii="Arial" w:eastAsia="Arial" w:hAnsi="Arial" w:cs="Arial"/>
        </w:rPr>
        <w:t xml:space="preserve"> </w:t>
      </w:r>
    </w:p>
    <w:p w:rsidR="004D6F0E" w:rsidRDefault="00490F21">
      <w:pPr>
        <w:spacing w:after="206"/>
        <w:ind w:left="11" w:right="2"/>
      </w:pPr>
      <w:r>
        <w:t>於首次購買時，本基金持有的證券將擁有投資級別信貸評級或由投資管理人所決定具相等質素的評級。倘某個證券的信貸評級低於投資級別或被停止評級，則投資管理人將立即重新評估本基金應否繼續持有該證券。本基金通常會出售任何該等非投資級別證券或無評級證券，除非</w:t>
      </w:r>
      <w:r>
        <w:rPr>
          <w:rFonts w:ascii="Arial" w:eastAsia="Arial" w:hAnsi="Arial" w:cs="Arial"/>
        </w:rPr>
        <w:t>(i)</w:t>
      </w:r>
      <w:r>
        <w:t>投資管理人確定當時作出此行動並不符合本基金的最佳利益及</w:t>
      </w:r>
      <w:r>
        <w:rPr>
          <w:rFonts w:ascii="Arial" w:eastAsia="Arial" w:hAnsi="Arial" w:cs="Arial"/>
        </w:rPr>
        <w:t>(ii)</w:t>
      </w:r>
      <w:r>
        <w:t>非投資級別證券總值不超過本基金淨</w:t>
      </w:r>
      <w:r>
        <w:t>資產的</w:t>
      </w:r>
      <w:r>
        <w:t xml:space="preserve"> </w:t>
      </w:r>
      <w:r>
        <w:rPr>
          <w:rFonts w:ascii="Arial" w:eastAsia="Arial" w:hAnsi="Arial" w:cs="Arial"/>
        </w:rPr>
        <w:t>5%</w:t>
      </w:r>
      <w:r>
        <w:t>，則另作別論。</w:t>
      </w:r>
      <w:r>
        <w:rPr>
          <w:rFonts w:ascii="Arial" w:eastAsia="Arial" w:hAnsi="Arial" w:cs="Arial"/>
        </w:rPr>
        <w:t xml:space="preserve">  </w:t>
      </w:r>
    </w:p>
    <w:p w:rsidR="004D6F0E" w:rsidRDefault="00490F21">
      <w:pPr>
        <w:spacing w:after="204"/>
        <w:ind w:left="11" w:right="2"/>
      </w:pPr>
      <w:r>
        <w:t>基金亦可透過債券市場（包括債券通）以投資於中國證券。如需更多資料，請參閱第</w:t>
      </w:r>
      <w:r>
        <w:t xml:space="preserve"> </w:t>
      </w:r>
      <w:r>
        <w:rPr>
          <w:rFonts w:ascii="Arial" w:eastAsia="Arial" w:hAnsi="Arial" w:cs="Arial"/>
        </w:rPr>
        <w:t xml:space="preserve">II </w:t>
      </w:r>
      <w:r>
        <w:t>部分「國家風險</w:t>
      </w:r>
      <w:r>
        <w:rPr>
          <w:rFonts w:ascii="Arial" w:eastAsia="Arial" w:hAnsi="Arial" w:cs="Arial"/>
        </w:rPr>
        <w:t xml:space="preserve"> – </w:t>
      </w:r>
      <w:r>
        <w:t>中國，債券通」。</w:t>
      </w:r>
      <w:r>
        <w:rPr>
          <w:rFonts w:ascii="Arial" w:eastAsia="Arial" w:hAnsi="Arial" w:cs="Arial"/>
        </w:rPr>
        <w:t xml:space="preserve"> </w:t>
      </w:r>
    </w:p>
    <w:p w:rsidR="004D6F0E" w:rsidRDefault="00490F21">
      <w:pPr>
        <w:spacing w:after="198"/>
        <w:ind w:left="11" w:right="2"/>
      </w:pPr>
      <w:r>
        <w:t>投資管理人將尋求通過酌情分散投資、以投資管理人的內部信貸及經濟分析資源以及從其他來源獲得的訊息，降低本基金投資於固定收益證券的固有風險。</w:t>
      </w:r>
      <w:r>
        <w:rPr>
          <w:rFonts w:ascii="Arial" w:eastAsia="Arial" w:hAnsi="Arial" w:cs="Arial"/>
        </w:rPr>
        <w:t xml:space="preserve"> </w:t>
      </w:r>
    </w:p>
    <w:p w:rsidR="004D6F0E" w:rsidRDefault="00490F21">
      <w:pPr>
        <w:spacing w:after="199"/>
        <w:ind w:left="11" w:right="2"/>
      </w:pPr>
      <w:r>
        <w:t>就本基金投資的國家債務或其他政府機關發行的債券而言，投資管理人將考慮發行人的財務狀況及相關國家的政治及經濟狀況。投資由超國家機構發行或擔保的債務須承受額外風險，即成員國政府可能不作出所規定的或定期的資本出資，因此超國家</w:t>
      </w:r>
      <w:r>
        <w:t>機構可能無力償付其債務。</w:t>
      </w:r>
      <w:r>
        <w:rPr>
          <w:rFonts w:ascii="Arial" w:eastAsia="Arial" w:hAnsi="Arial" w:cs="Arial"/>
        </w:rPr>
        <w:t xml:space="preserve"> </w:t>
      </w:r>
    </w:p>
    <w:p w:rsidR="004D6F0E" w:rsidRDefault="00490F21">
      <w:pPr>
        <w:spacing w:after="201"/>
        <w:ind w:left="11" w:right="2"/>
      </w:pPr>
      <w:r>
        <w:t>就本基金投資的債務的公司發行人而言，投資管理人將考慮發行人的財務狀況及營運相關的市場及經濟狀況。投資管理人的分析集中於按以下因素作出的相對價值，例如利息保障覆蓋率、資產保證、盈利前景及各發行人的經驗及管理水平。</w:t>
      </w:r>
      <w:r>
        <w:rPr>
          <w:rFonts w:ascii="Arial" w:eastAsia="Arial" w:hAnsi="Arial" w:cs="Arial"/>
        </w:rPr>
        <w:t xml:space="preserve"> </w:t>
      </w:r>
    </w:p>
    <w:p w:rsidR="004D6F0E" w:rsidRDefault="00490F21">
      <w:pPr>
        <w:spacing w:after="198"/>
        <w:ind w:left="11" w:right="2"/>
      </w:pPr>
      <w:r>
        <w:t>一般而言，評估投資價值時，投資管理人將考慮多種因素，其中包括各國現行利率的相對水平及以各自貨幣計價的此類投資的升值潛力。為追求資本增值，本基金可能因預期有利的貨幣波動或利率變動，投資於相對低收益的證券，因此本基金的孳息可能會下降。為追求收益，本基金可能投資於孳息相對較高</w:t>
      </w:r>
      <w:r>
        <w:t>（相對其他債務證券而言）的短期證券以符合本基金的投資準則，因此可能會降低本基金的資本升值。此外，本基金可投資於一個國家的政府實體、公司或金融機構發行的以另一個國家貨幣計價的債務。例如，本基金可投資德國公司發行以日圓計價的債務。此類投資涉及與發行人相關的信貸風險以及與債務計價貨幣相關的貨幣風險。</w:t>
      </w:r>
      <w:r>
        <w:rPr>
          <w:rFonts w:ascii="Arial" w:eastAsia="Arial" w:hAnsi="Arial" w:cs="Arial"/>
        </w:rPr>
        <w:t xml:space="preserve"> </w:t>
      </w:r>
    </w:p>
    <w:p w:rsidR="004D6F0E" w:rsidRDefault="00490F21">
      <w:pPr>
        <w:ind w:left="11" w:right="2"/>
      </w:pPr>
      <w:r>
        <w:t>存續期。在正常市況下，本基金的平均加權存續期不會超過五年</w:t>
      </w:r>
    </w:p>
    <w:p w:rsidR="004D6F0E" w:rsidRDefault="00490F21">
      <w:pPr>
        <w:spacing w:after="200"/>
        <w:ind w:left="11" w:right="2"/>
      </w:pPr>
      <w:r>
        <w:t>。存續期乃用於衡量固定收益投資價格對利率變動的敏感度。</w:t>
      </w:r>
      <w:r>
        <w:rPr>
          <w:rFonts w:ascii="Arial" w:eastAsia="Arial" w:hAnsi="Arial" w:cs="Arial"/>
        </w:rPr>
        <w:t xml:space="preserve">   </w:t>
      </w:r>
    </w:p>
    <w:p w:rsidR="004D6F0E" w:rsidRDefault="00490F21">
      <w:pPr>
        <w:ind w:left="11" w:right="2"/>
      </w:pPr>
      <w:r>
        <w:t>金融衍生工具／有效基金管理技術。投資管理人實施本基金投資策略時，可使用範圍廣泛的衍生產品和技巧。本基金可使用衍生工具</w:t>
      </w:r>
      <w:r>
        <w:rPr>
          <w:rFonts w:ascii="Arial" w:eastAsia="Arial" w:hAnsi="Arial" w:cs="Arial"/>
        </w:rPr>
        <w:t>(i)</w:t>
      </w:r>
      <w:r>
        <w:t>作為直接投資於相關投資的替代性投資，</w:t>
      </w:r>
      <w:r>
        <w:rPr>
          <w:rFonts w:ascii="Arial" w:eastAsia="Arial" w:hAnsi="Arial" w:cs="Arial"/>
        </w:rPr>
        <w:t>(ii)</w:t>
      </w:r>
      <w:r>
        <w:t>作對沖用途及</w:t>
      </w:r>
      <w:r>
        <w:rPr>
          <w:rFonts w:ascii="Arial" w:eastAsia="Arial" w:hAnsi="Arial" w:cs="Arial"/>
        </w:rPr>
        <w:t>(iii)</w:t>
      </w:r>
      <w:r>
        <w:t>作有效基金管理用途。此等金融衍生工具可能包括但不</w:t>
      </w:r>
    </w:p>
    <w:p w:rsidR="004D6F0E" w:rsidRDefault="00490F21">
      <w:pPr>
        <w:spacing w:after="198"/>
        <w:ind w:left="11" w:right="2"/>
      </w:pPr>
      <w:r>
        <w:lastRenderedPageBreak/>
        <w:t>限於：期貨、期權、掉期合約（包括利率掉期合約）和貨幣交</w:t>
      </w:r>
      <w:r>
        <w:rPr>
          <w:rFonts w:ascii="Arial" w:eastAsia="Arial" w:hAnsi="Arial" w:cs="Arial"/>
        </w:rPr>
        <w:t xml:space="preserve">    </w:t>
      </w:r>
      <w:r>
        <w:t>易。</w:t>
      </w:r>
      <w:r>
        <w:rPr>
          <w:rFonts w:ascii="Arial" w:eastAsia="Arial" w:hAnsi="Arial" w:cs="Arial"/>
        </w:rPr>
        <w:t xml:space="preserve"> </w:t>
      </w:r>
    </w:p>
    <w:p w:rsidR="004D6F0E" w:rsidRDefault="00490F21">
      <w:pPr>
        <w:ind w:left="11" w:right="2"/>
      </w:pPr>
      <w:r>
        <w:t>根據證券融資交易規例有關透明度之要求，下表反映本基金將投資證券融資交易（即借出證券交易以及回購協議及逆回購協議）（「</w:t>
      </w:r>
      <w:r>
        <w:rPr>
          <w:rFonts w:ascii="Arial" w:eastAsia="Arial" w:hAnsi="Arial" w:cs="Arial"/>
          <w:i/>
        </w:rPr>
        <w:t>SFT</w:t>
      </w:r>
      <w:r>
        <w:t>」）及總回報掉期及／或具類似特徵的其他金融衍生工具（「</w:t>
      </w:r>
      <w:r>
        <w:rPr>
          <w:rFonts w:ascii="Arial" w:eastAsia="Arial" w:hAnsi="Arial" w:cs="Arial"/>
          <w:i/>
        </w:rPr>
        <w:t>TRS</w:t>
      </w:r>
      <w:r>
        <w:t>」）的（如適用）預期及最高淨資產水平，並指明於若干情況下此比例或會較高。</w:t>
      </w:r>
      <w:r>
        <w:rPr>
          <w:rFonts w:ascii="Arial" w:eastAsia="Arial" w:hAnsi="Arial" w:cs="Arial"/>
        </w:rPr>
        <w:t xml:space="preserve">   </w:t>
      </w:r>
    </w:p>
    <w:tbl>
      <w:tblPr>
        <w:tblStyle w:val="TableGrid"/>
        <w:tblW w:w="5098" w:type="dxa"/>
        <w:tblInd w:w="5" w:type="dxa"/>
        <w:tblCellMar>
          <w:top w:w="33" w:type="dxa"/>
          <w:left w:w="108" w:type="dxa"/>
          <w:bottom w:w="0" w:type="dxa"/>
          <w:right w:w="115" w:type="dxa"/>
        </w:tblCellMar>
        <w:tblLook w:val="04A0" w:firstRow="1" w:lastRow="0" w:firstColumn="1" w:lastColumn="0" w:noHBand="0" w:noVBand="1"/>
      </w:tblPr>
      <w:tblGrid>
        <w:gridCol w:w="2264"/>
        <w:gridCol w:w="1418"/>
        <w:gridCol w:w="1416"/>
      </w:tblGrid>
      <w:tr w:rsidR="004D6F0E">
        <w:trPr>
          <w:trHeight w:val="456"/>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430"/>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41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456"/>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41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458"/>
        </w:trPr>
        <w:tc>
          <w:tcPr>
            <w:tcW w:w="226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0" w:line="259" w:lineRule="auto"/>
        <w:ind w:left="0" w:firstLine="0"/>
      </w:pPr>
      <w:r>
        <w:rPr>
          <w:rFonts w:ascii="Arial" w:eastAsia="Arial" w:hAnsi="Arial" w:cs="Arial"/>
        </w:rPr>
        <w:t xml:space="preserve"> </w:t>
      </w:r>
    </w:p>
    <w:p w:rsidR="004D6F0E" w:rsidRDefault="00490F21">
      <w:pPr>
        <w:spacing w:after="198"/>
        <w:ind w:left="1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rPr>
          <w:rFonts w:ascii="Arial" w:eastAsia="Arial" w:hAnsi="Arial" w:cs="Arial"/>
          <w:b/>
        </w:rPr>
        <w:t xml:space="preserve"> </w:t>
      </w:r>
    </w:p>
    <w:p w:rsidR="004D6F0E" w:rsidRDefault="00490F21">
      <w:pPr>
        <w:spacing w:after="44"/>
        <w:ind w:left="11" w:right="2"/>
      </w:pPr>
      <w:r>
        <w:t>其他投資政策</w:t>
      </w:r>
      <w:r>
        <w:rPr>
          <w:rFonts w:ascii="Arial" w:eastAsia="Arial" w:hAnsi="Arial" w:cs="Arial"/>
        </w:rPr>
        <w:t xml:space="preserve"> </w:t>
      </w:r>
    </w:p>
    <w:p w:rsidR="004D6F0E" w:rsidRDefault="00490F21">
      <w:pPr>
        <w:spacing w:after="200" w:line="273" w:lineRule="auto"/>
        <w:ind w:left="14" w:right="177"/>
        <w:jc w:val="both"/>
      </w:pPr>
      <w:r>
        <w:t>本基金可投資於多種多樣發行人及保薦人發行的結構式證券。結構式證券可包括機構類（即由合資格國家或獲合資格國家政府保薦的機構發行或擔保的）按揭擔保證券，以及非機構類（即私人發行的）按揭擔保證券（「</w:t>
      </w:r>
      <w:r>
        <w:rPr>
          <w:rFonts w:ascii="Arial" w:eastAsia="Arial" w:hAnsi="Arial" w:cs="Arial"/>
        </w:rPr>
        <w:t>MBS</w:t>
      </w:r>
      <w:r>
        <w:t>」）。</w:t>
      </w:r>
      <w:r>
        <w:rPr>
          <w:rFonts w:ascii="Arial" w:eastAsia="Arial" w:hAnsi="Arial" w:cs="Arial"/>
        </w:rPr>
        <w:t xml:space="preserve">MBS </w:t>
      </w:r>
      <w:r>
        <w:t>可包括可調整利率按揭證券（「</w:t>
      </w:r>
      <w:r>
        <w:rPr>
          <w:rFonts w:ascii="Arial" w:eastAsia="Arial" w:hAnsi="Arial" w:cs="Arial"/>
        </w:rPr>
        <w:t>ARMS</w:t>
      </w:r>
      <w:r>
        <w:t>」）及抵押按揭債務（「</w:t>
      </w:r>
      <w:r>
        <w:rPr>
          <w:rFonts w:ascii="Arial" w:eastAsia="Arial" w:hAnsi="Arial" w:cs="Arial"/>
        </w:rPr>
        <w:t>CMO</w:t>
      </w:r>
      <w:r>
        <w:t>」），還有其他資產擔保證券（「</w:t>
      </w:r>
      <w:r>
        <w:rPr>
          <w:rFonts w:ascii="Arial" w:eastAsia="Arial" w:hAnsi="Arial" w:cs="Arial"/>
        </w:rPr>
        <w:t>ABS</w:t>
      </w:r>
      <w:r>
        <w:t>」）、商業抵押擔保證券（「</w:t>
      </w:r>
      <w:r>
        <w:rPr>
          <w:rFonts w:ascii="Arial" w:eastAsia="Arial" w:hAnsi="Arial" w:cs="Arial"/>
        </w:rPr>
        <w:t>CMBS</w:t>
      </w:r>
      <w:r>
        <w:t>」）和抵押債務（「</w:t>
      </w:r>
      <w:r>
        <w:rPr>
          <w:rFonts w:ascii="Arial" w:eastAsia="Arial" w:hAnsi="Arial" w:cs="Arial"/>
        </w:rPr>
        <w:t>CDOs</w:t>
      </w:r>
      <w:r>
        <w:t>」）及相關金融衍生工具和貨幣。本基金不會將其淨資產的超過</w:t>
      </w:r>
      <w:r>
        <w:t xml:space="preserve"> </w:t>
      </w:r>
      <w:r>
        <w:rPr>
          <w:rFonts w:ascii="Arial" w:eastAsia="Arial" w:hAnsi="Arial" w:cs="Arial"/>
        </w:rPr>
        <w:t>20%</w:t>
      </w:r>
      <w:r>
        <w:t>投資於結構式證券，惟該限額將不適用於美國政府或任何其他合資格國家或獲美國或其他合資格國家政府保薦的機構所發行或擔保的該等證券投資。</w:t>
      </w:r>
      <w:r>
        <w:rPr>
          <w:rFonts w:ascii="Arial" w:eastAsia="Arial" w:hAnsi="Arial" w:cs="Arial"/>
        </w:rPr>
        <w:t xml:space="preserve"> </w:t>
      </w:r>
    </w:p>
    <w:p w:rsidR="004D6F0E" w:rsidRDefault="00490F21">
      <w:pPr>
        <w:spacing w:after="197"/>
        <w:ind w:left="11" w:right="2"/>
      </w:pPr>
      <w:r>
        <w:t>除本文規定的範圍外（包括第</w:t>
      </w:r>
      <w:r>
        <w:t xml:space="preserve"> </w:t>
      </w:r>
      <w:r>
        <w:rPr>
          <w:rFonts w:ascii="Arial" w:eastAsia="Arial" w:hAnsi="Arial" w:cs="Arial"/>
        </w:rPr>
        <w:t xml:space="preserve">II </w:t>
      </w:r>
      <w:r>
        <w:t>部分附錄</w:t>
      </w:r>
      <w:r>
        <w:t xml:space="preserve"> </w:t>
      </w:r>
      <w:r>
        <w:rPr>
          <w:rFonts w:ascii="Arial" w:eastAsia="Arial" w:hAnsi="Arial" w:cs="Arial"/>
        </w:rPr>
        <w:t>A</w:t>
      </w:r>
      <w:r>
        <w:t>），本基金可投資於任何一個國家的資產不受任何限制。</w:t>
      </w:r>
      <w:r>
        <w:rPr>
          <w:rFonts w:ascii="Arial" w:eastAsia="Arial" w:hAnsi="Arial" w:cs="Arial"/>
        </w:rPr>
        <w:t xml:space="preserve">  </w:t>
      </w:r>
    </w:p>
    <w:p w:rsidR="004D6F0E" w:rsidRDefault="00490F21">
      <w:pPr>
        <w:spacing w:after="201"/>
        <w:ind w:left="11" w:right="2"/>
      </w:pPr>
      <w:r>
        <w:t>投資管理人將按其貨幣研究和展望調整本基金的貨幣風險，並將</w:t>
      </w:r>
      <w:r>
        <w:rPr>
          <w:rFonts w:ascii="Arial" w:eastAsia="Arial" w:hAnsi="Arial" w:cs="Arial"/>
        </w:rPr>
        <w:t>(a)</w:t>
      </w:r>
      <w:r>
        <w:t>本基金的整體非基準貨幣風險，以及</w:t>
      </w:r>
      <w:r>
        <w:rPr>
          <w:rFonts w:ascii="Arial" w:eastAsia="Arial" w:hAnsi="Arial" w:cs="Arial"/>
        </w:rPr>
        <w:t>(b)</w:t>
      </w:r>
      <w:r>
        <w:t>相關基金組合中各特定貨幣的預期風險及回報兩項因素考慮在內。投資管理人可利用就此專門開發的內部模型。因此，投資管理人可根據其研究是否顯示該貨幣相對於基準貨幣是下跌或上升對沖</w:t>
      </w:r>
      <w:r>
        <w:t>所有、部分貨幣風險或不進行任何對沖。</w:t>
      </w:r>
      <w:r>
        <w:rPr>
          <w:rFonts w:ascii="Arial" w:eastAsia="Arial" w:hAnsi="Arial" w:cs="Arial"/>
        </w:rPr>
        <w:t xml:space="preserve"> </w:t>
      </w:r>
    </w:p>
    <w:p w:rsidR="004D6F0E" w:rsidRDefault="00490F21">
      <w:pPr>
        <w:ind w:left="11" w:right="2"/>
      </w:pPr>
      <w:r>
        <w:t>作為暫時性的防守策略或為準備資金贖回證券，本基金可無限制地</w:t>
      </w:r>
    </w:p>
    <w:p w:rsidR="004D6F0E" w:rsidRDefault="00490F21">
      <w:pPr>
        <w:spacing w:after="202"/>
        <w:ind w:left="11" w:right="2"/>
      </w:pPr>
      <w:r>
        <w:t>持有現金、現金等價物或短期固定收益債務（包括貨幣市場工</w:t>
      </w:r>
      <w:r>
        <w:rPr>
          <w:rFonts w:ascii="Arial" w:eastAsia="Arial" w:hAnsi="Arial" w:cs="Arial"/>
        </w:rPr>
        <w:t xml:space="preserve">    </w:t>
      </w:r>
      <w:r>
        <w:t>具）。</w:t>
      </w:r>
      <w:r>
        <w:rPr>
          <w:rFonts w:ascii="Arial" w:eastAsia="Arial" w:hAnsi="Arial" w:cs="Arial"/>
        </w:rPr>
        <w:t xml:space="preserve"> </w:t>
      </w:r>
    </w:p>
    <w:p w:rsidR="004D6F0E" w:rsidRDefault="00490F21">
      <w:pPr>
        <w:spacing w:after="201"/>
        <w:ind w:left="11" w:right="2"/>
      </w:pPr>
      <w:r>
        <w:t>本基金最多可投資淨資產的</w:t>
      </w:r>
      <w:r>
        <w:t xml:space="preserve"> </w:t>
      </w:r>
      <w:r>
        <w:rPr>
          <w:rFonts w:ascii="Arial" w:eastAsia="Arial" w:hAnsi="Arial" w:cs="Arial"/>
        </w:rPr>
        <w:t>10%</w:t>
      </w:r>
      <w:r>
        <w:t>於非活躍市場的證券。見第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段。因此，本基金可能會難以隨時出售該等證券。此外，轉售該等證券可能會有合約限制。</w:t>
      </w:r>
      <w:r>
        <w:rPr>
          <w:rFonts w:ascii="Arial" w:eastAsia="Arial" w:hAnsi="Arial" w:cs="Arial"/>
        </w:rPr>
        <w:t xml:space="preserve"> </w:t>
      </w:r>
    </w:p>
    <w:p w:rsidR="004D6F0E" w:rsidRDefault="00490F21">
      <w:pPr>
        <w:spacing w:after="199" w:line="273" w:lineRule="auto"/>
        <w:ind w:left="14" w:right="343"/>
        <w:jc w:val="both"/>
      </w:pPr>
      <w:r>
        <w:t>本基金會將不超過其總資產的</w:t>
      </w:r>
      <w:r>
        <w:t xml:space="preserve"> </w:t>
      </w:r>
      <w:r>
        <w:rPr>
          <w:rFonts w:ascii="Arial" w:eastAsia="Arial" w:hAnsi="Arial" w:cs="Arial"/>
        </w:rPr>
        <w:t>25%</w:t>
      </w:r>
      <w:r>
        <w:t>投資於可換股債券、將不超過總資產的</w:t>
      </w:r>
      <w:r>
        <w:t xml:space="preserve"> </w:t>
      </w:r>
      <w:r>
        <w:rPr>
          <w:rFonts w:ascii="Arial" w:eastAsia="Arial" w:hAnsi="Arial" w:cs="Arial"/>
        </w:rPr>
        <w:t>30%</w:t>
      </w:r>
      <w:r>
        <w:t>投資於貨幣市場工具以及將不超過總資產的</w:t>
      </w:r>
      <w:r>
        <w:t xml:space="preserve"> </w:t>
      </w:r>
      <w:r>
        <w:rPr>
          <w:rFonts w:ascii="Arial" w:eastAsia="Arial" w:hAnsi="Arial" w:cs="Arial"/>
        </w:rPr>
        <w:t>10%</w:t>
      </w:r>
      <w:r>
        <w:t>投資於股本證券。</w:t>
      </w:r>
      <w:r>
        <w:rPr>
          <w:rFonts w:ascii="Arial" w:eastAsia="Arial" w:hAnsi="Arial" w:cs="Arial"/>
        </w:rPr>
        <w:t xml:space="preserve">  </w:t>
      </w:r>
    </w:p>
    <w:p w:rsidR="004D6F0E" w:rsidRDefault="00490F21">
      <w:pPr>
        <w:spacing w:after="203"/>
        <w:ind w:left="11" w:right="2"/>
      </w:pPr>
      <w:r>
        <w:t>貨幣對沖股份類別</w:t>
      </w:r>
      <w:r>
        <w:rPr>
          <w:rFonts w:ascii="Arial" w:eastAsia="Arial" w:hAnsi="Arial" w:cs="Arial"/>
          <w:b/>
        </w:rPr>
        <w:t xml:space="preserve">  </w:t>
      </w:r>
    </w:p>
    <w:p w:rsidR="004D6F0E" w:rsidRDefault="00490F21">
      <w:pPr>
        <w:ind w:left="11" w:right="2"/>
      </w:pPr>
      <w:r>
        <w:t>用某種特別貨幣發售的一項或多項基金股份類別（各稱「發售貨</w:t>
      </w:r>
      <w:r>
        <w:rPr>
          <w:rFonts w:ascii="Arial" w:eastAsia="Arial" w:hAnsi="Arial" w:cs="Arial"/>
        </w:rPr>
        <w:t xml:space="preserve">  </w:t>
      </w:r>
      <w:r>
        <w:t>幣」）可用該發售貨幣對沖。任何此等股份類別將構成「貨幣對沖股份類別」。</w:t>
      </w:r>
      <w:r>
        <w:rPr>
          <w:rFonts w:ascii="Arial" w:eastAsia="Arial" w:hAnsi="Arial" w:cs="Arial"/>
        </w:rPr>
        <w:t xml:space="preserve">   </w:t>
      </w:r>
      <w:r>
        <w:t>貨幣對沖股份類別的目的是透過降低基金基準貨幣</w:t>
      </w:r>
      <w:r>
        <w:rPr>
          <w:rFonts w:ascii="Arial" w:eastAsia="Arial" w:hAnsi="Arial" w:cs="Arial"/>
        </w:rPr>
        <w:t xml:space="preserve">  </w:t>
      </w:r>
    </w:p>
    <w:p w:rsidR="004D6F0E" w:rsidRDefault="00490F21">
      <w:pPr>
        <w:spacing w:after="199"/>
        <w:ind w:left="11" w:right="2"/>
      </w:pPr>
      <w:r>
        <w:t>（即美元）與相關發售貨幣之間匯率波動的影響，並計及交易成本等實際考量因素，為投資者提供與基金基準貨幣回報率更具相關性的回報率。採用的對沖策略在設計上是爲了降低（但未必消除）基金基準貨幣和發售貨幣之間的貨幣風險。</w:t>
      </w:r>
      <w:r>
        <w:rPr>
          <w:rFonts w:ascii="Arial" w:eastAsia="Arial" w:hAnsi="Arial" w:cs="Arial"/>
        </w:rPr>
        <w:t xml:space="preserve"> </w:t>
      </w:r>
    </w:p>
    <w:p w:rsidR="004D6F0E" w:rsidRDefault="00490F21">
      <w:pPr>
        <w:spacing w:after="198"/>
        <w:ind w:left="11" w:right="2"/>
      </w:pPr>
      <w:r>
        <w:t>貨幣對沖股份類別並不影響基金所屬資產的投資管理，因為用發售貨幣對沖的只是貨幣對沖股份類別的</w:t>
      </w:r>
      <w:r>
        <w:t>資產淨值，而非基金所屬</w:t>
      </w:r>
      <w:r>
        <w:lastRenderedPageBreak/>
        <w:t>資產。此類對沖活動引起的開支由引起該項開支的貨幣對沖股份類別承擔。</w:t>
      </w:r>
      <w:r>
        <w:rPr>
          <w:rFonts w:ascii="Arial" w:eastAsia="Arial" w:hAnsi="Arial" w:cs="Arial"/>
        </w:rPr>
        <w:t xml:space="preserve">  </w:t>
      </w:r>
    </w:p>
    <w:p w:rsidR="004D6F0E" w:rsidRDefault="00490F21">
      <w:pPr>
        <w:spacing w:after="336" w:line="259" w:lineRule="auto"/>
        <w:ind w:left="0" w:firstLine="0"/>
      </w:pP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20"/>
        </w:rPr>
        <w:t xml:space="preserve"> </w:t>
      </w:r>
    </w:p>
    <w:p w:rsidR="004D6F0E" w:rsidRDefault="00490F21">
      <w:pPr>
        <w:spacing w:after="4" w:line="265" w:lineRule="auto"/>
        <w:ind w:right="63" w:hanging="10"/>
        <w:jc w:val="right"/>
      </w:pPr>
      <w:r>
        <w:rPr>
          <w:sz w:val="18"/>
        </w:rPr>
        <w:t>聯博</w:t>
      </w:r>
      <w:r>
        <w:rPr>
          <w:sz w:val="18"/>
        </w:rPr>
        <w:t>—</w:t>
      </w:r>
      <w:r>
        <w:rPr>
          <w:sz w:val="18"/>
        </w:rPr>
        <w:t>短期債券基金</w:t>
      </w:r>
      <w:r>
        <w:rPr>
          <w:sz w:val="18"/>
        </w:rPr>
        <w:t xml:space="preserve"> </w:t>
      </w:r>
    </w:p>
    <w:p w:rsidR="004D6F0E" w:rsidRDefault="00490F21">
      <w:pPr>
        <w:spacing w:after="200" w:line="273" w:lineRule="auto"/>
        <w:ind w:left="5" w:right="41" w:firstLine="5426"/>
        <w:jc w:val="both"/>
      </w:pPr>
      <w:r>
        <w:rPr>
          <w:rFonts w:ascii="Arial" w:eastAsia="Arial" w:hAnsi="Arial" w:cs="Arial"/>
          <w:sz w:val="20"/>
        </w:rPr>
        <w:t xml:space="preserve"> </w:t>
      </w:r>
      <w:r>
        <w:t>欲進一步了解股份類別對沖詳情，請參閱第</w:t>
      </w:r>
      <w:r>
        <w:t xml:space="preserve"> </w:t>
      </w:r>
      <w:r>
        <w:rPr>
          <w:rFonts w:ascii="Arial" w:eastAsia="Arial" w:hAnsi="Arial" w:cs="Arial"/>
        </w:rPr>
        <w:t xml:space="preserve">II </w:t>
      </w:r>
      <w:r>
        <w:t>部分「如何購買股份</w:t>
      </w:r>
      <w:r>
        <w:rPr>
          <w:rFonts w:ascii="Arial" w:eastAsia="Arial" w:hAnsi="Arial" w:cs="Arial"/>
        </w:rPr>
        <w:t xml:space="preserve"> – </w:t>
      </w:r>
      <w:r>
        <w:t>貨幣對沖股份類別」。</w:t>
      </w:r>
      <w:r>
        <w:rPr>
          <w:rFonts w:ascii="Arial" w:eastAsia="Arial" w:hAnsi="Arial" w:cs="Arial"/>
        </w:rPr>
        <w:t xml:space="preserve"> </w:t>
      </w:r>
    </w:p>
    <w:p w:rsidR="004D6F0E" w:rsidRDefault="00490F21">
      <w:pPr>
        <w:spacing w:after="201"/>
        <w:ind w:left="11" w:right="81"/>
      </w:pPr>
      <w:r>
        <w:t>槓桿手段。在實施本基金的投資策略時，投資管理人預期不會使用銀行借貸。本基金的預期槓桿水平預計將為其資產淨值的</w:t>
      </w:r>
      <w:r>
        <w:t xml:space="preserve"> </w:t>
      </w:r>
      <w:r>
        <w:rPr>
          <w:rFonts w:ascii="Arial" w:eastAsia="Arial" w:hAnsi="Arial" w:cs="Arial"/>
        </w:rPr>
        <w:t xml:space="preserve">0% </w:t>
      </w:r>
      <w:r>
        <w:t>至</w:t>
      </w:r>
      <w:r>
        <w:t xml:space="preserve"> </w:t>
      </w:r>
      <w:r>
        <w:rPr>
          <w:rFonts w:ascii="Arial" w:eastAsia="Arial" w:hAnsi="Arial" w:cs="Arial"/>
        </w:rPr>
        <w:t>150%</w:t>
      </w:r>
      <w:r>
        <w:t>之間。預期槓桿水平乃按本基金所持金融衍生工具的名義金額總值計算。根據日期為二零一一年五月三十日的盧森堡金融業監管委員會（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號公告，此計算方法並不計及特定金融衍生工具增加或減少本基金投資風險的情況，亦不允許以反向持倉對銷金融衍生工具。股東應注意：</w:t>
      </w:r>
      <w:r>
        <w:rPr>
          <w:rFonts w:ascii="Arial" w:eastAsia="Arial" w:hAnsi="Arial" w:cs="Arial"/>
        </w:rPr>
        <w:t>(i)</w:t>
      </w:r>
      <w:r>
        <w:t>預期槓桿水平較高不一定表示投資風險水平較高及</w:t>
      </w:r>
      <w:r>
        <w:rPr>
          <w:rFonts w:ascii="Arial" w:eastAsia="Arial" w:hAnsi="Arial" w:cs="Arial"/>
        </w:rPr>
        <w:t>(ii)</w:t>
      </w:r>
      <w:r>
        <w:t>上述預期槓桿水平主要乃由使用衍生工具作對沖用途或</w:t>
      </w:r>
      <w:r>
        <w:t>有效基金管理而產生。此外，本基金的實際槓桿可能會偏離上述的預期槓桿水平。</w:t>
      </w:r>
      <w:r>
        <w:rPr>
          <w:rFonts w:ascii="Arial" w:eastAsia="Arial" w:hAnsi="Arial" w:cs="Arial"/>
        </w:rPr>
        <w:t xml:space="preserve"> </w:t>
      </w:r>
    </w:p>
    <w:p w:rsidR="004D6F0E" w:rsidRDefault="00490F21">
      <w:pPr>
        <w:ind w:left="11" w:right="2"/>
      </w:pPr>
      <w:r>
        <w:t>風險度量。投資管理人將使用風險值（「</w:t>
      </w:r>
      <w:r>
        <w:rPr>
          <w:rFonts w:ascii="Arial" w:eastAsia="Arial" w:hAnsi="Arial" w:cs="Arial"/>
        </w:rPr>
        <w:t>VaR</w:t>
      </w:r>
      <w:r>
        <w:t>」）方法來監測本基金的</w:t>
      </w:r>
      <w:r>
        <w:t>全球風險（市場風險）。本基金的全球風險乃根據絕對</w:t>
      </w:r>
    </w:p>
    <w:p w:rsidR="004D6F0E" w:rsidRDefault="00490F21">
      <w:pPr>
        <w:ind w:left="11" w:right="2"/>
      </w:pP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r>
        <w:rPr>
          <w:rFonts w:ascii="Arial" w:eastAsia="Arial" w:hAnsi="Arial" w:cs="Arial"/>
        </w:rPr>
        <w:t xml:space="preserve">   </w:t>
      </w:r>
    </w:p>
    <w:p w:rsidR="004D6F0E" w:rsidRDefault="00490F21">
      <w:pPr>
        <w:spacing w:after="219" w:line="250" w:lineRule="auto"/>
        <w:ind w:hanging="10"/>
      </w:pPr>
      <w:r>
        <w:rPr>
          <w:rFonts w:ascii="Arial" w:eastAsia="Arial" w:hAnsi="Arial" w:cs="Arial"/>
        </w:rPr>
        <w:t>20%</w:t>
      </w:r>
      <w:r>
        <w:t>。</w:t>
      </w:r>
      <w:r>
        <w:rPr>
          <w:rFonts w:ascii="Arial" w:eastAsia="Arial" w:hAnsi="Arial" w:cs="Arial"/>
        </w:rPr>
        <w:t xml:space="preserve">  </w:t>
      </w:r>
    </w:p>
    <w:p w:rsidR="004D6F0E" w:rsidRDefault="00490F21">
      <w:pPr>
        <w:spacing w:after="202"/>
        <w:ind w:left="11" w:right="2"/>
      </w:pPr>
      <w:r>
        <w:t>基準。本基金的基準為彭博全球</w:t>
      </w:r>
      <w:r>
        <w:t xml:space="preserve"> </w:t>
      </w:r>
      <w:r>
        <w:rPr>
          <w:rFonts w:ascii="Arial" w:eastAsia="Arial" w:hAnsi="Arial" w:cs="Arial"/>
        </w:rPr>
        <w:t xml:space="preserve">1-3 </w:t>
      </w:r>
      <w:r>
        <w:t>年期國庫券指數</w:t>
      </w:r>
      <w:r>
        <w:rPr>
          <w:rFonts w:ascii="Arial" w:eastAsia="Arial" w:hAnsi="Arial" w:cs="Arial"/>
        </w:rPr>
        <w:t xml:space="preserve"> </w:t>
      </w:r>
      <w:r>
        <w:t>（美元對沖）。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w:t>
      </w:r>
      <w:r>
        <w:rPr>
          <w:rFonts w:ascii="Arial" w:eastAsia="Arial" w:hAnsi="Arial" w:cs="Arial"/>
        </w:rPr>
        <w:t xml:space="preserve"> </w:t>
      </w:r>
    </w:p>
    <w:p w:rsidR="004D6F0E" w:rsidRDefault="00490F21">
      <w:pPr>
        <w:ind w:left="11" w:right="84"/>
      </w:pPr>
      <w:r>
        <w:t>負責任投資。本基金整合</w:t>
      </w:r>
      <w:r>
        <w:t xml:space="preserve"> </w:t>
      </w:r>
      <w:r>
        <w:rPr>
          <w:rFonts w:ascii="Arial" w:eastAsia="Arial" w:hAnsi="Arial" w:cs="Arial"/>
        </w:rPr>
        <w:t xml:space="preserve">ESG </w:t>
      </w:r>
      <w:r>
        <w:t>考慮因素。本基金應用若干排除條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131">
        <w:r>
          <w:rPr>
            <w:rFonts w:ascii="Arial" w:eastAsia="Arial" w:hAnsi="Arial" w:cs="Arial"/>
            <w:color w:val="0000FF"/>
            <w:u w:val="single" w:color="0000FF"/>
          </w:rPr>
          <w:t>www.a</w:t>
        </w:r>
        <w:r>
          <w:rPr>
            <w:rFonts w:ascii="Arial" w:eastAsia="Arial" w:hAnsi="Arial" w:cs="Arial"/>
            <w:color w:val="0000FF"/>
            <w:u w:val="single" w:color="0000FF"/>
          </w:rPr>
          <w:t>lliancebernstein.com/go/</w:t>
        </w:r>
      </w:hyperlink>
    </w:p>
    <w:p w:rsidR="004D6F0E" w:rsidRDefault="00490F21">
      <w:pPr>
        <w:spacing w:after="15" w:line="254" w:lineRule="auto"/>
        <w:ind w:left="8" w:hanging="10"/>
      </w:pPr>
      <w:hyperlink r:id="rId132">
        <w:r>
          <w:rPr>
            <w:rFonts w:ascii="Arial" w:eastAsia="Arial" w:hAnsi="Arial" w:cs="Arial"/>
            <w:color w:val="0000FF"/>
            <w:u w:val="single" w:color="0000FF"/>
          </w:rPr>
          <w:t>ABFCPIExclusionChart</w:t>
        </w:r>
      </w:hyperlink>
      <w:hyperlink r:id="rId133">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r>
        <w:t>。</w:t>
      </w:r>
      <w:r>
        <w:rPr>
          <w:rFonts w:ascii="Arial" w:eastAsia="Arial" w:hAnsi="Arial" w:cs="Arial"/>
        </w:rPr>
        <w:t xml:space="preserve"> </w:t>
      </w:r>
    </w:p>
    <w:p w:rsidR="004D6F0E" w:rsidRDefault="004D6F0E">
      <w:pPr>
        <w:sectPr w:rsidR="004D6F0E">
          <w:headerReference w:type="even" r:id="rId134"/>
          <w:headerReference w:type="default" r:id="rId135"/>
          <w:footerReference w:type="even" r:id="rId136"/>
          <w:footerReference w:type="default" r:id="rId137"/>
          <w:headerReference w:type="first" r:id="rId138"/>
          <w:footerReference w:type="first" r:id="rId139"/>
          <w:pgSz w:w="12240" w:h="15840"/>
          <w:pgMar w:top="746" w:right="278" w:bottom="1515" w:left="432" w:header="720" w:footer="720" w:gutter="0"/>
          <w:cols w:num="2" w:space="715"/>
          <w:titlePg/>
        </w:sectPr>
      </w:pPr>
    </w:p>
    <w:p w:rsidR="004D6F0E" w:rsidRDefault="00490F21">
      <w:pPr>
        <w:spacing w:after="3" w:line="259" w:lineRule="auto"/>
        <w:ind w:right="5241" w:hanging="10"/>
        <w:jc w:val="right"/>
      </w:pPr>
      <w:r>
        <w:rPr>
          <w:rFonts w:ascii="Times New Roman" w:eastAsia="Times New Roman" w:hAnsi="Times New Roman" w:cs="Times New Roman"/>
          <w:sz w:val="20"/>
        </w:rPr>
        <w:t xml:space="preserve">I-40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1050" w:firstLine="0"/>
        <w:jc w:val="right"/>
      </w:pPr>
      <w:r>
        <w:rPr>
          <w:rFonts w:ascii="Arial" w:eastAsia="Arial" w:hAnsi="Arial" w:cs="Arial"/>
          <w:sz w:val="12"/>
        </w:rPr>
        <w:t xml:space="preserve">   </w:t>
      </w:r>
    </w:p>
    <w:p w:rsidR="004D6F0E" w:rsidRDefault="00490F21">
      <w:pPr>
        <w:spacing w:after="24" w:line="259" w:lineRule="auto"/>
        <w:ind w:left="0" w:right="9" w:firstLine="0"/>
        <w:jc w:val="right"/>
      </w:pPr>
      <w:r>
        <w:rPr>
          <w:sz w:val="18"/>
        </w:rPr>
        <w:t xml:space="preserve"> </w:t>
      </w:r>
    </w:p>
    <w:p w:rsidR="004D6F0E" w:rsidRDefault="00490F21">
      <w:pPr>
        <w:pStyle w:val="Heading3"/>
        <w:spacing w:after="0"/>
        <w:ind w:left="4" w:firstLine="11088"/>
      </w:pPr>
      <w:r>
        <w:rPr>
          <w:rFonts w:ascii="Arial" w:eastAsia="Arial" w:hAnsi="Arial" w:cs="Arial"/>
          <w:sz w:val="20"/>
        </w:rPr>
        <w:t xml:space="preserve"> </w:t>
      </w:r>
      <w:r>
        <w:t>摘要資料</w:t>
      </w:r>
      <w:r>
        <w:rPr>
          <w:rFonts w:ascii="Arial" w:eastAsia="Arial" w:hAnsi="Arial" w:cs="Arial"/>
          <w:sz w:val="20"/>
        </w:rPr>
        <w:t xml:space="preserve"> </w:t>
      </w:r>
    </w:p>
    <w:p w:rsidR="004D6F0E" w:rsidRDefault="00490F21">
      <w:pPr>
        <w:spacing w:after="29" w:line="259" w:lineRule="auto"/>
        <w:ind w:left="0" w:right="-55" w:firstLine="0"/>
      </w:pPr>
      <w:r>
        <w:rPr>
          <w:rFonts w:ascii="Calibri" w:eastAsia="Calibri" w:hAnsi="Calibri" w:cs="Calibri"/>
          <w:noProof/>
          <w:sz w:val="22"/>
        </w:rPr>
        <mc:AlternateContent>
          <mc:Choice Requires="wpg">
            <w:drawing>
              <wp:inline distT="0" distB="0" distL="0" distR="0">
                <wp:extent cx="7110984" cy="18288"/>
                <wp:effectExtent l="0" t="0" r="0" b="0"/>
                <wp:docPr id="480560" name="Group 480560"/>
                <wp:cNvGraphicFramePr/>
                <a:graphic xmlns:a="http://schemas.openxmlformats.org/drawingml/2006/main">
                  <a:graphicData uri="http://schemas.microsoft.com/office/word/2010/wordprocessingGroup">
                    <wpg:wgp>
                      <wpg:cNvGrpSpPr/>
                      <wpg:grpSpPr>
                        <a:xfrm>
                          <a:off x="0" y="0"/>
                          <a:ext cx="7110984" cy="18288"/>
                          <a:chOff x="0" y="0"/>
                          <a:chExt cx="7110984" cy="18288"/>
                        </a:xfrm>
                      </wpg:grpSpPr>
                      <wps:wsp>
                        <wps:cNvPr id="658095" name="Shape 658095"/>
                        <wps:cNvSpPr/>
                        <wps:spPr>
                          <a:xfrm>
                            <a:off x="0" y="0"/>
                            <a:ext cx="7110984" cy="18288"/>
                          </a:xfrm>
                          <a:custGeom>
                            <a:avLst/>
                            <a:gdLst/>
                            <a:ahLst/>
                            <a:cxnLst/>
                            <a:rect l="0" t="0" r="0" b="0"/>
                            <a:pathLst>
                              <a:path w="7110984" h="18288">
                                <a:moveTo>
                                  <a:pt x="0" y="0"/>
                                </a:moveTo>
                                <a:lnTo>
                                  <a:pt x="7110984" y="0"/>
                                </a:lnTo>
                                <a:lnTo>
                                  <a:pt x="71109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0560" style="width:559.92pt;height:1.44pt;mso-position-horizontal-relative:char;mso-position-vertical-relative:line" coordsize="71109,182">
                <v:shape id="Shape 658096" style="position:absolute;width:71109;height:182;left:0;top:0;" coordsize="7110984,18288" path="m0,0l7110984,0l7110984,18288l0,18288l0,0">
                  <v:stroke weight="0pt" endcap="flat" joinstyle="miter" miterlimit="10" on="false" color="#000000" opacity="0"/>
                  <v:fill on="true" color="#000000"/>
                </v:shape>
              </v:group>
            </w:pict>
          </mc:Fallback>
        </mc:AlternateContent>
      </w:r>
    </w:p>
    <w:p w:rsidR="004D6F0E" w:rsidRDefault="00490F21">
      <w:pPr>
        <w:ind w:left="117" w:right="2"/>
      </w:pPr>
      <w:r>
        <w:t>基金特色</w:t>
      </w:r>
      <w:r>
        <w:rPr>
          <w:rFonts w:ascii="Arial" w:eastAsia="Arial" w:hAnsi="Arial" w:cs="Arial"/>
          <w:b/>
        </w:rPr>
        <w:t xml:space="preserve"> </w:t>
      </w:r>
    </w:p>
    <w:tbl>
      <w:tblPr>
        <w:tblStyle w:val="TableGrid"/>
        <w:tblW w:w="10985" w:type="dxa"/>
        <w:tblInd w:w="108" w:type="dxa"/>
        <w:tblCellMar>
          <w:top w:w="1" w:type="dxa"/>
          <w:left w:w="0" w:type="dxa"/>
          <w:bottom w:w="0" w:type="dxa"/>
          <w:right w:w="0" w:type="dxa"/>
        </w:tblCellMar>
        <w:tblLook w:val="04A0" w:firstRow="1" w:lastRow="0" w:firstColumn="1" w:lastColumn="0" w:noHBand="0" w:noVBand="1"/>
      </w:tblPr>
      <w:tblGrid>
        <w:gridCol w:w="882"/>
        <w:gridCol w:w="4700"/>
        <w:gridCol w:w="5"/>
        <w:gridCol w:w="352"/>
        <w:gridCol w:w="5096"/>
      </w:tblGrid>
      <w:tr w:rsidR="004D6F0E">
        <w:trPr>
          <w:trHeight w:val="2026"/>
        </w:trPr>
        <w:tc>
          <w:tcPr>
            <w:tcW w:w="1668" w:type="dxa"/>
            <w:tcBorders>
              <w:top w:val="nil"/>
              <w:left w:val="nil"/>
              <w:bottom w:val="nil"/>
              <w:right w:val="nil"/>
            </w:tcBorders>
          </w:tcPr>
          <w:p w:rsidR="004D6F0E" w:rsidRDefault="00490F21">
            <w:pPr>
              <w:spacing w:after="7" w:line="259" w:lineRule="auto"/>
              <w:ind w:left="0" w:firstLine="0"/>
            </w:pPr>
            <w:r>
              <w:rPr>
                <w:sz w:val="18"/>
              </w:rPr>
              <w:t>基金貨幣</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資產淨值計算</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lastRenderedPageBreak/>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919" w:type="dxa"/>
            <w:tcBorders>
              <w:top w:val="nil"/>
              <w:left w:val="nil"/>
              <w:bottom w:val="nil"/>
              <w:right w:val="nil"/>
            </w:tcBorders>
          </w:tcPr>
          <w:p w:rsidR="004D6F0E" w:rsidRDefault="00490F21">
            <w:pPr>
              <w:spacing w:after="7" w:line="259" w:lineRule="auto"/>
              <w:ind w:left="144" w:firstLine="0"/>
            </w:pPr>
            <w:r>
              <w:rPr>
                <w:sz w:val="18"/>
              </w:rPr>
              <w:lastRenderedPageBreak/>
              <w:t>美元</w:t>
            </w:r>
            <w:r>
              <w:rPr>
                <w:rFonts w:ascii="Arial" w:eastAsia="Arial" w:hAnsi="Arial" w:cs="Arial"/>
                <w:sz w:val="18"/>
              </w:rPr>
              <w:t xml:space="preserve"> </w:t>
            </w:r>
          </w:p>
          <w:p w:rsidR="004D6F0E" w:rsidRDefault="00490F21">
            <w:pPr>
              <w:spacing w:after="0" w:line="259" w:lineRule="auto"/>
              <w:ind w:left="144" w:firstLine="0"/>
            </w:pPr>
            <w:r>
              <w:rPr>
                <w:rFonts w:ascii="Arial" w:eastAsia="Arial" w:hAnsi="Arial" w:cs="Arial"/>
                <w:sz w:val="18"/>
              </w:rPr>
              <w:t xml:space="preserve"> </w:t>
            </w:r>
          </w:p>
          <w:p w:rsidR="004D6F0E" w:rsidRDefault="00490F21">
            <w:pPr>
              <w:spacing w:after="10" w:line="259" w:lineRule="auto"/>
              <w:ind w:left="144" w:firstLine="0"/>
            </w:pPr>
            <w:r>
              <w:rPr>
                <w:sz w:val="18"/>
              </w:rPr>
              <w:t>每個營業日</w:t>
            </w:r>
            <w:r>
              <w:rPr>
                <w:rFonts w:ascii="Arial" w:eastAsia="Arial" w:hAnsi="Arial" w:cs="Arial"/>
                <w:sz w:val="18"/>
              </w:rPr>
              <w:t xml:space="preserve"> </w:t>
            </w:r>
          </w:p>
          <w:p w:rsidR="004D6F0E" w:rsidRDefault="00490F21">
            <w:pPr>
              <w:spacing w:after="8" w:line="259" w:lineRule="auto"/>
              <w:ind w:left="144" w:firstLine="0"/>
            </w:pPr>
            <w:r>
              <w:rPr>
                <w:rFonts w:ascii="Arial" w:eastAsia="Arial" w:hAnsi="Arial" w:cs="Arial"/>
                <w:sz w:val="18"/>
              </w:rPr>
              <w:t xml:space="preserve"> </w:t>
            </w:r>
          </w:p>
          <w:p w:rsidR="004D6F0E" w:rsidRDefault="00490F21">
            <w:pPr>
              <w:spacing w:after="0" w:line="259" w:lineRule="auto"/>
              <w:ind w:left="144" w:firstLine="0"/>
            </w:pPr>
            <w:r>
              <w:rPr>
                <w:sz w:val="18"/>
              </w:rPr>
              <w:t>可在</w:t>
            </w:r>
            <w:r>
              <w:rPr>
                <w:sz w:val="18"/>
              </w:rPr>
              <w:t xml:space="preserve"> </w:t>
            </w:r>
            <w:hyperlink r:id="rId140">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141">
              <w:r>
                <w:rPr>
                  <w:sz w:val="18"/>
                </w:rPr>
                <w:t>查</w:t>
              </w:r>
            </w:hyperlink>
            <w:r>
              <w:rPr>
                <w:sz w:val="18"/>
              </w:rPr>
              <w:t>閱。</w:t>
            </w:r>
            <w:r>
              <w:rPr>
                <w:rFonts w:ascii="Arial" w:eastAsia="Arial" w:hAnsi="Arial" w:cs="Arial"/>
                <w:sz w:val="18"/>
              </w:rPr>
              <w:t xml:space="preserve"> </w:t>
            </w:r>
          </w:p>
        </w:tc>
        <w:tc>
          <w:tcPr>
            <w:tcW w:w="5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250" w:type="dxa"/>
            <w:tcBorders>
              <w:top w:val="nil"/>
              <w:left w:val="nil"/>
              <w:bottom w:val="nil"/>
              <w:right w:val="nil"/>
            </w:tcBorders>
          </w:tcPr>
          <w:p w:rsidR="004D6F0E" w:rsidRDefault="00490F21">
            <w:pPr>
              <w:spacing w:after="242" w:line="259" w:lineRule="auto"/>
              <w:ind w:left="0" w:firstLine="0"/>
            </w:pPr>
            <w:r>
              <w:rPr>
                <w:sz w:val="18"/>
              </w:rPr>
              <w:t>派息</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607" w:type="dxa"/>
            <w:tcBorders>
              <w:top w:val="nil"/>
              <w:left w:val="nil"/>
              <w:bottom w:val="nil"/>
              <w:right w:val="nil"/>
            </w:tcBorders>
          </w:tcPr>
          <w:p w:rsidR="004D6F0E" w:rsidRDefault="00490F21">
            <w:pPr>
              <w:spacing w:after="0" w:line="270" w:lineRule="auto"/>
              <w:ind w:left="12" w:firstLine="0"/>
            </w:pPr>
            <w:r>
              <w:rPr>
                <w:rFonts w:ascii="Arial" w:eastAsia="Arial" w:hAnsi="Arial" w:cs="Arial"/>
                <w:i/>
                <w:sz w:val="18"/>
              </w:rPr>
              <w:t>A</w:t>
            </w:r>
            <w:r>
              <w:t>、</w:t>
            </w:r>
            <w:r>
              <w:rPr>
                <w:rFonts w:ascii="Arial" w:eastAsia="Arial" w:hAnsi="Arial" w:cs="Arial"/>
                <w:i/>
                <w:sz w:val="18"/>
              </w:rPr>
              <w:t>AX</w:t>
            </w:r>
            <w:r>
              <w:t>、</w:t>
            </w:r>
            <w:r>
              <w:rPr>
                <w:rFonts w:ascii="Arial" w:eastAsia="Arial" w:hAnsi="Arial" w:cs="Arial"/>
                <w:i/>
                <w:sz w:val="18"/>
              </w:rPr>
              <w:t>B</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S</w:t>
            </w:r>
            <w:r>
              <w:t>及</w:t>
            </w:r>
            <w:r>
              <w:rPr>
                <w:rFonts w:ascii="Arial" w:eastAsia="Arial" w:hAnsi="Arial" w:cs="Arial"/>
                <w:i/>
                <w:sz w:val="18"/>
              </w:rPr>
              <w:t>S1</w:t>
            </w:r>
            <w:r>
              <w:t>類股份</w:t>
            </w:r>
            <w:r>
              <w:rPr>
                <w:sz w:val="18"/>
              </w:rPr>
              <w:t>每日宣派，按月派付</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0" w:line="270" w:lineRule="auto"/>
              <w:ind w:left="12" w:firstLine="0"/>
            </w:pPr>
            <w:r>
              <w:rPr>
                <w:rFonts w:ascii="Arial" w:eastAsia="Arial" w:hAnsi="Arial" w:cs="Arial"/>
                <w:i/>
                <w:sz w:val="18"/>
              </w:rPr>
              <w:t>AJ</w:t>
            </w:r>
            <w:r>
              <w:t>、</w:t>
            </w:r>
            <w:r>
              <w:rPr>
                <w:rFonts w:ascii="Arial" w:eastAsia="Arial" w:hAnsi="Arial" w:cs="Arial"/>
                <w:i/>
                <w:sz w:val="18"/>
              </w:rPr>
              <w:t>AT</w:t>
            </w:r>
            <w:r>
              <w:t>、</w:t>
            </w:r>
            <w:r>
              <w:rPr>
                <w:rFonts w:ascii="Arial" w:eastAsia="Arial" w:hAnsi="Arial" w:cs="Arial"/>
                <w:i/>
                <w:sz w:val="18"/>
              </w:rPr>
              <w:t>CT</w:t>
            </w:r>
            <w:r>
              <w:t>、</w:t>
            </w:r>
            <w:r>
              <w:rPr>
                <w:rFonts w:ascii="Arial" w:eastAsia="Arial" w:hAnsi="Arial" w:cs="Arial"/>
                <w:i/>
                <w:sz w:val="18"/>
              </w:rPr>
              <w:t>IT</w:t>
            </w:r>
            <w:r>
              <w:t>及</w:t>
            </w:r>
            <w:r>
              <w:rPr>
                <w:rFonts w:ascii="Arial" w:eastAsia="Arial" w:hAnsi="Arial" w:cs="Arial"/>
                <w:i/>
                <w:sz w:val="18"/>
              </w:rPr>
              <w:t>NT</w:t>
            </w:r>
            <w:r>
              <w:t>類股份</w:t>
            </w:r>
            <w:r>
              <w:rPr>
                <w:sz w:val="18"/>
              </w:rPr>
              <w:t>按月宣派及派付</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i/>
                <w:sz w:val="18"/>
              </w:rPr>
              <w:t>AA</w:t>
            </w:r>
            <w:r>
              <w:t>及</w:t>
            </w:r>
            <w:r>
              <w:rPr>
                <w:rFonts w:ascii="Arial" w:eastAsia="Arial" w:hAnsi="Arial" w:cs="Arial"/>
                <w:i/>
                <w:sz w:val="18"/>
              </w:rPr>
              <w:t>SA</w:t>
            </w:r>
            <w:r>
              <w:t>類股份</w:t>
            </w:r>
            <w:r>
              <w:rPr>
                <w:sz w:val="18"/>
              </w:rPr>
              <w:t>按月宣派及派付，派息率來自於總收入（扣除費用及開支前）</w:t>
            </w:r>
            <w:r>
              <w:rPr>
                <w:rFonts w:ascii="Arial" w:eastAsia="Arial" w:hAnsi="Arial" w:cs="Arial"/>
                <w:sz w:val="18"/>
              </w:rPr>
              <w:t xml:space="preserve"> </w:t>
            </w:r>
          </w:p>
        </w:tc>
      </w:tr>
      <w:tr w:rsidR="004D6F0E">
        <w:trPr>
          <w:trHeight w:val="928"/>
        </w:trPr>
        <w:tc>
          <w:tcPr>
            <w:tcW w:w="1668" w:type="dxa"/>
            <w:tcBorders>
              <w:top w:val="nil"/>
              <w:left w:val="nil"/>
              <w:bottom w:val="nil"/>
              <w:right w:val="nil"/>
            </w:tcBorders>
          </w:tcPr>
          <w:p w:rsidR="004D6F0E" w:rsidRDefault="00490F21">
            <w:pPr>
              <w:spacing w:after="0" w:line="259" w:lineRule="auto"/>
              <w:ind w:left="0" w:firstLine="0"/>
            </w:pPr>
            <w:r>
              <w:rPr>
                <w:sz w:val="18"/>
              </w:rPr>
              <w:t>股份類別名稱</w:t>
            </w:r>
            <w:r>
              <w:rPr>
                <w:rFonts w:ascii="Arial" w:eastAsia="Arial" w:hAnsi="Arial" w:cs="Arial"/>
                <w:sz w:val="18"/>
              </w:rPr>
              <w:t xml:space="preserve"> </w:t>
            </w:r>
          </w:p>
        </w:tc>
        <w:tc>
          <w:tcPr>
            <w:tcW w:w="3919" w:type="dxa"/>
            <w:tcBorders>
              <w:top w:val="nil"/>
              <w:left w:val="nil"/>
              <w:bottom w:val="nil"/>
              <w:right w:val="nil"/>
            </w:tcBorders>
          </w:tcPr>
          <w:p w:rsidR="004D6F0E" w:rsidRDefault="00490F21">
            <w:pPr>
              <w:spacing w:after="0" w:line="259" w:lineRule="auto"/>
              <w:ind w:left="144" w:right="211" w:firstLine="0"/>
              <w:jc w:val="both"/>
            </w:pP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 </w:t>
            </w:r>
            <w:r>
              <w:rPr>
                <w:sz w:val="18"/>
              </w:rPr>
              <w:t>貨幣對沖股份類別」和「風險因素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tc>
        <w:tc>
          <w:tcPr>
            <w:tcW w:w="5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2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3607" w:type="dxa"/>
            <w:tcBorders>
              <w:top w:val="nil"/>
              <w:left w:val="nil"/>
              <w:bottom w:val="nil"/>
              <w:right w:val="nil"/>
            </w:tcBorders>
          </w:tcPr>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i/>
                <w:sz w:val="18"/>
              </w:rPr>
              <w:t>AR</w:t>
            </w:r>
            <w:r>
              <w:t>類股份</w:t>
            </w:r>
            <w:r>
              <w:rPr>
                <w:rFonts w:ascii="Arial" w:eastAsia="Arial" w:hAnsi="Arial" w:cs="Arial"/>
                <w:i/>
                <w:sz w:val="18"/>
              </w:rPr>
              <w:t xml:space="preserve"> </w:t>
            </w:r>
          </w:p>
          <w:p w:rsidR="004D6F0E" w:rsidRDefault="00490F21">
            <w:pPr>
              <w:spacing w:after="0" w:line="259" w:lineRule="auto"/>
              <w:ind w:left="12" w:firstLine="0"/>
            </w:pPr>
            <w:r>
              <w:rPr>
                <w:sz w:val="18"/>
              </w:rPr>
              <w:t>按年宣派及派付，派息率來自於總收入（扣除費用及開支前）</w:t>
            </w:r>
            <w:r>
              <w:rPr>
                <w:rFonts w:ascii="Arial" w:eastAsia="Arial" w:hAnsi="Arial" w:cs="Arial"/>
                <w:sz w:val="18"/>
              </w:rPr>
              <w:t xml:space="preserve"> </w:t>
            </w:r>
          </w:p>
        </w:tc>
      </w:tr>
      <w:tr w:rsidR="004D6F0E">
        <w:trPr>
          <w:trHeight w:val="214"/>
        </w:trPr>
        <w:tc>
          <w:tcPr>
            <w:tcW w:w="1668" w:type="dxa"/>
            <w:vMerge w:val="restart"/>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指示截止時間</w:t>
            </w:r>
            <w:r>
              <w:rPr>
                <w:rFonts w:ascii="Arial" w:eastAsia="Arial" w:hAnsi="Arial" w:cs="Arial"/>
                <w:sz w:val="18"/>
              </w:rPr>
              <w:t xml:space="preserve"> </w:t>
            </w:r>
          </w:p>
        </w:tc>
        <w:tc>
          <w:tcPr>
            <w:tcW w:w="3919" w:type="dxa"/>
            <w:tcBorders>
              <w:top w:val="nil"/>
              <w:left w:val="nil"/>
              <w:bottom w:val="nil"/>
              <w:right w:val="nil"/>
            </w:tcBorders>
          </w:tcPr>
          <w:p w:rsidR="004D6F0E" w:rsidRDefault="00490F21">
            <w:pPr>
              <w:spacing w:after="0" w:line="259" w:lineRule="auto"/>
              <w:ind w:left="144" w:firstLine="0"/>
            </w:pPr>
            <w:r>
              <w:rPr>
                <w:rFonts w:ascii="Arial" w:eastAsia="Arial" w:hAnsi="Arial" w:cs="Arial"/>
                <w:sz w:val="18"/>
              </w:rPr>
              <w:t xml:space="preserve"> </w:t>
            </w:r>
          </w:p>
        </w:tc>
        <w:tc>
          <w:tcPr>
            <w:tcW w:w="5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250" w:type="dxa"/>
            <w:vMerge w:val="restart"/>
            <w:tcBorders>
              <w:top w:val="nil"/>
              <w:left w:val="nil"/>
              <w:bottom w:val="nil"/>
              <w:right w:val="nil"/>
            </w:tcBorders>
          </w:tcPr>
          <w:p w:rsidR="004D6F0E" w:rsidRDefault="004D6F0E">
            <w:pPr>
              <w:spacing w:after="160" w:line="259" w:lineRule="auto"/>
              <w:ind w:left="0" w:firstLine="0"/>
            </w:pPr>
          </w:p>
        </w:tc>
        <w:tc>
          <w:tcPr>
            <w:tcW w:w="3607" w:type="dxa"/>
            <w:vMerge w:val="restart"/>
            <w:tcBorders>
              <w:top w:val="nil"/>
              <w:left w:val="nil"/>
              <w:bottom w:val="nil"/>
              <w:right w:val="nil"/>
            </w:tcBorders>
          </w:tcPr>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0" w:line="259" w:lineRule="auto"/>
              <w:ind w:left="12" w:firstLine="0"/>
              <w:jc w:val="both"/>
            </w:pPr>
            <w:r>
              <w:rPr>
                <w:rFonts w:ascii="Arial" w:eastAsia="Arial" w:hAnsi="Arial" w:cs="Arial"/>
                <w:i/>
                <w:sz w:val="18"/>
              </w:rPr>
              <w:t>A2</w:t>
            </w:r>
            <w:r>
              <w:t>、</w:t>
            </w:r>
            <w:r>
              <w:rPr>
                <w:rFonts w:ascii="Arial" w:eastAsia="Arial" w:hAnsi="Arial" w:cs="Arial"/>
                <w:i/>
                <w:sz w:val="18"/>
              </w:rPr>
              <w:t>C2</w:t>
            </w:r>
            <w:r>
              <w:t>、</w:t>
            </w:r>
            <w:r>
              <w:rPr>
                <w:rFonts w:ascii="Arial" w:eastAsia="Arial" w:hAnsi="Arial" w:cs="Arial"/>
                <w:i/>
                <w:sz w:val="18"/>
              </w:rPr>
              <w:t>I2</w:t>
            </w:r>
            <w:r>
              <w:t>、</w:t>
            </w:r>
            <w:r>
              <w:rPr>
                <w:rFonts w:ascii="Arial" w:eastAsia="Arial" w:hAnsi="Arial" w:cs="Arial"/>
                <w:i/>
                <w:sz w:val="18"/>
              </w:rPr>
              <w:t>N2</w:t>
            </w:r>
            <w:r>
              <w:t>、</w:t>
            </w:r>
            <w:r>
              <w:rPr>
                <w:rFonts w:ascii="Arial" w:eastAsia="Arial" w:hAnsi="Arial" w:cs="Arial"/>
                <w:i/>
                <w:sz w:val="18"/>
              </w:rPr>
              <w:t>S</w:t>
            </w:r>
            <w:r>
              <w:t>類</w:t>
            </w:r>
            <w:r>
              <w:rPr>
                <w:rFonts w:ascii="Arial" w:eastAsia="Arial" w:hAnsi="Arial" w:cs="Arial"/>
                <w:i/>
                <w:sz w:val="18"/>
              </w:rPr>
              <w:t>H</w:t>
            </w:r>
            <w:r>
              <w:t>歐元股份、</w:t>
            </w:r>
            <w:r>
              <w:rPr>
                <w:rFonts w:ascii="Arial" w:eastAsia="Arial" w:hAnsi="Arial" w:cs="Arial"/>
                <w:i/>
                <w:sz w:val="18"/>
              </w:rPr>
              <w:t>S1</w:t>
            </w:r>
            <w:r>
              <w:t>類</w:t>
            </w:r>
            <w:r>
              <w:rPr>
                <w:rFonts w:ascii="Arial" w:eastAsia="Arial" w:hAnsi="Arial" w:cs="Arial"/>
                <w:i/>
                <w:sz w:val="18"/>
              </w:rPr>
              <w:t>H</w:t>
            </w:r>
          </w:p>
        </w:tc>
      </w:tr>
      <w:tr w:rsidR="004D6F0E">
        <w:trPr>
          <w:trHeight w:val="209"/>
        </w:trPr>
        <w:tc>
          <w:tcPr>
            <w:tcW w:w="0" w:type="auto"/>
            <w:vMerge/>
            <w:tcBorders>
              <w:top w:val="nil"/>
              <w:left w:val="nil"/>
              <w:bottom w:val="nil"/>
              <w:right w:val="nil"/>
            </w:tcBorders>
          </w:tcPr>
          <w:p w:rsidR="004D6F0E" w:rsidRDefault="004D6F0E">
            <w:pPr>
              <w:spacing w:after="160" w:line="259" w:lineRule="auto"/>
              <w:ind w:left="0" w:firstLine="0"/>
            </w:pPr>
          </w:p>
        </w:tc>
        <w:tc>
          <w:tcPr>
            <w:tcW w:w="4459" w:type="dxa"/>
            <w:gridSpan w:val="2"/>
            <w:tcBorders>
              <w:top w:val="nil"/>
              <w:left w:val="nil"/>
              <w:bottom w:val="nil"/>
              <w:right w:val="nil"/>
            </w:tcBorders>
          </w:tcPr>
          <w:p w:rsidR="004D6F0E" w:rsidRDefault="00490F21">
            <w:pPr>
              <w:spacing w:after="0" w:line="259" w:lineRule="auto"/>
              <w:ind w:left="132" w:firstLine="0"/>
            </w:pPr>
            <w:r>
              <w:t>美元計價股份類別、歐元計價股份類別及港元</w:t>
            </w:r>
            <w:r>
              <w:rPr>
                <w:rFonts w:ascii="Arial" w:eastAsia="Arial" w:hAnsi="Arial" w:cs="Arial"/>
                <w:sz w:val="18"/>
              </w:rPr>
              <w:t xml:space="preserve"> </w:t>
            </w:r>
          </w:p>
        </w:tc>
        <w:tc>
          <w:tcPr>
            <w:tcW w:w="0" w:type="auto"/>
            <w:vMerge/>
            <w:tcBorders>
              <w:top w:val="nil"/>
              <w:left w:val="nil"/>
              <w:bottom w:val="nil"/>
              <w:right w:val="nil"/>
            </w:tcBorders>
          </w:tcPr>
          <w:p w:rsidR="004D6F0E" w:rsidRDefault="004D6F0E">
            <w:pPr>
              <w:spacing w:after="160" w:line="259" w:lineRule="auto"/>
              <w:ind w:left="0" w:firstLine="0"/>
            </w:pPr>
          </w:p>
        </w:tc>
        <w:tc>
          <w:tcPr>
            <w:tcW w:w="0" w:type="auto"/>
            <w:vMerge/>
            <w:tcBorders>
              <w:top w:val="nil"/>
              <w:left w:val="nil"/>
              <w:bottom w:val="nil"/>
              <w:right w:val="nil"/>
            </w:tcBorders>
          </w:tcPr>
          <w:p w:rsidR="004D6F0E" w:rsidRDefault="004D6F0E">
            <w:pPr>
              <w:spacing w:after="160" w:line="259" w:lineRule="auto"/>
              <w:ind w:left="0" w:firstLine="0"/>
            </w:pPr>
          </w:p>
        </w:tc>
      </w:tr>
    </w:tbl>
    <w:p w:rsidR="004D6F0E" w:rsidRDefault="00490F21">
      <w:pPr>
        <w:tabs>
          <w:tab w:val="center" w:pos="2478"/>
          <w:tab w:val="right" w:pos="11143"/>
        </w:tabs>
        <w:spacing w:after="56" w:line="265" w:lineRule="auto"/>
        <w:ind w:left="0" w:firstLine="0"/>
      </w:pPr>
      <w:r>
        <w:rPr>
          <w:rFonts w:ascii="Calibri" w:eastAsia="Calibri" w:hAnsi="Calibri" w:cs="Calibri"/>
          <w:sz w:val="22"/>
        </w:rPr>
        <w:tab/>
      </w:r>
      <w:r>
        <w:t>計價股份類別</w:t>
      </w:r>
      <w:r>
        <w:rPr>
          <w:rFonts w:ascii="Arial" w:eastAsia="Arial" w:hAnsi="Arial" w:cs="Arial"/>
          <w:i/>
          <w:sz w:val="18"/>
        </w:rPr>
        <w:t xml:space="preserve"> </w:t>
      </w:r>
      <w:r>
        <w:rPr>
          <w:rFonts w:ascii="Arial" w:eastAsia="Arial" w:hAnsi="Arial" w:cs="Arial"/>
          <w:i/>
          <w:sz w:val="18"/>
        </w:rPr>
        <w:tab/>
      </w:r>
      <w:r>
        <w:t>歐元股份、</w:t>
      </w:r>
      <w:r>
        <w:rPr>
          <w:rFonts w:ascii="Arial" w:eastAsia="Arial" w:hAnsi="Arial" w:cs="Arial"/>
          <w:i/>
          <w:sz w:val="18"/>
        </w:rPr>
        <w:t>S</w:t>
      </w:r>
      <w:r>
        <w:t>類</w:t>
      </w:r>
      <w:r>
        <w:rPr>
          <w:rFonts w:ascii="Arial" w:eastAsia="Arial" w:hAnsi="Arial" w:cs="Arial"/>
          <w:i/>
          <w:sz w:val="18"/>
        </w:rPr>
        <w:t>H</w:t>
      </w:r>
      <w:r>
        <w:t>新加坡元股份、</w:t>
      </w:r>
      <w:r>
        <w:rPr>
          <w:rFonts w:ascii="Arial" w:eastAsia="Arial" w:hAnsi="Arial" w:cs="Arial"/>
          <w:i/>
          <w:sz w:val="18"/>
        </w:rPr>
        <w:t>S2</w:t>
      </w:r>
      <w:r>
        <w:t>及</w:t>
      </w:r>
      <w:r>
        <w:rPr>
          <w:rFonts w:ascii="Arial" w:eastAsia="Arial" w:hAnsi="Arial" w:cs="Arial"/>
          <w:i/>
          <w:sz w:val="18"/>
        </w:rPr>
        <w:t>S1 2</w:t>
      </w:r>
    </w:p>
    <w:p w:rsidR="004D6F0E" w:rsidRDefault="00490F21">
      <w:pPr>
        <w:ind w:left="1930" w:right="2696" w:hanging="10"/>
      </w:pPr>
      <w:r>
        <w:rPr>
          <w:sz w:val="18"/>
        </w:rPr>
        <w:t>美國東部時間各營業日下午</w:t>
      </w:r>
      <w:r>
        <w:rPr>
          <w:sz w:val="18"/>
        </w:rPr>
        <w:t xml:space="preserve"> </w:t>
      </w:r>
      <w:r>
        <w:rPr>
          <w:rFonts w:ascii="Arial" w:eastAsia="Arial" w:hAnsi="Arial" w:cs="Arial"/>
          <w:sz w:val="18"/>
        </w:rPr>
        <w:t xml:space="preserve">4:00 </w:t>
      </w:r>
      <w:r>
        <w:rPr>
          <w:rFonts w:ascii="Arial" w:eastAsia="Arial" w:hAnsi="Arial" w:cs="Arial"/>
          <w:sz w:val="18"/>
        </w:rPr>
        <w:tab/>
      </w:r>
      <w:r>
        <w:t>類股份</w:t>
      </w:r>
      <w:r>
        <w:rPr>
          <w:rFonts w:ascii="Arial" w:eastAsia="Arial" w:hAnsi="Arial" w:cs="Arial"/>
          <w:i/>
          <w:sz w:val="18"/>
        </w:rPr>
        <w:t xml:space="preserve"> </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tabs>
          <w:tab w:val="center" w:pos="2658"/>
          <w:tab w:val="center" w:pos="8218"/>
        </w:tabs>
        <w:spacing w:line="259" w:lineRule="auto"/>
        <w:ind w:left="0" w:firstLine="0"/>
      </w:pPr>
      <w:r>
        <w:rPr>
          <w:rFonts w:ascii="Calibri" w:eastAsia="Calibri" w:hAnsi="Calibri" w:cs="Calibri"/>
          <w:sz w:val="22"/>
        </w:rPr>
        <w:tab/>
      </w:r>
      <w:r>
        <w:t>貨幣對沖股份類別</w:t>
      </w:r>
      <w:r>
        <w:rPr>
          <w:rFonts w:ascii="Arial" w:eastAsia="Arial" w:hAnsi="Arial" w:cs="Arial"/>
          <w:i/>
          <w:sz w:val="18"/>
        </w:rPr>
        <w:t xml:space="preserve"> </w:t>
      </w:r>
      <w:r>
        <w:rPr>
          <w:rFonts w:ascii="Arial" w:eastAsia="Arial" w:hAnsi="Arial" w:cs="Arial"/>
          <w:i/>
          <w:sz w:val="18"/>
        </w:rPr>
        <w:tab/>
      </w:r>
      <w:r>
        <w:rPr>
          <w:sz w:val="18"/>
        </w:rPr>
        <w:t>見下文「派息」。</w:t>
      </w:r>
      <w:r>
        <w:rPr>
          <w:rFonts w:ascii="Arial" w:eastAsia="Arial" w:hAnsi="Arial" w:cs="Arial"/>
          <w:sz w:val="18"/>
        </w:rPr>
        <w:t xml:space="preserve"> </w:t>
      </w:r>
    </w:p>
    <w:p w:rsidR="004D6F0E" w:rsidRDefault="00490F21">
      <w:pPr>
        <w:tabs>
          <w:tab w:val="center" w:pos="3198"/>
          <w:tab w:val="center" w:pos="8972"/>
        </w:tabs>
        <w:ind w:left="0" w:firstLine="0"/>
      </w:pPr>
      <w:r>
        <w:rPr>
          <w:rFonts w:ascii="Calibri" w:eastAsia="Calibri" w:hAnsi="Calibri" w:cs="Calibri"/>
          <w:sz w:val="22"/>
        </w:rPr>
        <w:tab/>
      </w:r>
      <w:r>
        <w:rPr>
          <w:sz w:val="18"/>
        </w:rPr>
        <w:t>歐洲中部時間各營業日下午</w:t>
      </w:r>
      <w:r>
        <w:rPr>
          <w:sz w:val="18"/>
        </w:rPr>
        <w:t xml:space="preserve"> </w:t>
      </w:r>
      <w:r>
        <w:rPr>
          <w:rFonts w:ascii="Arial" w:eastAsia="Arial" w:hAnsi="Arial" w:cs="Arial"/>
          <w:sz w:val="18"/>
        </w:rPr>
        <w:t>6:00</w:t>
      </w:r>
      <w:r>
        <w:rPr>
          <w:rFonts w:ascii="Arial" w:eastAsia="Arial" w:hAnsi="Arial" w:cs="Arial"/>
          <w:i/>
          <w:sz w:val="18"/>
        </w:rPr>
        <w:t xml:space="preserve"> </w:t>
      </w:r>
      <w:r>
        <w:rPr>
          <w:rFonts w:ascii="Arial" w:eastAsia="Arial" w:hAnsi="Arial" w:cs="Arial"/>
          <w:i/>
          <w:sz w:val="18"/>
        </w:rPr>
        <w:tab/>
      </w:r>
      <w:r>
        <w:rPr>
          <w:rFonts w:ascii="Arial" w:eastAsia="Arial" w:hAnsi="Arial" w:cs="Arial"/>
          <w:sz w:val="18"/>
        </w:rPr>
        <w:t>*</w:t>
      </w:r>
      <w:r>
        <w:rPr>
          <w:sz w:val="18"/>
        </w:rPr>
        <w:t>包括對沖股份類別（除非另行說明）</w:t>
      </w:r>
      <w:r>
        <w:rPr>
          <w:rFonts w:ascii="Arial" w:eastAsia="Arial" w:hAnsi="Arial" w:cs="Arial"/>
          <w:sz w:val="18"/>
        </w:rPr>
        <w:t xml:space="preserve"> </w:t>
      </w:r>
    </w:p>
    <w:p w:rsidR="004D6F0E" w:rsidRDefault="00490F21">
      <w:pPr>
        <w:spacing w:after="0" w:line="259" w:lineRule="auto"/>
        <w:ind w:left="3902" w:firstLine="0"/>
        <w:jc w:val="center"/>
      </w:pPr>
      <w:r>
        <w:rPr>
          <w:rFonts w:ascii="Arial" w:eastAsia="Arial" w:hAnsi="Arial" w:cs="Arial"/>
          <w:sz w:val="18"/>
        </w:rPr>
        <w:t xml:space="preserve"> </w:t>
      </w:r>
    </w:p>
    <w:p w:rsidR="004D6F0E" w:rsidRDefault="00490F21">
      <w:pPr>
        <w:spacing w:after="0" w:line="259" w:lineRule="auto"/>
        <w:ind w:left="-7" w:right="-55" w:firstLine="0"/>
      </w:pPr>
      <w:r>
        <w:rPr>
          <w:rFonts w:ascii="Calibri" w:eastAsia="Calibri" w:hAnsi="Calibri" w:cs="Calibri"/>
          <w:noProof/>
          <w:sz w:val="22"/>
        </w:rPr>
        <mc:AlternateContent>
          <mc:Choice Requires="wpg">
            <w:drawing>
              <wp:inline distT="0" distB="0" distL="0" distR="0">
                <wp:extent cx="7115557" cy="335280"/>
                <wp:effectExtent l="0" t="0" r="0" b="0"/>
                <wp:docPr id="480561" name="Group 480561"/>
                <wp:cNvGraphicFramePr/>
                <a:graphic xmlns:a="http://schemas.openxmlformats.org/drawingml/2006/main">
                  <a:graphicData uri="http://schemas.microsoft.com/office/word/2010/wordprocessingGroup">
                    <wpg:wgp>
                      <wpg:cNvGrpSpPr/>
                      <wpg:grpSpPr>
                        <a:xfrm>
                          <a:off x="0" y="0"/>
                          <a:ext cx="7115557" cy="335280"/>
                          <a:chOff x="0" y="0"/>
                          <a:chExt cx="7115557" cy="335280"/>
                        </a:xfrm>
                      </wpg:grpSpPr>
                      <wps:wsp>
                        <wps:cNvPr id="18731" name="Rectangle 18731"/>
                        <wps:cNvSpPr/>
                        <wps:spPr>
                          <a:xfrm>
                            <a:off x="73152" y="34963"/>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18732" name="Rectangle 18732"/>
                        <wps:cNvSpPr/>
                        <wps:spPr>
                          <a:xfrm>
                            <a:off x="1132332" y="32916"/>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18733" name="Rectangle 18733"/>
                        <wps:cNvSpPr/>
                        <wps:spPr>
                          <a:xfrm>
                            <a:off x="1173480" y="32916"/>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099" name="Shape 65809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0" name="Shape 658100"/>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1" name="Shape 658101"/>
                        <wps:cNvSpPr/>
                        <wps:spPr>
                          <a:xfrm>
                            <a:off x="22860" y="0"/>
                            <a:ext cx="1132332" cy="18288"/>
                          </a:xfrm>
                          <a:custGeom>
                            <a:avLst/>
                            <a:gdLst/>
                            <a:ahLst/>
                            <a:cxnLst/>
                            <a:rect l="0" t="0" r="0" b="0"/>
                            <a:pathLst>
                              <a:path w="1132332" h="18288">
                                <a:moveTo>
                                  <a:pt x="0" y="0"/>
                                </a:moveTo>
                                <a:lnTo>
                                  <a:pt x="1132332" y="0"/>
                                </a:lnTo>
                                <a:lnTo>
                                  <a:pt x="11323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2" name="Shape 658102"/>
                        <wps:cNvSpPr/>
                        <wps:spPr>
                          <a:xfrm>
                            <a:off x="115519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3" name="Shape 658103"/>
                        <wps:cNvSpPr/>
                        <wps:spPr>
                          <a:xfrm>
                            <a:off x="1173480" y="0"/>
                            <a:ext cx="2378964" cy="18288"/>
                          </a:xfrm>
                          <a:custGeom>
                            <a:avLst/>
                            <a:gdLst/>
                            <a:ahLst/>
                            <a:cxnLst/>
                            <a:rect l="0" t="0" r="0" b="0"/>
                            <a:pathLst>
                              <a:path w="2378964" h="18288">
                                <a:moveTo>
                                  <a:pt x="0" y="0"/>
                                </a:moveTo>
                                <a:lnTo>
                                  <a:pt x="2378964" y="0"/>
                                </a:lnTo>
                                <a:lnTo>
                                  <a:pt x="23789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4" name="Shape 658104"/>
                        <wps:cNvSpPr/>
                        <wps:spPr>
                          <a:xfrm>
                            <a:off x="35524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5" name="Shape 658105"/>
                        <wps:cNvSpPr/>
                        <wps:spPr>
                          <a:xfrm>
                            <a:off x="3570732" y="0"/>
                            <a:ext cx="324612" cy="18288"/>
                          </a:xfrm>
                          <a:custGeom>
                            <a:avLst/>
                            <a:gdLst/>
                            <a:ahLst/>
                            <a:cxnLst/>
                            <a:rect l="0" t="0" r="0" b="0"/>
                            <a:pathLst>
                              <a:path w="324612" h="18288">
                                <a:moveTo>
                                  <a:pt x="0" y="0"/>
                                </a:moveTo>
                                <a:lnTo>
                                  <a:pt x="324612" y="0"/>
                                </a:lnTo>
                                <a:lnTo>
                                  <a:pt x="3246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6" name="Shape 658106"/>
                        <wps:cNvSpPr/>
                        <wps:spPr>
                          <a:xfrm>
                            <a:off x="3895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7" name="Shape 658107"/>
                        <wps:cNvSpPr/>
                        <wps:spPr>
                          <a:xfrm>
                            <a:off x="3913632" y="0"/>
                            <a:ext cx="783336" cy="18288"/>
                          </a:xfrm>
                          <a:custGeom>
                            <a:avLst/>
                            <a:gdLst/>
                            <a:ahLst/>
                            <a:cxnLst/>
                            <a:rect l="0" t="0" r="0" b="0"/>
                            <a:pathLst>
                              <a:path w="783336" h="18288">
                                <a:moveTo>
                                  <a:pt x="0" y="0"/>
                                </a:moveTo>
                                <a:lnTo>
                                  <a:pt x="783336" y="0"/>
                                </a:lnTo>
                                <a:lnTo>
                                  <a:pt x="783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8" name="Shape 658108"/>
                        <wps:cNvSpPr/>
                        <wps:spPr>
                          <a:xfrm>
                            <a:off x="469696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09" name="Shape 658109"/>
                        <wps:cNvSpPr/>
                        <wps:spPr>
                          <a:xfrm>
                            <a:off x="4715256" y="0"/>
                            <a:ext cx="2400301" cy="18288"/>
                          </a:xfrm>
                          <a:custGeom>
                            <a:avLst/>
                            <a:gdLst/>
                            <a:ahLst/>
                            <a:cxnLst/>
                            <a:rect l="0" t="0" r="0" b="0"/>
                            <a:pathLst>
                              <a:path w="2400301" h="18288">
                                <a:moveTo>
                                  <a:pt x="0" y="0"/>
                                </a:moveTo>
                                <a:lnTo>
                                  <a:pt x="2400301" y="0"/>
                                </a:lnTo>
                                <a:lnTo>
                                  <a:pt x="240030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6" name="Rectangle 18746"/>
                        <wps:cNvSpPr/>
                        <wps:spPr>
                          <a:xfrm>
                            <a:off x="1827276" y="1858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18747" name="Rectangle 18747"/>
                        <wps:cNvSpPr/>
                        <wps:spPr>
                          <a:xfrm>
                            <a:off x="2429256"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18748" name="Rectangle 18748"/>
                        <wps:cNvSpPr/>
                        <wps:spPr>
                          <a:xfrm>
                            <a:off x="2470404" y="183792"/>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112" name="Shape 658112"/>
                        <wps:cNvSpPr/>
                        <wps:spPr>
                          <a:xfrm>
                            <a:off x="1488948" y="329184"/>
                            <a:ext cx="1321308" cy="9144"/>
                          </a:xfrm>
                          <a:custGeom>
                            <a:avLst/>
                            <a:gdLst/>
                            <a:ahLst/>
                            <a:cxnLst/>
                            <a:rect l="0" t="0" r="0" b="0"/>
                            <a:pathLst>
                              <a:path w="1321308" h="9144">
                                <a:moveTo>
                                  <a:pt x="0" y="0"/>
                                </a:moveTo>
                                <a:lnTo>
                                  <a:pt x="1321308" y="0"/>
                                </a:lnTo>
                                <a:lnTo>
                                  <a:pt x="13213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0" name="Rectangle 18750"/>
                        <wps:cNvSpPr/>
                        <wps:spPr>
                          <a:xfrm>
                            <a:off x="3374136" y="1858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18751" name="Rectangle 18751"/>
                        <wps:cNvSpPr/>
                        <wps:spPr>
                          <a:xfrm>
                            <a:off x="3747516"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18752" name="Rectangle 18752"/>
                        <wps:cNvSpPr/>
                        <wps:spPr>
                          <a:xfrm>
                            <a:off x="3788664" y="183792"/>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115" name="Shape 658115"/>
                        <wps:cNvSpPr/>
                        <wps:spPr>
                          <a:xfrm>
                            <a:off x="2919984" y="329184"/>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4" name="Rectangle 18754"/>
                        <wps:cNvSpPr/>
                        <wps:spPr>
                          <a:xfrm>
                            <a:off x="4806696" y="1858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18755" name="Rectangle 18755"/>
                        <wps:cNvSpPr/>
                        <wps:spPr>
                          <a:xfrm>
                            <a:off x="5180076"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18756" name="Rectangle 18756"/>
                        <wps:cNvSpPr/>
                        <wps:spPr>
                          <a:xfrm>
                            <a:off x="5221224" y="183792"/>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118" name="Shape 658118"/>
                        <wps:cNvSpPr/>
                        <wps:spPr>
                          <a:xfrm>
                            <a:off x="4352544" y="329184"/>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 name="Rectangle 18758"/>
                        <wps:cNvSpPr/>
                        <wps:spPr>
                          <a:xfrm>
                            <a:off x="5986272" y="185839"/>
                            <a:ext cx="1064133" cy="152019"/>
                          </a:xfrm>
                          <a:prstGeom prst="rect">
                            <a:avLst/>
                          </a:prstGeom>
                          <a:ln>
                            <a:noFill/>
                          </a:ln>
                        </wps:spPr>
                        <wps:txbx>
                          <w:txbxContent>
                            <w:p w:rsidR="004D6F0E" w:rsidRDefault="00490F21">
                              <w:pPr>
                                <w:spacing w:after="160" w:line="259" w:lineRule="auto"/>
                                <w:ind w:left="0" w:firstLine="0"/>
                              </w:pPr>
                              <w:r>
                                <w:rPr>
                                  <w:w w:val="99"/>
                                  <w:sz w:val="18"/>
                                </w:rPr>
                                <w:t>或有遞延銷售費</w:t>
                              </w:r>
                            </w:p>
                          </w:txbxContent>
                        </wps:txbx>
                        <wps:bodyPr horzOverflow="overflow" vert="horz" lIns="0" tIns="0" rIns="0" bIns="0" rtlCol="0">
                          <a:noAutofit/>
                        </wps:bodyPr>
                      </wps:wsp>
                      <wps:wsp>
                        <wps:cNvPr id="18759" name="Rectangle 18759"/>
                        <wps:cNvSpPr/>
                        <wps:spPr>
                          <a:xfrm>
                            <a:off x="6816852"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18760" name="Rectangle 18760"/>
                        <wps:cNvSpPr/>
                        <wps:spPr>
                          <a:xfrm>
                            <a:off x="6858000" y="183792"/>
                            <a:ext cx="28175"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121" name="Shape 658121"/>
                        <wps:cNvSpPr/>
                        <wps:spPr>
                          <a:xfrm>
                            <a:off x="5785104" y="329184"/>
                            <a:ext cx="1275588" cy="9144"/>
                          </a:xfrm>
                          <a:custGeom>
                            <a:avLst/>
                            <a:gdLst/>
                            <a:ahLst/>
                            <a:cxnLst/>
                            <a:rect l="0" t="0" r="0" b="0"/>
                            <a:pathLst>
                              <a:path w="1275588" h="9144">
                                <a:moveTo>
                                  <a:pt x="0" y="0"/>
                                </a:moveTo>
                                <a:lnTo>
                                  <a:pt x="1275588" y="0"/>
                                </a:lnTo>
                                <a:lnTo>
                                  <a:pt x="12755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80561" o:spid="_x0000_s1189" style="width:560.3pt;height:26.4pt;mso-position-horizontal-relative:char;mso-position-vertical-relative:line" coordsize="71155,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">
                <v:rect id="Rectangle 18731" o:spid="_x0000_s1190" style="position:absolute;left:731;top:349;width:1370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18732" o:spid="_x0000_s1191" style="position:absolute;left:11323;top:329;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18733" o:spid="_x0000_s1192" style="position:absolute;left:11734;top:329;width:28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099" o:spid="_x0000_s1193"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" path="m,l9144,r,18288l,18288,,e" fillcolor="black" stroked="f" strokeweight="0">
                  <v:stroke miterlimit="83231f" joinstyle="miter"/>
                  <v:path arrowok="t" textboxrect="0,0,9144,18288"/>
                </v:shape>
                <v:shape id="Shape 658100" o:spid="_x0000_s1194" style="position:absolute;left: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" path="m,l18288,r,18288l,18288,,e" fillcolor="black" stroked="f" strokeweight="0">
                  <v:stroke miterlimit="83231f" joinstyle="miter"/>
                  <v:path arrowok="t" textboxrect="0,0,18288,18288"/>
                </v:shape>
                <v:shape id="Shape 658101" o:spid="_x0000_s1195" style="position:absolute;left:228;width:11323;height:182;visibility:visible;mso-wrap-style:square;v-text-anchor:top" coordsize="11323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" path="m,l1132332,r,18288l,18288,,e" fillcolor="black" stroked="f" strokeweight="0">
                  <v:stroke miterlimit="83231f" joinstyle="miter"/>
                  <v:path arrowok="t" textboxrect="0,0,1132332,18288"/>
                </v:shape>
                <v:shape id="Shape 658102" o:spid="_x0000_s1196" style="position:absolute;left:1155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" path="m,l18288,r,18288l,18288,,e" fillcolor="black" stroked="f" strokeweight="0">
                  <v:stroke miterlimit="83231f" joinstyle="miter"/>
                  <v:path arrowok="t" textboxrect="0,0,18288,18288"/>
                </v:shape>
                <v:shape id="Shape 658103" o:spid="_x0000_s1197" style="position:absolute;left:11734;width:23790;height:182;visibility:visible;mso-wrap-style:square;v-text-anchor:top" coordsize="23789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" path="m,l2378964,r,18288l,18288,,e" fillcolor="black" stroked="f" strokeweight="0">
                  <v:stroke miterlimit="83231f" joinstyle="miter"/>
                  <v:path arrowok="t" textboxrect="0,0,2378964,18288"/>
                </v:shape>
                <v:shape id="Shape 658104" o:spid="_x0000_s1198" style="position:absolute;left:35524;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" path="m,l18288,r,18288l,18288,,e" fillcolor="black" stroked="f" strokeweight="0">
                  <v:stroke miterlimit="83231f" joinstyle="miter"/>
                  <v:path arrowok="t" textboxrect="0,0,18288,18288"/>
                </v:shape>
                <v:shape id="Shape 658105" o:spid="_x0000_s1199" style="position:absolute;left:35707;width:3246;height:182;visibility:visible;mso-wrap-style:square;v-text-anchor:top" coordsize="3246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" path="m,l324612,r,18288l,18288,,e" fillcolor="black" stroked="f" strokeweight="0">
                  <v:stroke miterlimit="83231f" joinstyle="miter"/>
                  <v:path arrowok="t" textboxrect="0,0,324612,18288"/>
                </v:shape>
                <v:shape id="Shape 658106" o:spid="_x0000_s1200" style="position:absolute;left:3895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" path="m,l18288,r,18288l,18288,,e" fillcolor="black" stroked="f" strokeweight="0">
                  <v:stroke miterlimit="83231f" joinstyle="miter"/>
                  <v:path arrowok="t" textboxrect="0,0,18288,18288"/>
                </v:shape>
                <v:shape id="Shape 658107" o:spid="_x0000_s1201" style="position:absolute;left:39136;width:7833;height:182;visibility:visible;mso-wrap-style:square;v-text-anchor:top" coordsize="7833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" path="m,l783336,r,18288l,18288,,e" fillcolor="black" stroked="f" strokeweight="0">
                  <v:stroke miterlimit="83231f" joinstyle="miter"/>
                  <v:path arrowok="t" textboxrect="0,0,783336,18288"/>
                </v:shape>
                <v:shape id="Shape 658108" o:spid="_x0000_s1202" style="position:absolute;left:4696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" path="m,l18288,r,18288l,18288,,e" fillcolor="black" stroked="f" strokeweight="0">
                  <v:stroke miterlimit="83231f" joinstyle="miter"/>
                  <v:path arrowok="t" textboxrect="0,0,18288,18288"/>
                </v:shape>
                <v:shape id="Shape 658109" o:spid="_x0000_s1203" style="position:absolute;left:47152;width:24003;height:182;visibility:visible;mso-wrap-style:square;v-text-anchor:top" coordsize="24003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" path="m,l2400301,r,18288l,18288,,e" fillcolor="black" stroked="f" strokeweight="0">
                  <v:stroke miterlimit="83231f" joinstyle="miter"/>
                  <v:path arrowok="t" textboxrect="0,0,2400301,18288"/>
                </v:shape>
                <v:rect id="Rectangle 18746" o:spid="_x0000_s1204" style="position:absolute;left:18272;top:1858;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" filled="f" stroked="f">
                  <v:textbox inset="0,0,0,0">
                    <w:txbxContent>
                      <w:p w:rsidR="004D6F0E" w:rsidRDefault="00490F21">
                        <w:pPr>
                          <w:spacing w:after="160" w:line="259" w:lineRule="auto"/>
                          <w:ind w:left="0" w:firstLine="0"/>
                        </w:pPr>
                        <w:r>
                          <w:rPr>
                            <w:sz w:val="18"/>
                          </w:rPr>
                          <w:t>首次銷售費</w:t>
                        </w:r>
                      </w:p>
                    </w:txbxContent>
                  </v:textbox>
                </v:rect>
                <v:rect id="Rectangle 18747" o:spid="_x0000_s1205" style="position:absolute;left:24292;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18748" o:spid="_x0000_s1206" style="position:absolute;left:24704;top:1837;width:281;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112" o:spid="_x0000_s1207" style="position:absolute;left:14889;top:3291;width:13213;height:92;visibility:visible;mso-wrap-style:square;v-text-anchor:top" coordsize="13213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" path="m,l1321308,r,9144l,9144,,e" fillcolor="black" stroked="f" strokeweight="0">
                  <v:stroke miterlimit="83231f" joinstyle="miter"/>
                  <v:path arrowok="t" textboxrect="0,0,1321308,9144"/>
                </v:shape>
                <v:rect id="Rectangle 18750" o:spid="_x0000_s1208" style="position:absolute;left:33741;top:1858;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" filled="f" stroked="f">
                  <v:textbox inset="0,0,0,0">
                    <w:txbxContent>
                      <w:p w:rsidR="004D6F0E" w:rsidRDefault="00490F21">
                        <w:pPr>
                          <w:spacing w:after="160" w:line="259" w:lineRule="auto"/>
                          <w:ind w:left="0" w:firstLine="0"/>
                        </w:pPr>
                        <w:r>
                          <w:rPr>
                            <w:sz w:val="18"/>
                          </w:rPr>
                          <w:t>管理費</w:t>
                        </w:r>
                      </w:p>
                    </w:txbxContent>
                  </v:textbox>
                </v:rect>
                <v:rect id="Rectangle 18751" o:spid="_x0000_s1209" style="position:absolute;left:37475;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18752" o:spid="_x0000_s1210" style="position:absolute;left:37886;top:1837;width:28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115" o:spid="_x0000_s1211" style="position:absolute;left:29199;top:3291;width:13229;height:92;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" path="m,l1322832,r,9144l,9144,,e" fillcolor="black" stroked="f" strokeweight="0">
                  <v:stroke miterlimit="83231f" joinstyle="miter"/>
                  <v:path arrowok="t" textboxrect="0,0,1322832,9144"/>
                </v:shape>
                <v:rect id="Rectangle 18754" o:spid="_x0000_s1212" style="position:absolute;left:48066;top:1858;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" filled="f" stroked="f">
                  <v:textbox inset="0,0,0,0">
                    <w:txbxContent>
                      <w:p w:rsidR="004D6F0E" w:rsidRDefault="00490F21">
                        <w:pPr>
                          <w:spacing w:after="160" w:line="259" w:lineRule="auto"/>
                          <w:ind w:left="0" w:firstLine="0"/>
                        </w:pPr>
                        <w:r>
                          <w:rPr>
                            <w:sz w:val="18"/>
                          </w:rPr>
                          <w:t>分銷費</w:t>
                        </w:r>
                      </w:p>
                    </w:txbxContent>
                  </v:textbox>
                </v:rect>
                <v:rect id="Rectangle 18755" o:spid="_x0000_s1213" style="position:absolute;left:51800;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18756" o:spid="_x0000_s1214" style="position:absolute;left:52212;top:1837;width:281;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118" o:spid="_x0000_s1215" style="position:absolute;left:43525;top:3291;width:13228;height:92;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" path="m,l1322832,r,9144l,9144,,e" fillcolor="black" stroked="f" strokeweight="0">
                  <v:stroke miterlimit="83231f" joinstyle="miter"/>
                  <v:path arrowok="t" textboxrect="0,0,1322832,9144"/>
                </v:shape>
                <v:rect id="Rectangle 18758" o:spid="_x0000_s1216" style="position:absolute;left:59862;top:1858;width:106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" filled="f" stroked="f">
                  <v:textbox inset="0,0,0,0">
                    <w:txbxContent>
                      <w:p w:rsidR="004D6F0E" w:rsidRDefault="00490F21">
                        <w:pPr>
                          <w:spacing w:after="160" w:line="259" w:lineRule="auto"/>
                          <w:ind w:left="0" w:firstLine="0"/>
                        </w:pPr>
                        <w:r>
                          <w:rPr>
                            <w:w w:val="99"/>
                            <w:sz w:val="18"/>
                          </w:rPr>
                          <w:t>或有遞延銷售費</w:t>
                        </w:r>
                      </w:p>
                    </w:txbxContent>
                  </v:textbox>
                </v:rect>
                <v:rect id="Rectangle 18759" o:spid="_x0000_s1217" style="position:absolute;left:68168;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18760" o:spid="_x0000_s1218" style="position:absolute;left:68580;top:1837;width:281;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121" o:spid="_x0000_s1219" style="position:absolute;left:57851;top:3291;width:12755;height:92;visibility:visible;mso-wrap-style:square;v-text-anchor:top" coordsize="12755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" path="m,l1275588,r,9144l,9144,,e" fillcolor="black" stroked="f" strokeweight="0">
                  <v:stroke miterlimit="83231f" joinstyle="miter"/>
                  <v:path arrowok="t" textboxrect="0,0,1275588,9144"/>
                </v:shape>
                <w10:anchorlock/>
              </v:group>
            </w:pict>
          </mc:Fallback>
        </mc:AlternateConten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6"/>
        </w:rPr>
        <w:t xml:space="preserve"> </w:t>
      </w:r>
    </w:p>
    <w:tbl>
      <w:tblPr>
        <w:tblStyle w:val="TableGrid"/>
        <w:tblW w:w="11197" w:type="dxa"/>
        <w:tblInd w:w="-7" w:type="dxa"/>
        <w:tblCellMar>
          <w:top w:w="21" w:type="dxa"/>
          <w:left w:w="0" w:type="dxa"/>
          <w:bottom w:w="0" w:type="dxa"/>
          <w:right w:w="115" w:type="dxa"/>
        </w:tblCellMar>
        <w:tblLook w:val="04A0" w:firstRow="1" w:lastRow="0" w:firstColumn="1" w:lastColumn="0" w:noHBand="0" w:noVBand="1"/>
      </w:tblPr>
      <w:tblGrid>
        <w:gridCol w:w="2836"/>
        <w:gridCol w:w="2498"/>
        <w:gridCol w:w="2304"/>
        <w:gridCol w:w="1745"/>
        <w:gridCol w:w="1814"/>
      </w:tblGrid>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b/>
                <w:sz w:val="18"/>
              </w:rPr>
              <w:t xml:space="preserve"> </w:t>
            </w:r>
          </w:p>
        </w:tc>
        <w:tc>
          <w:tcPr>
            <w:tcW w:w="2498" w:type="dxa"/>
            <w:tcBorders>
              <w:top w:val="nil"/>
              <w:left w:val="nil"/>
              <w:bottom w:val="nil"/>
              <w:right w:val="nil"/>
            </w:tcBorders>
            <w:shd w:val="clear" w:color="auto" w:fill="D9D9D9"/>
          </w:tcPr>
          <w:p w:rsidR="004D6F0E" w:rsidRDefault="004D6F0E">
            <w:pPr>
              <w:spacing w:after="160" w:line="259" w:lineRule="auto"/>
              <w:ind w:left="0" w:firstLine="0"/>
            </w:pPr>
          </w:p>
        </w:tc>
        <w:tc>
          <w:tcPr>
            <w:tcW w:w="2304" w:type="dxa"/>
            <w:tcBorders>
              <w:top w:val="nil"/>
              <w:left w:val="nil"/>
              <w:bottom w:val="nil"/>
              <w:right w:val="nil"/>
            </w:tcBorders>
            <w:shd w:val="clear" w:color="auto" w:fill="D9D9D9"/>
          </w:tcPr>
          <w:p w:rsidR="004D6F0E" w:rsidRDefault="004D6F0E">
            <w:pPr>
              <w:spacing w:after="160" w:line="259" w:lineRule="auto"/>
              <w:ind w:left="0" w:firstLine="0"/>
            </w:pPr>
          </w:p>
        </w:tc>
        <w:tc>
          <w:tcPr>
            <w:tcW w:w="1745" w:type="dxa"/>
            <w:tcBorders>
              <w:top w:val="nil"/>
              <w:left w:val="nil"/>
              <w:bottom w:val="nil"/>
              <w:right w:val="nil"/>
            </w:tcBorders>
            <w:shd w:val="clear" w:color="auto" w:fill="D9D9D9"/>
          </w:tcPr>
          <w:p w:rsidR="004D6F0E" w:rsidRDefault="004D6F0E">
            <w:pPr>
              <w:spacing w:after="160" w:line="259" w:lineRule="auto"/>
              <w:ind w:left="0" w:firstLine="0"/>
            </w:pPr>
          </w:p>
        </w:tc>
        <w:tc>
          <w:tcPr>
            <w:tcW w:w="181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AJ </w:t>
            </w:r>
            <w:r>
              <w:rPr>
                <w:sz w:val="18"/>
              </w:rPr>
              <w:t>類股份</w:t>
            </w:r>
            <w:r>
              <w:rPr>
                <w:rFonts w:ascii="Arial" w:eastAsia="Arial" w:hAnsi="Arial" w:cs="Arial"/>
                <w:sz w:val="18"/>
                <w:vertAlign w:val="superscript"/>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3.00%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0.65%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vertAlign w:val="superscript"/>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AX </w:t>
            </w:r>
            <w:r>
              <w:rPr>
                <w:sz w:val="18"/>
              </w:rPr>
              <w:t>類股份</w:t>
            </w:r>
            <w:r>
              <w:rPr>
                <w:rFonts w:ascii="Arial" w:eastAsia="Arial" w:hAnsi="Arial" w:cs="Arial"/>
                <w:sz w:val="18"/>
                <w:vertAlign w:val="superscript"/>
              </w:rPr>
              <w:t xml:space="preserve"> </w:t>
            </w:r>
          </w:p>
        </w:tc>
        <w:tc>
          <w:tcPr>
            <w:tcW w:w="2498" w:type="dxa"/>
            <w:tcBorders>
              <w:top w:val="nil"/>
              <w:left w:val="nil"/>
              <w:bottom w:val="nil"/>
              <w:right w:val="nil"/>
            </w:tcBorders>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0.65%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931"/>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w:t>
            </w:r>
            <w:r>
              <w:rPr>
                <w:rFonts w:ascii="Arial" w:eastAsia="Arial" w:hAnsi="Arial" w:cs="Arial"/>
                <w:sz w:val="18"/>
                <w:vertAlign w:val="superscript"/>
              </w:rPr>
              <w:t xml:space="preserve"> </w:t>
            </w:r>
          </w:p>
        </w:tc>
        <w:tc>
          <w:tcPr>
            <w:tcW w:w="2498"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vAlign w:val="center"/>
          </w:tcPr>
          <w:p w:rsidR="004D6F0E" w:rsidRDefault="00490F21">
            <w:pPr>
              <w:spacing w:after="0" w:line="259" w:lineRule="auto"/>
              <w:ind w:left="48" w:firstLine="0"/>
            </w:pPr>
            <w:r>
              <w:rPr>
                <w:rFonts w:ascii="Arial" w:eastAsia="Arial" w:hAnsi="Arial" w:cs="Arial"/>
                <w:sz w:val="18"/>
              </w:rPr>
              <w:t xml:space="preserve">0.85% </w:t>
            </w:r>
          </w:p>
        </w:tc>
        <w:tc>
          <w:tcPr>
            <w:tcW w:w="174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814" w:type="dxa"/>
            <w:tcBorders>
              <w:top w:val="nil"/>
              <w:left w:val="nil"/>
              <w:bottom w:val="nil"/>
              <w:right w:val="nil"/>
            </w:tcBorders>
          </w:tcPr>
          <w:p w:rsidR="004D6F0E" w:rsidRDefault="00490F21">
            <w:pPr>
              <w:spacing w:after="28"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2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68"/>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2498"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vAlign w:val="center"/>
          </w:tcPr>
          <w:p w:rsidR="004D6F0E" w:rsidRDefault="00490F21">
            <w:pPr>
              <w:spacing w:after="0" w:line="259" w:lineRule="auto"/>
              <w:ind w:left="48" w:firstLine="0"/>
            </w:pPr>
            <w:r>
              <w:rPr>
                <w:rFonts w:ascii="Arial" w:eastAsia="Arial" w:hAnsi="Arial" w:cs="Arial"/>
                <w:sz w:val="18"/>
              </w:rPr>
              <w:t xml:space="preserve">1.25% </w:t>
            </w:r>
          </w:p>
        </w:tc>
        <w:tc>
          <w:tcPr>
            <w:tcW w:w="1745"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466"/>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lastRenderedPageBreak/>
              <w:t xml:space="preserve">CT </w:t>
            </w:r>
            <w:r>
              <w:rPr>
                <w:sz w:val="18"/>
              </w:rPr>
              <w:t>類股份</w:t>
            </w:r>
            <w:r>
              <w:rPr>
                <w:rFonts w:ascii="Arial" w:eastAsia="Arial" w:hAnsi="Arial" w:cs="Arial"/>
                <w:sz w:val="18"/>
              </w:rPr>
              <w:t xml:space="preserve"> </w:t>
            </w:r>
          </w:p>
        </w:tc>
        <w:tc>
          <w:tcPr>
            <w:tcW w:w="2498" w:type="dxa"/>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vAlign w:val="center"/>
          </w:tcPr>
          <w:p w:rsidR="004D6F0E" w:rsidRDefault="00490F21">
            <w:pPr>
              <w:spacing w:after="0" w:line="259" w:lineRule="auto"/>
              <w:ind w:left="48" w:firstLine="0"/>
            </w:pPr>
            <w:r>
              <w:rPr>
                <w:rFonts w:ascii="Arial" w:eastAsia="Arial" w:hAnsi="Arial" w:cs="Arial"/>
                <w:sz w:val="18"/>
              </w:rPr>
              <w:t xml:space="preserve">1.25% </w:t>
            </w:r>
          </w:p>
        </w:tc>
        <w:tc>
          <w:tcPr>
            <w:tcW w:w="1745"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0"/>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30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0.325%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6"/>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30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0.325%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2"/>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3.00%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1.35%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 xml:space="preserve">7 </w:t>
            </w:r>
          </w:p>
        </w:tc>
        <w:tc>
          <w:tcPr>
            <w:tcW w:w="2498"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214" w:firstLine="0"/>
            </w:pPr>
            <w:r>
              <w:rPr>
                <w:sz w:val="18"/>
              </w:rPr>
              <w:t>無</w:t>
            </w:r>
            <w:r>
              <w:rPr>
                <w:rFonts w:ascii="Arial" w:eastAsia="Arial" w:hAnsi="Arial" w:cs="Arial"/>
                <w:sz w:val="18"/>
              </w:rPr>
              <w:t xml:space="preserve">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9"/>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0.25%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28"/>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214" w:firstLine="0"/>
            </w:pPr>
            <w:r>
              <w:rPr>
                <w:sz w:val="18"/>
              </w:rPr>
              <w:t>無</w:t>
            </w:r>
            <w:r>
              <w:rPr>
                <w:rFonts w:ascii="Arial" w:eastAsia="Arial" w:hAnsi="Arial" w:cs="Arial"/>
                <w:sz w:val="18"/>
              </w:rPr>
              <w:t xml:space="preserve">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6"/>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S2 </w:t>
            </w:r>
            <w:r>
              <w:rPr>
                <w:sz w:val="18"/>
              </w:rPr>
              <w:t>類股份</w:t>
            </w:r>
            <w:r>
              <w:rPr>
                <w:sz w:val="18"/>
              </w:rPr>
              <w:t xml:space="preserve"> </w:t>
            </w:r>
            <w:r>
              <w:rPr>
                <w:rFonts w:ascii="Arial" w:eastAsia="Arial" w:hAnsi="Arial" w:cs="Arial"/>
                <w:sz w:val="18"/>
                <w:vertAlign w:val="superscript"/>
              </w:rPr>
              <w:t xml:space="preserve">7 </w:t>
            </w:r>
          </w:p>
        </w:tc>
        <w:tc>
          <w:tcPr>
            <w:tcW w:w="2498"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214" w:firstLine="0"/>
            </w:pPr>
            <w:r>
              <w:rPr>
                <w:sz w:val="18"/>
              </w:rPr>
              <w:t>無</w:t>
            </w:r>
            <w:r>
              <w:rPr>
                <w:rFonts w:ascii="Arial" w:eastAsia="Arial" w:hAnsi="Arial" w:cs="Arial"/>
                <w:sz w:val="18"/>
              </w:rPr>
              <w:t xml:space="preserve">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441"/>
        </w:trPr>
        <w:tc>
          <w:tcPr>
            <w:tcW w:w="2837" w:type="dxa"/>
            <w:tcBorders>
              <w:top w:val="nil"/>
              <w:left w:val="nil"/>
              <w:bottom w:val="nil"/>
              <w:right w:val="nil"/>
            </w:tcBorders>
          </w:tcPr>
          <w:p w:rsidR="004D6F0E" w:rsidRDefault="00490F21">
            <w:pPr>
              <w:spacing w:after="14" w:line="259" w:lineRule="auto"/>
              <w:ind w:left="115" w:firstLine="0"/>
            </w:pPr>
            <w:r>
              <w:rPr>
                <w:rFonts w:ascii="Arial" w:eastAsia="Arial" w:hAnsi="Arial" w:cs="Arial"/>
                <w:sz w:val="18"/>
              </w:rPr>
              <w:t xml:space="preserve">S1 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9"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0.25% </w:t>
            </w:r>
          </w:p>
          <w:p w:rsidR="004D6F0E" w:rsidRDefault="00490F21">
            <w:pPr>
              <w:spacing w:after="0" w:line="259" w:lineRule="auto"/>
              <w:ind w:left="305" w:firstLine="0"/>
            </w:pPr>
            <w:r>
              <w:rPr>
                <w:rFonts w:ascii="Arial" w:eastAsia="Arial" w:hAnsi="Arial" w:cs="Arial"/>
                <w:sz w:val="18"/>
              </w:rPr>
              <w:t xml:space="preserve"> </w:t>
            </w:r>
          </w:p>
        </w:tc>
        <w:tc>
          <w:tcPr>
            <w:tcW w:w="174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9" w:line="259" w:lineRule="auto"/>
              <w:ind w:left="632"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498"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304" w:type="dxa"/>
            <w:tcBorders>
              <w:top w:val="nil"/>
              <w:left w:val="nil"/>
              <w:bottom w:val="nil"/>
              <w:right w:val="nil"/>
            </w:tcBorders>
            <w:shd w:val="clear" w:color="auto" w:fill="D9D9D9"/>
          </w:tcPr>
          <w:p w:rsidR="004D6F0E" w:rsidRDefault="00490F21">
            <w:pPr>
              <w:spacing w:after="0" w:line="259" w:lineRule="auto"/>
              <w:ind w:left="305" w:firstLine="0"/>
            </w:pPr>
            <w:r>
              <w:rPr>
                <w:rFonts w:ascii="Arial" w:eastAsia="Arial" w:hAnsi="Arial" w:cs="Arial"/>
                <w:sz w:val="18"/>
              </w:rPr>
              <w:t xml:space="preserve"> </w:t>
            </w:r>
          </w:p>
        </w:tc>
        <w:tc>
          <w:tcPr>
            <w:tcW w:w="1745"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14" w:type="dxa"/>
            <w:tcBorders>
              <w:top w:val="nil"/>
              <w:left w:val="nil"/>
              <w:bottom w:val="nil"/>
              <w:right w:val="nil"/>
            </w:tcBorders>
            <w:shd w:val="clear" w:color="auto" w:fill="D9D9D9"/>
          </w:tcPr>
          <w:p w:rsidR="004D6F0E" w:rsidRDefault="00490F21">
            <w:pPr>
              <w:spacing w:after="0" w:line="259" w:lineRule="auto"/>
              <w:ind w:left="723" w:firstLine="0"/>
            </w:pPr>
            <w:r>
              <w:rPr>
                <w:rFonts w:ascii="Arial" w:eastAsia="Arial" w:hAnsi="Arial" w:cs="Arial"/>
                <w:sz w:val="18"/>
              </w:rPr>
              <w:t xml:space="preserve"> </w:t>
            </w:r>
          </w:p>
        </w:tc>
      </w:tr>
      <w:tr w:rsidR="004D6F0E">
        <w:trPr>
          <w:trHeight w:val="239"/>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4"/>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34"/>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30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0.325% </w:t>
            </w:r>
          </w:p>
        </w:tc>
        <w:tc>
          <w:tcPr>
            <w:tcW w:w="174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436"/>
        </w:trPr>
        <w:tc>
          <w:tcPr>
            <w:tcW w:w="2837" w:type="dxa"/>
            <w:tcBorders>
              <w:top w:val="nil"/>
              <w:left w:val="nil"/>
              <w:bottom w:val="nil"/>
              <w:right w:val="nil"/>
            </w:tcBorders>
          </w:tcPr>
          <w:p w:rsidR="004D6F0E" w:rsidRDefault="00490F21">
            <w:pPr>
              <w:spacing w:after="14" w:line="259" w:lineRule="auto"/>
              <w:ind w:left="115" w:firstLine="0"/>
            </w:pPr>
            <w:r>
              <w:rPr>
                <w:rFonts w:ascii="Arial" w:eastAsia="Arial" w:hAnsi="Arial" w:cs="Arial"/>
                <w:sz w:val="18"/>
              </w:rPr>
              <w:t xml:space="preserve">S1 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498" w:type="dxa"/>
            <w:tcBorders>
              <w:top w:val="nil"/>
              <w:left w:val="nil"/>
              <w:bottom w:val="nil"/>
              <w:right w:val="nil"/>
            </w:tcBorders>
          </w:tcPr>
          <w:p w:rsidR="004D6F0E" w:rsidRDefault="00490F21">
            <w:pPr>
              <w:spacing w:after="9"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304" w:type="dxa"/>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0.25% </w:t>
            </w:r>
          </w:p>
          <w:p w:rsidR="004D6F0E" w:rsidRDefault="00490F21">
            <w:pPr>
              <w:spacing w:after="0" w:line="259" w:lineRule="auto"/>
              <w:ind w:left="305" w:firstLine="0"/>
            </w:pPr>
            <w:r>
              <w:rPr>
                <w:rFonts w:ascii="Arial" w:eastAsia="Arial" w:hAnsi="Arial" w:cs="Arial"/>
                <w:sz w:val="18"/>
              </w:rPr>
              <w:t xml:space="preserve"> </w:t>
            </w:r>
          </w:p>
        </w:tc>
        <w:tc>
          <w:tcPr>
            <w:tcW w:w="174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14" w:type="dxa"/>
            <w:tcBorders>
              <w:top w:val="nil"/>
              <w:left w:val="nil"/>
              <w:bottom w:val="nil"/>
              <w:right w:val="nil"/>
            </w:tcBorders>
          </w:tcPr>
          <w:p w:rsidR="004D6F0E" w:rsidRDefault="00490F21">
            <w:pPr>
              <w:spacing w:after="9" w:line="259" w:lineRule="auto"/>
              <w:ind w:left="632"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2498"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304" w:type="dxa"/>
            <w:tcBorders>
              <w:top w:val="nil"/>
              <w:left w:val="nil"/>
              <w:bottom w:val="nil"/>
              <w:right w:val="nil"/>
            </w:tcBorders>
            <w:shd w:val="clear" w:color="auto" w:fill="D9D9D9"/>
          </w:tcPr>
          <w:p w:rsidR="004D6F0E" w:rsidRDefault="00490F21">
            <w:pPr>
              <w:spacing w:after="0" w:line="259" w:lineRule="auto"/>
              <w:ind w:left="305" w:firstLine="0"/>
            </w:pPr>
            <w:r>
              <w:rPr>
                <w:rFonts w:ascii="Arial" w:eastAsia="Arial" w:hAnsi="Arial" w:cs="Arial"/>
                <w:sz w:val="18"/>
              </w:rPr>
              <w:t xml:space="preserve"> </w:t>
            </w:r>
          </w:p>
        </w:tc>
        <w:tc>
          <w:tcPr>
            <w:tcW w:w="1745"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14" w:type="dxa"/>
            <w:tcBorders>
              <w:top w:val="nil"/>
              <w:left w:val="nil"/>
              <w:bottom w:val="nil"/>
              <w:right w:val="nil"/>
            </w:tcBorders>
            <w:shd w:val="clear" w:color="auto" w:fill="D9D9D9"/>
          </w:tcPr>
          <w:p w:rsidR="004D6F0E" w:rsidRDefault="00490F21">
            <w:pPr>
              <w:spacing w:after="0" w:line="259" w:lineRule="auto"/>
              <w:ind w:left="723" w:firstLine="0"/>
            </w:pPr>
            <w:r>
              <w:rPr>
                <w:rFonts w:ascii="Arial" w:eastAsia="Arial" w:hAnsi="Arial" w:cs="Arial"/>
                <w:sz w:val="18"/>
              </w:rPr>
              <w:t xml:space="preserve"> </w:t>
            </w:r>
          </w:p>
        </w:tc>
      </w:tr>
    </w:tbl>
    <w:p w:rsidR="004D6F0E" w:rsidRDefault="00490F21">
      <w:pPr>
        <w:tabs>
          <w:tab w:val="center" w:pos="3378"/>
          <w:tab w:val="center" w:pos="5632"/>
          <w:tab w:val="center" w:pos="7888"/>
          <w:tab w:val="center" w:pos="10098"/>
        </w:tabs>
        <w:spacing w:after="20"/>
        <w:ind w:left="0" w:firstLine="0"/>
      </w:pPr>
      <w:r>
        <w:rPr>
          <w:rFonts w:ascii="Arial" w:eastAsia="Arial" w:hAnsi="Arial" w:cs="Arial"/>
          <w:sz w:val="18"/>
        </w:rPr>
        <w:t xml:space="preserve">A2 </w:t>
      </w:r>
      <w:r>
        <w:rPr>
          <w:sz w:val="18"/>
        </w:rPr>
        <w:t>類股份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r>
        <w:rPr>
          <w:rFonts w:ascii="Arial" w:eastAsia="Arial" w:hAnsi="Arial" w:cs="Arial"/>
          <w:sz w:val="18"/>
          <w:vertAlign w:val="superscript"/>
        </w:rPr>
        <w:tab/>
      </w:r>
      <w:r>
        <w:rPr>
          <w:rFonts w:ascii="Arial" w:eastAsia="Arial" w:hAnsi="Arial" w:cs="Arial"/>
          <w:sz w:val="18"/>
        </w:rPr>
        <w:t xml:space="preserve">0.85%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D6F0E">
      <w:pPr>
        <w:sectPr w:rsidR="004D6F0E">
          <w:type w:val="continuous"/>
          <w:pgSz w:w="12240" w:h="15840"/>
          <w:pgMar w:top="746" w:right="665" w:bottom="402" w:left="432" w:header="720" w:footer="720" w:gutter="0"/>
          <w:cols w:space="720"/>
        </w:sectPr>
      </w:pPr>
    </w:p>
    <w:p w:rsidR="004D6F0E" w:rsidRDefault="00490F21">
      <w:pPr>
        <w:spacing w:after="0" w:line="259" w:lineRule="auto"/>
        <w:ind w:left="0" w:firstLine="0"/>
        <w:jc w:val="both"/>
      </w:pPr>
      <w:r>
        <w:rPr>
          <w:sz w:val="18"/>
        </w:rPr>
        <w:lastRenderedPageBreak/>
        <w:t xml:space="preserve"> </w:t>
      </w:r>
      <w:r>
        <w:rPr>
          <w:rFonts w:ascii="Arial" w:eastAsia="Arial" w:hAnsi="Arial" w:cs="Arial"/>
          <w:sz w:val="20"/>
        </w:rPr>
        <w:t xml:space="preserve"> </w:t>
      </w:r>
    </w:p>
    <w:tbl>
      <w:tblPr>
        <w:tblStyle w:val="TableGrid"/>
        <w:tblW w:w="11198" w:type="dxa"/>
        <w:tblInd w:w="-11088" w:type="dxa"/>
        <w:tblCellMar>
          <w:top w:w="6" w:type="dxa"/>
          <w:left w:w="0" w:type="dxa"/>
          <w:bottom w:w="0" w:type="dxa"/>
          <w:right w:w="202" w:type="dxa"/>
        </w:tblCellMar>
        <w:tblLook w:val="04A0" w:firstRow="1" w:lastRow="0" w:firstColumn="1" w:lastColumn="0" w:noHBand="0" w:noVBand="1"/>
      </w:tblPr>
      <w:tblGrid>
        <w:gridCol w:w="2714"/>
        <w:gridCol w:w="116"/>
        <w:gridCol w:w="2382"/>
        <w:gridCol w:w="116"/>
        <w:gridCol w:w="2353"/>
        <w:gridCol w:w="116"/>
        <w:gridCol w:w="1470"/>
        <w:gridCol w:w="116"/>
        <w:gridCol w:w="748"/>
        <w:gridCol w:w="1067"/>
      </w:tblGrid>
      <w:tr w:rsidR="004D6F0E">
        <w:trPr>
          <w:trHeight w:val="218"/>
        </w:trPr>
        <w:tc>
          <w:tcPr>
            <w:tcW w:w="2830"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24" w:firstLine="0"/>
            </w:pPr>
            <w:r>
              <w:rPr>
                <w:sz w:val="18"/>
              </w:rPr>
              <w:t>無</w:t>
            </w:r>
            <w:r>
              <w:rPr>
                <w:rFonts w:ascii="Arial" w:eastAsia="Arial" w:hAnsi="Arial" w:cs="Arial"/>
                <w:sz w:val="18"/>
              </w:rPr>
              <w:t xml:space="preserve"> </w:t>
            </w:r>
          </w:p>
        </w:tc>
      </w:tr>
      <w:tr w:rsidR="004D6F0E">
        <w:trPr>
          <w:trHeight w:val="436"/>
        </w:trPr>
        <w:tc>
          <w:tcPr>
            <w:tcW w:w="2830" w:type="dxa"/>
            <w:gridSpan w:val="2"/>
            <w:tcBorders>
              <w:top w:val="nil"/>
              <w:left w:val="nil"/>
              <w:bottom w:val="nil"/>
              <w:right w:val="nil"/>
            </w:tcBorders>
          </w:tcPr>
          <w:p w:rsidR="004D6F0E" w:rsidRDefault="00490F21">
            <w:pPr>
              <w:spacing w:after="30" w:line="259" w:lineRule="auto"/>
              <w:ind w:left="108"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498" w:type="dxa"/>
            <w:gridSpan w:val="2"/>
            <w:tcBorders>
              <w:top w:val="nil"/>
              <w:left w:val="nil"/>
              <w:bottom w:val="nil"/>
              <w:right w:val="nil"/>
            </w:tcBorders>
          </w:tcPr>
          <w:p w:rsidR="004D6F0E" w:rsidRDefault="00490F21">
            <w:pPr>
              <w:spacing w:after="29"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1334" w:firstLine="0"/>
              <w:jc w:val="center"/>
            </w:pPr>
            <w:r>
              <w:rPr>
                <w:rFonts w:ascii="Arial" w:eastAsia="Arial" w:hAnsi="Arial" w:cs="Arial"/>
                <w:sz w:val="18"/>
              </w:rPr>
              <w:t xml:space="preserve">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p w:rsidR="004D6F0E" w:rsidRDefault="00490F21">
            <w:pPr>
              <w:spacing w:after="0" w:line="259" w:lineRule="auto"/>
              <w:ind w:left="878" w:firstLine="0"/>
              <w:jc w:val="center"/>
            </w:pPr>
            <w:r>
              <w:rPr>
                <w:rFonts w:ascii="Arial" w:eastAsia="Arial" w:hAnsi="Arial" w:cs="Arial"/>
                <w:sz w:val="18"/>
              </w:rPr>
              <w:t xml:space="preserve"> </w:t>
            </w:r>
          </w:p>
        </w:tc>
        <w:tc>
          <w:tcPr>
            <w:tcW w:w="158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24" w:firstLine="0"/>
            </w:pPr>
            <w:r>
              <w:rPr>
                <w:sz w:val="18"/>
              </w:rPr>
              <w:t>無</w:t>
            </w:r>
            <w:r>
              <w:rPr>
                <w:rFonts w:ascii="Arial" w:eastAsia="Arial" w:hAnsi="Arial" w:cs="Arial"/>
                <w:sz w:val="18"/>
              </w:rPr>
              <w:t xml:space="preserve"> </w:t>
            </w:r>
          </w:p>
        </w:tc>
      </w:tr>
      <w:tr w:rsidR="004D6F0E">
        <w:trPr>
          <w:trHeight w:val="233"/>
        </w:trPr>
        <w:tc>
          <w:tcPr>
            <w:tcW w:w="283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b/>
                <w:sz w:val="18"/>
              </w:rPr>
              <w:t xml:space="preserve"> </w:t>
            </w:r>
          </w:p>
        </w:tc>
        <w:tc>
          <w:tcPr>
            <w:tcW w:w="24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6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58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4"/>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vertAlign w:val="superscript"/>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4"/>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75"/>
        </w:trPr>
        <w:tc>
          <w:tcPr>
            <w:tcW w:w="283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498" w:type="dxa"/>
            <w:gridSpan w:val="2"/>
            <w:tcBorders>
              <w:top w:val="nil"/>
              <w:left w:val="nil"/>
              <w:bottom w:val="nil"/>
              <w:right w:val="nil"/>
            </w:tcBorders>
            <w:vAlign w:val="center"/>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469" w:type="dxa"/>
            <w:gridSpan w:val="2"/>
            <w:tcBorders>
              <w:top w:val="nil"/>
              <w:left w:val="nil"/>
              <w:bottom w:val="nil"/>
              <w:right w:val="nil"/>
            </w:tcBorders>
            <w:vAlign w:val="center"/>
          </w:tcPr>
          <w:p w:rsidR="004D6F0E" w:rsidRDefault="00490F21">
            <w:pPr>
              <w:spacing w:after="0" w:line="259" w:lineRule="auto"/>
              <w:ind w:left="48" w:firstLine="0"/>
            </w:pPr>
            <w:r>
              <w:rPr>
                <w:rFonts w:ascii="Arial" w:eastAsia="Arial" w:hAnsi="Arial" w:cs="Arial"/>
                <w:sz w:val="18"/>
              </w:rPr>
              <w:t xml:space="preserve">1.25% </w:t>
            </w:r>
          </w:p>
        </w:tc>
        <w:tc>
          <w:tcPr>
            <w:tcW w:w="158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66"/>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69"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0.325%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44"/>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 xml:space="preserve">7 </w:t>
            </w:r>
          </w:p>
        </w:tc>
        <w:tc>
          <w:tcPr>
            <w:tcW w:w="2498" w:type="dxa"/>
            <w:gridSpan w:val="2"/>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469" w:type="dxa"/>
            <w:gridSpan w:val="2"/>
            <w:tcBorders>
              <w:top w:val="nil"/>
              <w:left w:val="nil"/>
              <w:bottom w:val="nil"/>
              <w:right w:val="nil"/>
            </w:tcBorders>
          </w:tcPr>
          <w:p w:rsidR="004D6F0E" w:rsidRDefault="00490F21">
            <w:pPr>
              <w:spacing w:after="0" w:line="259" w:lineRule="auto"/>
              <w:ind w:left="214" w:firstLine="0"/>
            </w:pPr>
            <w:r>
              <w:rPr>
                <w:sz w:val="18"/>
              </w:rPr>
              <w:t>無</w:t>
            </w:r>
            <w:r>
              <w:rPr>
                <w:rFonts w:ascii="Arial" w:eastAsia="Arial" w:hAnsi="Arial" w:cs="Arial"/>
                <w:sz w:val="18"/>
              </w:rPr>
              <w:t xml:space="preserve">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9"/>
        </w:trPr>
        <w:tc>
          <w:tcPr>
            <w:tcW w:w="2830" w:type="dxa"/>
            <w:gridSpan w:val="2"/>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7"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0.25% </w:t>
            </w:r>
          </w:p>
          <w:p w:rsidR="004D6F0E" w:rsidRDefault="00490F21">
            <w:pPr>
              <w:spacing w:after="0" w:line="259" w:lineRule="auto"/>
              <w:ind w:left="305" w:firstLine="0"/>
            </w:pPr>
            <w:r>
              <w:rPr>
                <w:rFonts w:ascii="Arial" w:eastAsia="Arial" w:hAnsi="Arial" w:cs="Arial"/>
                <w:sz w:val="18"/>
              </w:rPr>
              <w:t xml:space="preserve"> </w:t>
            </w:r>
          </w:p>
        </w:tc>
        <w:tc>
          <w:tcPr>
            <w:tcW w:w="1586"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83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b/>
                <w:sz w:val="18"/>
              </w:rPr>
              <w:t xml:space="preserve"> </w:t>
            </w:r>
          </w:p>
        </w:tc>
        <w:tc>
          <w:tcPr>
            <w:tcW w:w="24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6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58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vertAlign w:val="superscript"/>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1"/>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6"/>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69"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0.325%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1"/>
        </w:trPr>
        <w:tc>
          <w:tcPr>
            <w:tcW w:w="2830" w:type="dxa"/>
            <w:gridSpan w:val="2"/>
            <w:tcBorders>
              <w:top w:val="nil"/>
              <w:left w:val="nil"/>
              <w:bottom w:val="nil"/>
              <w:right w:val="nil"/>
            </w:tcBorders>
          </w:tcPr>
          <w:p w:rsidR="004D6F0E" w:rsidRDefault="00490F21">
            <w:pPr>
              <w:spacing w:after="22"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69"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0.325%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83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b/>
                <w:sz w:val="18"/>
              </w:rPr>
              <w:t xml:space="preserve"> </w:t>
            </w:r>
          </w:p>
        </w:tc>
        <w:tc>
          <w:tcPr>
            <w:tcW w:w="24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6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58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vertAlign w:val="superscript"/>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6"/>
        </w:trPr>
        <w:tc>
          <w:tcPr>
            <w:tcW w:w="2830"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p w:rsidR="004D6F0E" w:rsidRDefault="00490F21">
            <w:pPr>
              <w:spacing w:after="0" w:line="259" w:lineRule="auto"/>
              <w:ind w:left="305" w:firstLine="0"/>
            </w:pPr>
            <w:r>
              <w:rPr>
                <w:rFonts w:ascii="Arial" w:eastAsia="Arial" w:hAnsi="Arial" w:cs="Arial"/>
                <w:sz w:val="18"/>
              </w:rPr>
              <w:t xml:space="preserve"> </w:t>
            </w:r>
          </w:p>
        </w:tc>
        <w:tc>
          <w:tcPr>
            <w:tcW w:w="158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3"/>
        </w:trPr>
        <w:tc>
          <w:tcPr>
            <w:tcW w:w="283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b/>
                <w:sz w:val="18"/>
              </w:rPr>
              <w:t xml:space="preserve"> </w:t>
            </w:r>
          </w:p>
        </w:tc>
        <w:tc>
          <w:tcPr>
            <w:tcW w:w="24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6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58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vertAlign w:val="superscript"/>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6"/>
        </w:trPr>
        <w:tc>
          <w:tcPr>
            <w:tcW w:w="2830" w:type="dxa"/>
            <w:gridSpan w:val="2"/>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498"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334" w:firstLine="0"/>
              <w:jc w:val="center"/>
            </w:pPr>
            <w:r>
              <w:rPr>
                <w:rFonts w:ascii="Arial" w:eastAsia="Arial" w:hAnsi="Arial" w:cs="Arial"/>
                <w:sz w:val="18"/>
              </w:rPr>
              <w:t xml:space="preserve">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p w:rsidR="004D6F0E" w:rsidRDefault="00490F21">
            <w:pPr>
              <w:spacing w:after="0" w:line="259" w:lineRule="auto"/>
              <w:ind w:left="878" w:firstLine="0"/>
              <w:jc w:val="center"/>
            </w:pPr>
            <w:r>
              <w:rPr>
                <w:rFonts w:ascii="Arial" w:eastAsia="Arial" w:hAnsi="Arial" w:cs="Arial"/>
                <w:sz w:val="18"/>
              </w:rPr>
              <w:t xml:space="preserve"> </w:t>
            </w:r>
          </w:p>
        </w:tc>
        <w:tc>
          <w:tcPr>
            <w:tcW w:w="158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83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b/>
                <w:sz w:val="18"/>
              </w:rPr>
              <w:t xml:space="preserve"> </w:t>
            </w:r>
          </w:p>
        </w:tc>
        <w:tc>
          <w:tcPr>
            <w:tcW w:w="24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6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58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vertAlign w:val="superscript"/>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4"/>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vertAlign w:val="superscript"/>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2"/>
        </w:trPr>
        <w:tc>
          <w:tcPr>
            <w:tcW w:w="283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37"/>
        </w:trPr>
        <w:tc>
          <w:tcPr>
            <w:tcW w:w="2830" w:type="dxa"/>
            <w:gridSpan w:val="2"/>
            <w:tcBorders>
              <w:top w:val="nil"/>
              <w:left w:val="nil"/>
              <w:bottom w:val="nil"/>
              <w:right w:val="nil"/>
            </w:tcBorders>
          </w:tcPr>
          <w:p w:rsidR="004D6F0E" w:rsidRDefault="00490F21">
            <w:pPr>
              <w:spacing w:after="47"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 xml:space="preserve">7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498" w:type="dxa"/>
            <w:gridSpan w:val="2"/>
            <w:tcBorders>
              <w:top w:val="nil"/>
              <w:left w:val="nil"/>
              <w:bottom w:val="nil"/>
              <w:right w:val="nil"/>
            </w:tcBorders>
          </w:tcPr>
          <w:p w:rsidR="004D6F0E" w:rsidRDefault="00490F21">
            <w:pPr>
              <w:spacing w:after="9" w:line="259" w:lineRule="auto"/>
              <w:ind w:left="458" w:firstLine="0"/>
            </w:pPr>
            <w:r>
              <w:rPr>
                <w:sz w:val="18"/>
              </w:rPr>
              <w:t>無</w:t>
            </w:r>
            <w:r>
              <w:rPr>
                <w:rFonts w:ascii="Arial" w:eastAsia="Arial" w:hAnsi="Arial" w:cs="Arial"/>
                <w:sz w:val="18"/>
              </w:rPr>
              <w:t xml:space="preserve"> </w:t>
            </w:r>
          </w:p>
          <w:p w:rsidR="004D6F0E" w:rsidRDefault="00490F21">
            <w:pPr>
              <w:spacing w:after="0" w:line="259" w:lineRule="auto"/>
              <w:ind w:left="1334" w:firstLine="0"/>
              <w:jc w:val="center"/>
            </w:pPr>
            <w:r>
              <w:rPr>
                <w:rFonts w:ascii="Arial" w:eastAsia="Arial" w:hAnsi="Arial" w:cs="Arial"/>
                <w:sz w:val="18"/>
              </w:rPr>
              <w:t xml:space="preserve"> </w:t>
            </w:r>
          </w:p>
        </w:tc>
        <w:tc>
          <w:tcPr>
            <w:tcW w:w="2469" w:type="dxa"/>
            <w:gridSpan w:val="2"/>
            <w:tcBorders>
              <w:top w:val="nil"/>
              <w:left w:val="nil"/>
              <w:bottom w:val="nil"/>
              <w:right w:val="nil"/>
            </w:tcBorders>
          </w:tcPr>
          <w:p w:rsidR="004D6F0E" w:rsidRDefault="00490F21">
            <w:pPr>
              <w:spacing w:after="9" w:line="259" w:lineRule="auto"/>
              <w:ind w:left="214" w:firstLine="0"/>
            </w:pPr>
            <w:r>
              <w:rPr>
                <w:sz w:val="18"/>
              </w:rPr>
              <w:t>無</w:t>
            </w:r>
            <w:r>
              <w:rPr>
                <w:rFonts w:ascii="Arial" w:eastAsia="Arial" w:hAnsi="Arial" w:cs="Arial"/>
                <w:sz w:val="18"/>
              </w:rPr>
              <w:t xml:space="preserve"> </w:t>
            </w:r>
          </w:p>
          <w:p w:rsidR="004D6F0E" w:rsidRDefault="00490F21">
            <w:pPr>
              <w:spacing w:after="0" w:line="259" w:lineRule="auto"/>
              <w:ind w:left="878" w:firstLine="0"/>
              <w:jc w:val="center"/>
            </w:pPr>
            <w:r>
              <w:rPr>
                <w:rFonts w:ascii="Arial" w:eastAsia="Arial" w:hAnsi="Arial" w:cs="Arial"/>
                <w:sz w:val="18"/>
              </w:rPr>
              <w:t xml:space="preserve"> </w:t>
            </w:r>
          </w:p>
        </w:tc>
        <w:tc>
          <w:tcPr>
            <w:tcW w:w="1586"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15" w:type="dxa"/>
            <w:gridSpan w:val="2"/>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83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24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6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58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3" w:type="dxa"/>
            <w:right w:w="0" w:type="dxa"/>
          </w:tblCellMar>
        </w:tblPrEx>
        <w:trPr>
          <w:gridAfter w:val="1"/>
          <w:wAfter w:w="1067" w:type="dxa"/>
          <w:trHeight w:val="215"/>
        </w:trPr>
        <w:tc>
          <w:tcPr>
            <w:tcW w:w="27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3" w:type="dxa"/>
            <w:right w:w="0" w:type="dxa"/>
          </w:tblCellMar>
        </w:tblPrEx>
        <w:trPr>
          <w:gridAfter w:val="1"/>
          <w:wAfter w:w="1067" w:type="dxa"/>
          <w:trHeight w:val="215"/>
        </w:trPr>
        <w:tc>
          <w:tcPr>
            <w:tcW w:w="27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2498"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69" w:type="dxa"/>
            <w:gridSpan w:val="2"/>
            <w:tcBorders>
              <w:top w:val="nil"/>
              <w:left w:val="nil"/>
              <w:bottom w:val="nil"/>
              <w:right w:val="nil"/>
            </w:tcBorders>
          </w:tcPr>
          <w:p w:rsidR="004D6F0E" w:rsidRDefault="00490F21">
            <w:pPr>
              <w:spacing w:after="0" w:line="259" w:lineRule="auto"/>
              <w:ind w:left="48" w:firstLine="0"/>
            </w:pPr>
            <w:r>
              <w:rPr>
                <w:rFonts w:ascii="Arial" w:eastAsia="Arial" w:hAnsi="Arial" w:cs="Arial"/>
                <w:sz w:val="18"/>
              </w:rPr>
              <w:t xml:space="preserve">0.85% </w:t>
            </w:r>
          </w:p>
        </w:tc>
        <w:tc>
          <w:tcPr>
            <w:tcW w:w="158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bl>
    <w:p w:rsidR="004D6F0E" w:rsidRDefault="004D6F0E">
      <w:pPr>
        <w:sectPr w:rsidR="004D6F0E">
          <w:headerReference w:type="even" r:id="rId142"/>
          <w:headerReference w:type="default" r:id="rId143"/>
          <w:footerReference w:type="even" r:id="rId144"/>
          <w:footerReference w:type="default" r:id="rId145"/>
          <w:headerReference w:type="first" r:id="rId146"/>
          <w:footerReference w:type="first" r:id="rId147"/>
          <w:pgSz w:w="12240" w:h="15840"/>
          <w:pgMar w:top="746" w:right="665" w:bottom="1440" w:left="11520" w:header="745" w:footer="402" w:gutter="0"/>
          <w:cols w:space="720"/>
          <w:titlePg/>
        </w:sectPr>
      </w:pPr>
    </w:p>
    <w:p w:rsidR="004D6F0E" w:rsidRDefault="00490F21">
      <w:pPr>
        <w:numPr>
          <w:ilvl w:val="0"/>
          <w:numId w:val="16"/>
        </w:numPr>
        <w:ind w:right="13" w:hanging="283"/>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w:t>
      </w:r>
      <w:r>
        <w:rPr>
          <w:sz w:val="16"/>
        </w:rPr>
        <w:t>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 xml:space="preserve">  A (1.20%)</w:t>
      </w:r>
      <w:r>
        <w:rPr>
          <w:sz w:val="16"/>
        </w:rPr>
        <w:t>、</w:t>
      </w:r>
      <w:r>
        <w:rPr>
          <w:rFonts w:ascii="Arial" w:eastAsia="Arial" w:hAnsi="Arial" w:cs="Arial"/>
          <w:sz w:val="16"/>
        </w:rPr>
        <w:t>A2 (1.20%)</w:t>
      </w:r>
      <w:r>
        <w:rPr>
          <w:sz w:val="16"/>
        </w:rPr>
        <w:t>、</w:t>
      </w:r>
      <w:r>
        <w:rPr>
          <w:rFonts w:ascii="Arial" w:eastAsia="Arial" w:hAnsi="Arial" w:cs="Arial"/>
          <w:sz w:val="16"/>
        </w:rPr>
        <w:t>AJ (1.00%)</w:t>
      </w:r>
      <w:r>
        <w:rPr>
          <w:sz w:val="16"/>
        </w:rPr>
        <w:t>、</w:t>
      </w:r>
      <w:r>
        <w:rPr>
          <w:rFonts w:ascii="Arial" w:eastAsia="Arial" w:hAnsi="Arial" w:cs="Arial"/>
          <w:sz w:val="16"/>
        </w:rPr>
        <w:t>AR (1.20 %)</w:t>
      </w:r>
      <w:r>
        <w:rPr>
          <w:sz w:val="16"/>
        </w:rPr>
        <w:t>、</w:t>
      </w:r>
      <w:r>
        <w:rPr>
          <w:rFonts w:ascii="Arial" w:eastAsia="Arial" w:hAnsi="Arial" w:cs="Arial"/>
          <w:sz w:val="16"/>
        </w:rPr>
        <w:t>AT (1.20%)</w:t>
      </w:r>
      <w:r>
        <w:rPr>
          <w:sz w:val="16"/>
        </w:rPr>
        <w:t>、</w:t>
      </w:r>
      <w:r>
        <w:rPr>
          <w:rFonts w:ascii="Arial" w:eastAsia="Arial" w:hAnsi="Arial" w:cs="Arial"/>
          <w:sz w:val="16"/>
        </w:rPr>
        <w:t>AA  (1.20%)</w:t>
      </w:r>
      <w:r>
        <w:rPr>
          <w:sz w:val="16"/>
        </w:rPr>
        <w:t>、</w:t>
      </w:r>
      <w:r>
        <w:rPr>
          <w:rFonts w:ascii="Arial" w:eastAsia="Arial" w:hAnsi="Arial" w:cs="Arial"/>
          <w:sz w:val="16"/>
        </w:rPr>
        <w:t>AX (1.00%)</w:t>
      </w:r>
      <w:r>
        <w:rPr>
          <w:sz w:val="16"/>
        </w:rPr>
        <w:t>、</w:t>
      </w:r>
      <w:r>
        <w:rPr>
          <w:rFonts w:ascii="Arial" w:eastAsia="Arial" w:hAnsi="Arial" w:cs="Arial"/>
          <w:sz w:val="16"/>
        </w:rPr>
        <w:t>B (2.20%)</w:t>
      </w:r>
      <w:r>
        <w:rPr>
          <w:sz w:val="16"/>
        </w:rPr>
        <w:t>、</w:t>
      </w:r>
      <w:r>
        <w:rPr>
          <w:rFonts w:ascii="Arial" w:eastAsia="Arial" w:hAnsi="Arial" w:cs="Arial"/>
          <w:sz w:val="16"/>
        </w:rPr>
        <w:t>C (1.60% )</w:t>
      </w:r>
      <w:r>
        <w:rPr>
          <w:sz w:val="16"/>
        </w:rPr>
        <w:t>、</w:t>
      </w:r>
      <w:r>
        <w:rPr>
          <w:rFonts w:ascii="Arial" w:eastAsia="Arial" w:hAnsi="Arial" w:cs="Arial"/>
          <w:sz w:val="16"/>
        </w:rPr>
        <w:t>C2 (1.60%)</w:t>
      </w:r>
      <w:r>
        <w:rPr>
          <w:sz w:val="16"/>
        </w:rPr>
        <w:t>、</w:t>
      </w:r>
      <w:r>
        <w:rPr>
          <w:rFonts w:ascii="Arial" w:eastAsia="Arial" w:hAnsi="Arial" w:cs="Arial"/>
          <w:sz w:val="16"/>
        </w:rPr>
        <w:t>CT (1.60%)</w:t>
      </w:r>
      <w:r>
        <w:rPr>
          <w:sz w:val="16"/>
        </w:rPr>
        <w:t>、</w:t>
      </w:r>
      <w:r>
        <w:rPr>
          <w:rFonts w:ascii="Arial" w:eastAsia="Arial" w:hAnsi="Arial" w:cs="Arial"/>
          <w:sz w:val="16"/>
        </w:rPr>
        <w:t>I (0.575%)</w:t>
      </w:r>
      <w:r>
        <w:rPr>
          <w:sz w:val="16"/>
        </w:rPr>
        <w:t>、</w:t>
      </w:r>
      <w:r>
        <w:rPr>
          <w:rFonts w:ascii="Arial" w:eastAsia="Arial" w:hAnsi="Arial" w:cs="Arial"/>
          <w:sz w:val="16"/>
        </w:rPr>
        <w:t>I2 (0.575%)</w:t>
      </w:r>
      <w:r>
        <w:rPr>
          <w:sz w:val="16"/>
        </w:rPr>
        <w:t>、</w:t>
      </w:r>
      <w:r>
        <w:rPr>
          <w:rFonts w:ascii="Arial" w:eastAsia="Arial" w:hAnsi="Arial" w:cs="Arial"/>
          <w:sz w:val="16"/>
        </w:rPr>
        <w:t>IT (0.575% )</w:t>
      </w:r>
      <w:r>
        <w:rPr>
          <w:sz w:val="16"/>
        </w:rPr>
        <w:t>、</w:t>
      </w:r>
      <w:r>
        <w:rPr>
          <w:rFonts w:ascii="Arial" w:eastAsia="Arial" w:hAnsi="Arial" w:cs="Arial"/>
          <w:sz w:val="16"/>
        </w:rPr>
        <w:t>N2 (1.70%)</w:t>
      </w:r>
      <w:r>
        <w:rPr>
          <w:sz w:val="16"/>
        </w:rPr>
        <w:t>、</w:t>
      </w:r>
      <w:r>
        <w:rPr>
          <w:rFonts w:ascii="Arial" w:eastAsia="Arial" w:hAnsi="Arial" w:cs="Arial"/>
          <w:sz w:val="16"/>
        </w:rPr>
        <w:t>NT (1.70%)</w:t>
      </w:r>
      <w:r>
        <w:rPr>
          <w:sz w:val="16"/>
        </w:rPr>
        <w:t>、</w:t>
      </w:r>
      <w:r>
        <w:rPr>
          <w:rFonts w:ascii="Arial" w:eastAsia="Arial" w:hAnsi="Arial" w:cs="Arial"/>
          <w:sz w:val="16"/>
        </w:rPr>
        <w:t>S (0.10%)</w:t>
      </w:r>
      <w:r>
        <w:rPr>
          <w:sz w:val="16"/>
        </w:rPr>
        <w:t>、</w:t>
      </w:r>
      <w:r>
        <w:rPr>
          <w:rFonts w:ascii="Arial" w:eastAsia="Arial" w:hAnsi="Arial" w:cs="Arial"/>
          <w:sz w:val="16"/>
        </w:rPr>
        <w:t>S1 (0.35%)</w:t>
      </w:r>
      <w:r>
        <w:rPr>
          <w:sz w:val="16"/>
        </w:rPr>
        <w:t>、</w:t>
      </w:r>
      <w:r>
        <w:rPr>
          <w:rFonts w:ascii="Arial" w:eastAsia="Arial" w:hAnsi="Arial" w:cs="Arial"/>
          <w:sz w:val="16"/>
        </w:rPr>
        <w:t xml:space="preserve">S2 </w:t>
      </w:r>
      <w:r>
        <w:rPr>
          <w:rFonts w:ascii="Arial" w:eastAsia="Arial" w:hAnsi="Arial" w:cs="Arial"/>
          <w:sz w:val="16"/>
        </w:rPr>
        <w:t xml:space="preserve">(0.10%) </w:t>
      </w:r>
      <w:r>
        <w:rPr>
          <w:sz w:val="16"/>
        </w:rPr>
        <w:t>、</w:t>
      </w:r>
      <w:r>
        <w:rPr>
          <w:rFonts w:ascii="Arial" w:eastAsia="Arial" w:hAnsi="Arial" w:cs="Arial"/>
          <w:sz w:val="16"/>
        </w:rPr>
        <w:t>SA (0.10%)</w:t>
      </w:r>
      <w:r>
        <w:rPr>
          <w:sz w:val="16"/>
        </w:rPr>
        <w:t>及</w:t>
      </w:r>
      <w:r>
        <w:rPr>
          <w:sz w:val="16"/>
        </w:rPr>
        <w:t xml:space="preserve"> </w:t>
      </w:r>
      <w:r>
        <w:rPr>
          <w:rFonts w:ascii="Arial" w:eastAsia="Arial" w:hAnsi="Arial" w:cs="Arial"/>
          <w:sz w:val="16"/>
        </w:rPr>
        <w:t>S12(0.35%)</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6"/>
        </w:numPr>
        <w:ind w:right="13" w:hanging="283"/>
        <w:jc w:val="both"/>
      </w:pPr>
      <w:r>
        <w:rPr>
          <w:rFonts w:ascii="Arial" w:eastAsia="Arial" w:hAnsi="Arial" w:cs="Arial"/>
          <w:sz w:val="16"/>
        </w:rPr>
        <w:t xml:space="preserve">B </w:t>
      </w:r>
      <w:r>
        <w:rPr>
          <w:sz w:val="16"/>
        </w:rPr>
        <w:t>類股份自認購日起四年後合資格轉入</w:t>
      </w:r>
      <w:r>
        <w:rPr>
          <w:sz w:val="16"/>
        </w:rPr>
        <w:t xml:space="preserve"> </w:t>
      </w:r>
      <w:r>
        <w:rPr>
          <w:rFonts w:ascii="Arial" w:eastAsia="Arial" w:hAnsi="Arial" w:cs="Arial"/>
          <w:sz w:val="16"/>
        </w:rPr>
        <w:t xml:space="preserve">A </w:t>
      </w:r>
      <w:r>
        <w:rPr>
          <w:sz w:val="16"/>
        </w:rPr>
        <w:t>類股份（及相應</w:t>
      </w:r>
      <w:r>
        <w:rPr>
          <w:sz w:val="16"/>
        </w:rPr>
        <w:t xml:space="preserve"> </w:t>
      </w:r>
      <w:r>
        <w:rPr>
          <w:rFonts w:ascii="Arial" w:eastAsia="Arial" w:hAnsi="Arial" w:cs="Arial"/>
          <w:sz w:val="16"/>
        </w:rPr>
        <w:t xml:space="preserve">H </w:t>
      </w:r>
      <w:r>
        <w:rPr>
          <w:sz w:val="16"/>
        </w:rPr>
        <w:t>類股份）</w:t>
      </w:r>
    </w:p>
    <w:p w:rsidR="004D6F0E" w:rsidRDefault="00490F21">
      <w:pPr>
        <w:spacing w:after="30" w:line="275" w:lineRule="auto"/>
        <w:ind w:left="283" w:firstLine="0"/>
      </w:pPr>
      <w:r>
        <w:rPr>
          <w:sz w:val="16"/>
        </w:rPr>
        <w:t>，本傘子基金和管理公司均不會因此收取費用。欲進一步了解換股詳情，請參閱認購章程第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spacing w:after="0" w:line="259" w:lineRule="auto"/>
        <w:ind w:left="2" w:firstLine="0"/>
      </w:pPr>
      <w:r>
        <w:rPr>
          <w:rFonts w:ascii="Arial" w:eastAsia="Arial" w:hAnsi="Arial" w:cs="Arial"/>
          <w:sz w:val="20"/>
        </w:rPr>
        <w:t xml:space="preserve"> </w:t>
      </w:r>
    </w:p>
    <w:p w:rsidR="004D6F0E" w:rsidRDefault="00490F21">
      <w:pPr>
        <w:numPr>
          <w:ilvl w:val="0"/>
          <w:numId w:val="16"/>
        </w:numPr>
        <w:ind w:right="13" w:hanging="283"/>
        <w:jc w:val="both"/>
      </w:pPr>
      <w:r>
        <w:rPr>
          <w:sz w:val="16"/>
        </w:rPr>
        <w:t>佔購買價的百分比。</w:t>
      </w:r>
      <w:r>
        <w:rPr>
          <w:rFonts w:ascii="Arial" w:eastAsia="Arial" w:hAnsi="Arial" w:cs="Arial"/>
          <w:sz w:val="16"/>
        </w:rPr>
        <w:t xml:space="preserve"> </w:t>
      </w:r>
    </w:p>
    <w:p w:rsidR="004D6F0E" w:rsidRDefault="00490F21">
      <w:pPr>
        <w:numPr>
          <w:ilvl w:val="0"/>
          <w:numId w:val="16"/>
        </w:numPr>
        <w:ind w:right="13" w:hanging="283"/>
        <w:jc w:val="both"/>
      </w:pPr>
      <w:r>
        <w:rPr>
          <w:sz w:val="16"/>
        </w:rPr>
        <w:t>佔每日平均資產淨值的年百分比。就某些類股份而言，管理費亦可包括支付給分銷商或其他金融中介和服務供應商的費用。有關管理</w:t>
      </w:r>
      <w:r>
        <w:rPr>
          <w:sz w:val="16"/>
        </w:rPr>
        <w:t>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numPr>
          <w:ilvl w:val="0"/>
          <w:numId w:val="16"/>
        </w:numPr>
        <w:ind w:right="13" w:hanging="283"/>
        <w:jc w:val="both"/>
      </w:pPr>
      <w:r>
        <w:rPr>
          <w:sz w:val="16"/>
        </w:rPr>
        <w:t>佔每日平均資產淨值的年百分比。</w:t>
      </w:r>
      <w:r>
        <w:rPr>
          <w:rFonts w:ascii="Arial" w:eastAsia="Arial" w:hAnsi="Arial" w:cs="Arial"/>
          <w:sz w:val="16"/>
        </w:rPr>
        <w:t xml:space="preserve">  </w:t>
      </w:r>
    </w:p>
    <w:p w:rsidR="004D6F0E" w:rsidRDefault="00490F21">
      <w:pPr>
        <w:numPr>
          <w:ilvl w:val="0"/>
          <w:numId w:val="16"/>
        </w:numPr>
        <w:ind w:right="13" w:hanging="283"/>
        <w:jc w:val="both"/>
      </w:pPr>
      <w:r>
        <w:rPr>
          <w:sz w:val="16"/>
        </w:rPr>
        <w:t>佔所贖回股份的現行資產淨值或原始成本此兩數字中較低者的有關百分比，並視乎該等股份的持有時間而定。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w:t>
      </w:r>
      <w:r>
        <w:rPr>
          <w:rFonts w:ascii="Arial" w:eastAsia="Arial" w:hAnsi="Arial" w:cs="Arial"/>
          <w:sz w:val="16"/>
        </w:rPr>
        <w:t xml:space="preserve">C2 </w:t>
      </w:r>
      <w:r>
        <w:rPr>
          <w:sz w:val="16"/>
        </w:rPr>
        <w:t>類股份和</w:t>
      </w:r>
      <w:r>
        <w:rPr>
          <w:sz w:val="16"/>
        </w:rPr>
        <w:t xml:space="preserve"> </w:t>
      </w:r>
      <w:r>
        <w:rPr>
          <w:rFonts w:ascii="Arial" w:eastAsia="Arial" w:hAnsi="Arial" w:cs="Arial"/>
          <w:sz w:val="16"/>
        </w:rPr>
        <w:t xml:space="preserve">CT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類股份）而言，交易商可在某些情況下選擇減免或有遞延銷售費。</w:t>
      </w:r>
      <w:r>
        <w:rPr>
          <w:rFonts w:ascii="Arial" w:eastAsia="Arial" w:hAnsi="Arial" w:cs="Arial"/>
          <w:sz w:val="16"/>
        </w:rPr>
        <w:t xml:space="preserve"> </w:t>
      </w:r>
    </w:p>
    <w:p w:rsidR="004D6F0E" w:rsidRDefault="00490F21">
      <w:pPr>
        <w:numPr>
          <w:ilvl w:val="0"/>
          <w:numId w:val="16"/>
        </w:numPr>
        <w:ind w:right="13" w:hanging="283"/>
        <w:jc w:val="both"/>
      </w:pPr>
      <w:r>
        <w:rPr>
          <w:rFonts w:ascii="Arial" w:eastAsia="Arial" w:hAnsi="Arial" w:cs="Arial"/>
          <w:sz w:val="16"/>
        </w:rPr>
        <w:t>S</w:t>
      </w:r>
      <w:r>
        <w:rPr>
          <w:sz w:val="16"/>
        </w:rPr>
        <w:t>、</w:t>
      </w:r>
      <w:r>
        <w:rPr>
          <w:rFonts w:ascii="Arial" w:eastAsia="Arial" w:hAnsi="Arial" w:cs="Arial"/>
          <w:sz w:val="16"/>
        </w:rPr>
        <w:t xml:space="preserve">SA </w:t>
      </w:r>
      <w:r>
        <w:rPr>
          <w:sz w:val="16"/>
        </w:rPr>
        <w:t>及</w:t>
      </w:r>
      <w:r>
        <w:rPr>
          <w:sz w:val="16"/>
        </w:rPr>
        <w:t xml:space="preserve"> </w:t>
      </w:r>
      <w:r>
        <w:rPr>
          <w:rFonts w:ascii="Arial" w:eastAsia="Arial" w:hAnsi="Arial" w:cs="Arial"/>
          <w:sz w:val="16"/>
        </w:rPr>
        <w:t xml:space="preserve">S2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6"/>
        </w:numPr>
        <w:ind w:right="13" w:hanging="283"/>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spacing w:after="0" w:line="259" w:lineRule="auto"/>
        <w:ind w:left="144" w:firstLine="0"/>
      </w:pPr>
      <w:r>
        <w:rPr>
          <w:rFonts w:ascii="Arial" w:eastAsia="Arial" w:hAnsi="Arial" w:cs="Arial"/>
          <w:sz w:val="16"/>
        </w:rPr>
        <w:t xml:space="preserve"> </w:t>
      </w:r>
    </w:p>
    <w:p w:rsidR="004D6F0E" w:rsidRDefault="00490F21">
      <w:pPr>
        <w:ind w:left="270" w:right="13" w:hanging="283"/>
        <w:jc w:val="both"/>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w:t>
      </w:r>
      <w:r>
        <w:rPr>
          <w:rFonts w:ascii="Arial" w:eastAsia="Arial" w:hAnsi="Arial" w:cs="Arial"/>
          <w:sz w:val="16"/>
        </w:rPr>
        <w:t xml:space="preserve">  </w:t>
      </w:r>
    </w:p>
    <w:p w:rsidR="004D6F0E" w:rsidRDefault="00490F21">
      <w:pPr>
        <w:ind w:left="295" w:right="13" w:hanging="10"/>
        <w:jc w:val="both"/>
      </w:pPr>
      <w:r>
        <w:rPr>
          <w:sz w:val="16"/>
        </w:rPr>
        <w:t>（包括對沖股份類別））的股東。</w:t>
      </w:r>
    </w:p>
    <w:p w:rsidR="004D6F0E" w:rsidRDefault="004D6F0E">
      <w:pPr>
        <w:sectPr w:rsidR="004D6F0E">
          <w:type w:val="continuous"/>
          <w:pgSz w:w="12240" w:h="15840"/>
          <w:pgMar w:top="1440" w:right="509" w:bottom="1440" w:left="430" w:header="720" w:footer="720" w:gutter="0"/>
          <w:cols w:num="2" w:space="720" w:equalWidth="0">
            <w:col w:w="5203" w:space="631"/>
            <w:col w:w="5468"/>
          </w:cols>
        </w:sectPr>
      </w:pPr>
    </w:p>
    <w:p w:rsidR="004D6F0E" w:rsidRDefault="00490F21">
      <w:pPr>
        <w:spacing w:after="0" w:line="259" w:lineRule="auto"/>
        <w:ind w:left="0" w:firstLine="0"/>
      </w:pP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Times New Roman" w:eastAsia="Times New Roman" w:hAnsi="Times New Roman" w:cs="Times New Roman"/>
          <w:sz w:val="24"/>
        </w:rPr>
        <w:t xml:space="preserve"> </w:t>
      </w:r>
    </w:p>
    <w:p w:rsidR="004D6F0E" w:rsidRDefault="00490F21">
      <w:pPr>
        <w:spacing w:after="26" w:line="259" w:lineRule="auto"/>
        <w:ind w:left="0" w:right="-122" w:firstLine="0"/>
      </w:pPr>
      <w:r>
        <w:rPr>
          <w:rFonts w:ascii="Calibri" w:eastAsia="Calibri" w:hAnsi="Calibri" w:cs="Calibri"/>
          <w:noProof/>
          <w:sz w:val="22"/>
        </w:rPr>
        <mc:AlternateContent>
          <mc:Choice Requires="wpg">
            <w:drawing>
              <wp:inline distT="0" distB="0" distL="0" distR="0">
                <wp:extent cx="7040881" cy="18288"/>
                <wp:effectExtent l="0" t="0" r="0" b="0"/>
                <wp:docPr id="485838" name="Group 485838"/>
                <wp:cNvGraphicFramePr/>
                <a:graphic xmlns:a="http://schemas.openxmlformats.org/drawingml/2006/main">
                  <a:graphicData uri="http://schemas.microsoft.com/office/word/2010/wordprocessingGroup">
                    <wpg:wgp>
                      <wpg:cNvGrpSpPr/>
                      <wpg:grpSpPr>
                        <a:xfrm>
                          <a:off x="0" y="0"/>
                          <a:ext cx="7040881" cy="18288"/>
                          <a:chOff x="0" y="0"/>
                          <a:chExt cx="7040881" cy="18288"/>
                        </a:xfrm>
                      </wpg:grpSpPr>
                      <wps:wsp>
                        <wps:cNvPr id="658147" name="Shape 658147"/>
                        <wps:cNvSpPr/>
                        <wps:spPr>
                          <a:xfrm>
                            <a:off x="0" y="0"/>
                            <a:ext cx="7040881" cy="18288"/>
                          </a:xfrm>
                          <a:custGeom>
                            <a:avLst/>
                            <a:gdLst/>
                            <a:ahLst/>
                            <a:cxnLst/>
                            <a:rect l="0" t="0" r="0" b="0"/>
                            <a:pathLst>
                              <a:path w="7040881" h="18288">
                                <a:moveTo>
                                  <a:pt x="0" y="0"/>
                                </a:moveTo>
                                <a:lnTo>
                                  <a:pt x="7040881" y="0"/>
                                </a:lnTo>
                                <a:lnTo>
                                  <a:pt x="704088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5838" style="width:554.4pt;height:1.44pt;mso-position-horizontal-relative:char;mso-position-vertical-relative:line" coordsize="70408,182">
                <v:shape id="Shape 658148" style="position:absolute;width:70408;height:182;left:0;top:0;" coordsize="7040881,18288" path="m0,0l7040881,0l7040881,18288l0,18288l0,0">
                  <v:stroke weight="0pt" endcap="flat" joinstyle="miter" miterlimit="10" on="false" color="#000000" opacity="0"/>
                  <v:fill on="true" color="#000000"/>
                </v:shape>
              </v:group>
            </w:pict>
          </mc:Fallback>
        </mc:AlternateContent>
      </w:r>
    </w:p>
    <w:p w:rsidR="004D6F0E" w:rsidRDefault="00490F21">
      <w:pPr>
        <w:spacing w:after="1" w:line="265" w:lineRule="auto"/>
        <w:ind w:right="256" w:hanging="10"/>
        <w:jc w:val="right"/>
      </w:pPr>
      <w:r>
        <w:t>其他股份類別特色</w:t>
      </w:r>
      <w:r>
        <w:rPr>
          <w:sz w:val="18"/>
        </w:rPr>
        <w:t>盧森堡年稅</w:t>
      </w:r>
      <w:r>
        <w:t>（</w:t>
      </w:r>
      <w:r>
        <w:rPr>
          <w:rFonts w:ascii="Arial" w:eastAsia="Arial" w:hAnsi="Arial" w:cs="Arial"/>
          <w:b/>
          <w:i/>
          <w:sz w:val="18"/>
        </w:rPr>
        <w:t xml:space="preserve">Taxe </w:t>
      </w:r>
    </w:p>
    <w:p w:rsidR="004D6F0E" w:rsidRDefault="00490F21">
      <w:pPr>
        <w:spacing w:line="216" w:lineRule="auto"/>
        <w:ind w:left="2093" w:right="13" w:hanging="1978"/>
      </w:pPr>
      <w:r>
        <w:rPr>
          <w:rFonts w:ascii="Arial" w:eastAsia="Arial" w:hAnsi="Arial" w:cs="Arial"/>
          <w:b/>
          <w:sz w:val="18"/>
        </w:rPr>
        <w:t xml:space="preserve"> </w:t>
      </w:r>
      <w:r>
        <w:rPr>
          <w:sz w:val="18"/>
        </w:rPr>
        <w:t>發售貨幣</w:t>
      </w:r>
      <w:r>
        <w:rPr>
          <w:rFonts w:ascii="Arial" w:eastAsia="Arial" w:hAnsi="Arial" w:cs="Arial"/>
          <w:b/>
          <w:sz w:val="18"/>
        </w:rPr>
        <w:t xml:space="preserve"> </w:t>
      </w:r>
      <w:r>
        <w:rPr>
          <w:rFonts w:ascii="Arial" w:eastAsia="Arial" w:hAnsi="Arial" w:cs="Arial"/>
          <w:b/>
          <w:sz w:val="18"/>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rFonts w:ascii="Arial" w:eastAsia="Arial" w:hAnsi="Arial" w:cs="Arial"/>
          <w:b/>
          <w:sz w:val="18"/>
        </w:rPr>
        <w:tab/>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12" w:line="259" w:lineRule="auto"/>
        <w:ind w:left="1766" w:right="-35" w:firstLine="0"/>
      </w:pPr>
      <w:r>
        <w:rPr>
          <w:rFonts w:ascii="Calibri" w:eastAsia="Calibri" w:hAnsi="Calibri" w:cs="Calibri"/>
          <w:noProof/>
          <w:sz w:val="22"/>
        </w:rPr>
        <mc:AlternateContent>
          <mc:Choice Requires="wpg">
            <w:drawing>
              <wp:inline distT="0" distB="0" distL="0" distR="0">
                <wp:extent cx="5864352" cy="6096"/>
                <wp:effectExtent l="0" t="0" r="0" b="0"/>
                <wp:docPr id="485840" name="Group 485840"/>
                <wp:cNvGraphicFramePr/>
                <a:graphic xmlns:a="http://schemas.openxmlformats.org/drawingml/2006/main">
                  <a:graphicData uri="http://schemas.microsoft.com/office/word/2010/wordprocessingGroup">
                    <wpg:wgp>
                      <wpg:cNvGrpSpPr/>
                      <wpg:grpSpPr>
                        <a:xfrm>
                          <a:off x="0" y="0"/>
                          <a:ext cx="5864352" cy="6096"/>
                          <a:chOff x="0" y="0"/>
                          <a:chExt cx="5864352" cy="6096"/>
                        </a:xfrm>
                      </wpg:grpSpPr>
                      <wps:wsp>
                        <wps:cNvPr id="658149" name="Shape 658149"/>
                        <wps:cNvSpPr/>
                        <wps:spPr>
                          <a:xfrm>
                            <a:off x="0" y="0"/>
                            <a:ext cx="871728" cy="9144"/>
                          </a:xfrm>
                          <a:custGeom>
                            <a:avLst/>
                            <a:gdLst/>
                            <a:ahLst/>
                            <a:cxnLst/>
                            <a:rect l="0" t="0" r="0" b="0"/>
                            <a:pathLst>
                              <a:path w="871728" h="9144">
                                <a:moveTo>
                                  <a:pt x="0" y="0"/>
                                </a:moveTo>
                                <a:lnTo>
                                  <a:pt x="871728" y="0"/>
                                </a:lnTo>
                                <a:lnTo>
                                  <a:pt x="8717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50" name="Shape 658150"/>
                        <wps:cNvSpPr/>
                        <wps:spPr>
                          <a:xfrm>
                            <a:off x="981456" y="0"/>
                            <a:ext cx="1319784" cy="9144"/>
                          </a:xfrm>
                          <a:custGeom>
                            <a:avLst/>
                            <a:gdLst/>
                            <a:ahLst/>
                            <a:cxnLst/>
                            <a:rect l="0" t="0" r="0" b="0"/>
                            <a:pathLst>
                              <a:path w="1319784" h="9144">
                                <a:moveTo>
                                  <a:pt x="0" y="0"/>
                                </a:moveTo>
                                <a:lnTo>
                                  <a:pt x="1319784" y="0"/>
                                </a:lnTo>
                                <a:lnTo>
                                  <a:pt x="1319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51" name="Shape 658151"/>
                        <wps:cNvSpPr/>
                        <wps:spPr>
                          <a:xfrm>
                            <a:off x="2410968" y="0"/>
                            <a:ext cx="1048512" cy="9144"/>
                          </a:xfrm>
                          <a:custGeom>
                            <a:avLst/>
                            <a:gdLst/>
                            <a:ahLst/>
                            <a:cxnLst/>
                            <a:rect l="0" t="0" r="0" b="0"/>
                            <a:pathLst>
                              <a:path w="1048512" h="9144">
                                <a:moveTo>
                                  <a:pt x="0" y="0"/>
                                </a:moveTo>
                                <a:lnTo>
                                  <a:pt x="1048512" y="0"/>
                                </a:lnTo>
                                <a:lnTo>
                                  <a:pt x="10485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52" name="Shape 658152"/>
                        <wps:cNvSpPr/>
                        <wps:spPr>
                          <a:xfrm>
                            <a:off x="3567684" y="0"/>
                            <a:ext cx="870204" cy="9144"/>
                          </a:xfrm>
                          <a:custGeom>
                            <a:avLst/>
                            <a:gdLst/>
                            <a:ahLst/>
                            <a:cxnLst/>
                            <a:rect l="0" t="0" r="0" b="0"/>
                            <a:pathLst>
                              <a:path w="870204" h="9144">
                                <a:moveTo>
                                  <a:pt x="0" y="0"/>
                                </a:moveTo>
                                <a:lnTo>
                                  <a:pt x="870204" y="0"/>
                                </a:lnTo>
                                <a:lnTo>
                                  <a:pt x="870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53" name="Shape 658153"/>
                        <wps:cNvSpPr/>
                        <wps:spPr>
                          <a:xfrm>
                            <a:off x="4547616" y="0"/>
                            <a:ext cx="1316736" cy="9144"/>
                          </a:xfrm>
                          <a:custGeom>
                            <a:avLst/>
                            <a:gdLst/>
                            <a:ahLst/>
                            <a:cxnLst/>
                            <a:rect l="0" t="0" r="0" b="0"/>
                            <a:pathLst>
                              <a:path w="1316736" h="9144">
                                <a:moveTo>
                                  <a:pt x="0" y="0"/>
                                </a:moveTo>
                                <a:lnTo>
                                  <a:pt x="1316736" y="0"/>
                                </a:lnTo>
                                <a:lnTo>
                                  <a:pt x="1316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5840" style="width:461.76pt;height:0.47998pt;mso-position-horizontal-relative:char;mso-position-vertical-relative:line" coordsize="58643,60">
                <v:shape id="Shape 658154" style="position:absolute;width:8717;height:91;left:0;top:0;" coordsize="871728,9144" path="m0,0l871728,0l871728,9144l0,9144l0,0">
                  <v:stroke weight="0pt" endcap="flat" joinstyle="miter" miterlimit="10" on="false" color="#000000" opacity="0"/>
                  <v:fill on="true" color="#000000"/>
                </v:shape>
                <v:shape id="Shape 658155" style="position:absolute;width:13197;height:91;left:9814;top:0;" coordsize="1319784,9144" path="m0,0l1319784,0l1319784,9144l0,9144l0,0">
                  <v:stroke weight="0pt" endcap="flat" joinstyle="miter" miterlimit="10" on="false" color="#000000" opacity="0"/>
                  <v:fill on="true" color="#000000"/>
                </v:shape>
                <v:shape id="Shape 658156" style="position:absolute;width:10485;height:91;left:24109;top:0;" coordsize="1048512,9144" path="m0,0l1048512,0l1048512,9144l0,9144l0,0">
                  <v:stroke weight="0pt" endcap="flat" joinstyle="miter" miterlimit="10" on="false" color="#000000" opacity="0"/>
                  <v:fill on="true" color="#000000"/>
                </v:shape>
                <v:shape id="Shape 658157" style="position:absolute;width:8702;height:91;left:35676;top:0;" coordsize="870204,9144" path="m0,0l870204,0l870204,9144l0,9144l0,0">
                  <v:stroke weight="0pt" endcap="flat" joinstyle="miter" miterlimit="10" on="false" color="#000000" opacity="0"/>
                  <v:fill on="true" color="#000000"/>
                </v:shape>
                <v:shape id="Shape 658158" style="position:absolute;width:13167;height:91;left:45476;top:0;" coordsize="1316736,9144" path="m0,0l1316736,0l1316736,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p>
    <w:tbl>
      <w:tblPr>
        <w:tblStyle w:val="TableGrid"/>
        <w:tblW w:w="11088" w:type="dxa"/>
        <w:tblInd w:w="0" w:type="dxa"/>
        <w:tblCellMar>
          <w:top w:w="21" w:type="dxa"/>
          <w:left w:w="0" w:type="dxa"/>
          <w:bottom w:w="0" w:type="dxa"/>
          <w:right w:w="77" w:type="dxa"/>
        </w:tblCellMar>
        <w:tblLook w:val="04A0" w:firstRow="1" w:lastRow="0" w:firstColumn="1" w:lastColumn="0" w:noHBand="0" w:noVBand="1"/>
      </w:tblPr>
      <w:tblGrid>
        <w:gridCol w:w="2273"/>
        <w:gridCol w:w="1354"/>
        <w:gridCol w:w="2335"/>
        <w:gridCol w:w="1579"/>
        <w:gridCol w:w="2167"/>
        <w:gridCol w:w="1380"/>
      </w:tblGrid>
      <w:tr w:rsidR="004D6F0E">
        <w:trPr>
          <w:trHeight w:val="235"/>
        </w:trPr>
        <w:tc>
          <w:tcPr>
            <w:tcW w:w="2273"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354" w:type="dxa"/>
            <w:tcBorders>
              <w:top w:val="nil"/>
              <w:left w:val="nil"/>
              <w:bottom w:val="nil"/>
              <w:right w:val="nil"/>
            </w:tcBorders>
            <w:shd w:val="clear" w:color="auto" w:fill="D9D9D9"/>
          </w:tcPr>
          <w:p w:rsidR="004D6F0E" w:rsidRDefault="004D6F0E">
            <w:pPr>
              <w:spacing w:after="160" w:line="259" w:lineRule="auto"/>
              <w:ind w:left="0" w:firstLine="0"/>
            </w:pPr>
          </w:p>
        </w:tc>
        <w:tc>
          <w:tcPr>
            <w:tcW w:w="2335"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2167" w:type="dxa"/>
            <w:tcBorders>
              <w:top w:val="nil"/>
              <w:left w:val="nil"/>
              <w:bottom w:val="nil"/>
              <w:right w:val="nil"/>
            </w:tcBorders>
            <w:shd w:val="clear" w:color="auto" w:fill="D9D9D9"/>
          </w:tcPr>
          <w:p w:rsidR="004D6F0E" w:rsidRDefault="004D6F0E">
            <w:pPr>
              <w:spacing w:after="160" w:line="259" w:lineRule="auto"/>
              <w:ind w:left="0" w:firstLine="0"/>
            </w:pPr>
          </w:p>
        </w:tc>
        <w:tc>
          <w:tcPr>
            <w:tcW w:w="1380"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AJ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AT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AX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365" w:firstLine="0"/>
            </w:pPr>
            <w:r>
              <w:rPr>
                <w:sz w:val="18"/>
              </w:rPr>
              <w:t>不再發售</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67" w:firstLine="0"/>
            </w:pPr>
            <w:r>
              <w:rPr>
                <w:sz w:val="18"/>
              </w:rPr>
              <w:t>不再發售</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168" w:firstLine="0"/>
            </w:pPr>
            <w:r>
              <w:rPr>
                <w:sz w:val="18"/>
              </w:rPr>
              <w:t>不再發售</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i/>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及</w:t>
            </w:r>
            <w:r>
              <w:rPr>
                <w:sz w:val="18"/>
              </w:rPr>
              <w:t xml:space="preserve"> </w:t>
            </w:r>
            <w:r>
              <w:rPr>
                <w:rFonts w:ascii="Arial" w:eastAsia="Arial" w:hAnsi="Arial" w:cs="Arial"/>
                <w:sz w:val="18"/>
              </w:rPr>
              <w:t xml:space="preserve">S2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及</w:t>
            </w:r>
            <w:r>
              <w:rPr>
                <w:sz w:val="18"/>
              </w:rPr>
              <w:t xml:space="preserve"> </w:t>
            </w:r>
            <w:r>
              <w:rPr>
                <w:rFonts w:ascii="Arial" w:eastAsia="Arial" w:hAnsi="Arial" w:cs="Arial"/>
                <w:sz w:val="18"/>
              </w:rPr>
              <w:t xml:space="preserve">S1 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6"/>
        </w:trPr>
        <w:tc>
          <w:tcPr>
            <w:tcW w:w="2273"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10"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336"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9"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273"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1354"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335" w:type="dxa"/>
            <w:tcBorders>
              <w:top w:val="nil"/>
              <w:left w:val="nil"/>
              <w:bottom w:val="nil"/>
              <w:right w:val="nil"/>
            </w:tcBorders>
            <w:shd w:val="clear" w:color="auto" w:fill="D9D9D9"/>
          </w:tcPr>
          <w:p w:rsidR="004D6F0E" w:rsidRDefault="00490F21">
            <w:pPr>
              <w:spacing w:after="0" w:line="259" w:lineRule="auto"/>
              <w:ind w:left="725" w:firstLine="0"/>
            </w:pPr>
            <w:r>
              <w:rPr>
                <w:rFonts w:ascii="Arial" w:eastAsia="Arial" w:hAnsi="Arial" w:cs="Arial"/>
                <w:sz w:val="18"/>
              </w:rPr>
              <w:t xml:space="preserve"> </w:t>
            </w:r>
          </w:p>
        </w:tc>
        <w:tc>
          <w:tcPr>
            <w:tcW w:w="1579"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2167"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380"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239"/>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273" w:type="dxa"/>
            <w:tcBorders>
              <w:top w:val="nil"/>
              <w:left w:val="nil"/>
              <w:bottom w:val="nil"/>
              <w:right w:val="nil"/>
            </w:tcBorders>
          </w:tcPr>
          <w:p w:rsidR="004D6F0E" w:rsidRDefault="00490F21">
            <w:pPr>
              <w:spacing w:after="14" w:line="259" w:lineRule="auto"/>
              <w:ind w:left="115" w:firstLine="0"/>
            </w:pPr>
            <w:r>
              <w:rPr>
                <w:rFonts w:ascii="Arial" w:eastAsia="Arial" w:hAnsi="Arial" w:cs="Arial"/>
                <w:sz w:val="18"/>
              </w:rPr>
              <w:t xml:space="preserve">S1 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10"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336"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9"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273"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354"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335" w:type="dxa"/>
            <w:tcBorders>
              <w:top w:val="nil"/>
              <w:left w:val="nil"/>
              <w:bottom w:val="nil"/>
              <w:right w:val="nil"/>
            </w:tcBorders>
            <w:shd w:val="clear" w:color="auto" w:fill="D9D9D9"/>
          </w:tcPr>
          <w:p w:rsidR="004D6F0E" w:rsidRDefault="00490F21">
            <w:pPr>
              <w:spacing w:after="0" w:line="259" w:lineRule="auto"/>
              <w:ind w:left="725" w:firstLine="0"/>
            </w:pPr>
            <w:r>
              <w:rPr>
                <w:rFonts w:ascii="Arial" w:eastAsia="Arial" w:hAnsi="Arial" w:cs="Arial"/>
                <w:sz w:val="18"/>
              </w:rPr>
              <w:t xml:space="preserve"> </w:t>
            </w:r>
          </w:p>
        </w:tc>
        <w:tc>
          <w:tcPr>
            <w:tcW w:w="1579"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2167"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380"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r>
      <w:tr w:rsidR="004D6F0E">
        <w:trPr>
          <w:trHeight w:val="239"/>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港元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港元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273"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354" w:type="dxa"/>
            <w:tcBorders>
              <w:top w:val="nil"/>
              <w:left w:val="nil"/>
              <w:bottom w:val="nil"/>
              <w:right w:val="nil"/>
            </w:tcBorders>
          </w:tcPr>
          <w:p w:rsidR="004D6F0E" w:rsidRDefault="00490F21">
            <w:pPr>
              <w:spacing w:after="7" w:line="259" w:lineRule="auto"/>
              <w:ind w:left="0" w:firstLine="0"/>
            </w:pPr>
            <w:r>
              <w:rPr>
                <w:sz w:val="18"/>
              </w:rPr>
              <w:t>港元</w:t>
            </w:r>
            <w:r>
              <w:rPr>
                <w:rFonts w:ascii="Arial" w:eastAsia="Arial" w:hAnsi="Arial" w:cs="Arial"/>
                <w:b/>
                <w:i/>
                <w:sz w:val="18"/>
              </w:rPr>
              <w:t xml:space="preserve"> </w:t>
            </w:r>
          </w:p>
          <w:p w:rsidR="004D6F0E" w:rsidRDefault="00490F21">
            <w:pPr>
              <w:spacing w:after="0" w:line="259" w:lineRule="auto"/>
              <w:ind w:left="1068" w:firstLine="0"/>
            </w:pP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12" w:line="259" w:lineRule="auto"/>
              <w:ind w:left="247" w:firstLine="0"/>
            </w:pPr>
            <w:r>
              <w:rPr>
                <w:rFonts w:ascii="Arial" w:eastAsia="Arial" w:hAnsi="Arial" w:cs="Arial"/>
                <w:sz w:val="18"/>
              </w:rPr>
              <w:t xml:space="preserve">15,000 </w:t>
            </w:r>
            <w:r>
              <w:rPr>
                <w:sz w:val="18"/>
              </w:rPr>
              <w:t>港元</w:t>
            </w:r>
            <w:r>
              <w:rPr>
                <w:rFonts w:ascii="Arial" w:eastAsia="Arial" w:hAnsi="Arial" w:cs="Arial"/>
                <w:sz w:val="18"/>
              </w:rPr>
              <w:t xml:space="preserve"> </w:t>
            </w:r>
          </w:p>
          <w:p w:rsidR="004D6F0E" w:rsidRDefault="00490F21">
            <w:pPr>
              <w:spacing w:after="0" w:line="259" w:lineRule="auto"/>
              <w:ind w:left="0" w:right="242" w:firstLine="0"/>
              <w:jc w:val="right"/>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792" w:firstLine="0"/>
              <w:jc w:val="center"/>
            </w:pP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1354" w:type="dxa"/>
            <w:tcBorders>
              <w:top w:val="nil"/>
              <w:left w:val="nil"/>
              <w:bottom w:val="nil"/>
              <w:right w:val="nil"/>
            </w:tcBorders>
            <w:shd w:val="clear" w:color="auto" w:fill="D9D9D9"/>
          </w:tcPr>
          <w:p w:rsidR="004D6F0E" w:rsidRDefault="004D6F0E">
            <w:pPr>
              <w:spacing w:after="160" w:line="259" w:lineRule="auto"/>
              <w:ind w:left="0" w:firstLine="0"/>
            </w:pPr>
          </w:p>
        </w:tc>
        <w:tc>
          <w:tcPr>
            <w:tcW w:w="2335"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2167" w:type="dxa"/>
            <w:tcBorders>
              <w:top w:val="nil"/>
              <w:left w:val="nil"/>
              <w:bottom w:val="nil"/>
              <w:right w:val="nil"/>
            </w:tcBorders>
            <w:shd w:val="clear" w:color="auto" w:fill="D9D9D9"/>
          </w:tcPr>
          <w:p w:rsidR="004D6F0E" w:rsidRDefault="004D6F0E">
            <w:pPr>
              <w:spacing w:after="160" w:line="259" w:lineRule="auto"/>
              <w:ind w:left="0" w:firstLine="0"/>
            </w:pPr>
          </w:p>
        </w:tc>
        <w:tc>
          <w:tcPr>
            <w:tcW w:w="1380"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vertAlign w:val="superscript"/>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273"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vertAlign w:val="superscript"/>
              </w:rPr>
              <w:t xml:space="preserve"> </w:t>
            </w:r>
          </w:p>
        </w:tc>
        <w:tc>
          <w:tcPr>
            <w:tcW w:w="135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0" w:line="259" w:lineRule="auto"/>
              <w:ind w:left="336" w:firstLine="0"/>
            </w:pPr>
            <w:r>
              <w:rPr>
                <w:sz w:val="18"/>
              </w:rPr>
              <w:t>無</w:t>
            </w: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5"/>
        </w:trPr>
        <w:tc>
          <w:tcPr>
            <w:tcW w:w="2273"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54" w:type="dxa"/>
            <w:tcBorders>
              <w:top w:val="nil"/>
              <w:left w:val="nil"/>
              <w:bottom w:val="nil"/>
              <w:right w:val="nil"/>
            </w:tcBorders>
          </w:tcPr>
          <w:p w:rsidR="004D6F0E" w:rsidRDefault="00490F21">
            <w:pPr>
              <w:spacing w:after="10"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35"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579" w:type="dxa"/>
            <w:tcBorders>
              <w:top w:val="nil"/>
              <w:left w:val="nil"/>
              <w:bottom w:val="nil"/>
              <w:right w:val="nil"/>
            </w:tcBorders>
          </w:tcPr>
          <w:p w:rsidR="004D6F0E" w:rsidRDefault="00490F21">
            <w:pPr>
              <w:spacing w:after="9" w:line="259" w:lineRule="auto"/>
              <w:ind w:left="336"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2167" w:type="dxa"/>
            <w:tcBorders>
              <w:top w:val="nil"/>
              <w:left w:val="nil"/>
              <w:bottom w:val="nil"/>
              <w:right w:val="nil"/>
            </w:tcBorders>
          </w:tcPr>
          <w:p w:rsidR="004D6F0E" w:rsidRDefault="00490F21">
            <w:pPr>
              <w:spacing w:after="9"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38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273"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b/>
                <w:sz w:val="18"/>
              </w:rPr>
              <w:t xml:space="preserve"> </w:t>
            </w:r>
          </w:p>
        </w:tc>
        <w:tc>
          <w:tcPr>
            <w:tcW w:w="1354" w:type="dxa"/>
            <w:tcBorders>
              <w:top w:val="nil"/>
              <w:left w:val="nil"/>
              <w:bottom w:val="nil"/>
              <w:right w:val="nil"/>
            </w:tcBorders>
            <w:shd w:val="clear" w:color="auto" w:fill="D9D9D9"/>
          </w:tcPr>
          <w:p w:rsidR="004D6F0E" w:rsidRDefault="004D6F0E">
            <w:pPr>
              <w:spacing w:after="160" w:line="259" w:lineRule="auto"/>
              <w:ind w:left="0" w:firstLine="0"/>
            </w:pPr>
          </w:p>
        </w:tc>
        <w:tc>
          <w:tcPr>
            <w:tcW w:w="2335" w:type="dxa"/>
            <w:tcBorders>
              <w:top w:val="nil"/>
              <w:left w:val="nil"/>
              <w:bottom w:val="nil"/>
              <w:right w:val="nil"/>
            </w:tcBorders>
            <w:shd w:val="clear" w:color="auto" w:fill="D9D9D9"/>
          </w:tcPr>
          <w:p w:rsidR="004D6F0E" w:rsidRDefault="004D6F0E">
            <w:pPr>
              <w:spacing w:after="160" w:line="259" w:lineRule="auto"/>
              <w:ind w:left="0" w:firstLine="0"/>
            </w:pPr>
          </w:p>
        </w:tc>
        <w:tc>
          <w:tcPr>
            <w:tcW w:w="1579" w:type="dxa"/>
            <w:tcBorders>
              <w:top w:val="nil"/>
              <w:left w:val="nil"/>
              <w:bottom w:val="nil"/>
              <w:right w:val="nil"/>
            </w:tcBorders>
            <w:shd w:val="clear" w:color="auto" w:fill="D9D9D9"/>
          </w:tcPr>
          <w:p w:rsidR="004D6F0E" w:rsidRDefault="004D6F0E">
            <w:pPr>
              <w:spacing w:after="160" w:line="259" w:lineRule="auto"/>
              <w:ind w:left="0" w:firstLine="0"/>
            </w:pPr>
          </w:p>
        </w:tc>
        <w:tc>
          <w:tcPr>
            <w:tcW w:w="2167" w:type="dxa"/>
            <w:tcBorders>
              <w:top w:val="nil"/>
              <w:left w:val="nil"/>
              <w:bottom w:val="nil"/>
              <w:right w:val="nil"/>
            </w:tcBorders>
            <w:shd w:val="clear" w:color="auto" w:fill="D9D9D9"/>
          </w:tcPr>
          <w:p w:rsidR="004D6F0E" w:rsidRDefault="004D6F0E">
            <w:pPr>
              <w:spacing w:after="160" w:line="259" w:lineRule="auto"/>
              <w:ind w:left="0" w:firstLine="0"/>
            </w:pPr>
          </w:p>
        </w:tc>
        <w:tc>
          <w:tcPr>
            <w:tcW w:w="1380"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2453"/>
          <w:tab w:val="center" w:pos="4352"/>
          <w:tab w:val="center" w:pos="6390"/>
          <w:tab w:val="center" w:pos="8070"/>
          <w:tab w:val="center" w:pos="9964"/>
        </w:tabs>
        <w:spacing w:after="20"/>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vertAlign w:val="superscript"/>
        </w:rPr>
        <w:t xml:space="preserve"> </w:t>
      </w:r>
      <w:r>
        <w:rPr>
          <w:rFonts w:ascii="Arial" w:eastAsia="Arial" w:hAnsi="Arial" w:cs="Arial"/>
          <w:sz w:val="18"/>
          <w:vertAlign w:val="superscript"/>
        </w:rPr>
        <w:tab/>
      </w:r>
      <w:r>
        <w:rPr>
          <w:sz w:val="18"/>
        </w:rPr>
        <w:t>澳元</w:t>
      </w:r>
      <w:r>
        <w:rPr>
          <w:rFonts w:ascii="Arial" w:eastAsia="Arial" w:hAnsi="Arial" w:cs="Arial"/>
          <w:sz w:val="18"/>
        </w:rPr>
        <w:t xml:space="preserve"> </w:t>
      </w:r>
      <w:r>
        <w:rPr>
          <w:rFonts w:ascii="Arial" w:eastAsia="Arial" w:hAnsi="Arial" w:cs="Arial"/>
          <w:sz w:val="18"/>
        </w:rPr>
        <w:tab/>
        <w:t xml:space="preserve">2,000 </w:t>
      </w:r>
      <w:r>
        <w:rPr>
          <w:sz w:val="18"/>
        </w:rPr>
        <w:t>澳元</w:t>
      </w:r>
      <w:r>
        <w:rPr>
          <w:rFonts w:ascii="Arial" w:eastAsia="Arial" w:hAnsi="Arial" w:cs="Arial"/>
          <w:sz w:val="18"/>
        </w:rPr>
        <w:t xml:space="preserve"> </w:t>
      </w:r>
      <w:r>
        <w:rPr>
          <w:rFonts w:ascii="Arial" w:eastAsia="Arial" w:hAnsi="Arial" w:cs="Arial"/>
          <w:sz w:val="18"/>
        </w:rPr>
        <w:tab/>
        <w:t xml:space="preserve">750 </w:t>
      </w:r>
      <w:r>
        <w:rPr>
          <w:sz w:val="18"/>
        </w:rPr>
        <w:t>澳元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20"/>
        <w:ind w:left="110" w:right="546" w:hanging="10"/>
        <w:jc w:val="both"/>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r>
        <w:rPr>
          <w:sz w:val="18"/>
        </w:rPr>
        <w:t>澳元</w:t>
      </w:r>
      <w:r>
        <w:rPr>
          <w:rFonts w:ascii="Arial" w:eastAsia="Arial" w:hAnsi="Arial" w:cs="Arial"/>
          <w:sz w:val="18"/>
        </w:rPr>
        <w:t xml:space="preserve"> 2,000 </w:t>
      </w:r>
      <w:r>
        <w:rPr>
          <w:sz w:val="18"/>
        </w:rPr>
        <w:t>澳元</w:t>
      </w:r>
      <w:r>
        <w:rPr>
          <w:rFonts w:ascii="Arial" w:eastAsia="Arial" w:hAnsi="Arial" w:cs="Arial"/>
          <w:sz w:val="18"/>
        </w:rPr>
        <w:t xml:space="preserve"> 750 </w:t>
      </w:r>
      <w:r>
        <w:rPr>
          <w:sz w:val="18"/>
        </w:rPr>
        <w:t>澳元</w:t>
      </w:r>
      <w:r>
        <w:rPr>
          <w:rFonts w:ascii="Arial" w:eastAsia="Arial" w:hAnsi="Arial" w:cs="Arial"/>
          <w:sz w:val="18"/>
        </w:rPr>
        <w:t xml:space="preserve"> </w:t>
      </w:r>
      <w:r>
        <w:rPr>
          <w:sz w:val="18"/>
        </w:rPr>
        <w:t>無</w:t>
      </w:r>
      <w:r>
        <w:rPr>
          <w:rFonts w:ascii="Arial" w:eastAsia="Arial" w:hAnsi="Arial" w:cs="Arial"/>
          <w:sz w:val="18"/>
        </w:rPr>
        <w:t xml:space="preserve"> 0.05% I2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vertAlign w:val="superscript"/>
        </w:rPr>
        <w:t xml:space="preserve"> </w:t>
      </w:r>
      <w:r>
        <w:rPr>
          <w:sz w:val="18"/>
        </w:rPr>
        <w:t>澳元</w:t>
      </w:r>
      <w:r>
        <w:rPr>
          <w:rFonts w:ascii="Arial" w:eastAsia="Arial" w:hAnsi="Arial" w:cs="Arial"/>
          <w:sz w:val="18"/>
        </w:rPr>
        <w:t xml:space="preserve"> </w:t>
      </w:r>
      <w:r>
        <w:rPr>
          <w:rFonts w:ascii="Arial" w:eastAsia="Arial" w:hAnsi="Arial" w:cs="Arial"/>
          <w:sz w:val="18"/>
        </w:rPr>
        <w:t xml:space="preserve">1,000,000 </w:t>
      </w:r>
      <w:r>
        <w:rPr>
          <w:sz w:val="18"/>
        </w:rPr>
        <w:t>澳元</w:t>
      </w:r>
      <w:r>
        <w:rPr>
          <w:rFonts w:ascii="Arial" w:eastAsia="Arial" w:hAnsi="Arial" w:cs="Arial"/>
          <w:sz w:val="18"/>
        </w:rPr>
        <w:t xml:space="preserve">**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0.05% </w:t>
      </w:r>
    </w:p>
    <w:p w:rsidR="004D6F0E" w:rsidRDefault="00490F21">
      <w:pPr>
        <w:tabs>
          <w:tab w:val="center" w:pos="2453"/>
          <w:tab w:val="center" w:pos="4350"/>
          <w:tab w:val="center" w:pos="6388"/>
          <w:tab w:val="center" w:pos="8070"/>
          <w:tab w:val="center" w:pos="9964"/>
        </w:tabs>
        <w:spacing w:after="20"/>
        <w:ind w:left="0"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r>
        <w:rPr>
          <w:rFonts w:ascii="Arial" w:eastAsia="Arial" w:hAnsi="Arial" w:cs="Arial"/>
          <w:sz w:val="18"/>
        </w:rPr>
        <w:tab/>
      </w:r>
      <w:r>
        <w:rPr>
          <w:sz w:val="18"/>
        </w:rPr>
        <w:t>澳元</w:t>
      </w:r>
      <w:r>
        <w:rPr>
          <w:rFonts w:ascii="Arial" w:eastAsia="Arial" w:hAnsi="Arial" w:cs="Arial"/>
          <w:sz w:val="18"/>
        </w:rPr>
        <w:t xml:space="preserve"> </w:t>
      </w:r>
      <w:r>
        <w:rPr>
          <w:rFonts w:ascii="Arial" w:eastAsia="Arial" w:hAnsi="Arial" w:cs="Arial"/>
          <w:sz w:val="18"/>
        </w:rPr>
        <w:tab/>
        <w:t xml:space="preserve">1,000,000 </w:t>
      </w:r>
      <w:r>
        <w:rPr>
          <w:sz w:val="18"/>
        </w:rPr>
        <w:t>澳元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0" w:line="259" w:lineRule="auto"/>
        <w:ind w:left="115" w:firstLine="0"/>
      </w:pPr>
      <w:r>
        <w:rPr>
          <w:rFonts w:ascii="Arial" w:eastAsia="Arial" w:hAnsi="Arial" w:cs="Arial"/>
          <w:sz w:val="18"/>
        </w:rPr>
        <w:lastRenderedPageBreak/>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1" w:line="259" w:lineRule="auto"/>
        <w:ind w:left="0" w:firstLine="0"/>
      </w:pPr>
      <w:r>
        <w:rPr>
          <w:rFonts w:ascii="Arial" w:eastAsia="Arial" w:hAnsi="Arial" w:cs="Arial"/>
          <w:sz w:val="18"/>
        </w:rPr>
        <w:t xml:space="preserve"> </w:t>
      </w:r>
    </w:p>
    <w:p w:rsidR="004D6F0E" w:rsidRDefault="00490F21">
      <w:pPr>
        <w:spacing w:after="1971"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533" w:firstLine="0"/>
        <w:jc w:val="center"/>
      </w:pPr>
      <w:r>
        <w:rPr>
          <w:rFonts w:ascii="SimSun" w:eastAsia="SimSun" w:hAnsi="SimSun" w:cs="SimSun"/>
        </w:rPr>
        <w:t xml:space="preserve"> </w:t>
      </w:r>
    </w:p>
    <w:p w:rsidR="004D6F0E" w:rsidRDefault="00490F21">
      <w:pPr>
        <w:spacing w:after="96"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0813" w:firstLine="0"/>
      </w:pPr>
      <w:r>
        <w:rPr>
          <w:rFonts w:ascii="Arial" w:eastAsia="Arial" w:hAnsi="Arial" w:cs="Arial"/>
          <w:sz w:val="12"/>
        </w:rPr>
        <w:t xml:space="preserve">    </w:t>
      </w:r>
    </w:p>
    <w:p w:rsidR="004D6F0E" w:rsidRDefault="00490F21">
      <w:pPr>
        <w:spacing w:after="0" w:line="259" w:lineRule="auto"/>
        <w:ind w:left="0" w:firstLine="0"/>
      </w:pP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Times New Roman" w:eastAsia="Times New Roman" w:hAnsi="Times New Roman" w:cs="Times New Roman"/>
          <w:sz w:val="24"/>
        </w:rPr>
        <w:t xml:space="preserve"> </w:t>
      </w:r>
    </w:p>
    <w:tbl>
      <w:tblPr>
        <w:tblStyle w:val="TableGrid"/>
        <w:tblW w:w="11057" w:type="dxa"/>
        <w:tblInd w:w="0" w:type="dxa"/>
        <w:tblCellMar>
          <w:top w:w="20" w:type="dxa"/>
          <w:left w:w="0" w:type="dxa"/>
          <w:bottom w:w="0" w:type="dxa"/>
          <w:right w:w="65" w:type="dxa"/>
        </w:tblCellMar>
        <w:tblLook w:val="04A0" w:firstRow="1" w:lastRow="0" w:firstColumn="1" w:lastColumn="0" w:noHBand="0" w:noVBand="1"/>
      </w:tblPr>
      <w:tblGrid>
        <w:gridCol w:w="427"/>
        <w:gridCol w:w="1845"/>
        <w:gridCol w:w="1101"/>
        <w:gridCol w:w="118"/>
        <w:gridCol w:w="295"/>
        <w:gridCol w:w="552"/>
        <w:gridCol w:w="1504"/>
        <w:gridCol w:w="1641"/>
        <w:gridCol w:w="577"/>
        <w:gridCol w:w="986"/>
        <w:gridCol w:w="692"/>
        <w:gridCol w:w="561"/>
        <w:gridCol w:w="758"/>
      </w:tblGrid>
      <w:tr w:rsidR="004D6F0E">
        <w:trPr>
          <w:trHeight w:val="233"/>
        </w:trPr>
        <w:tc>
          <w:tcPr>
            <w:tcW w:w="2273"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5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1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7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31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273"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vertAlign w:val="superscript"/>
              </w:rPr>
              <w:t xml:space="preserve"> </w:t>
            </w:r>
          </w:p>
        </w:tc>
        <w:tc>
          <w:tcPr>
            <w:tcW w:w="1219" w:type="dxa"/>
            <w:gridSpan w:val="2"/>
            <w:tcBorders>
              <w:top w:val="nil"/>
              <w:left w:val="nil"/>
              <w:bottom w:val="nil"/>
              <w:right w:val="nil"/>
            </w:tcBorders>
          </w:tcPr>
          <w:p w:rsidR="004D6F0E" w:rsidRDefault="00490F21">
            <w:pPr>
              <w:spacing w:after="0" w:line="259" w:lineRule="auto"/>
              <w:ind w:left="170" w:firstLine="0"/>
            </w:pPr>
            <w:r>
              <w:rPr>
                <w:sz w:val="18"/>
              </w:rPr>
              <w:t>加元</w:t>
            </w: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0" w:line="259" w:lineRule="auto"/>
              <w:ind w:left="475"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273" w:type="dxa"/>
            <w:gridSpan w:val="2"/>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58" w:firstLine="0"/>
              <w:jc w:val="center"/>
            </w:pPr>
            <w:r>
              <w:rPr>
                <w:rFonts w:ascii="Arial" w:eastAsia="Arial" w:hAnsi="Arial" w:cs="Arial"/>
                <w:sz w:val="18"/>
              </w:rPr>
              <w:t xml:space="preserve"> </w:t>
            </w:r>
            <w:r>
              <w:rPr>
                <w:rFonts w:ascii="Arial" w:eastAsia="Arial" w:hAnsi="Arial" w:cs="Arial"/>
                <w:sz w:val="18"/>
              </w:rPr>
              <w:tab/>
              <w:t xml:space="preserve"> </w:t>
            </w:r>
          </w:p>
        </w:tc>
        <w:tc>
          <w:tcPr>
            <w:tcW w:w="1219" w:type="dxa"/>
            <w:gridSpan w:val="2"/>
            <w:tcBorders>
              <w:top w:val="nil"/>
              <w:left w:val="nil"/>
              <w:bottom w:val="nil"/>
              <w:right w:val="nil"/>
            </w:tcBorders>
          </w:tcPr>
          <w:p w:rsidR="004D6F0E" w:rsidRDefault="00490F21">
            <w:pPr>
              <w:spacing w:after="7" w:line="259" w:lineRule="auto"/>
              <w:ind w:left="170" w:firstLine="0"/>
            </w:pPr>
            <w:r>
              <w:rPr>
                <w:sz w:val="18"/>
              </w:rPr>
              <w:t>加元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12" w:line="259" w:lineRule="auto"/>
              <w:ind w:left="475" w:firstLine="0"/>
            </w:pPr>
            <w:r>
              <w:rPr>
                <w:rFonts w:ascii="Arial" w:eastAsia="Arial" w:hAnsi="Arial" w:cs="Arial"/>
                <w:sz w:val="18"/>
              </w:rPr>
              <w:t xml:space="preserve">2,000 </w:t>
            </w:r>
            <w:r>
              <w:rPr>
                <w:sz w:val="18"/>
              </w:rPr>
              <w:t>加元</w:t>
            </w:r>
            <w:r>
              <w:rPr>
                <w:rFonts w:ascii="Arial" w:eastAsia="Arial" w:hAnsi="Arial" w:cs="Arial"/>
                <w:sz w:val="18"/>
              </w:rPr>
              <w:t xml:space="preserve"> </w:t>
            </w:r>
          </w:p>
          <w:p w:rsidR="004D6F0E" w:rsidRDefault="00490F21">
            <w:pPr>
              <w:spacing w:after="0" w:line="259" w:lineRule="auto"/>
              <w:ind w:left="0" w:right="84" w:firstLine="0"/>
              <w:jc w:val="right"/>
            </w:pP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12" w:line="259" w:lineRule="auto"/>
              <w:ind w:left="254" w:firstLine="0"/>
            </w:pPr>
            <w:r>
              <w:rPr>
                <w:rFonts w:ascii="Arial" w:eastAsia="Arial" w:hAnsi="Arial" w:cs="Arial"/>
                <w:sz w:val="18"/>
              </w:rPr>
              <w:t xml:space="preserve">750 </w:t>
            </w:r>
            <w:r>
              <w:rPr>
                <w:sz w:val="18"/>
              </w:rPr>
              <w:t>加元</w:t>
            </w:r>
            <w:r>
              <w:rPr>
                <w:rFonts w:ascii="Arial" w:eastAsia="Arial" w:hAnsi="Arial" w:cs="Arial"/>
                <w:sz w:val="18"/>
              </w:rPr>
              <w:t xml:space="preserve"> </w:t>
            </w:r>
          </w:p>
          <w:p w:rsidR="004D6F0E" w:rsidRDefault="00490F21">
            <w:pPr>
              <w:spacing w:after="0" w:line="259" w:lineRule="auto"/>
              <w:ind w:left="1181" w:firstLine="0"/>
              <w:jc w:val="center"/>
            </w:pP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10" w:firstLine="0"/>
              <w:jc w:val="center"/>
            </w:pP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b/>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5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1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7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31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273"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vertAlign w:val="superscript"/>
              </w:rPr>
              <w:t xml:space="preserve"> </w:t>
            </w:r>
          </w:p>
        </w:tc>
        <w:tc>
          <w:tcPr>
            <w:tcW w:w="1219" w:type="dxa"/>
            <w:gridSpan w:val="2"/>
            <w:tcBorders>
              <w:top w:val="nil"/>
              <w:left w:val="nil"/>
              <w:bottom w:val="nil"/>
              <w:right w:val="nil"/>
            </w:tcBorders>
          </w:tcPr>
          <w:p w:rsidR="004D6F0E" w:rsidRDefault="00490F21">
            <w:pPr>
              <w:spacing w:after="0" w:line="259" w:lineRule="auto"/>
              <w:ind w:left="170" w:firstLine="0"/>
            </w:pPr>
            <w:r>
              <w:rPr>
                <w:sz w:val="18"/>
              </w:rPr>
              <w:t>英鎊</w:t>
            </w: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0" w:line="259" w:lineRule="auto"/>
              <w:ind w:left="475" w:firstLine="0"/>
            </w:pPr>
            <w:r>
              <w:rPr>
                <w:rFonts w:ascii="Arial" w:eastAsia="Arial" w:hAnsi="Arial" w:cs="Arial"/>
                <w:sz w:val="18"/>
              </w:rPr>
              <w:t xml:space="preserve">2,000 </w:t>
            </w:r>
            <w:r>
              <w:rPr>
                <w:sz w:val="18"/>
              </w:rPr>
              <w:t>英鎊</w:t>
            </w: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英鎊</w:t>
            </w: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273" w:type="dxa"/>
            <w:gridSpan w:val="2"/>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58" w:firstLine="0"/>
              <w:jc w:val="center"/>
            </w:pPr>
            <w:r>
              <w:rPr>
                <w:rFonts w:ascii="Arial" w:eastAsia="Arial" w:hAnsi="Arial" w:cs="Arial"/>
                <w:sz w:val="18"/>
              </w:rPr>
              <w:t xml:space="preserve"> </w:t>
            </w:r>
            <w:r>
              <w:rPr>
                <w:rFonts w:ascii="Arial" w:eastAsia="Arial" w:hAnsi="Arial" w:cs="Arial"/>
                <w:sz w:val="18"/>
              </w:rPr>
              <w:tab/>
              <w:t xml:space="preserve"> </w:t>
            </w:r>
          </w:p>
        </w:tc>
        <w:tc>
          <w:tcPr>
            <w:tcW w:w="1219" w:type="dxa"/>
            <w:gridSpan w:val="2"/>
            <w:tcBorders>
              <w:top w:val="nil"/>
              <w:left w:val="nil"/>
              <w:bottom w:val="nil"/>
              <w:right w:val="nil"/>
            </w:tcBorders>
          </w:tcPr>
          <w:p w:rsidR="004D6F0E" w:rsidRDefault="00490F21">
            <w:pPr>
              <w:spacing w:after="7" w:line="259" w:lineRule="auto"/>
              <w:ind w:left="170" w:firstLine="0"/>
            </w:pPr>
            <w:r>
              <w:rPr>
                <w:sz w:val="18"/>
              </w:rPr>
              <w:t>英鎊</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12" w:line="259" w:lineRule="auto"/>
              <w:ind w:left="475" w:firstLine="0"/>
            </w:pPr>
            <w:r>
              <w:rPr>
                <w:rFonts w:ascii="Arial" w:eastAsia="Arial" w:hAnsi="Arial" w:cs="Arial"/>
                <w:sz w:val="18"/>
              </w:rPr>
              <w:t xml:space="preserve">2,000 </w:t>
            </w:r>
            <w:r>
              <w:rPr>
                <w:sz w:val="18"/>
              </w:rPr>
              <w:t>英鎊</w:t>
            </w:r>
            <w:r>
              <w:rPr>
                <w:rFonts w:ascii="Arial" w:eastAsia="Arial" w:hAnsi="Arial" w:cs="Arial"/>
                <w:sz w:val="18"/>
              </w:rPr>
              <w:t xml:space="preserve"> </w:t>
            </w:r>
          </w:p>
          <w:p w:rsidR="004D6F0E" w:rsidRDefault="00490F21">
            <w:pPr>
              <w:spacing w:after="0" w:line="259" w:lineRule="auto"/>
              <w:ind w:left="0" w:right="84" w:firstLine="0"/>
              <w:jc w:val="right"/>
            </w:pP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12" w:line="259" w:lineRule="auto"/>
              <w:ind w:left="254" w:firstLine="0"/>
            </w:pPr>
            <w:r>
              <w:rPr>
                <w:rFonts w:ascii="Arial" w:eastAsia="Arial" w:hAnsi="Arial" w:cs="Arial"/>
                <w:sz w:val="18"/>
              </w:rPr>
              <w:t xml:space="preserve">750 </w:t>
            </w:r>
            <w:r>
              <w:rPr>
                <w:sz w:val="18"/>
              </w:rPr>
              <w:t>英鎊</w:t>
            </w:r>
            <w:r>
              <w:rPr>
                <w:rFonts w:ascii="Arial" w:eastAsia="Arial" w:hAnsi="Arial" w:cs="Arial"/>
                <w:sz w:val="18"/>
              </w:rPr>
              <w:t xml:space="preserve"> </w:t>
            </w:r>
          </w:p>
          <w:p w:rsidR="004D6F0E" w:rsidRDefault="00490F21">
            <w:pPr>
              <w:spacing w:after="0" w:line="259" w:lineRule="auto"/>
              <w:ind w:left="1181" w:firstLine="0"/>
              <w:jc w:val="center"/>
            </w:pP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10" w:firstLine="0"/>
              <w:jc w:val="center"/>
            </w:pP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b/>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5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1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7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31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273"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vertAlign w:val="superscript"/>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273"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vertAlign w:val="superscript"/>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273"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273" w:type="dxa"/>
            <w:gridSpan w:val="2"/>
            <w:tcBorders>
              <w:top w:val="nil"/>
              <w:left w:val="nil"/>
              <w:bottom w:val="nil"/>
              <w:right w:val="nil"/>
            </w:tcBorders>
          </w:tcPr>
          <w:p w:rsidR="004D6F0E" w:rsidRDefault="00490F21">
            <w:pPr>
              <w:spacing w:after="38"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vertAlign w:val="superscript"/>
              </w:rPr>
              <w:t xml:space="preserve"> </w:t>
            </w:r>
          </w:p>
          <w:p w:rsidR="004D6F0E" w:rsidRDefault="00490F21">
            <w:pPr>
              <w:spacing w:after="0" w:line="259" w:lineRule="auto"/>
              <w:ind w:left="58" w:firstLine="0"/>
              <w:jc w:val="center"/>
            </w:pPr>
            <w:r>
              <w:rPr>
                <w:rFonts w:ascii="Arial" w:eastAsia="Arial" w:hAnsi="Arial" w:cs="Arial"/>
                <w:sz w:val="18"/>
              </w:rPr>
              <w:t xml:space="preserve"> </w:t>
            </w:r>
            <w:r>
              <w:rPr>
                <w:rFonts w:ascii="Arial" w:eastAsia="Arial" w:hAnsi="Arial" w:cs="Arial"/>
                <w:sz w:val="18"/>
              </w:rPr>
              <w:tab/>
              <w:t xml:space="preserve"> </w:t>
            </w:r>
          </w:p>
        </w:tc>
        <w:tc>
          <w:tcPr>
            <w:tcW w:w="1219" w:type="dxa"/>
            <w:gridSpan w:val="2"/>
            <w:tcBorders>
              <w:top w:val="nil"/>
              <w:left w:val="nil"/>
              <w:bottom w:val="nil"/>
              <w:right w:val="nil"/>
            </w:tcBorders>
          </w:tcPr>
          <w:p w:rsidR="004D6F0E" w:rsidRDefault="00490F21">
            <w:pPr>
              <w:spacing w:after="7"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352" w:type="dxa"/>
            <w:gridSpan w:val="3"/>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20,000,000 </w:t>
            </w:r>
            <w:r>
              <w:rPr>
                <w:sz w:val="18"/>
              </w:rPr>
              <w:t>新加坡元</w:t>
            </w:r>
            <w:r>
              <w:rPr>
                <w:rFonts w:ascii="Arial" w:eastAsia="Arial" w:hAnsi="Arial" w:cs="Arial"/>
                <w:sz w:val="18"/>
              </w:rPr>
              <w:t xml:space="preserve">** </w:t>
            </w:r>
          </w:p>
          <w:p w:rsidR="004D6F0E" w:rsidRDefault="00490F21">
            <w:pPr>
              <w:spacing w:after="0" w:line="259" w:lineRule="auto"/>
              <w:ind w:left="0" w:right="84" w:firstLine="0"/>
              <w:jc w:val="right"/>
            </w:pPr>
            <w:r>
              <w:rPr>
                <w:rFonts w:ascii="Arial" w:eastAsia="Arial" w:hAnsi="Arial" w:cs="Arial"/>
                <w:sz w:val="18"/>
              </w:rPr>
              <w:t xml:space="preserve"> </w:t>
            </w:r>
          </w:p>
        </w:tc>
        <w:tc>
          <w:tcPr>
            <w:tcW w:w="2218" w:type="dxa"/>
            <w:gridSpan w:val="2"/>
            <w:tcBorders>
              <w:top w:val="nil"/>
              <w:left w:val="nil"/>
              <w:bottom w:val="nil"/>
              <w:right w:val="nil"/>
            </w:tcBorders>
          </w:tcPr>
          <w:p w:rsidR="004D6F0E" w:rsidRDefault="00490F21">
            <w:pPr>
              <w:spacing w:after="7" w:line="259" w:lineRule="auto"/>
              <w:ind w:left="516" w:firstLine="0"/>
            </w:pPr>
            <w:r>
              <w:rPr>
                <w:sz w:val="18"/>
              </w:rPr>
              <w:t>無</w:t>
            </w:r>
            <w:r>
              <w:rPr>
                <w:rFonts w:ascii="Arial" w:eastAsia="Arial" w:hAnsi="Arial" w:cs="Arial"/>
                <w:sz w:val="18"/>
              </w:rPr>
              <w:t xml:space="preserve"> </w:t>
            </w:r>
          </w:p>
          <w:p w:rsidR="004D6F0E" w:rsidRDefault="00490F21">
            <w:pPr>
              <w:spacing w:after="0" w:line="259" w:lineRule="auto"/>
              <w:ind w:left="1181" w:firstLine="0"/>
              <w:jc w:val="center"/>
            </w:pPr>
            <w:r>
              <w:rPr>
                <w:rFonts w:ascii="Arial" w:eastAsia="Arial" w:hAnsi="Arial" w:cs="Arial"/>
                <w:sz w:val="18"/>
              </w:rPr>
              <w:t xml:space="preserve"> </w:t>
            </w:r>
          </w:p>
        </w:tc>
        <w:tc>
          <w:tcPr>
            <w:tcW w:w="1678"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10" w:firstLine="0"/>
              <w:jc w:val="center"/>
            </w:pPr>
            <w:r>
              <w:rPr>
                <w:rFonts w:ascii="Arial" w:eastAsia="Arial" w:hAnsi="Arial" w:cs="Arial"/>
                <w:sz w:val="18"/>
              </w:rPr>
              <w:t xml:space="preserve"> </w:t>
            </w:r>
          </w:p>
        </w:tc>
        <w:tc>
          <w:tcPr>
            <w:tcW w:w="131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273"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b/>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35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1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7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31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After w:val="1"/>
          <w:wAfter w:w="759" w:type="dxa"/>
          <w:trHeight w:val="209"/>
        </w:trPr>
        <w:tc>
          <w:tcPr>
            <w:tcW w:w="337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r>
              <w:rPr>
                <w:sz w:val="18"/>
              </w:rPr>
              <w:t>紐西蘭元</w:t>
            </w:r>
            <w:r>
              <w:rPr>
                <w:rFonts w:ascii="Arial" w:eastAsia="Arial" w:hAnsi="Arial" w:cs="Arial"/>
                <w:sz w:val="18"/>
              </w:rPr>
              <w:t xml:space="preserve"> </w:t>
            </w:r>
          </w:p>
        </w:tc>
        <w:tc>
          <w:tcPr>
            <w:tcW w:w="413" w:type="dxa"/>
            <w:gridSpan w:val="2"/>
            <w:tcBorders>
              <w:top w:val="nil"/>
              <w:left w:val="nil"/>
              <w:bottom w:val="nil"/>
              <w:right w:val="nil"/>
            </w:tcBorders>
          </w:tcPr>
          <w:p w:rsidR="004D6F0E" w:rsidRDefault="004D6F0E">
            <w:pPr>
              <w:spacing w:after="160" w:line="259" w:lineRule="auto"/>
              <w:ind w:left="0" w:firstLine="0"/>
            </w:pPr>
          </w:p>
        </w:tc>
        <w:tc>
          <w:tcPr>
            <w:tcW w:w="3698" w:type="dxa"/>
            <w:gridSpan w:val="3"/>
            <w:tcBorders>
              <w:top w:val="nil"/>
              <w:left w:val="nil"/>
              <w:bottom w:val="nil"/>
              <w:right w:val="nil"/>
            </w:tcBorders>
          </w:tcPr>
          <w:p w:rsidR="004D6F0E" w:rsidRDefault="00490F21">
            <w:pPr>
              <w:tabs>
                <w:tab w:val="center" w:pos="2665"/>
              </w:tabs>
              <w:spacing w:after="0" w:line="259" w:lineRule="auto"/>
              <w:ind w:left="0" w:firstLine="0"/>
            </w:pPr>
            <w:r>
              <w:rPr>
                <w:rFonts w:ascii="Arial" w:eastAsia="Arial" w:hAnsi="Arial" w:cs="Arial"/>
                <w:sz w:val="18"/>
              </w:rPr>
              <w:t xml:space="preserve">3,000 </w:t>
            </w:r>
            <w:r>
              <w:rPr>
                <w:sz w:val="18"/>
              </w:rPr>
              <w:t>紐西蘭元</w:t>
            </w:r>
            <w:r>
              <w:rPr>
                <w:rFonts w:ascii="Arial" w:eastAsia="Arial" w:hAnsi="Arial" w:cs="Arial"/>
                <w:sz w:val="18"/>
              </w:rPr>
              <w:t xml:space="preserve"> </w:t>
            </w:r>
            <w:r>
              <w:rPr>
                <w:rFonts w:ascii="Arial" w:eastAsia="Arial" w:hAnsi="Arial" w:cs="Arial"/>
                <w:sz w:val="18"/>
              </w:rPr>
              <w:tab/>
              <w:t xml:space="preserve">1,000 </w:t>
            </w:r>
            <w:r>
              <w:rPr>
                <w:sz w:val="18"/>
              </w:rPr>
              <w:t>紐西蘭元</w:t>
            </w:r>
            <w:r>
              <w:rPr>
                <w:rFonts w:ascii="Arial" w:eastAsia="Arial" w:hAnsi="Arial" w:cs="Arial"/>
                <w:sz w:val="18"/>
              </w:rPr>
              <w:t xml:space="preserve"> </w:t>
            </w:r>
          </w:p>
        </w:tc>
        <w:tc>
          <w:tcPr>
            <w:tcW w:w="576" w:type="dxa"/>
            <w:tcBorders>
              <w:top w:val="nil"/>
              <w:left w:val="nil"/>
              <w:bottom w:val="nil"/>
              <w:right w:val="nil"/>
            </w:tcBorders>
          </w:tcPr>
          <w:p w:rsidR="004D6F0E" w:rsidRDefault="004D6F0E">
            <w:pPr>
              <w:spacing w:after="160" w:line="259" w:lineRule="auto"/>
              <w:ind w:left="0" w:firstLine="0"/>
            </w:pPr>
          </w:p>
        </w:tc>
        <w:tc>
          <w:tcPr>
            <w:tcW w:w="98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91"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After w:val="1"/>
          <w:wAfter w:w="759" w:type="dxa"/>
          <w:trHeight w:val="240"/>
        </w:trPr>
        <w:tc>
          <w:tcPr>
            <w:tcW w:w="337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r>
              <w:rPr>
                <w:sz w:val="18"/>
              </w:rPr>
              <w:t>紐西蘭元</w:t>
            </w:r>
            <w:r>
              <w:rPr>
                <w:rFonts w:ascii="Arial" w:eastAsia="Arial" w:hAnsi="Arial" w:cs="Arial"/>
                <w:sz w:val="18"/>
              </w:rPr>
              <w:t xml:space="preserve"> </w:t>
            </w:r>
          </w:p>
        </w:tc>
        <w:tc>
          <w:tcPr>
            <w:tcW w:w="413" w:type="dxa"/>
            <w:gridSpan w:val="2"/>
            <w:tcBorders>
              <w:top w:val="nil"/>
              <w:left w:val="nil"/>
              <w:bottom w:val="nil"/>
              <w:right w:val="nil"/>
            </w:tcBorders>
          </w:tcPr>
          <w:p w:rsidR="004D6F0E" w:rsidRDefault="004D6F0E">
            <w:pPr>
              <w:spacing w:after="160" w:line="259" w:lineRule="auto"/>
              <w:ind w:left="0" w:firstLine="0"/>
            </w:pPr>
          </w:p>
        </w:tc>
        <w:tc>
          <w:tcPr>
            <w:tcW w:w="3698" w:type="dxa"/>
            <w:gridSpan w:val="3"/>
            <w:tcBorders>
              <w:top w:val="nil"/>
              <w:left w:val="nil"/>
              <w:bottom w:val="nil"/>
              <w:right w:val="nil"/>
            </w:tcBorders>
          </w:tcPr>
          <w:p w:rsidR="004D6F0E" w:rsidRDefault="00490F21">
            <w:pPr>
              <w:tabs>
                <w:tab w:val="center" w:pos="2665"/>
              </w:tabs>
              <w:spacing w:after="0" w:line="259" w:lineRule="auto"/>
              <w:ind w:left="0" w:firstLine="0"/>
            </w:pPr>
            <w:r>
              <w:rPr>
                <w:rFonts w:ascii="Arial" w:eastAsia="Arial" w:hAnsi="Arial" w:cs="Arial"/>
                <w:sz w:val="18"/>
              </w:rPr>
              <w:t xml:space="preserve">3,000 </w:t>
            </w:r>
            <w:r>
              <w:rPr>
                <w:sz w:val="18"/>
              </w:rPr>
              <w:t>紐西蘭元</w:t>
            </w:r>
            <w:r>
              <w:rPr>
                <w:rFonts w:ascii="Arial" w:eastAsia="Arial" w:hAnsi="Arial" w:cs="Arial"/>
                <w:sz w:val="18"/>
              </w:rPr>
              <w:t xml:space="preserve"> </w:t>
            </w:r>
            <w:r>
              <w:rPr>
                <w:rFonts w:ascii="Arial" w:eastAsia="Arial" w:hAnsi="Arial" w:cs="Arial"/>
                <w:sz w:val="18"/>
              </w:rPr>
              <w:tab/>
              <w:t xml:space="preserve">1,000 </w:t>
            </w:r>
            <w:r>
              <w:rPr>
                <w:sz w:val="18"/>
              </w:rPr>
              <w:t>紐西蘭元</w:t>
            </w:r>
            <w:r>
              <w:rPr>
                <w:rFonts w:ascii="Arial" w:eastAsia="Arial" w:hAnsi="Arial" w:cs="Arial"/>
                <w:sz w:val="18"/>
              </w:rPr>
              <w:t xml:space="preserve"> </w:t>
            </w:r>
          </w:p>
        </w:tc>
        <w:tc>
          <w:tcPr>
            <w:tcW w:w="576" w:type="dxa"/>
            <w:tcBorders>
              <w:top w:val="nil"/>
              <w:left w:val="nil"/>
              <w:bottom w:val="nil"/>
              <w:right w:val="nil"/>
            </w:tcBorders>
          </w:tcPr>
          <w:p w:rsidR="004D6F0E" w:rsidRDefault="004D6F0E">
            <w:pPr>
              <w:spacing w:after="160" w:line="259" w:lineRule="auto"/>
              <w:ind w:left="0" w:firstLine="0"/>
            </w:pPr>
          </w:p>
        </w:tc>
        <w:tc>
          <w:tcPr>
            <w:tcW w:w="98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91"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After w:val="1"/>
          <w:wAfter w:w="759" w:type="dxa"/>
          <w:trHeight w:val="389"/>
        </w:trPr>
        <w:tc>
          <w:tcPr>
            <w:tcW w:w="42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tc>
        <w:tc>
          <w:tcPr>
            <w:tcW w:w="2947" w:type="dxa"/>
            <w:gridSpan w:val="2"/>
            <w:tcBorders>
              <w:top w:val="nil"/>
              <w:left w:val="nil"/>
              <w:bottom w:val="nil"/>
              <w:right w:val="nil"/>
            </w:tcBorders>
          </w:tcPr>
          <w:p w:rsidR="004D6F0E" w:rsidRDefault="00490F21">
            <w:pPr>
              <w:spacing w:after="0" w:line="259" w:lineRule="auto"/>
              <w:ind w:left="443" w:firstLine="0"/>
              <w:jc w:val="center"/>
            </w:pPr>
            <w:r>
              <w:rPr>
                <w:rFonts w:ascii="Arial" w:eastAsia="Arial" w:hAnsi="Arial" w:cs="Arial"/>
                <w:sz w:val="16"/>
              </w:rPr>
              <w:t xml:space="preserve"> </w:t>
            </w:r>
          </w:p>
        </w:tc>
        <w:tc>
          <w:tcPr>
            <w:tcW w:w="413"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6"/>
              </w:rPr>
              <w:t xml:space="preserve"> </w:t>
            </w:r>
          </w:p>
        </w:tc>
        <w:tc>
          <w:tcPr>
            <w:tcW w:w="552" w:type="dxa"/>
            <w:tcBorders>
              <w:top w:val="nil"/>
              <w:left w:val="nil"/>
              <w:bottom w:val="nil"/>
              <w:right w:val="nil"/>
            </w:tcBorders>
          </w:tcPr>
          <w:p w:rsidR="004D6F0E" w:rsidRDefault="004D6F0E">
            <w:pPr>
              <w:spacing w:after="160" w:line="259" w:lineRule="auto"/>
              <w:ind w:left="0" w:firstLine="0"/>
            </w:pPr>
          </w:p>
        </w:tc>
        <w:tc>
          <w:tcPr>
            <w:tcW w:w="3146" w:type="dxa"/>
            <w:gridSpan w:val="2"/>
            <w:tcBorders>
              <w:top w:val="nil"/>
              <w:left w:val="nil"/>
              <w:bottom w:val="nil"/>
              <w:right w:val="nil"/>
            </w:tcBorders>
          </w:tcPr>
          <w:p w:rsidR="004D6F0E" w:rsidRDefault="00490F21">
            <w:pPr>
              <w:spacing w:after="0" w:line="259" w:lineRule="auto"/>
              <w:ind w:left="1306" w:firstLine="0"/>
            </w:pPr>
            <w:r>
              <w:rPr>
                <w:rFonts w:ascii="Arial" w:eastAsia="Arial" w:hAnsi="Arial" w:cs="Arial"/>
                <w:sz w:val="16"/>
              </w:rPr>
              <w:t xml:space="preserve"> </w:t>
            </w:r>
          </w:p>
        </w:tc>
        <w:tc>
          <w:tcPr>
            <w:tcW w:w="57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p>
        </w:tc>
        <w:tc>
          <w:tcPr>
            <w:tcW w:w="986" w:type="dxa"/>
            <w:tcBorders>
              <w:top w:val="nil"/>
              <w:left w:val="nil"/>
              <w:bottom w:val="nil"/>
              <w:right w:val="nil"/>
            </w:tcBorders>
          </w:tcPr>
          <w:p w:rsidR="004D6F0E" w:rsidRDefault="004D6F0E">
            <w:pPr>
              <w:spacing w:after="160" w:line="259" w:lineRule="auto"/>
              <w:ind w:left="0" w:firstLine="0"/>
            </w:pPr>
          </w:p>
        </w:tc>
        <w:tc>
          <w:tcPr>
            <w:tcW w:w="69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p>
        </w:tc>
        <w:tc>
          <w:tcPr>
            <w:tcW w:w="561" w:type="dxa"/>
            <w:tcBorders>
              <w:top w:val="nil"/>
              <w:left w:val="nil"/>
              <w:bottom w:val="nil"/>
              <w:right w:val="nil"/>
            </w:tcBorders>
          </w:tcPr>
          <w:p w:rsidR="004D6F0E" w:rsidRDefault="004D6F0E">
            <w:pPr>
              <w:spacing w:after="160" w:line="259" w:lineRule="auto"/>
              <w:ind w:left="0" w:firstLine="0"/>
            </w:pPr>
          </w:p>
        </w:tc>
      </w:tr>
      <w:tr w:rsidR="004D6F0E">
        <w:tblPrEx>
          <w:tblCellMar>
            <w:top w:w="2" w:type="dxa"/>
            <w:right w:w="0" w:type="dxa"/>
          </w:tblCellMar>
        </w:tblPrEx>
        <w:trPr>
          <w:gridAfter w:val="1"/>
          <w:wAfter w:w="759" w:type="dxa"/>
          <w:trHeight w:val="198"/>
        </w:trPr>
        <w:tc>
          <w:tcPr>
            <w:tcW w:w="427"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lastRenderedPageBreak/>
              <w:t xml:space="preserve">* </w:t>
            </w:r>
          </w:p>
        </w:tc>
        <w:tc>
          <w:tcPr>
            <w:tcW w:w="2947" w:type="dxa"/>
            <w:gridSpan w:val="2"/>
            <w:tcBorders>
              <w:top w:val="nil"/>
              <w:left w:val="nil"/>
              <w:bottom w:val="nil"/>
              <w:right w:val="nil"/>
            </w:tcBorders>
          </w:tcPr>
          <w:p w:rsidR="004D6F0E" w:rsidRDefault="00490F21">
            <w:pPr>
              <w:spacing w:after="0" w:line="259" w:lineRule="auto"/>
              <w:ind w:left="55" w:firstLine="0"/>
            </w:pPr>
            <w:r>
              <w:rPr>
                <w:sz w:val="16"/>
              </w:rPr>
              <w:t>不適用於自動投資計劃（如有）。</w:t>
            </w:r>
            <w:r>
              <w:rPr>
                <w:rFonts w:ascii="Arial" w:eastAsia="Arial" w:hAnsi="Arial" w:cs="Arial"/>
                <w:sz w:val="16"/>
              </w:rPr>
              <w:t xml:space="preserve"> </w:t>
            </w:r>
          </w:p>
        </w:tc>
        <w:tc>
          <w:tcPr>
            <w:tcW w:w="413"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p>
        </w:tc>
        <w:tc>
          <w:tcPr>
            <w:tcW w:w="552"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6"/>
              </w:rPr>
              <w:t xml:space="preserve">*** </w:t>
            </w:r>
          </w:p>
        </w:tc>
        <w:tc>
          <w:tcPr>
            <w:tcW w:w="3146" w:type="dxa"/>
            <w:gridSpan w:val="2"/>
            <w:tcBorders>
              <w:top w:val="nil"/>
              <w:left w:val="nil"/>
              <w:bottom w:val="nil"/>
              <w:right w:val="nil"/>
            </w:tcBorders>
          </w:tcPr>
          <w:p w:rsidR="004D6F0E" w:rsidRDefault="00490F21">
            <w:pPr>
              <w:spacing w:after="0" w:line="259" w:lineRule="auto"/>
              <w:ind w:left="0" w:firstLine="0"/>
            </w:pPr>
            <w:r>
              <w:rPr>
                <w:sz w:val="16"/>
              </w:rPr>
              <w:t>各基金按季繳付的盧森堡年稅。</w:t>
            </w:r>
            <w:r>
              <w:rPr>
                <w:rFonts w:ascii="Arial" w:eastAsia="Arial" w:hAnsi="Arial" w:cs="Arial"/>
                <w:sz w:val="16"/>
              </w:rPr>
              <w:t xml:space="preserve"> </w:t>
            </w:r>
          </w:p>
        </w:tc>
        <w:tc>
          <w:tcPr>
            <w:tcW w:w="576" w:type="dxa"/>
            <w:tcBorders>
              <w:top w:val="nil"/>
              <w:left w:val="nil"/>
              <w:bottom w:val="nil"/>
              <w:right w:val="nil"/>
            </w:tcBorders>
          </w:tcPr>
          <w:p w:rsidR="004D6F0E" w:rsidRDefault="004D6F0E">
            <w:pPr>
              <w:spacing w:after="160" w:line="259" w:lineRule="auto"/>
              <w:ind w:left="0" w:firstLine="0"/>
            </w:pPr>
          </w:p>
        </w:tc>
        <w:tc>
          <w:tcPr>
            <w:tcW w:w="986" w:type="dxa"/>
            <w:tcBorders>
              <w:top w:val="nil"/>
              <w:left w:val="nil"/>
              <w:bottom w:val="nil"/>
              <w:right w:val="nil"/>
            </w:tcBorders>
          </w:tcPr>
          <w:p w:rsidR="004D6F0E" w:rsidRDefault="004D6F0E">
            <w:pPr>
              <w:spacing w:after="160" w:line="259" w:lineRule="auto"/>
              <w:ind w:left="0" w:firstLine="0"/>
            </w:pPr>
          </w:p>
        </w:tc>
        <w:tc>
          <w:tcPr>
            <w:tcW w:w="691"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D6F0E">
            <w:pPr>
              <w:spacing w:after="160" w:line="259" w:lineRule="auto"/>
              <w:ind w:left="0" w:firstLine="0"/>
            </w:pPr>
          </w:p>
        </w:tc>
      </w:tr>
      <w:tr w:rsidR="004D6F0E">
        <w:tblPrEx>
          <w:tblCellMar>
            <w:top w:w="2" w:type="dxa"/>
            <w:right w:w="0" w:type="dxa"/>
          </w:tblCellMar>
        </w:tblPrEx>
        <w:trPr>
          <w:gridAfter w:val="1"/>
          <w:wAfter w:w="759" w:type="dxa"/>
          <w:trHeight w:val="2043"/>
        </w:trPr>
        <w:tc>
          <w:tcPr>
            <w:tcW w:w="427" w:type="dxa"/>
            <w:tcBorders>
              <w:top w:val="nil"/>
              <w:left w:val="nil"/>
              <w:bottom w:val="nil"/>
              <w:right w:val="nil"/>
            </w:tcBorders>
          </w:tcPr>
          <w:p w:rsidR="004D6F0E" w:rsidRDefault="00490F21">
            <w:pPr>
              <w:spacing w:after="45" w:line="259" w:lineRule="auto"/>
              <w:ind w:left="0" w:firstLine="0"/>
            </w:pPr>
            <w:r>
              <w:rPr>
                <w:rFonts w:ascii="Arial" w:eastAsia="Arial" w:hAnsi="Arial" w:cs="Arial"/>
                <w:sz w:val="16"/>
              </w:rPr>
              <w:t xml:space="preserve">** </w:t>
            </w:r>
          </w:p>
          <w:p w:rsidR="004D6F0E" w:rsidRDefault="00490F21">
            <w:pPr>
              <w:spacing w:after="182" w:line="259" w:lineRule="auto"/>
              <w:ind w:left="0" w:firstLine="0"/>
            </w:pPr>
            <w:r>
              <w:rPr>
                <w:rFonts w:ascii="Arial" w:eastAsia="Arial" w:hAnsi="Arial" w:cs="Arial"/>
                <w:sz w:val="20"/>
              </w:rPr>
              <w:t xml:space="preserve"> </w:t>
            </w:r>
          </w:p>
          <w:p w:rsidR="004D6F0E" w:rsidRDefault="00490F21">
            <w:pPr>
              <w:spacing w:after="141" w:line="259" w:lineRule="auto"/>
              <w:ind w:left="0" w:firstLine="0"/>
            </w:pPr>
            <w:r>
              <w:rPr>
                <w:rFonts w:ascii="Arial" w:eastAsia="Arial" w:hAnsi="Arial" w:cs="Arial"/>
                <w:sz w:val="20"/>
              </w:rPr>
              <w:t xml:space="preserve"> </w:t>
            </w:r>
          </w:p>
          <w:p w:rsidR="004D6F0E" w:rsidRDefault="00490F21">
            <w:pPr>
              <w:spacing w:after="206" w:line="259" w:lineRule="auto"/>
              <w:ind w:left="0" w:firstLine="0"/>
            </w:pPr>
            <w:r>
              <w:rPr>
                <w:rFonts w:ascii="Arial" w:eastAsia="Arial" w:hAnsi="Arial" w:cs="Arial"/>
                <w:sz w:val="16"/>
              </w:rPr>
              <w:t xml:space="preserve"> </w:t>
            </w:r>
          </w:p>
          <w:p w:rsidR="004D6F0E" w:rsidRDefault="00490F21">
            <w:pPr>
              <w:spacing w:after="141" w:line="259" w:lineRule="auto"/>
              <w:ind w:left="0" w:firstLine="0"/>
            </w:pP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16"/>
              </w:rPr>
              <w:t xml:space="preserve"> </w:t>
            </w:r>
          </w:p>
        </w:tc>
        <w:tc>
          <w:tcPr>
            <w:tcW w:w="2947" w:type="dxa"/>
            <w:gridSpan w:val="2"/>
            <w:tcBorders>
              <w:top w:val="nil"/>
              <w:left w:val="nil"/>
              <w:bottom w:val="nil"/>
              <w:right w:val="nil"/>
            </w:tcBorders>
          </w:tcPr>
          <w:p w:rsidR="004D6F0E" w:rsidRDefault="00490F21">
            <w:pPr>
              <w:spacing w:after="0" w:line="259" w:lineRule="auto"/>
              <w:ind w:left="0" w:firstLine="0"/>
            </w:pPr>
            <w:r>
              <w:rPr>
                <w:sz w:val="16"/>
              </w:rPr>
              <w:t>可由管理公司全權酌情豁免。</w:t>
            </w:r>
            <w:r>
              <w:rPr>
                <w:rFonts w:ascii="Arial" w:eastAsia="Arial" w:hAnsi="Arial" w:cs="Arial"/>
                <w:sz w:val="16"/>
              </w:rPr>
              <w:t xml:space="preserve"> </w:t>
            </w:r>
          </w:p>
        </w:tc>
        <w:tc>
          <w:tcPr>
            <w:tcW w:w="413" w:type="dxa"/>
            <w:gridSpan w:val="2"/>
            <w:tcBorders>
              <w:top w:val="nil"/>
              <w:left w:val="nil"/>
              <w:bottom w:val="nil"/>
              <w:right w:val="nil"/>
            </w:tcBorders>
          </w:tcPr>
          <w:p w:rsidR="004D6F0E" w:rsidRDefault="004D6F0E">
            <w:pPr>
              <w:spacing w:after="160" w:line="259" w:lineRule="auto"/>
              <w:ind w:left="0" w:firstLine="0"/>
            </w:pPr>
          </w:p>
        </w:tc>
        <w:tc>
          <w:tcPr>
            <w:tcW w:w="552" w:type="dxa"/>
            <w:tcBorders>
              <w:top w:val="nil"/>
              <w:left w:val="nil"/>
              <w:bottom w:val="nil"/>
              <w:right w:val="nil"/>
            </w:tcBorders>
          </w:tcPr>
          <w:p w:rsidR="004D6F0E" w:rsidRDefault="004D6F0E">
            <w:pPr>
              <w:spacing w:after="160" w:line="259" w:lineRule="auto"/>
              <w:ind w:left="0" w:firstLine="0"/>
            </w:pPr>
          </w:p>
        </w:tc>
        <w:tc>
          <w:tcPr>
            <w:tcW w:w="3146" w:type="dxa"/>
            <w:gridSpan w:val="2"/>
            <w:tcBorders>
              <w:top w:val="nil"/>
              <w:left w:val="nil"/>
              <w:bottom w:val="nil"/>
              <w:right w:val="nil"/>
            </w:tcBorders>
          </w:tcPr>
          <w:p w:rsidR="004D6F0E" w:rsidRDefault="004D6F0E">
            <w:pPr>
              <w:spacing w:after="160" w:line="259" w:lineRule="auto"/>
              <w:ind w:left="0" w:firstLine="0"/>
            </w:pPr>
          </w:p>
        </w:tc>
        <w:tc>
          <w:tcPr>
            <w:tcW w:w="576" w:type="dxa"/>
            <w:tcBorders>
              <w:top w:val="nil"/>
              <w:left w:val="nil"/>
              <w:bottom w:val="nil"/>
              <w:right w:val="nil"/>
            </w:tcBorders>
          </w:tcPr>
          <w:p w:rsidR="004D6F0E" w:rsidRDefault="004D6F0E">
            <w:pPr>
              <w:spacing w:after="160" w:line="259" w:lineRule="auto"/>
              <w:ind w:left="0" w:firstLine="0"/>
            </w:pPr>
          </w:p>
        </w:tc>
        <w:tc>
          <w:tcPr>
            <w:tcW w:w="986" w:type="dxa"/>
            <w:tcBorders>
              <w:top w:val="nil"/>
              <w:left w:val="nil"/>
              <w:bottom w:val="nil"/>
              <w:right w:val="nil"/>
            </w:tcBorders>
          </w:tcPr>
          <w:p w:rsidR="004D6F0E" w:rsidRDefault="004D6F0E">
            <w:pPr>
              <w:spacing w:after="160" w:line="259" w:lineRule="auto"/>
              <w:ind w:left="0" w:firstLine="0"/>
            </w:pPr>
          </w:p>
        </w:tc>
        <w:tc>
          <w:tcPr>
            <w:tcW w:w="691"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D6F0E">
            <w:pPr>
              <w:spacing w:after="160" w:line="259" w:lineRule="auto"/>
              <w:ind w:left="0" w:firstLine="0"/>
            </w:pPr>
          </w:p>
        </w:tc>
      </w:tr>
    </w:tbl>
    <w:p w:rsidR="004D6F0E" w:rsidRDefault="00490F21">
      <w:pPr>
        <w:spacing w:after="0" w:line="259" w:lineRule="auto"/>
        <w:ind w:left="533" w:firstLine="0"/>
        <w:jc w:val="center"/>
      </w:pPr>
      <w:r>
        <w:rPr>
          <w:rFonts w:ascii="SimSun" w:eastAsia="SimSun" w:hAnsi="SimSun" w:cs="SimSun"/>
        </w:rPr>
        <w:t xml:space="preserve"> </w:t>
      </w:r>
    </w:p>
    <w:p w:rsidR="004D6F0E" w:rsidRDefault="00490F21">
      <w:pPr>
        <w:spacing w:after="96"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0813" w:firstLine="0"/>
        <w:jc w:val="both"/>
      </w:pPr>
      <w:r>
        <w:rPr>
          <w:rFonts w:ascii="Arial" w:eastAsia="Arial" w:hAnsi="Arial" w:cs="Arial"/>
          <w:sz w:val="12"/>
        </w:rPr>
        <w:t xml:space="preserve">    </w:t>
      </w:r>
    </w:p>
    <w:p w:rsidR="004D6F0E" w:rsidRDefault="004D6F0E">
      <w:pPr>
        <w:sectPr w:rsidR="004D6F0E">
          <w:type w:val="continuous"/>
          <w:pgSz w:w="12240" w:h="15840"/>
          <w:pgMar w:top="1005" w:right="842" w:bottom="354" w:left="432" w:header="720" w:footer="720" w:gutter="0"/>
          <w:cols w:space="720"/>
        </w:sectPr>
      </w:pPr>
    </w:p>
    <w:p w:rsidR="004D6F0E" w:rsidRDefault="00490F21">
      <w:pPr>
        <w:pStyle w:val="Heading3"/>
        <w:ind w:left="14"/>
      </w:pPr>
      <w:r>
        <w:t>其他基金資料</w:t>
      </w:r>
      <w:r>
        <w:rPr>
          <w:rFonts w:ascii="Arial" w:eastAsia="Arial" w:hAnsi="Arial" w:cs="Arial"/>
        </w:rPr>
        <w:t xml:space="preserve"> </w:t>
      </w:r>
    </w:p>
    <w:p w:rsidR="004D6F0E" w:rsidRDefault="00490F21">
      <w:pPr>
        <w:spacing w:after="104"/>
        <w:ind w:left="11" w:right="2"/>
      </w:pPr>
      <w:r>
        <w:t>主要投資類別</w:t>
      </w:r>
      <w:r>
        <w:rPr>
          <w:rFonts w:ascii="Arial" w:eastAsia="Arial" w:hAnsi="Arial" w:cs="Arial"/>
          <w:b/>
        </w:rPr>
        <w:t xml:space="preserve"> </w:t>
      </w:r>
    </w:p>
    <w:p w:rsidR="004D6F0E" w:rsidRDefault="00490F21">
      <w:pPr>
        <w:spacing w:after="106"/>
        <w:ind w:left="11" w:right="2"/>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67"/>
        <w:ind w:left="11" w:right="2"/>
      </w:pPr>
      <w:r>
        <w:t>風險資料</w:t>
      </w:r>
      <w:r>
        <w:rPr>
          <w:rFonts w:ascii="Arial" w:eastAsia="Arial" w:hAnsi="Arial" w:cs="Arial"/>
          <w:b/>
        </w:rPr>
        <w:t xml:space="preserve"> </w:t>
      </w:r>
    </w:p>
    <w:p w:rsidR="004D6F0E" w:rsidRDefault="00490F21">
      <w:pPr>
        <w:spacing w:after="102" w:line="273" w:lineRule="auto"/>
        <w:ind w:left="14" w:right="41"/>
        <w:jc w:val="both"/>
      </w:pPr>
      <w:r>
        <w:t>本基金可能使用金融衍生工具。第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r>
        <w:t xml:space="preserve"> </w:t>
      </w:r>
      <w:r>
        <w:rPr>
          <w:rFonts w:ascii="Arial" w:eastAsia="Arial" w:hAnsi="Arial" w:cs="Arial"/>
        </w:rPr>
        <w:t>(13)</w:t>
      </w:r>
      <w:r>
        <w:t>項投資限制不適用於本基金。本基金另將使用風險值</w:t>
      </w:r>
      <w:r>
        <w:rPr>
          <w:rFonts w:ascii="Arial" w:eastAsia="Arial" w:hAnsi="Arial" w:cs="Arial"/>
        </w:rPr>
        <w:t>(VaR)</w:t>
      </w:r>
      <w:r>
        <w:t>方法。有關</w:t>
      </w:r>
      <w:r>
        <w:t xml:space="preserve"> </w:t>
      </w:r>
      <w:r>
        <w:rPr>
          <w:rFonts w:ascii="Arial" w:eastAsia="Arial" w:hAnsi="Arial" w:cs="Arial"/>
          <w:sz w:val="20"/>
        </w:rPr>
        <w:t xml:space="preserve">VaR </w:t>
      </w:r>
      <w:r>
        <w:rPr>
          <w:sz w:val="20"/>
        </w:rPr>
        <w:t>方法</w:t>
      </w:r>
      <w:r>
        <w:t>的進一步詳情，請參閱「附錄</w:t>
      </w:r>
      <w:r>
        <w:t xml:space="preserve"> </w:t>
      </w:r>
      <w:r>
        <w:rPr>
          <w:rFonts w:ascii="Arial" w:eastAsia="Arial" w:hAnsi="Arial" w:cs="Arial"/>
        </w:rPr>
        <w:t>C</w:t>
      </w:r>
      <w:r>
        <w:t>：有關金融衍生工具、金融技術及工具以及抵押品管理的額外資料」</w:t>
      </w:r>
      <w:r>
        <w:rPr>
          <w:sz w:val="20"/>
        </w:rPr>
        <w:t>。</w:t>
      </w:r>
      <w:r>
        <w:t>本基金將投資的固定收益證券須承受發售此等證券的私營及公營機構的信用風險，且其市場價值會受利率變動影響。本基金的固定收益證券投資通常將為投資級別或具相等質素。本基金不能保證會作出任何分派，而且本基金並無特定償還期。</w:t>
      </w:r>
      <w:r>
        <w:rPr>
          <w:rFonts w:ascii="Arial" w:eastAsia="Arial" w:hAnsi="Arial" w:cs="Arial"/>
        </w:rPr>
        <w:t xml:space="preserve"> </w:t>
      </w:r>
    </w:p>
    <w:p w:rsidR="004D6F0E" w:rsidRDefault="00490F21">
      <w:pPr>
        <w:spacing w:after="100"/>
        <w:ind w:left="11" w:right="2"/>
      </w:pPr>
      <w:r>
        <w:t>投資於中國股本證券涉及投資於發展較成熟的經濟體或市場一般不會涉及的特定風險及特殊考慮因素，例如較高的政治、營運、稅務、外匯、流動性及監管風險。關於投資於中國的相關風險的更多資料，請參閱本傘子基金一般資料「風險因素</w:t>
      </w:r>
      <w:r>
        <w:rPr>
          <w:rFonts w:ascii="Arial" w:eastAsia="Arial" w:hAnsi="Arial" w:cs="Arial"/>
        </w:rPr>
        <w:t>—</w:t>
      </w:r>
      <w:r>
        <w:t>國家風險</w:t>
      </w:r>
      <w:r>
        <w:rPr>
          <w:rFonts w:ascii="Arial" w:eastAsia="Arial" w:hAnsi="Arial" w:cs="Arial"/>
        </w:rPr>
        <w:t>-</w:t>
      </w:r>
      <w:r>
        <w:t>中國」。</w:t>
      </w:r>
      <w:r>
        <w:rPr>
          <w:rFonts w:ascii="Arial" w:eastAsia="Arial" w:hAnsi="Arial" w:cs="Arial"/>
        </w:rPr>
        <w:t xml:space="preserve"> </w:t>
      </w:r>
    </w:p>
    <w:p w:rsidR="004D6F0E" w:rsidRDefault="00490F21">
      <w:pPr>
        <w:ind w:left="11" w:right="2"/>
      </w:pPr>
      <w:r>
        <w:t>本基金須承受市場、利率及貨幣波動及證券投資固有的其他風險。因此，不能保證投資目標將獲達致、投資資本將得以保全或資本得以增值。每月、每季或每年的投資業績均可能出現重大變化。</w:t>
      </w:r>
    </w:p>
    <w:p w:rsidR="004D6F0E" w:rsidRDefault="00490F21">
      <w:pPr>
        <w:spacing w:after="104"/>
        <w:ind w:left="11" w:right="2"/>
      </w:pPr>
      <w:r>
        <w:t>於本基金的投資都不代表完整的投資計劃。</w:t>
      </w:r>
      <w:r>
        <w:rPr>
          <w:rFonts w:ascii="Arial" w:eastAsia="Arial" w:hAnsi="Arial" w:cs="Arial"/>
        </w:rPr>
        <w:t xml:space="preserve"> </w:t>
      </w:r>
    </w:p>
    <w:p w:rsidR="004D6F0E" w:rsidRDefault="00490F21">
      <w:pPr>
        <w:spacing w:after="108"/>
        <w:ind w:left="11" w:right="2"/>
      </w:pPr>
      <w:r>
        <w:t>有關概述本基金主要風險的圖表及適用於本基金的此等及其他風險的詳</w:t>
      </w:r>
      <w:r>
        <w:t>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61"/>
        <w:ind w:left="11" w:right="2"/>
      </w:pPr>
      <w:r>
        <w:t>典型投資者的資料</w:t>
      </w:r>
      <w:r>
        <w:rPr>
          <w:rFonts w:ascii="Arial" w:eastAsia="Arial" w:hAnsi="Arial" w:cs="Arial"/>
          <w:b/>
        </w:rPr>
        <w:t xml:space="preserve"> </w:t>
      </w:r>
    </w:p>
    <w:p w:rsidR="004D6F0E" w:rsidRDefault="00490F21">
      <w:pPr>
        <w:spacing w:after="116"/>
        <w:ind w:left="11" w:right="2"/>
      </w:pPr>
      <w:r>
        <w:t>本基金適合尋求投資級別固定收益投資潛在收入且能承受中等風險的投資者。有關本基金的股份是否適合其投資需要，投資者敬請諮詢其獨立財務顧問。</w:t>
      </w:r>
      <w:r>
        <w:rPr>
          <w:rFonts w:ascii="Arial" w:eastAsia="Arial" w:hAnsi="Arial" w:cs="Arial"/>
        </w:rPr>
        <w:t xml:space="preserve"> </w:t>
      </w:r>
    </w:p>
    <w:p w:rsidR="004D6F0E" w:rsidRDefault="00490F21">
      <w:pPr>
        <w:pStyle w:val="Heading4"/>
        <w:spacing w:after="102" w:line="259" w:lineRule="auto"/>
        <w:ind w:left="3" w:firstLine="3"/>
      </w:pPr>
      <w:r>
        <w:rPr>
          <w:sz w:val="20"/>
        </w:rPr>
        <w:t>派息</w:t>
      </w:r>
      <w:r>
        <w:rPr>
          <w:rFonts w:ascii="Arial" w:eastAsia="Arial" w:hAnsi="Arial" w:cs="Arial"/>
          <w:b/>
          <w:sz w:val="20"/>
        </w:rPr>
        <w:t xml:space="preserve"> </w:t>
      </w:r>
    </w:p>
    <w:p w:rsidR="004D6F0E" w:rsidRDefault="00490F21">
      <w:pPr>
        <w:spacing w:after="108"/>
        <w:ind w:left="11" w:right="2"/>
      </w:pPr>
      <w:r>
        <w:t>就</w:t>
      </w:r>
      <w:r>
        <w:t xml:space="preserve"> </w:t>
      </w:r>
      <w:r>
        <w:rPr>
          <w:rFonts w:ascii="Arial" w:eastAsia="Arial" w:hAnsi="Arial" w:cs="Arial"/>
        </w:rPr>
        <w:t>A</w:t>
      </w:r>
      <w:r>
        <w:t>、</w:t>
      </w:r>
      <w:r>
        <w:rPr>
          <w:rFonts w:ascii="Arial" w:eastAsia="Arial" w:hAnsi="Arial" w:cs="Arial"/>
        </w:rPr>
        <w:t>AX</w:t>
      </w:r>
      <w:r>
        <w:t>、</w:t>
      </w:r>
      <w:r>
        <w:rPr>
          <w:rFonts w:ascii="Arial" w:eastAsia="Arial" w:hAnsi="Arial" w:cs="Arial"/>
        </w:rPr>
        <w:t>B</w:t>
      </w:r>
      <w:r>
        <w:t>、</w:t>
      </w:r>
      <w:r>
        <w:rPr>
          <w:rFonts w:ascii="Arial" w:eastAsia="Arial" w:hAnsi="Arial" w:cs="Arial"/>
        </w:rPr>
        <w:t>C</w:t>
      </w:r>
      <w:r>
        <w:t>、</w:t>
      </w:r>
      <w:r>
        <w:rPr>
          <w:rFonts w:ascii="Arial" w:eastAsia="Arial" w:hAnsi="Arial" w:cs="Arial"/>
        </w:rPr>
        <w:t>I</w:t>
      </w:r>
      <w:r>
        <w:t>、</w:t>
      </w:r>
      <w:r>
        <w:rPr>
          <w:rFonts w:ascii="Arial" w:eastAsia="Arial" w:hAnsi="Arial" w:cs="Arial"/>
        </w:rPr>
        <w:t xml:space="preserve">S </w:t>
      </w:r>
      <w:r>
        <w:t>及</w:t>
      </w:r>
      <w:r>
        <w:t xml:space="preserve"> </w:t>
      </w:r>
      <w:r>
        <w:rPr>
          <w:rFonts w:ascii="Arial" w:eastAsia="Arial" w:hAnsi="Arial" w:cs="Arial"/>
        </w:rPr>
        <w:t xml:space="preserve">S1 </w:t>
      </w:r>
      <w:r>
        <w:t>類股份（及相應</w:t>
      </w:r>
      <w:r>
        <w:t xml:space="preserve"> </w:t>
      </w:r>
      <w:r>
        <w:rPr>
          <w:rFonts w:ascii="Arial" w:eastAsia="Arial" w:hAnsi="Arial" w:cs="Arial"/>
        </w:rPr>
        <w:t xml:space="preserve">H </w:t>
      </w:r>
      <w:r>
        <w:t>類股份，除非另行說明）而言，管理公司擬按日宣派並按月派付股息，股息數額等於各類股份應佔本基金淨收入的全部或絕大部分。</w:t>
      </w:r>
      <w:r>
        <w:rPr>
          <w:rFonts w:ascii="Arial" w:eastAsia="Arial" w:hAnsi="Arial" w:cs="Arial"/>
        </w:rPr>
        <w:t xml:space="preserve"> </w:t>
      </w:r>
    </w:p>
    <w:p w:rsidR="004D6F0E" w:rsidRDefault="00490F21">
      <w:pPr>
        <w:spacing w:after="104"/>
        <w:ind w:left="11" w:right="2"/>
      </w:pPr>
      <w:r>
        <w:t>就</w:t>
      </w:r>
      <w:r>
        <w:t xml:space="preserve"> </w:t>
      </w:r>
      <w:r>
        <w:rPr>
          <w:rFonts w:ascii="Arial" w:eastAsia="Arial" w:hAnsi="Arial" w:cs="Arial"/>
        </w:rPr>
        <w:t>AJ</w:t>
      </w:r>
      <w:r>
        <w:t>、</w:t>
      </w:r>
      <w:r>
        <w:rPr>
          <w:rFonts w:ascii="Arial" w:eastAsia="Arial" w:hAnsi="Arial" w:cs="Arial"/>
        </w:rPr>
        <w:t>AT</w:t>
      </w:r>
      <w:r>
        <w:t>、</w:t>
      </w:r>
      <w:r>
        <w:rPr>
          <w:rFonts w:ascii="Arial" w:eastAsia="Arial" w:hAnsi="Arial" w:cs="Arial"/>
        </w:rPr>
        <w:t>CT</w:t>
      </w:r>
      <w:r>
        <w:t>、</w:t>
      </w:r>
      <w:r>
        <w:rPr>
          <w:rFonts w:ascii="Arial" w:eastAsia="Arial" w:hAnsi="Arial" w:cs="Arial"/>
        </w:rPr>
        <w:t xml:space="preserve">IT </w:t>
      </w:r>
      <w:r>
        <w:t>及</w:t>
      </w:r>
      <w:r>
        <w:t xml:space="preserve"> </w:t>
      </w:r>
      <w:r>
        <w:rPr>
          <w:rFonts w:ascii="Arial" w:eastAsia="Arial" w:hAnsi="Arial" w:cs="Arial"/>
        </w:rPr>
        <w:t xml:space="preserve">NT </w:t>
      </w:r>
      <w:r>
        <w:t>類股份（及相應</w:t>
      </w:r>
      <w:r>
        <w:t xml:space="preserve"> </w:t>
      </w:r>
      <w:r>
        <w:rPr>
          <w:rFonts w:ascii="Arial" w:eastAsia="Arial" w:hAnsi="Arial" w:cs="Arial"/>
        </w:rPr>
        <w:t xml:space="preserve">H </w:t>
      </w:r>
      <w:r>
        <w:t>類股份）而言，管理公司擬按月宣派及派付股息，股息數額等於各類股份</w:t>
      </w:r>
      <w:r>
        <w:t>應佔本基金淨收入的全部或絕大部分。</w:t>
      </w:r>
      <w:r>
        <w:rPr>
          <w:rFonts w:ascii="Arial" w:eastAsia="Arial" w:hAnsi="Arial" w:cs="Arial"/>
        </w:rPr>
        <w:t xml:space="preserve"> </w:t>
      </w:r>
    </w:p>
    <w:p w:rsidR="004D6F0E" w:rsidRDefault="00490F21">
      <w:pPr>
        <w:spacing w:after="102" w:line="273" w:lineRule="auto"/>
        <w:ind w:left="14" w:right="41"/>
        <w:jc w:val="both"/>
      </w:pPr>
      <w:r>
        <w:t>就</w:t>
      </w:r>
      <w:r>
        <w:t xml:space="preserve"> </w:t>
      </w:r>
      <w:r>
        <w:rPr>
          <w:rFonts w:ascii="Arial" w:eastAsia="Arial" w:hAnsi="Arial" w:cs="Arial"/>
        </w:rPr>
        <w:t xml:space="preserve">AA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類股份）而言，管理公司擬按月宣派及派付股息。管理公司擬保持每股有關股份類別的穩定的派息率。就</w:t>
      </w:r>
      <w:r>
        <w:t xml:space="preserve"> </w:t>
      </w:r>
      <w:r>
        <w:rPr>
          <w:rFonts w:ascii="Arial" w:eastAsia="Arial" w:hAnsi="Arial" w:cs="Arial"/>
        </w:rPr>
        <w:t xml:space="preserve">AR </w:t>
      </w:r>
      <w:r>
        <w:lastRenderedPageBreak/>
        <w:t>類股份（及相應</w:t>
      </w:r>
      <w:r>
        <w:t xml:space="preserve"> </w:t>
      </w:r>
      <w:r>
        <w:rPr>
          <w:rFonts w:ascii="Arial" w:eastAsia="Arial" w:hAnsi="Arial" w:cs="Arial"/>
        </w:rPr>
        <w:t xml:space="preserve">H </w:t>
      </w:r>
      <w:r>
        <w:t>類股份）而言，管理公司擬按年宣派及派付股息。派息率將來自未扣除費用及開支前的總收入，派息亦可包括已實現及未實現的收益及有關股份類別應佔的資本。由於費用及開支未令派息率降低，故每股有關類別股份的資產淨值將因有關費用及開支而降低。</w:t>
      </w:r>
      <w:r>
        <w:rPr>
          <w:rFonts w:ascii="Arial" w:eastAsia="Arial" w:hAnsi="Arial" w:cs="Arial"/>
        </w:rPr>
        <w:t xml:space="preserve"> </w:t>
      </w:r>
    </w:p>
    <w:p w:rsidR="004D6F0E" w:rsidRDefault="00490F21">
      <w:pPr>
        <w:spacing w:after="108"/>
        <w:ind w:left="11" w:right="2"/>
      </w:pPr>
      <w:r>
        <w:t>管理公司也可決定支付的股息是否包括或在多大程度上包括已實現資本收益及／或是否或在多大程度上從相關股份類別應佔的資本中支付。倘此等股份應佔的淨收入及淨實現利潤超出應付的已宣派數額，則超出的回報將於此等股份各自的資產淨值中反映。股息可按股東的選擇自動再投資。</w:t>
      </w:r>
      <w:r>
        <w:rPr>
          <w:rFonts w:ascii="Arial" w:eastAsia="Arial" w:hAnsi="Arial" w:cs="Arial"/>
        </w:rPr>
        <w:t xml:space="preserve"> </w:t>
      </w:r>
    </w:p>
    <w:p w:rsidR="004D6F0E" w:rsidRDefault="00490F21">
      <w:pPr>
        <w:spacing w:after="101"/>
        <w:ind w:left="11" w:right="2"/>
      </w:pPr>
      <w:r>
        <w:t>就</w:t>
      </w:r>
      <w:r>
        <w:t xml:space="preserve"> </w:t>
      </w:r>
      <w:r>
        <w:rPr>
          <w:rFonts w:ascii="Arial" w:eastAsia="Arial" w:hAnsi="Arial" w:cs="Arial"/>
        </w:rPr>
        <w:t>A2</w:t>
      </w:r>
      <w:r>
        <w:t>、</w:t>
      </w:r>
      <w:r>
        <w:rPr>
          <w:rFonts w:ascii="Arial" w:eastAsia="Arial" w:hAnsi="Arial" w:cs="Arial"/>
        </w:rPr>
        <w:t>C2</w:t>
      </w:r>
      <w:r>
        <w:t>、</w:t>
      </w:r>
      <w:r>
        <w:rPr>
          <w:rFonts w:ascii="Arial" w:eastAsia="Arial" w:hAnsi="Arial" w:cs="Arial"/>
        </w:rPr>
        <w:t>I2</w:t>
      </w:r>
      <w:r>
        <w:t>、</w:t>
      </w:r>
      <w:r>
        <w:rPr>
          <w:rFonts w:ascii="Arial" w:eastAsia="Arial" w:hAnsi="Arial" w:cs="Arial"/>
        </w:rPr>
        <w:t>N2</w:t>
      </w:r>
      <w:r>
        <w:t>、</w:t>
      </w:r>
      <w:r>
        <w:rPr>
          <w:rFonts w:ascii="Arial" w:eastAsia="Arial" w:hAnsi="Arial" w:cs="Arial"/>
        </w:rPr>
        <w:t xml:space="preserve">S2 </w:t>
      </w:r>
      <w:r>
        <w:t>和</w:t>
      </w:r>
      <w:r>
        <w:t xml:space="preserve"> </w:t>
      </w:r>
      <w:r>
        <w:rPr>
          <w:rFonts w:ascii="Arial" w:eastAsia="Arial" w:hAnsi="Arial" w:cs="Arial"/>
        </w:rPr>
        <w:t xml:space="preserve">S1 2 </w:t>
      </w:r>
      <w:r>
        <w:t>類股份（及相應</w:t>
      </w:r>
      <w:r>
        <w:t xml:space="preserve"> </w:t>
      </w:r>
      <w:r>
        <w:rPr>
          <w:rFonts w:ascii="Arial" w:eastAsia="Arial" w:hAnsi="Arial" w:cs="Arial"/>
        </w:rPr>
        <w:t xml:space="preserve">H </w:t>
      </w:r>
      <w:r>
        <w:t>類股份）及</w:t>
      </w:r>
      <w:r>
        <w:t xml:space="preserve"> </w:t>
      </w:r>
      <w:r>
        <w:rPr>
          <w:rFonts w:ascii="Arial" w:eastAsia="Arial" w:hAnsi="Arial" w:cs="Arial"/>
        </w:rPr>
        <w:t xml:space="preserve">S </w:t>
      </w:r>
      <w:r>
        <w:t>類</w:t>
      </w:r>
      <w:r>
        <w:t xml:space="preserve"> </w:t>
      </w:r>
      <w:r>
        <w:rPr>
          <w:rFonts w:ascii="Arial" w:eastAsia="Arial" w:hAnsi="Arial" w:cs="Arial"/>
        </w:rPr>
        <w:t xml:space="preserve">H </w:t>
      </w:r>
      <w:r>
        <w:t>歐元股份、</w:t>
      </w:r>
      <w:r>
        <w:rPr>
          <w:rFonts w:ascii="Arial" w:eastAsia="Arial" w:hAnsi="Arial" w:cs="Arial"/>
        </w:rPr>
        <w:t xml:space="preserve">S1 </w:t>
      </w:r>
      <w:r>
        <w:t>類</w:t>
      </w:r>
      <w:r>
        <w:t xml:space="preserve"> </w:t>
      </w:r>
      <w:r>
        <w:rPr>
          <w:rFonts w:ascii="Arial" w:eastAsia="Arial" w:hAnsi="Arial" w:cs="Arial"/>
        </w:rPr>
        <w:t xml:space="preserve">H </w:t>
      </w:r>
      <w:r>
        <w:t>歐元股份和</w:t>
      </w:r>
      <w:r>
        <w:t xml:space="preserve"> </w:t>
      </w:r>
      <w:r>
        <w:rPr>
          <w:rFonts w:ascii="Arial" w:eastAsia="Arial" w:hAnsi="Arial" w:cs="Arial"/>
        </w:rPr>
        <w:t xml:space="preserve">S </w:t>
      </w:r>
      <w:r>
        <w:t>類</w:t>
      </w:r>
      <w:r>
        <w:t xml:space="preserve"> </w:t>
      </w:r>
      <w:r>
        <w:rPr>
          <w:rFonts w:ascii="Arial" w:eastAsia="Arial" w:hAnsi="Arial" w:cs="Arial"/>
        </w:rPr>
        <w:t xml:space="preserve">H </w:t>
      </w:r>
      <w:r>
        <w:t>新加坡元股份而言，管理公司現時無意就此等股份派付股息。因此，股份應佔的任何淨收入及淨實現利潤均將於此等股份各自的資產淨值中反映。</w:t>
      </w:r>
      <w:r>
        <w:rPr>
          <w:rFonts w:ascii="Arial" w:eastAsia="Arial" w:hAnsi="Arial" w:cs="Arial"/>
        </w:rPr>
        <w:t xml:space="preserve"> </w:t>
      </w:r>
    </w:p>
    <w:p w:rsidR="004D6F0E" w:rsidRDefault="00490F21">
      <w:pPr>
        <w:spacing w:after="70"/>
        <w:ind w:left="11" w:right="2"/>
      </w:pPr>
      <w:r>
        <w:t>管理公司、行政管理人、存管人及過戶代理費用</w:t>
      </w:r>
      <w:r>
        <w:rPr>
          <w:rFonts w:ascii="Arial" w:eastAsia="Arial" w:hAnsi="Arial" w:cs="Arial"/>
          <w:b/>
        </w:rPr>
        <w:t xml:space="preserve"> </w:t>
      </w:r>
    </w:p>
    <w:p w:rsidR="004D6F0E" w:rsidRDefault="00490F21">
      <w:pPr>
        <w:spacing w:after="102" w:line="273" w:lineRule="auto"/>
        <w:ind w:left="14" w:right="41"/>
        <w:jc w:val="both"/>
      </w:pPr>
      <w:r>
        <w:t>就除</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S2</w:t>
      </w:r>
      <w:r>
        <w:t>、</w:t>
      </w:r>
      <w:r>
        <w:rPr>
          <w:rFonts w:ascii="Arial" w:eastAsia="Arial" w:hAnsi="Arial" w:cs="Arial"/>
        </w:rPr>
        <w:t xml:space="preserve">SA </w:t>
      </w:r>
      <w:r>
        <w:t>及</w:t>
      </w:r>
      <w:r>
        <w:t xml:space="preserve"> </w:t>
      </w:r>
      <w:r>
        <w:rPr>
          <w:rFonts w:ascii="Arial" w:eastAsia="Arial" w:hAnsi="Arial" w:cs="Arial"/>
        </w:rPr>
        <w:t xml:space="preserve">S1 2 </w:t>
      </w:r>
      <w:r>
        <w:t>類股份（及相應</w:t>
      </w:r>
      <w:r>
        <w:t xml:space="preserve"> </w:t>
      </w:r>
      <w:r>
        <w:rPr>
          <w:rFonts w:ascii="Arial" w:eastAsia="Arial" w:hAnsi="Arial" w:cs="Arial"/>
        </w:rPr>
        <w:t xml:space="preserve">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0.10%</w:t>
      </w:r>
      <w:r>
        <w:t>。管理公司按</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S2</w:t>
      </w:r>
      <w:r>
        <w:t>、</w:t>
      </w:r>
      <w:r>
        <w:rPr>
          <w:rFonts w:ascii="Arial" w:eastAsia="Arial" w:hAnsi="Arial" w:cs="Arial"/>
        </w:rPr>
        <w:t xml:space="preserve">SA </w:t>
      </w:r>
      <w:r>
        <w:t>及</w:t>
      </w:r>
      <w:r>
        <w:t xml:space="preserve"> </w:t>
      </w:r>
      <w:r>
        <w:rPr>
          <w:rFonts w:ascii="Arial" w:eastAsia="Arial" w:hAnsi="Arial" w:cs="Arial"/>
        </w:rPr>
        <w:t xml:space="preserve">S1 2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5</w:t>
      </w:r>
      <w:r>
        <w:rPr>
          <w:rFonts w:ascii="Arial" w:eastAsia="Arial" w:hAnsi="Arial" w:cs="Arial"/>
        </w:rPr>
        <w:t xml:space="preserve">0,000 </w:t>
      </w:r>
      <w:r>
        <w:t>美元或日均資產淨值的</w:t>
      </w:r>
      <w:r>
        <w:t xml:space="preserve"> </w:t>
      </w:r>
      <w:r>
        <w:rPr>
          <w:rFonts w:ascii="Arial" w:eastAsia="Arial" w:hAnsi="Arial" w:cs="Arial"/>
        </w:rPr>
        <w:t>0.01%</w:t>
      </w:r>
      <w:r>
        <w:t>（以較低者為準）。</w:t>
      </w:r>
      <w:r>
        <w:rPr>
          <w:rFonts w:ascii="Arial" w:eastAsia="Arial" w:hAnsi="Arial" w:cs="Arial"/>
        </w:rPr>
        <w:t xml:space="preserve"> </w:t>
      </w:r>
    </w:p>
    <w:p w:rsidR="004D6F0E" w:rsidRDefault="00490F21">
      <w:pPr>
        <w:spacing w:after="102" w:line="273" w:lineRule="auto"/>
        <w:ind w:left="14" w:right="41"/>
        <w:jc w:val="both"/>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部分「行政管理人、存管人及過戶代理費用」所規定的固定最高金額。此等費用須遵守以上「摘要資料</w:t>
      </w:r>
      <w:r>
        <w:rPr>
          <w:rFonts w:ascii="Arial" w:eastAsia="Arial" w:hAnsi="Arial" w:cs="Arial"/>
        </w:rPr>
        <w:t xml:space="preserve"> — </w:t>
      </w:r>
      <w:r>
        <w:t>股份類別費用及收費」附註</w:t>
      </w:r>
      <w:r>
        <w:t xml:space="preserve"> </w:t>
      </w:r>
      <w:r>
        <w:rPr>
          <w:rFonts w:ascii="Arial" w:eastAsia="Arial" w:hAnsi="Arial" w:cs="Arial"/>
        </w:rPr>
        <w:t xml:space="preserve">1 </w:t>
      </w:r>
      <w:r>
        <w:t>所述的開支限制，並可能減少或增加，取決於本基金的資產和交易量或其他原因。</w:t>
      </w:r>
      <w:r>
        <w:rPr>
          <w:rFonts w:ascii="Arial" w:eastAsia="Arial" w:hAnsi="Arial" w:cs="Arial"/>
        </w:rPr>
        <w:t xml:space="preserve"> </w:t>
      </w:r>
    </w:p>
    <w:p w:rsidR="004D6F0E" w:rsidRDefault="00490F21">
      <w:pPr>
        <w:spacing w:after="63"/>
        <w:ind w:left="11" w:right="2"/>
      </w:pPr>
      <w:r>
        <w:t>設立開支</w:t>
      </w:r>
      <w:r>
        <w:rPr>
          <w:rFonts w:ascii="Arial" w:eastAsia="Arial" w:hAnsi="Arial" w:cs="Arial"/>
          <w:b/>
        </w:rPr>
        <w:t xml:space="preserve"> </w:t>
      </w:r>
    </w:p>
    <w:p w:rsidR="004D6F0E" w:rsidRDefault="00490F21">
      <w:pPr>
        <w:spacing w:after="105"/>
        <w:ind w:left="11" w:right="2"/>
      </w:pPr>
      <w:r>
        <w:t>本基金並無未攤銷設立開支。</w:t>
      </w:r>
      <w:r>
        <w:rPr>
          <w:rFonts w:ascii="Arial" w:eastAsia="Arial" w:hAnsi="Arial" w:cs="Arial"/>
        </w:rPr>
        <w:t xml:space="preserve"> </w:t>
      </w:r>
    </w:p>
    <w:p w:rsidR="004D6F0E" w:rsidRDefault="00490F21">
      <w:pPr>
        <w:spacing w:after="63"/>
        <w:ind w:left="11" w:right="2"/>
      </w:pPr>
      <w:r>
        <w:t>過往表現</w:t>
      </w:r>
      <w:r>
        <w:rPr>
          <w:rFonts w:ascii="Arial" w:eastAsia="Arial" w:hAnsi="Arial" w:cs="Arial"/>
          <w:b/>
        </w:rPr>
        <w:t xml:space="preserve"> </w:t>
      </w:r>
    </w:p>
    <w:p w:rsidR="004D6F0E" w:rsidRDefault="00490F21">
      <w:pPr>
        <w:spacing w:after="110"/>
        <w:ind w:left="11" w:right="2"/>
      </w:pPr>
      <w:r>
        <w:t>有</w:t>
      </w:r>
      <w:r>
        <w:t xml:space="preserve"> </w:t>
      </w:r>
      <w:r>
        <w:t>關</w:t>
      </w:r>
      <w:r>
        <w:t xml:space="preserve"> </w:t>
      </w:r>
      <w:r>
        <w:t>本</w:t>
      </w:r>
      <w:r>
        <w:t xml:space="preserve"> </w:t>
      </w:r>
      <w:r>
        <w:t>基</w:t>
      </w:r>
      <w:r>
        <w:t xml:space="preserve"> </w:t>
      </w:r>
      <w:r>
        <w:t>金</w:t>
      </w:r>
      <w:r>
        <w:t xml:space="preserve"> </w:t>
      </w:r>
      <w:r>
        <w:t>過</w:t>
      </w:r>
      <w:r>
        <w:t xml:space="preserve"> </w:t>
      </w:r>
      <w:r>
        <w:t>往</w:t>
      </w:r>
      <w:r>
        <w:t xml:space="preserve"> </w:t>
      </w:r>
      <w:r>
        <w:t>表</w:t>
      </w:r>
      <w:r>
        <w:t xml:space="preserve"> </w:t>
      </w:r>
      <w:r>
        <w:t>現</w:t>
      </w:r>
      <w:r>
        <w:t xml:space="preserve"> </w:t>
      </w:r>
      <w:r>
        <w:t>的</w:t>
      </w:r>
      <w:r>
        <w:t xml:space="preserve"> </w:t>
      </w:r>
      <w:r>
        <w:t>資</w:t>
      </w:r>
      <w:r>
        <w:t xml:space="preserve"> </w:t>
      </w:r>
      <w:r>
        <w:t>料</w:t>
      </w:r>
      <w:r>
        <w:t xml:space="preserve"> </w:t>
      </w:r>
      <w:r>
        <w:t>可</w:t>
      </w:r>
      <w:r>
        <w:t xml:space="preserve"> </w:t>
      </w:r>
      <w:r>
        <w:t>瀏</w:t>
      </w:r>
      <w:r>
        <w:t xml:space="preserve"> </w:t>
      </w:r>
      <w:r>
        <w:t>覽</w:t>
      </w:r>
      <w:r>
        <w:t xml:space="preserve"> </w:t>
      </w:r>
      <w:hyperlink r:id="rId148">
        <w:r>
          <w:rPr>
            <w:rFonts w:ascii="Arial" w:eastAsia="Arial" w:hAnsi="Arial" w:cs="Arial"/>
            <w:color w:val="0000FF"/>
            <w:u w:val="single" w:color="0000FF"/>
          </w:rPr>
          <w:t>www.alliancebernstein.com</w:t>
        </w:r>
      </w:hyperlink>
      <w:hyperlink r:id="rId149">
        <w:r>
          <w:t>。</w:t>
        </w:r>
      </w:hyperlink>
      <w:r>
        <w:rPr>
          <w:rFonts w:ascii="Arial" w:eastAsia="Arial" w:hAnsi="Arial" w:cs="Arial"/>
        </w:rPr>
        <w:t xml:space="preserve"> </w:t>
      </w:r>
    </w:p>
    <w:p w:rsidR="004D6F0E" w:rsidRDefault="00490F21">
      <w:pPr>
        <w:pStyle w:val="Heading4"/>
        <w:spacing w:after="102" w:line="259" w:lineRule="auto"/>
        <w:ind w:left="3" w:firstLine="3"/>
      </w:pPr>
      <w:r>
        <w:rPr>
          <w:sz w:val="20"/>
        </w:rPr>
        <w:t>歷史</w:t>
      </w:r>
      <w:r>
        <w:rPr>
          <w:rFonts w:ascii="Arial" w:eastAsia="Arial" w:hAnsi="Arial" w:cs="Arial"/>
          <w:b/>
          <w:sz w:val="20"/>
        </w:rPr>
        <w:t xml:space="preserve"> </w:t>
      </w:r>
    </w:p>
    <w:p w:rsidR="004D6F0E" w:rsidRDefault="00490F21">
      <w:pPr>
        <w:spacing w:after="102" w:line="273" w:lineRule="auto"/>
        <w:ind w:left="14" w:right="41"/>
        <w:jc w:val="both"/>
      </w:pPr>
      <w:r>
        <w:t>本基金於一九九六年九月十六日設立，作為本傘子基金下的基金。於該日之前，本基金資產乃由管理公司管理，作為</w:t>
      </w:r>
      <w:r>
        <w:t xml:space="preserve"> </w:t>
      </w:r>
      <w:r>
        <w:rPr>
          <w:rFonts w:ascii="Arial" w:eastAsia="Arial" w:hAnsi="Arial" w:cs="Arial"/>
        </w:rPr>
        <w:t>Alliance Worldwide Income Fund</w:t>
      </w:r>
      <w:r>
        <w:t>（「世界基金」）的一部分。世界基金乃根據盧森堡大公國法律成立的互惠投資基金。一九九六年九月十六日，世界基金的所有資產均轉讓予本基金，世界基金的所有負債亦由本基金承擔。由二零一九年七月一日起，本基金改名為短期債券基金。</w:t>
      </w:r>
      <w:r>
        <w:rPr>
          <w:rFonts w:ascii="Arial" w:eastAsia="Arial" w:hAnsi="Arial" w:cs="Arial"/>
        </w:rPr>
        <w:t xml:space="preserve"> </w:t>
      </w:r>
    </w:p>
    <w:p w:rsidR="004D6F0E" w:rsidRDefault="00490F21">
      <w:pPr>
        <w:spacing w:after="0" w:line="259" w:lineRule="auto"/>
        <w:ind w:left="1" w:firstLine="0"/>
      </w:pPr>
      <w:r>
        <w:rPr>
          <w:rFonts w:ascii="Arial" w:eastAsia="Arial" w:hAnsi="Arial" w:cs="Arial"/>
        </w:rPr>
        <w:t xml:space="preserve"> </w:t>
      </w:r>
    </w:p>
    <w:p w:rsidR="004D6F0E" w:rsidRDefault="004D6F0E">
      <w:pPr>
        <w:sectPr w:rsidR="004D6F0E">
          <w:type w:val="continuous"/>
          <w:pgSz w:w="12240" w:h="15840"/>
          <w:pgMar w:top="1440" w:right="627" w:bottom="1440" w:left="431" w:header="720" w:footer="720" w:gutter="0"/>
          <w:cols w:num="2" w:space="674"/>
        </w:sectPr>
      </w:pPr>
    </w:p>
    <w:p w:rsidR="004D6F0E" w:rsidRDefault="00490F21">
      <w:pPr>
        <w:pStyle w:val="Heading2"/>
        <w:ind w:left="8"/>
      </w:pPr>
      <w:r>
        <w:lastRenderedPageBreak/>
        <w:t>聯博</w:t>
      </w:r>
      <w:r>
        <w:rPr>
          <w:rFonts w:ascii="Arial" w:eastAsia="Arial" w:hAnsi="Arial" w:cs="Arial"/>
        </w:rPr>
        <w:t>—</w:t>
      </w:r>
      <w:r>
        <w:t>環球高收益基金</w:t>
      </w:r>
      <w:r>
        <w:rPr>
          <w:rFonts w:ascii="Arial" w:eastAsia="Arial" w:hAnsi="Arial" w:cs="Arial"/>
        </w:rPr>
        <w:t xml:space="preserve"> </w:t>
      </w:r>
    </w:p>
    <w:p w:rsidR="004D6F0E" w:rsidRDefault="00490F21">
      <w:pPr>
        <w:pStyle w:val="Heading3"/>
        <w:ind w:left="14"/>
      </w:pPr>
      <w:r>
        <w:t>投資目標及政策</w:t>
      </w:r>
      <w:r>
        <w:rPr>
          <w:rFonts w:ascii="Arial" w:eastAsia="Arial" w:hAnsi="Arial" w:cs="Arial"/>
        </w:rPr>
        <w:t xml:space="preserve"> </w:t>
      </w:r>
    </w:p>
    <w:p w:rsidR="004D6F0E" w:rsidRDefault="00490F21">
      <w:pPr>
        <w:spacing w:after="104"/>
        <w:ind w:left="297" w:right="2"/>
      </w:pPr>
      <w:r>
        <w:t>投資目標</w:t>
      </w:r>
      <w:r>
        <w:rPr>
          <w:rFonts w:ascii="Arial" w:eastAsia="Arial" w:hAnsi="Arial" w:cs="Arial"/>
          <w:b/>
        </w:rPr>
        <w:t xml:space="preserve"> </w:t>
      </w:r>
    </w:p>
    <w:p w:rsidR="004D6F0E" w:rsidRDefault="00490F21">
      <w:pPr>
        <w:spacing w:after="105"/>
        <w:ind w:left="297" w:right="2"/>
      </w:pPr>
      <w:r>
        <w:t>本基金的投資目標是獲取高額的當前收入及整體總回報。</w:t>
      </w:r>
      <w:r>
        <w:rPr>
          <w:rFonts w:ascii="Arial" w:eastAsia="Arial" w:hAnsi="Arial" w:cs="Arial"/>
        </w:rPr>
        <w:t xml:space="preserve"> </w:t>
      </w:r>
    </w:p>
    <w:p w:rsidR="004D6F0E" w:rsidRDefault="00490F21">
      <w:pPr>
        <w:spacing w:after="63"/>
        <w:ind w:left="297" w:right="2"/>
      </w:pPr>
      <w:r>
        <w:t>投資規則和程序</w:t>
      </w:r>
      <w:r>
        <w:rPr>
          <w:rFonts w:ascii="Arial" w:eastAsia="Arial" w:hAnsi="Arial" w:cs="Arial"/>
          <w:b/>
        </w:rPr>
        <w:t xml:space="preserve"> </w:t>
      </w:r>
    </w:p>
    <w:p w:rsidR="004D6F0E" w:rsidRDefault="00490F21">
      <w:pPr>
        <w:spacing w:after="106"/>
        <w:ind w:left="297" w:right="2"/>
      </w:pPr>
      <w:r>
        <w:t>為尋求達致此目標，本基金在任何時候主要將其至少三分之二的資產投資於世界各地發行人（包括美國發行人及新興市場國家的發行人）的高收益債務證券。選擇投資時，本基金有意將其資產分配予三個主要投資類別：</w:t>
      </w:r>
      <w:r>
        <w:rPr>
          <w:rFonts w:ascii="Arial" w:eastAsia="Arial" w:hAnsi="Arial" w:cs="Arial"/>
        </w:rPr>
        <w:t>(i)</w:t>
      </w:r>
      <w:r>
        <w:t>美國公司發行人的高收益非投資級別債務證券；</w:t>
      </w:r>
      <w:r>
        <w:rPr>
          <w:rFonts w:ascii="Arial" w:eastAsia="Arial" w:hAnsi="Arial" w:cs="Arial"/>
        </w:rPr>
        <w:t>(ii)</w:t>
      </w:r>
      <w:r>
        <w:t>新興市場國家內發行人的非投資級別債務證券及</w:t>
      </w:r>
      <w:r>
        <w:rPr>
          <w:rFonts w:ascii="Arial" w:eastAsia="Arial" w:hAnsi="Arial" w:cs="Arial"/>
        </w:rPr>
        <w:t>(iii)</w:t>
      </w:r>
      <w:r>
        <w:t>新興市場國家發行的國家債務。然而，本基金亦可投資於投資管理人認為合適的其他債務證券類別。例如，本基金可投資於投資級別債務證券，如果投資管理人確定此等債務證券具備合意的收益率及／或總回報特點。此外，本基金於執行其投</w:t>
      </w:r>
      <w:r>
        <w:t>資策略時可根據下文金融衍生工具所載利用金融衍生工具。</w:t>
      </w:r>
      <w:r>
        <w:rPr>
          <w:rFonts w:ascii="Arial" w:eastAsia="Arial" w:hAnsi="Arial" w:cs="Arial"/>
        </w:rPr>
        <w:t xml:space="preserve"> </w:t>
      </w:r>
    </w:p>
    <w:p w:rsidR="004D6F0E" w:rsidRDefault="00490F21">
      <w:pPr>
        <w:spacing w:after="102" w:line="273" w:lineRule="auto"/>
        <w:ind w:left="297" w:right="386"/>
        <w:jc w:val="both"/>
      </w:pPr>
      <w:r>
        <w:t>本基金的投資可以多種貨幣計價。除第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所載的限制外，本基金不得將其總資產的</w:t>
      </w:r>
      <w:r>
        <w:t xml:space="preserve"> </w:t>
      </w:r>
      <w:r>
        <w:rPr>
          <w:rFonts w:ascii="Arial" w:eastAsia="Arial" w:hAnsi="Arial" w:cs="Arial"/>
        </w:rPr>
        <w:t>20%</w:t>
      </w:r>
      <w:r>
        <w:t>以上投資於一個國家，惟該限制不適用於本基金對美國發行人的投資。國際投資涉及特別考慮因素。</w:t>
      </w:r>
      <w:r>
        <w:rPr>
          <w:rFonts w:ascii="Arial" w:eastAsia="Arial" w:hAnsi="Arial" w:cs="Arial"/>
        </w:rPr>
        <w:t xml:space="preserve"> </w:t>
      </w:r>
    </w:p>
    <w:p w:rsidR="004D6F0E" w:rsidRDefault="00490F21">
      <w:pPr>
        <w:spacing w:after="100"/>
        <w:ind w:left="297" w:right="2"/>
      </w:pPr>
      <w:r>
        <w:t>本基金可投資的美國及非美國公司發行的債務證券包括債券、債權證、票據及債務證。此等債務證券可能具有股票特點，如轉換權或認股權證等，可提升本基金的投資回報。見第</w:t>
      </w:r>
      <w:r>
        <w:t xml:space="preserve"> </w:t>
      </w:r>
      <w:r>
        <w:rPr>
          <w:rFonts w:ascii="Arial" w:eastAsia="Arial" w:hAnsi="Arial" w:cs="Arial"/>
        </w:rPr>
        <w:t xml:space="preserve">II </w:t>
      </w:r>
      <w:r>
        <w:t>部分「投資類別</w:t>
      </w:r>
      <w:r>
        <w:rPr>
          <w:rFonts w:ascii="Arial" w:eastAsia="Arial" w:hAnsi="Arial" w:cs="Arial"/>
        </w:rPr>
        <w:t>—</w:t>
      </w:r>
      <w:r>
        <w:t>債務證券類別</w:t>
      </w:r>
      <w:r>
        <w:rPr>
          <w:rFonts w:ascii="Arial" w:eastAsia="Arial" w:hAnsi="Arial" w:cs="Arial"/>
        </w:rPr>
        <w:t>—</w:t>
      </w:r>
      <w:r>
        <w:t>可轉換證券」。有關本基金投資於公司發行人的債務證券並無最低評級規定。</w:t>
      </w:r>
      <w:r>
        <w:rPr>
          <w:rFonts w:ascii="Arial" w:eastAsia="Arial" w:hAnsi="Arial" w:cs="Arial"/>
        </w:rPr>
        <w:t xml:space="preserve"> </w:t>
      </w:r>
    </w:p>
    <w:p w:rsidR="004D6F0E" w:rsidRDefault="00490F21">
      <w:pPr>
        <w:spacing w:after="50"/>
        <w:ind w:left="297" w:right="2"/>
      </w:pPr>
      <w:r>
        <w:t>本基金對新興市場債務證券的投資可能包括</w:t>
      </w:r>
      <w:r>
        <w:rPr>
          <w:rFonts w:ascii="Arial" w:eastAsia="Arial" w:hAnsi="Arial" w:cs="Arial"/>
        </w:rPr>
        <w:t>(i)</w:t>
      </w:r>
      <w:r>
        <w:t>新興市場國家的政府、政府代理或部門及政治分支機構發行或擔保的債務證券或債務，</w:t>
      </w:r>
      <w:r>
        <w:rPr>
          <w:rFonts w:ascii="Arial" w:eastAsia="Arial" w:hAnsi="Arial" w:cs="Arial"/>
        </w:rPr>
        <w:t>(ii)</w:t>
      </w:r>
      <w:r>
        <w:t>新興市場國家政府所擁有、控制或資助的實體發行的債務證券或債務，</w:t>
      </w:r>
      <w:r>
        <w:rPr>
          <w:rFonts w:ascii="Arial" w:eastAsia="Arial" w:hAnsi="Arial" w:cs="Arial"/>
        </w:rPr>
        <w:t>(iii)</w:t>
      </w:r>
      <w:r>
        <w:t>旨在重整上述任何實體所發行證券的投資特徵而設立及運作的發行人的債務，及</w:t>
      </w:r>
      <w:r>
        <w:rPr>
          <w:rFonts w:ascii="Arial" w:eastAsia="Arial" w:hAnsi="Arial" w:cs="Arial"/>
        </w:rPr>
        <w:t>(iv)</w:t>
      </w:r>
      <w:r>
        <w:t>與上述</w:t>
      </w:r>
      <w:r>
        <w:rPr>
          <w:rFonts w:ascii="Arial" w:eastAsia="Arial" w:hAnsi="Arial" w:cs="Arial"/>
        </w:rPr>
        <w:t xml:space="preserve">(i)-(iii) </w:t>
      </w:r>
      <w:r>
        <w:t>所列工具相關的金融衍生工具。預期該等債務證券於投資時評級低於投資級別或倘並未評級，由投資管理人釐定具相若質素。</w:t>
      </w:r>
      <w:r>
        <w:rPr>
          <w:sz w:val="18"/>
        </w:rPr>
        <w:t>本基金</w:t>
      </w:r>
      <w:r>
        <w:t>可投資的新興市場債務證券須承受較高風險，而該等債券毋</w:t>
      </w:r>
      <w:r>
        <w:t>須符合最低評級準則及可能並無任何國際認</w:t>
      </w:r>
      <w:r>
        <w:t>可評級機構對其信用進行評級。</w:t>
      </w:r>
      <w:r>
        <w:rPr>
          <w:rFonts w:ascii="Arial" w:eastAsia="Arial" w:hAnsi="Arial" w:cs="Arial"/>
          <w:sz w:val="24"/>
        </w:rPr>
        <w:t xml:space="preserve"> </w:t>
      </w:r>
    </w:p>
    <w:p w:rsidR="004D6F0E" w:rsidRDefault="00490F21">
      <w:pPr>
        <w:spacing w:after="49"/>
        <w:ind w:left="297" w:right="2"/>
      </w:pPr>
      <w:r>
        <w:t>根據世界銀行的定義，新興市場國家指按人均國民總收入計算，收入不高的國家（若要獲得世界銀行此等國家的列單，請瀏覽﹕</w:t>
      </w:r>
      <w:r>
        <w:rPr>
          <w:rFonts w:ascii="Arial" w:eastAsia="Arial" w:hAnsi="Arial" w:cs="Arial"/>
          <w:color w:val="0000FF"/>
          <w:u w:val="single" w:color="0000FF"/>
        </w:rPr>
        <w:t>http://siteresources.worldbank.org/DATASTATISTICS /Resources/CLASS.XLS</w:t>
      </w:r>
      <w:r>
        <w:rPr>
          <w:rFonts w:ascii="Arial" w:eastAsia="Arial" w:hAnsi="Arial" w:cs="Arial"/>
        </w:rPr>
        <w:t>)</w:t>
      </w:r>
      <w:r>
        <w:t>。投資管理人就某個國家是否屬新興市場國家而作出的決定可不時變動。</w:t>
      </w:r>
      <w:r>
        <w:rPr>
          <w:rFonts w:ascii="Arial" w:eastAsia="Arial" w:hAnsi="Arial" w:cs="Arial"/>
          <w:sz w:val="24"/>
        </w:rPr>
        <w:t xml:space="preserve"> </w:t>
      </w:r>
    </w:p>
    <w:p w:rsidR="004D6F0E" w:rsidRDefault="00490F21">
      <w:pPr>
        <w:spacing w:after="395"/>
        <w:ind w:left="297" w:right="2"/>
      </w:pPr>
      <w:r>
        <w:t>然而，於不少新興市場作出債務證券投資並非切實可行，或會涉及難以承受的政治、經濟及社會風險。見第</w:t>
      </w:r>
      <w:r>
        <w:t xml:space="preserve"> </w:t>
      </w:r>
      <w:r>
        <w:rPr>
          <w:rFonts w:ascii="Arial" w:eastAsia="Arial" w:hAnsi="Arial" w:cs="Arial"/>
        </w:rPr>
        <w:t xml:space="preserve">II </w:t>
      </w:r>
      <w:r>
        <w:t>部分「風險因素及特別考慮因素－一般風險－國家風險－新興市場」。隨著投資其他新興市場國家債務證券的機會正在增加，本基金預期擴展及分散其基金投資。新興市場債務證券可能採取的形式為旨在重整新興市場債務證券的投資特徵而設立及運作的實體的債券、債權證、票據、債務證、可轉換證券、認股權證、按揭或其他資產抵押證券及利息。本基金亦可使用多類金融衍生</w:t>
      </w:r>
    </w:p>
    <w:p w:rsidR="004D6F0E" w:rsidRDefault="00490F21">
      <w:pPr>
        <w:spacing w:after="32" w:line="259" w:lineRule="auto"/>
        <w:ind w:right="46" w:hanging="10"/>
        <w:jc w:val="right"/>
      </w:pPr>
      <w:r>
        <w:rPr>
          <w:rFonts w:ascii="Times New Roman" w:eastAsia="Times New Roman" w:hAnsi="Times New Roman" w:cs="Times New Roman"/>
          <w:sz w:val="20"/>
        </w:rPr>
        <w:t xml:space="preserve">I-46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992" w:line="259" w:lineRule="auto"/>
        <w:ind w:left="0" w:firstLine="0"/>
        <w:jc w:val="right"/>
      </w:pPr>
      <w:r>
        <w:t xml:space="preserve"> </w:t>
      </w:r>
    </w:p>
    <w:p w:rsidR="004D6F0E" w:rsidRDefault="00490F21">
      <w:pPr>
        <w:ind w:left="11" w:right="2"/>
      </w:pPr>
      <w:r>
        <w:t>工具或結構化產品，以便成功有效地複現新興市場債券投資。有關若干該等投資的詳細資料，見第</w:t>
      </w:r>
      <w:r>
        <w:t xml:space="preserve"> </w:t>
      </w:r>
      <w:r>
        <w:rPr>
          <w:rFonts w:ascii="Arial" w:eastAsia="Arial" w:hAnsi="Arial" w:cs="Arial"/>
        </w:rPr>
        <w:t xml:space="preserve">II </w:t>
      </w:r>
      <w:r>
        <w:t>部分「投資類別」。對債務產品進行評估時，投資管理人將運用其內部信貸分析資源以及從其他渠道獲得的財務及經濟資料。就外國公司發行人進行評估時，投資管理人將考慮該發行人的財務狀況及營運相關的市場及經濟狀況。就外國政府債務產品而言，投資管理人將審核發行人的財務狀況及相關國家的政治及經濟狀況。超國家機構的投資證券須承受額外的風險，如政府成員國可能無法作出所需的出資，因此超國家機構可能無力如期償付其債務。本傘子基金就本基金採用</w:t>
      </w:r>
      <w:r>
        <w:t>整體管理方法，使本基金可通過投資於各種貨幣，憑著有關工具換算美元的可能資本增值及就此類工具獲得的收入比</w:t>
      </w:r>
      <w:r>
        <w:lastRenderedPageBreak/>
        <w:t>率，追求高額當前收入另加整體投資回報。一般而言，評估投資價值時，本傘子基金將考慮多種因素，其中包括各國的現行利率的相關水平、以各自貨幣計價的投資的升值潛能及非美元計價的債務證券的貨幣換算成美元而可能造成價值波動。為追求本基金的資本增值，本傘子基金可就預期有利的貨幣波動和利率變動，投資於相對低收益的工具，因此本基金的孳息可能會下降。本傘子基金可投資於孳息相對較高（相對其他債務證券而言）的短期工具以為本基金賺取</w:t>
      </w:r>
      <w:r>
        <w:t>收益</w:t>
      </w:r>
    </w:p>
    <w:p w:rsidR="004D6F0E" w:rsidRDefault="00490F21">
      <w:pPr>
        <w:spacing w:after="42"/>
        <w:ind w:left="11" w:right="2"/>
      </w:pPr>
      <w:r>
        <w:t>，惟本傘子基金預期該等工具不會有大幅資本增值。本基金證券的平均償還期將因投資管理人對經濟及市場狀況的評估而變動。一如所有債務證券，利率波動將影響本傘子基金的資產價值，因為利率下降時基金證券的價格一般會上升，而利率上升時價格會下跌。對利率變化的反應方面，長期證券的價格波動一般較短期證券大。本傘子基金預計本基金的平均償還期將不超過十五年。</w:t>
      </w:r>
      <w:r>
        <w:rPr>
          <w:rFonts w:ascii="Arial" w:eastAsia="Arial" w:hAnsi="Arial" w:cs="Arial"/>
          <w:sz w:val="24"/>
        </w:rPr>
        <w:t xml:space="preserve"> </w:t>
      </w:r>
    </w:p>
    <w:p w:rsidR="004D6F0E" w:rsidRDefault="00490F21">
      <w:pPr>
        <w:spacing w:after="49"/>
        <w:ind w:left="11" w:right="2"/>
      </w:pPr>
      <w:r>
        <w:t>金融衍生工具／有效基金管理技術。投資管理人可在實施本基金投資策略時使用衍生產品及策略。此等金融衍生工具可能包括但不限於﹕掉期合約（包括利率掉期合約（「</w:t>
      </w:r>
      <w:r>
        <w:rPr>
          <w:rFonts w:ascii="Arial" w:eastAsia="Arial" w:hAnsi="Arial" w:cs="Arial"/>
        </w:rPr>
        <w:t>IRS</w:t>
      </w:r>
      <w:r>
        <w:t>」）、總回</w:t>
      </w:r>
      <w:r>
        <w:t>報掉期合約（「</w:t>
      </w:r>
      <w:r>
        <w:rPr>
          <w:rFonts w:ascii="Arial" w:eastAsia="Arial" w:hAnsi="Arial" w:cs="Arial"/>
        </w:rPr>
        <w:t>TRS</w:t>
      </w:r>
      <w:r>
        <w:t>」）和信用違約掉期合約（「</w:t>
      </w:r>
      <w:r>
        <w:rPr>
          <w:rFonts w:ascii="Arial" w:eastAsia="Arial" w:hAnsi="Arial" w:cs="Arial"/>
        </w:rPr>
        <w:t>CDS</w:t>
      </w:r>
      <w:r>
        <w:t>」））、信貸掛鈎票據、掉期期權、期權、期貨及貨幣交易（包括遠期貨幣合約）。該等金融衍生工具（包括場外衍生和交易所買賣金融衍生工具）及有效基金管理技術可用於以下目的﹕</w:t>
      </w:r>
      <w:r>
        <w:rPr>
          <w:rFonts w:ascii="Arial" w:eastAsia="Arial" w:hAnsi="Arial" w:cs="Arial"/>
        </w:rPr>
        <w:t xml:space="preserve">(i) </w:t>
      </w:r>
      <w:r>
        <w:t>作為直接投資於相關工具的替代方法，</w:t>
      </w:r>
      <w:r>
        <w:rPr>
          <w:rFonts w:ascii="Arial" w:eastAsia="Arial" w:hAnsi="Arial" w:cs="Arial"/>
        </w:rPr>
        <w:t>(ii)</w:t>
      </w:r>
      <w:r>
        <w:t>管理存續期及波動性，</w:t>
      </w:r>
      <w:r>
        <w:rPr>
          <w:rFonts w:ascii="Arial" w:eastAsia="Arial" w:hAnsi="Arial" w:cs="Arial"/>
        </w:rPr>
        <w:t>(iii)</w:t>
      </w:r>
      <w:r>
        <w:t>對沖利率、信貸和貨幣波動，</w:t>
      </w:r>
      <w:r>
        <w:rPr>
          <w:rFonts w:ascii="Arial" w:eastAsia="Arial" w:hAnsi="Arial" w:cs="Arial"/>
        </w:rPr>
        <w:t>(iv)</w:t>
      </w:r>
      <w:r>
        <w:t>獲得貨幣持倉及</w:t>
      </w:r>
      <w:r>
        <w:rPr>
          <w:rFonts w:ascii="Arial" w:eastAsia="Arial" w:hAnsi="Arial" w:cs="Arial"/>
        </w:rPr>
        <w:t>(v)</w:t>
      </w:r>
      <w:r>
        <w:t>有效基金管理用途。就</w:t>
      </w:r>
      <w:r>
        <w:t xml:space="preserve"> </w:t>
      </w:r>
      <w:r>
        <w:rPr>
          <w:rFonts w:ascii="Arial" w:eastAsia="Arial" w:hAnsi="Arial" w:cs="Arial"/>
        </w:rPr>
        <w:t xml:space="preserve">CDS </w:t>
      </w:r>
      <w:r>
        <w:t>而言，本基金既可「賣出」保障性工具，以便增加投資，也可「買進」保障性工具，以便對沖信貸風險。</w:t>
      </w:r>
      <w:r>
        <w:rPr>
          <w:rFonts w:ascii="Arial" w:eastAsia="Arial" w:hAnsi="Arial" w:cs="Arial"/>
          <w:b/>
          <w:sz w:val="24"/>
        </w:rPr>
        <w:t xml:space="preserve"> </w:t>
      </w:r>
    </w:p>
    <w:p w:rsidR="004D6F0E" w:rsidRDefault="00490F21">
      <w:pPr>
        <w:spacing w:after="122"/>
        <w:ind w:left="11" w:right="2"/>
      </w:pPr>
      <w:r>
        <w:t>根據證券融資交易規例有關透明度之要求</w:t>
      </w:r>
      <w:r>
        <w:t>，下表反映本基金將投資證券融資交易（即借出證券交易以及回購協議及逆回購協議）（「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p w:rsidR="004D6F0E" w:rsidRDefault="00490F21">
      <w:pPr>
        <w:spacing w:after="0" w:line="373" w:lineRule="auto"/>
        <w:ind w:left="0" w:right="5082" w:firstLine="0"/>
      </w:pPr>
      <w:r>
        <w:rPr>
          <w:rFonts w:ascii="Arial" w:eastAsia="Arial" w:hAnsi="Arial" w:cs="Arial"/>
        </w:rPr>
        <w:t xml:space="preserve">   </w:t>
      </w:r>
    </w:p>
    <w:tbl>
      <w:tblPr>
        <w:tblStyle w:val="TableGrid"/>
        <w:tblW w:w="5030" w:type="dxa"/>
        <w:tblInd w:w="293"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0%-20%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50% </w:t>
            </w:r>
          </w:p>
        </w:tc>
      </w:tr>
      <w:tr w:rsidR="004D6F0E">
        <w:trPr>
          <w:trHeight w:val="624"/>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204" w:line="259" w:lineRule="auto"/>
        <w:ind w:left="288" w:firstLine="0"/>
      </w:pPr>
      <w:r>
        <w:rPr>
          <w:rFonts w:ascii="Arial" w:eastAsia="Arial" w:hAnsi="Arial" w:cs="Arial"/>
          <w:b/>
          <w:sz w:val="10"/>
        </w:rPr>
        <w:t xml:space="preserve"> </w:t>
      </w:r>
    </w:p>
    <w:p w:rsidR="004D6F0E" w:rsidRDefault="00490F21">
      <w:pPr>
        <w:spacing w:after="44" w:line="273" w:lineRule="auto"/>
        <w:ind w:left="297" w:right="41"/>
        <w:jc w:val="both"/>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：有關金融衍生工具、金融技術及工具以及抵押品管理的額外資料」。槓桿手段。在實施本基金的投資策略時，投資管理人預期不會使用銀行借貸。本基金的預期槓桿水平預計將為其資產淨值的</w:t>
      </w:r>
      <w:r>
        <w:t xml:space="preserve"> </w:t>
      </w:r>
      <w:r>
        <w:rPr>
          <w:rFonts w:ascii="Arial" w:eastAsia="Arial" w:hAnsi="Arial" w:cs="Arial"/>
        </w:rPr>
        <w:t>0%</w:t>
      </w:r>
      <w:r>
        <w:t>至</w:t>
      </w:r>
      <w:r>
        <w:t xml:space="preserve"> </w:t>
      </w:r>
      <w:r>
        <w:rPr>
          <w:rFonts w:ascii="Arial" w:eastAsia="Arial" w:hAnsi="Arial" w:cs="Arial"/>
        </w:rPr>
        <w:t>100%</w:t>
      </w:r>
      <w:r>
        <w:t>之間。預期槓桿水平乃按本基金所持金融衍生工具的名義金額總值計算。根據日期為二零一一年五月三十日的盧森堡金融業監管委員會（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號公告，此計算方法並不計及特定金融衍生工具增加或減少本基金投資風險的情況，亦不允許以反向持倉對銷金融衍生工具。股東應注意：</w:t>
      </w:r>
      <w:r>
        <w:t xml:space="preserve"> </w:t>
      </w:r>
      <w:r>
        <w:rPr>
          <w:rFonts w:ascii="Arial" w:eastAsia="Arial" w:hAnsi="Arial" w:cs="Arial"/>
        </w:rPr>
        <w:t>(i)</w:t>
      </w:r>
      <w:r>
        <w:t>預期槓桿水平較高不一定表示投資風險水平較高及</w:t>
      </w:r>
      <w:r>
        <w:rPr>
          <w:rFonts w:ascii="Arial" w:eastAsia="Arial" w:hAnsi="Arial" w:cs="Arial"/>
        </w:rPr>
        <w:t>(ii</w:t>
      </w:r>
      <w:r>
        <w:rPr>
          <w:rFonts w:ascii="Arial" w:eastAsia="Arial" w:hAnsi="Arial" w:cs="Arial"/>
        </w:rPr>
        <w:t>)</w:t>
      </w:r>
      <w:r>
        <w:t>上述預期槓桿水平主要乃由使用衍生工具作對沖用途或有效基金管理而產生。此外，本基金的實際槓桿可能會偏離上述的預期槓桿水平。</w:t>
      </w:r>
      <w:r>
        <w:rPr>
          <w:rFonts w:ascii="Arial" w:eastAsia="Arial" w:hAnsi="Arial" w:cs="Arial"/>
          <w:b/>
          <w:sz w:val="24"/>
        </w:rPr>
        <w:t xml:space="preserve"> </w:t>
      </w:r>
    </w:p>
    <w:p w:rsidR="004D6F0E" w:rsidRDefault="00490F21">
      <w:pPr>
        <w:spacing w:after="36"/>
        <w:ind w:left="297" w:right="2"/>
      </w:pPr>
      <w:r>
        <w:t>風險度量。投資管理人將使用風險值（「</w:t>
      </w:r>
      <w:r>
        <w:rPr>
          <w:rFonts w:ascii="Arial" w:eastAsia="Arial" w:hAnsi="Arial" w:cs="Arial"/>
        </w:rPr>
        <w:t>VaR</w:t>
      </w:r>
      <w:r>
        <w:t>」）方法來監測本基金的全球風險（市場風險）。本基金的全球風險乃根據絕對</w:t>
      </w:r>
      <w:r>
        <w:t xml:space="preserve"> </w:t>
      </w: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p>
    <w:p w:rsidR="004D6F0E" w:rsidRDefault="00490F21">
      <w:pPr>
        <w:spacing w:line="250" w:lineRule="auto"/>
        <w:ind w:left="355" w:hanging="10"/>
      </w:pPr>
      <w:r>
        <w:rPr>
          <w:rFonts w:ascii="Arial" w:eastAsia="Arial" w:hAnsi="Arial" w:cs="Arial"/>
        </w:rPr>
        <w:t>20%</w:t>
      </w:r>
      <w:r>
        <w:t>。</w:t>
      </w:r>
      <w:r>
        <w:rPr>
          <w:rFonts w:ascii="Arial" w:eastAsia="Arial" w:hAnsi="Arial" w:cs="Arial"/>
          <w:sz w:val="24"/>
        </w:rPr>
        <w:t xml:space="preserve"> </w:t>
      </w:r>
    </w:p>
    <w:p w:rsidR="004D6F0E" w:rsidRDefault="00490F21">
      <w:pPr>
        <w:spacing w:after="0" w:line="259" w:lineRule="auto"/>
        <w:ind w:left="288" w:firstLine="0"/>
      </w:pPr>
      <w:r>
        <w:rPr>
          <w:rFonts w:ascii="Arial" w:eastAsia="Arial" w:hAnsi="Arial" w:cs="Arial"/>
        </w:rPr>
        <w:t xml:space="preserve"> </w:t>
      </w:r>
    </w:p>
    <w:p w:rsidR="004D6F0E" w:rsidRDefault="00490F21">
      <w:pPr>
        <w:ind w:left="297" w:right="2"/>
      </w:pPr>
      <w:r>
        <w:t>基準。本基金的基準為彭博全球高收益指數（美元對沖）。本基金利用該基準作表現比較。本基金採取主動式管理</w:t>
      </w:r>
      <w:r>
        <w:lastRenderedPageBreak/>
        <w:t>，投資管理人於實施本基金投資策略時不受其基準限制。儘管本基金可於若干市況下由投資管理人全權酌情</w:t>
      </w:r>
      <w:r>
        <w:t>決定持有基準內的絕大部分成分證券，但不會持有基準的每項成分證券，而且亦可持有並非基準一部分的證券。</w:t>
      </w:r>
      <w:r>
        <w:rPr>
          <w:rFonts w:ascii="Arial" w:eastAsia="Arial" w:hAnsi="Arial" w:cs="Arial"/>
        </w:rPr>
        <w:t xml:space="preserve"> </w:t>
      </w:r>
    </w:p>
    <w:p w:rsidR="004D6F0E" w:rsidRDefault="00490F21">
      <w:pPr>
        <w:spacing w:after="0" w:line="259" w:lineRule="auto"/>
        <w:ind w:left="288" w:firstLine="0"/>
      </w:pPr>
      <w:r>
        <w:rPr>
          <w:rFonts w:ascii="Arial" w:eastAsia="Arial" w:hAnsi="Arial" w:cs="Arial"/>
          <w:sz w:val="18"/>
        </w:rPr>
        <w:t xml:space="preserve"> </w:t>
      </w:r>
    </w:p>
    <w:p w:rsidR="004D6F0E" w:rsidRDefault="00490F21">
      <w:pPr>
        <w:spacing w:after="41"/>
        <w:ind w:left="297" w:right="2"/>
      </w:pPr>
      <w:r>
        <w:t>其他投資政策</w:t>
      </w:r>
      <w:r>
        <w:rPr>
          <w:rFonts w:ascii="Arial" w:eastAsia="Arial" w:hAnsi="Arial" w:cs="Arial"/>
          <w:b/>
        </w:rPr>
        <w:t xml:space="preserve"> </w:t>
      </w:r>
    </w:p>
    <w:p w:rsidR="004D6F0E" w:rsidRDefault="00490F21">
      <w:pPr>
        <w:spacing w:after="103"/>
        <w:ind w:left="297" w:right="2"/>
      </w:pPr>
      <w:r>
        <w:t>本基金預計，其大部分資產將以美元以外的貨幣計價。本基金可投資於以某一特定貨幣計價的證券，其資產份額並無限制。本基金投資於以美元以外貨幣計價證券的資產份額將視乎市況而不同。貨幣分析獨立於市場分析。投資管理人分析經常項目及資本項目表現及實際利率，從而調整短期的貨幣流量。見第</w:t>
      </w:r>
      <w:r>
        <w:t xml:space="preserve"> </w:t>
      </w:r>
      <w:r>
        <w:rPr>
          <w:rFonts w:ascii="Arial" w:eastAsia="Arial" w:hAnsi="Arial" w:cs="Arial"/>
        </w:rPr>
        <w:t xml:space="preserve">II </w:t>
      </w:r>
      <w:r>
        <w:t>部分的「風險因素－一般風險－貨幣風險」。然而，作為暫時性的防守策略或為準備資金贖回證券或預計在國際市場投資，本基</w:t>
      </w:r>
      <w:r>
        <w:t>金可持有現金或現金等價物（以美元或其他貨幣計價）及短期證券（包括貨幣市場證券）。</w:t>
      </w:r>
      <w:r>
        <w:rPr>
          <w:rFonts w:ascii="Arial" w:eastAsia="Arial" w:hAnsi="Arial" w:cs="Arial"/>
        </w:rPr>
        <w:t xml:space="preserve"> </w:t>
      </w:r>
    </w:p>
    <w:p w:rsidR="004D6F0E" w:rsidRDefault="00490F21">
      <w:pPr>
        <w:spacing w:after="139" w:line="273" w:lineRule="auto"/>
        <w:ind w:left="297" w:right="41"/>
        <w:jc w:val="both"/>
      </w:pPr>
      <w:r>
        <w:t>本基金最多可投資總淨資產的</w:t>
      </w:r>
      <w:r>
        <w:t xml:space="preserve"> </w:t>
      </w:r>
      <w:r>
        <w:rPr>
          <w:rFonts w:ascii="Arial" w:eastAsia="Arial" w:hAnsi="Arial" w:cs="Arial"/>
        </w:rPr>
        <w:t>10%</w:t>
      </w:r>
      <w:r>
        <w:t>於並無活躍市場的證券。見第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段。因此，本基金可能會難以隨時出售該等證券。此外，轉售該等證券可能會有合約限制。此外，其他類別證券須受此</w:t>
      </w:r>
      <w:r>
        <w:t xml:space="preserve"> </w:t>
      </w:r>
      <w:r>
        <w:rPr>
          <w:rFonts w:ascii="Arial" w:eastAsia="Arial" w:hAnsi="Arial" w:cs="Arial"/>
        </w:rPr>
        <w:t>10%</w:t>
      </w:r>
      <w:r>
        <w:t>限制規定。</w:t>
      </w:r>
      <w:r>
        <w:rPr>
          <w:rFonts w:ascii="Arial" w:eastAsia="Arial" w:hAnsi="Arial" w:cs="Arial"/>
          <w:sz w:val="24"/>
        </w:rPr>
        <w:t xml:space="preserve"> </w:t>
      </w:r>
    </w:p>
    <w:p w:rsidR="004D6F0E" w:rsidRDefault="00490F21">
      <w:pPr>
        <w:spacing w:after="70"/>
        <w:ind w:left="11" w:right="2"/>
      </w:pPr>
      <w:r>
        <w:t>貨幣對沖股份類別</w:t>
      </w:r>
      <w:r>
        <w:rPr>
          <w:rFonts w:ascii="Arial" w:eastAsia="Arial" w:hAnsi="Arial" w:cs="Arial"/>
          <w:sz w:val="24"/>
        </w:rPr>
        <w:t xml:space="preserve"> </w:t>
      </w:r>
    </w:p>
    <w:p w:rsidR="004D6F0E" w:rsidRDefault="00490F21">
      <w:pPr>
        <w:spacing w:after="70"/>
        <w:ind w:left="11" w:right="2"/>
      </w:pPr>
      <w:r>
        <w:t>用某種特定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計及交易成本等實際考量因素，為投資者提供與基金基準貨幣回報率更具相關性的回報率。採用的對沖策略在設計上是爲了降低（但未必消除）本基金基準貨幣和發售貨幣之間的貨幣風險。</w:t>
      </w:r>
      <w:r>
        <w:rPr>
          <w:rFonts w:ascii="Arial" w:eastAsia="Arial" w:hAnsi="Arial" w:cs="Arial"/>
          <w:sz w:val="24"/>
        </w:rPr>
        <w:t xml:space="preserve"> </w:t>
      </w:r>
    </w:p>
    <w:p w:rsidR="004D6F0E" w:rsidRDefault="00490F21">
      <w:pPr>
        <w:spacing w:after="122"/>
        <w:ind w:left="11" w:right="2"/>
      </w:pPr>
      <w:r>
        <w:t>貨幣對沖股份類別並不影響本基金所屬資產的投資管理，因為用發售貨幣對沖的只是貨幣對沖股份類別的資產淨值，而非本基金所屬資產</w:t>
      </w:r>
      <w:r>
        <w:t>。</w:t>
      </w:r>
      <w:r>
        <w:t>此類對沖活動引起的開支由引起該等開支的貨幣對沖股份類別承擔。</w:t>
      </w:r>
      <w:r>
        <w:rPr>
          <w:rFonts w:ascii="Arial" w:eastAsia="Arial" w:hAnsi="Arial" w:cs="Arial"/>
        </w:rPr>
        <w:t xml:space="preserve"> </w:t>
      </w:r>
    </w:p>
    <w:p w:rsidR="004D6F0E" w:rsidRDefault="00490F21">
      <w:pPr>
        <w:spacing w:after="121"/>
        <w:ind w:left="11" w:right="2"/>
      </w:pPr>
      <w:r>
        <w:t>與人民幣對沖股份類別掛鈎的風險因素。自二零零五年起，人民幣匯率不再與美元掛鈎。人民幣現已轉為參照一籃子外幣並基於市場供應及需求，採用受管控浮動匯率制度。人民幣於銀行間外匯市場兌其他主要貨幣的每日買賣價可在中國人民銀行公佈的中間價附近窄幅浮動。從離岸人民幣兌換為在岸人民幣的人民幣可兌換性是一個受管控的貨幣流程，須遵守中國政府在與香港金融管理局（香港金管局）的協調下頒佈的外匯管制政策及匯回限制。由於多個因素，離岸人民幣的價值可能會與在岸人民幣的價值相異而有關差異可能重大，該等因素包括但不限於中國政府不時實施的外</w:t>
      </w:r>
      <w:r>
        <w:t>匯管制政策及匯回限制以及其他外部市場力量。</w:t>
      </w:r>
      <w:r>
        <w:rPr>
          <w:rFonts w:ascii="Arial" w:eastAsia="Arial" w:hAnsi="Arial" w:cs="Arial"/>
        </w:rPr>
        <w:t xml:space="preserve"> </w:t>
      </w:r>
    </w:p>
    <w:p w:rsidR="004D6F0E" w:rsidRDefault="00490F21">
      <w:pPr>
        <w:spacing w:after="74"/>
        <w:ind w:left="11" w:right="2"/>
      </w:pPr>
      <w:r>
        <w:t>自二零零五年起，中國政府實施的外匯管制政策已導致人民幣（包括離岸人民幣及在岸人民幣）整體升值。有關升值情況可能會亦可能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sz w:val="24"/>
        </w:rPr>
        <w:t xml:space="preserve"> </w:t>
      </w:r>
    </w:p>
    <w:p w:rsidR="004D6F0E" w:rsidRDefault="00490F21">
      <w:pPr>
        <w:spacing w:after="125"/>
        <w:ind w:left="11" w:right="2"/>
      </w:pPr>
      <w:r>
        <w:rPr>
          <w:rFonts w:ascii="Arial" w:eastAsia="Arial" w:hAnsi="Arial" w:cs="Arial"/>
        </w:rPr>
        <w:t xml:space="preserve">H </w:t>
      </w:r>
      <w:r>
        <w:t>人民幣股份參與離岸人民幣市場，允許投資者在中國內地以外與香港市場內的核准銀行（獲香港金管局核准的銀行）自由交易離岸人民幣。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rPr>
        <w:t xml:space="preserve"> </w:t>
      </w:r>
    </w:p>
    <w:p w:rsidR="004D6F0E" w:rsidRDefault="00490F21">
      <w:pPr>
        <w:ind w:left="11" w:right="2"/>
      </w:pPr>
      <w:r>
        <w:t>負責任投資。本基金整合</w:t>
      </w:r>
      <w:r>
        <w:t xml:space="preserve"> </w:t>
      </w:r>
      <w:r>
        <w:rPr>
          <w:rFonts w:ascii="Arial" w:eastAsia="Arial" w:hAnsi="Arial" w:cs="Arial"/>
        </w:rPr>
        <w:t xml:space="preserve">ESG </w:t>
      </w:r>
      <w:r>
        <w:t>考慮因</w:t>
      </w:r>
      <w:r>
        <w:t>素。本基金應用若干排除</w:t>
      </w:r>
      <w:r>
        <w:t xml:space="preserve"> </w:t>
      </w:r>
      <w:r>
        <w:t>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150">
        <w:r>
          <w:rPr>
            <w:rFonts w:ascii="Arial" w:eastAsia="Arial" w:hAnsi="Arial" w:cs="Arial"/>
            <w:color w:val="0000FF"/>
            <w:u w:val="single" w:color="0000FF"/>
          </w:rPr>
          <w:t>www.alliancebernstein.com/go</w:t>
        </w:r>
      </w:hyperlink>
    </w:p>
    <w:p w:rsidR="004D6F0E" w:rsidRDefault="00490F21">
      <w:pPr>
        <w:spacing w:after="15" w:line="254" w:lineRule="auto"/>
        <w:ind w:left="8" w:hanging="10"/>
      </w:pPr>
      <w:hyperlink r:id="rId151">
        <w:r>
          <w:rPr>
            <w:rFonts w:ascii="Arial" w:eastAsia="Arial" w:hAnsi="Arial" w:cs="Arial"/>
            <w:color w:val="0000FF"/>
            <w:u w:val="single" w:color="0000FF"/>
          </w:rPr>
          <w:t>/ABFCPIExclusionChart</w:t>
        </w:r>
      </w:hyperlink>
      <w:hyperlink r:id="rId152">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p>
    <w:p w:rsidR="004D6F0E" w:rsidRDefault="004D6F0E">
      <w:pPr>
        <w:sectPr w:rsidR="004D6F0E">
          <w:headerReference w:type="even" r:id="rId153"/>
          <w:headerReference w:type="default" r:id="rId154"/>
          <w:footerReference w:type="even" r:id="rId155"/>
          <w:footerReference w:type="default" r:id="rId156"/>
          <w:headerReference w:type="first" r:id="rId157"/>
          <w:footerReference w:type="first" r:id="rId158"/>
          <w:pgSz w:w="12240" w:h="15840"/>
          <w:pgMar w:top="746" w:right="625" w:bottom="745" w:left="432" w:header="720" w:footer="720" w:gutter="0"/>
          <w:cols w:num="2" w:space="720" w:equalWidth="0">
            <w:col w:w="5760" w:space="289"/>
            <w:col w:w="5134"/>
          </w:cols>
          <w:titlePg/>
        </w:sectPr>
      </w:pPr>
    </w:p>
    <w:p w:rsidR="004D6F0E" w:rsidRDefault="00490F21">
      <w:pPr>
        <w:pStyle w:val="Heading3"/>
        <w:spacing w:after="11"/>
        <w:ind w:left="14"/>
      </w:pPr>
      <w:r>
        <w:lastRenderedPageBreak/>
        <w:t>摘要資料</w:t>
      </w:r>
      <w:r>
        <w:rPr>
          <w:rFonts w:ascii="Arial" w:eastAsia="Arial" w:hAnsi="Arial" w:cs="Arial"/>
          <w:sz w:val="19"/>
        </w:rPr>
        <w:t xml:space="preserve"> </w:t>
      </w:r>
    </w:p>
    <w:p w:rsidR="004D6F0E" w:rsidRDefault="00490F21">
      <w:pPr>
        <w:spacing w:after="24" w:line="259" w:lineRule="auto"/>
        <w:ind w:left="0" w:right="-108" w:firstLine="0"/>
      </w:pPr>
      <w:r>
        <w:rPr>
          <w:rFonts w:ascii="Calibri" w:eastAsia="Calibri" w:hAnsi="Calibri" w:cs="Calibri"/>
          <w:noProof/>
          <w:sz w:val="22"/>
        </w:rPr>
        <mc:AlternateContent>
          <mc:Choice Requires="wpg">
            <w:drawing>
              <wp:inline distT="0" distB="0" distL="0" distR="0">
                <wp:extent cx="7022593" cy="18288"/>
                <wp:effectExtent l="0" t="0" r="0" b="0"/>
                <wp:docPr id="486264" name="Group 486264"/>
                <wp:cNvGraphicFramePr/>
                <a:graphic xmlns:a="http://schemas.openxmlformats.org/drawingml/2006/main">
                  <a:graphicData uri="http://schemas.microsoft.com/office/word/2010/wordprocessingGroup">
                    <wpg:wgp>
                      <wpg:cNvGrpSpPr/>
                      <wpg:grpSpPr>
                        <a:xfrm>
                          <a:off x="0" y="0"/>
                          <a:ext cx="7022593" cy="18288"/>
                          <a:chOff x="0" y="0"/>
                          <a:chExt cx="7022593" cy="18288"/>
                        </a:xfrm>
                      </wpg:grpSpPr>
                      <wps:wsp>
                        <wps:cNvPr id="658159" name="Shape 658159"/>
                        <wps:cNvSpPr/>
                        <wps:spPr>
                          <a:xfrm>
                            <a:off x="0" y="0"/>
                            <a:ext cx="7022593" cy="18288"/>
                          </a:xfrm>
                          <a:custGeom>
                            <a:avLst/>
                            <a:gdLst/>
                            <a:ahLst/>
                            <a:cxnLst/>
                            <a:rect l="0" t="0" r="0" b="0"/>
                            <a:pathLst>
                              <a:path w="7022593" h="18288">
                                <a:moveTo>
                                  <a:pt x="0" y="0"/>
                                </a:moveTo>
                                <a:lnTo>
                                  <a:pt x="7022593" y="0"/>
                                </a:lnTo>
                                <a:lnTo>
                                  <a:pt x="7022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6264" style="width:552.96pt;height:1.44pt;mso-position-horizontal-relative:char;mso-position-vertical-relative:line" coordsize="70225,182">
                <v:shape id="Shape 658160" style="position:absolute;width:70225;height:182;left:0;top:0;" coordsize="7022593,18288" path="m0,0l7022593,0l7022593,18288l0,18288l0,0">
                  <v:stroke weight="0pt" endcap="flat" joinstyle="miter" miterlimit="10" on="false" color="#000000" opacity="0"/>
                  <v:fill on="true" color="#000000"/>
                </v:shape>
              </v:group>
            </w:pict>
          </mc:Fallback>
        </mc:AlternateContent>
      </w:r>
    </w:p>
    <w:p w:rsidR="004D6F0E" w:rsidRDefault="00490F21">
      <w:pPr>
        <w:ind w:left="117" w:right="2"/>
      </w:pPr>
      <w:r>
        <w:t>基金特色</w:t>
      </w:r>
      <w:r>
        <w:rPr>
          <w:rFonts w:ascii="Arial" w:eastAsia="Arial" w:hAnsi="Arial" w:cs="Arial"/>
          <w:sz w:val="24"/>
        </w:rPr>
        <w:t xml:space="preserve"> </w:t>
      </w:r>
    </w:p>
    <w:tbl>
      <w:tblPr>
        <w:tblStyle w:val="TableGrid"/>
        <w:tblW w:w="10843" w:type="dxa"/>
        <w:tblInd w:w="108" w:type="dxa"/>
        <w:tblCellMar>
          <w:top w:w="20" w:type="dxa"/>
          <w:left w:w="0" w:type="dxa"/>
          <w:bottom w:w="0" w:type="dxa"/>
          <w:right w:w="0" w:type="dxa"/>
        </w:tblCellMar>
        <w:tblLook w:val="04A0" w:firstRow="1" w:lastRow="0" w:firstColumn="1" w:lastColumn="0" w:noHBand="0" w:noVBand="1"/>
      </w:tblPr>
      <w:tblGrid>
        <w:gridCol w:w="922"/>
        <w:gridCol w:w="4883"/>
        <w:gridCol w:w="368"/>
        <w:gridCol w:w="4670"/>
      </w:tblGrid>
      <w:tr w:rsidR="004D6F0E">
        <w:trPr>
          <w:trHeight w:val="246"/>
        </w:trPr>
        <w:tc>
          <w:tcPr>
            <w:tcW w:w="1668" w:type="dxa"/>
            <w:tcBorders>
              <w:top w:val="nil"/>
              <w:left w:val="nil"/>
              <w:bottom w:val="nil"/>
              <w:right w:val="nil"/>
            </w:tcBorders>
          </w:tcPr>
          <w:p w:rsidR="004D6F0E" w:rsidRDefault="00490F21">
            <w:pPr>
              <w:spacing w:after="0" w:line="259" w:lineRule="auto"/>
              <w:ind w:left="0" w:firstLine="0"/>
            </w:pPr>
            <w:r>
              <w:rPr>
                <w:sz w:val="18"/>
              </w:rPr>
              <w:t>基金貨幣</w:t>
            </w:r>
            <w:r>
              <w:rPr>
                <w:rFonts w:ascii="Arial" w:eastAsia="Arial" w:hAnsi="Arial" w:cs="Arial"/>
                <w:sz w:val="24"/>
              </w:rPr>
              <w:t xml:space="preserve"> </w:t>
            </w:r>
          </w:p>
        </w:tc>
        <w:tc>
          <w:tcPr>
            <w:tcW w:w="4128" w:type="dxa"/>
            <w:tcBorders>
              <w:top w:val="nil"/>
              <w:left w:val="nil"/>
              <w:bottom w:val="nil"/>
              <w:right w:val="nil"/>
            </w:tcBorders>
          </w:tcPr>
          <w:p w:rsidR="004D6F0E" w:rsidRDefault="00490F21">
            <w:pPr>
              <w:tabs>
                <w:tab w:val="center" w:pos="3720"/>
              </w:tabs>
              <w:spacing w:after="0" w:line="259" w:lineRule="auto"/>
              <w:ind w:left="0" w:firstLine="0"/>
            </w:pPr>
            <w:r>
              <w:rPr>
                <w:sz w:val="18"/>
              </w:rPr>
              <w:t>美元</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p>
        </w:tc>
        <w:tc>
          <w:tcPr>
            <w:tcW w:w="725" w:type="dxa"/>
            <w:tcBorders>
              <w:top w:val="nil"/>
              <w:left w:val="nil"/>
              <w:bottom w:val="nil"/>
              <w:right w:val="nil"/>
            </w:tcBorders>
          </w:tcPr>
          <w:p w:rsidR="004D6F0E" w:rsidRDefault="00490F21">
            <w:pPr>
              <w:spacing w:after="0" w:line="259" w:lineRule="auto"/>
              <w:ind w:left="0" w:firstLine="0"/>
            </w:pPr>
            <w:r>
              <w:rPr>
                <w:sz w:val="18"/>
              </w:rPr>
              <w:t>派息</w:t>
            </w:r>
            <w:r>
              <w:rPr>
                <w:rFonts w:ascii="Arial" w:eastAsia="Arial" w:hAnsi="Arial" w:cs="Arial"/>
                <w:sz w:val="18"/>
              </w:rPr>
              <w:t>*</w:t>
            </w:r>
            <w:r>
              <w:rPr>
                <w:rFonts w:ascii="Arial" w:eastAsia="Arial" w:hAnsi="Arial" w:cs="Arial"/>
                <w:sz w:val="24"/>
              </w:rPr>
              <w:t xml:space="preserve"> </w:t>
            </w:r>
          </w:p>
        </w:tc>
        <w:tc>
          <w:tcPr>
            <w:tcW w:w="4323" w:type="dxa"/>
            <w:tcBorders>
              <w:top w:val="nil"/>
              <w:left w:val="nil"/>
              <w:bottom w:val="nil"/>
              <w:right w:val="nil"/>
            </w:tcBorders>
          </w:tcPr>
          <w:p w:rsidR="004D6F0E" w:rsidRDefault="00490F21">
            <w:pPr>
              <w:spacing w:after="0" w:line="259" w:lineRule="auto"/>
              <w:ind w:left="0" w:firstLine="0"/>
            </w:pPr>
            <w:r>
              <w:rPr>
                <w:rFonts w:ascii="Arial" w:eastAsia="Arial" w:hAnsi="Arial" w:cs="Arial"/>
                <w:i/>
                <w:sz w:val="18"/>
              </w:rPr>
              <w:t>A</w:t>
            </w:r>
            <w:r>
              <w:t>、</w:t>
            </w:r>
            <w:r>
              <w:rPr>
                <w:rFonts w:ascii="Arial" w:eastAsia="Arial" w:hAnsi="Arial" w:cs="Arial"/>
                <w:i/>
                <w:sz w:val="18"/>
              </w:rPr>
              <w:t>B</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JA</w:t>
            </w:r>
            <w:r>
              <w:t>、</w:t>
            </w:r>
            <w:r>
              <w:rPr>
                <w:rFonts w:ascii="Arial" w:eastAsia="Arial" w:hAnsi="Arial" w:cs="Arial"/>
                <w:i/>
                <w:sz w:val="18"/>
              </w:rPr>
              <w:t>J</w:t>
            </w:r>
            <w:r>
              <w:t>及</w:t>
            </w:r>
            <w:r>
              <w:rPr>
                <w:rFonts w:ascii="Arial" w:eastAsia="Arial" w:hAnsi="Arial" w:cs="Arial"/>
                <w:i/>
                <w:sz w:val="18"/>
              </w:rPr>
              <w:t>W</w:t>
            </w:r>
            <w:r>
              <w:t>類股份</w:t>
            </w:r>
            <w:r>
              <w:rPr>
                <w:rFonts w:ascii="Arial" w:eastAsia="Arial" w:hAnsi="Arial" w:cs="Arial"/>
                <w:sz w:val="18"/>
              </w:rPr>
              <w:t xml:space="preserve"> </w:t>
            </w:r>
            <w:r>
              <w:rPr>
                <w:rFonts w:ascii="Arial" w:eastAsia="Arial" w:hAnsi="Arial" w:cs="Arial"/>
                <w:sz w:val="24"/>
              </w:rPr>
              <w:t xml:space="preserve"> </w:t>
            </w:r>
          </w:p>
        </w:tc>
      </w:tr>
      <w:tr w:rsidR="004D6F0E">
        <w:trPr>
          <w:trHeight w:val="2833"/>
        </w:trPr>
        <w:tc>
          <w:tcPr>
            <w:tcW w:w="1668" w:type="dxa"/>
            <w:tcBorders>
              <w:top w:val="nil"/>
              <w:left w:val="nil"/>
              <w:bottom w:val="nil"/>
              <w:right w:val="nil"/>
            </w:tcBorders>
          </w:tcPr>
          <w:p w:rsidR="004D6F0E" w:rsidRDefault="00490F21">
            <w:pPr>
              <w:spacing w:after="7" w:line="259" w:lineRule="auto"/>
              <w:ind w:left="0" w:firstLine="0"/>
            </w:pPr>
            <w:r>
              <w:rPr>
                <w:sz w:val="18"/>
              </w:rPr>
              <w:t>股份類別名稱</w:t>
            </w:r>
            <w:r>
              <w:rPr>
                <w:rFonts w:ascii="Arial" w:eastAsia="Arial" w:hAnsi="Arial" w:cs="Arial"/>
                <w:sz w:val="18"/>
              </w:rPr>
              <w:t xml:space="preserve"> </w:t>
            </w:r>
          </w:p>
          <w:p w:rsidR="004D6F0E" w:rsidRDefault="00490F21">
            <w:pPr>
              <w:spacing w:after="759" w:line="259" w:lineRule="auto"/>
              <w:ind w:left="0" w:firstLine="0"/>
            </w:pPr>
            <w:r>
              <w:rPr>
                <w:rFonts w:ascii="Arial" w:eastAsia="Arial" w:hAnsi="Arial" w:cs="Arial"/>
                <w:sz w:val="18"/>
              </w:rPr>
              <w:t xml:space="preserve"> </w:t>
            </w:r>
          </w:p>
          <w:p w:rsidR="004D6F0E" w:rsidRDefault="00490F21">
            <w:pPr>
              <w:spacing w:after="286" w:line="259" w:lineRule="auto"/>
              <w:ind w:left="0" w:firstLine="0"/>
            </w:pPr>
            <w:r>
              <w:rPr>
                <w:sz w:val="18"/>
              </w:rPr>
              <w:t>資產淨值計算</w:t>
            </w:r>
            <w:r>
              <w:rPr>
                <w:rFonts w:ascii="Arial" w:eastAsia="Arial" w:hAnsi="Arial" w:cs="Arial"/>
                <w:sz w:val="18"/>
              </w:rPr>
              <w:t xml:space="preserve"> </w:t>
            </w:r>
          </w:p>
          <w:p w:rsidR="004D6F0E" w:rsidRDefault="00490F21">
            <w:pPr>
              <w:spacing w:after="10" w:line="259" w:lineRule="auto"/>
              <w:ind w:left="0" w:firstLine="0"/>
            </w:pPr>
            <w:r>
              <w:rPr>
                <w:sz w:val="18"/>
              </w:rPr>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指示截止時間</w:t>
            </w:r>
            <w:r>
              <w:rPr>
                <w:rFonts w:ascii="Arial" w:eastAsia="Arial" w:hAnsi="Arial" w:cs="Arial"/>
                <w:sz w:val="18"/>
              </w:rPr>
              <w:t xml:space="preserve"> </w:t>
            </w:r>
          </w:p>
        </w:tc>
        <w:tc>
          <w:tcPr>
            <w:tcW w:w="4128" w:type="dxa"/>
            <w:tcBorders>
              <w:top w:val="nil"/>
              <w:left w:val="nil"/>
              <w:bottom w:val="nil"/>
              <w:right w:val="nil"/>
            </w:tcBorders>
          </w:tcPr>
          <w:p w:rsidR="004D6F0E" w:rsidRDefault="00490F21">
            <w:pPr>
              <w:spacing w:after="0" w:line="280" w:lineRule="auto"/>
              <w:ind w:left="149" w:firstLine="0"/>
            </w:pP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部分「如何購買股份－貨幣對沖股份類別」及「風險因素</w:t>
            </w:r>
          </w:p>
          <w:p w:rsidR="004D6F0E" w:rsidRDefault="00490F21">
            <w:pPr>
              <w:spacing w:after="63" w:line="259" w:lineRule="auto"/>
              <w:ind w:left="149" w:firstLine="0"/>
            </w:pPr>
            <w:r>
              <w:rPr>
                <w:sz w:val="18"/>
              </w:rPr>
              <w:t>－貨幣對沖股份類別風險」。</w:t>
            </w:r>
            <w:r>
              <w:rPr>
                <w:rFonts w:ascii="Arial" w:eastAsia="Arial" w:hAnsi="Arial" w:cs="Arial"/>
                <w:sz w:val="18"/>
              </w:rPr>
              <w:t xml:space="preserve"> </w:t>
            </w:r>
          </w:p>
          <w:p w:rsidR="004D6F0E" w:rsidRDefault="00490F21">
            <w:pPr>
              <w:spacing w:after="0" w:line="259" w:lineRule="auto"/>
              <w:ind w:left="149" w:firstLine="0"/>
            </w:pPr>
            <w:r>
              <w:rPr>
                <w:rFonts w:ascii="Arial" w:eastAsia="Arial" w:hAnsi="Arial" w:cs="Arial"/>
                <w:sz w:val="24"/>
              </w:rPr>
              <w:t xml:space="preserve"> </w:t>
            </w:r>
          </w:p>
          <w:p w:rsidR="004D6F0E" w:rsidRDefault="00490F21">
            <w:pPr>
              <w:spacing w:after="60" w:line="259" w:lineRule="auto"/>
              <w:ind w:left="149" w:firstLine="0"/>
            </w:pPr>
            <w:r>
              <w:rPr>
                <w:sz w:val="18"/>
              </w:rPr>
              <w:t>每個營業日</w:t>
            </w:r>
            <w:r>
              <w:rPr>
                <w:rFonts w:ascii="Arial" w:eastAsia="Arial" w:hAnsi="Arial" w:cs="Arial"/>
                <w:sz w:val="18"/>
              </w:rPr>
              <w:t xml:space="preserve"> </w:t>
            </w:r>
          </w:p>
          <w:p w:rsidR="004D6F0E" w:rsidRDefault="00490F21">
            <w:pPr>
              <w:spacing w:after="0" w:line="259" w:lineRule="auto"/>
              <w:ind w:left="149" w:firstLine="0"/>
            </w:pPr>
            <w:r>
              <w:rPr>
                <w:rFonts w:ascii="Arial" w:eastAsia="Arial" w:hAnsi="Arial" w:cs="Arial"/>
                <w:sz w:val="24"/>
              </w:rPr>
              <w:t xml:space="preserve"> </w:t>
            </w:r>
          </w:p>
          <w:p w:rsidR="004D6F0E" w:rsidRDefault="00490F21">
            <w:pPr>
              <w:spacing w:after="206" w:line="259" w:lineRule="auto"/>
              <w:ind w:left="149" w:firstLine="0"/>
            </w:pPr>
            <w:r>
              <w:rPr>
                <w:sz w:val="18"/>
              </w:rPr>
              <w:t>可在</w:t>
            </w:r>
            <w:r>
              <w:rPr>
                <w:sz w:val="18"/>
              </w:rPr>
              <w:t xml:space="preserve"> </w:t>
            </w:r>
            <w:hyperlink r:id="rId159">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160">
              <w:r>
                <w:rPr>
                  <w:sz w:val="18"/>
                </w:rPr>
                <w:t>查</w:t>
              </w:r>
            </w:hyperlink>
            <w:r>
              <w:rPr>
                <w:sz w:val="18"/>
              </w:rPr>
              <w:t>閱</w:t>
            </w:r>
            <w:r>
              <w:rPr>
                <w:rFonts w:ascii="Arial" w:eastAsia="Arial" w:hAnsi="Arial" w:cs="Arial"/>
                <w:sz w:val="18"/>
              </w:rPr>
              <w:t xml:space="preserve"> </w:t>
            </w:r>
          </w:p>
          <w:p w:rsidR="004D6F0E" w:rsidRDefault="00490F21">
            <w:pPr>
              <w:spacing w:after="0" w:line="259" w:lineRule="auto"/>
              <w:ind w:left="137" w:firstLine="0"/>
            </w:pPr>
            <w:r>
              <w:t>美元計價股份類別、歐元計價股份類別、港</w:t>
            </w:r>
          </w:p>
          <w:p w:rsidR="004D6F0E" w:rsidRDefault="00490F21">
            <w:pPr>
              <w:spacing w:after="0" w:line="259" w:lineRule="auto"/>
              <w:ind w:left="149" w:hanging="12"/>
            </w:pPr>
            <w:r>
              <w:t>元計價股份類別及新加坡元計價股份類別</w:t>
            </w:r>
            <w:r>
              <w:rPr>
                <w:sz w:val="18"/>
              </w:rPr>
              <w:t>美國東部時間各營業日下午</w:t>
            </w:r>
            <w:r>
              <w:rPr>
                <w:sz w:val="18"/>
              </w:rPr>
              <w:t xml:space="preserve"> </w:t>
            </w:r>
            <w:r>
              <w:rPr>
                <w:rFonts w:ascii="Arial" w:eastAsia="Arial" w:hAnsi="Arial" w:cs="Arial"/>
                <w:sz w:val="18"/>
              </w:rPr>
              <w:t xml:space="preserve">4:00 </w:t>
            </w:r>
          </w:p>
        </w:tc>
        <w:tc>
          <w:tcPr>
            <w:tcW w:w="725" w:type="dxa"/>
            <w:tcBorders>
              <w:top w:val="nil"/>
              <w:left w:val="nil"/>
              <w:bottom w:val="nil"/>
              <w:right w:val="nil"/>
            </w:tcBorders>
          </w:tcPr>
          <w:p w:rsidR="004D6F0E" w:rsidRDefault="004D6F0E">
            <w:pPr>
              <w:spacing w:after="160" w:line="259" w:lineRule="auto"/>
              <w:ind w:left="0" w:firstLine="0"/>
            </w:pPr>
          </w:p>
        </w:tc>
        <w:tc>
          <w:tcPr>
            <w:tcW w:w="4323" w:type="dxa"/>
            <w:tcBorders>
              <w:top w:val="nil"/>
              <w:left w:val="nil"/>
              <w:bottom w:val="nil"/>
              <w:right w:val="nil"/>
            </w:tcBorders>
          </w:tcPr>
          <w:p w:rsidR="004D6F0E" w:rsidRDefault="00490F21">
            <w:pPr>
              <w:spacing w:after="7" w:line="259" w:lineRule="auto"/>
              <w:ind w:left="0" w:firstLine="0"/>
            </w:pPr>
            <w:r>
              <w:rPr>
                <w:sz w:val="18"/>
              </w:rPr>
              <w:t>每日宣派，按月派付</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73" w:lineRule="auto"/>
              <w:ind w:left="0" w:firstLine="0"/>
            </w:pPr>
            <w:r>
              <w:rPr>
                <w:rFonts w:ascii="Arial" w:eastAsia="Arial" w:hAnsi="Arial" w:cs="Arial"/>
                <w:i/>
                <w:sz w:val="18"/>
              </w:rPr>
              <w:t>AT</w:t>
            </w:r>
            <w:r>
              <w:t>、</w:t>
            </w:r>
            <w:r>
              <w:rPr>
                <w:rFonts w:ascii="Arial" w:eastAsia="Arial" w:hAnsi="Arial" w:cs="Arial"/>
                <w:i/>
                <w:sz w:val="18"/>
              </w:rPr>
              <w:t>BT</w:t>
            </w:r>
            <w:r>
              <w:t>、</w:t>
            </w:r>
            <w:r>
              <w:rPr>
                <w:rFonts w:ascii="Arial" w:eastAsia="Arial" w:hAnsi="Arial" w:cs="Arial"/>
                <w:i/>
                <w:sz w:val="18"/>
              </w:rPr>
              <w:t>CT</w:t>
            </w:r>
            <w:r>
              <w:t>、</w:t>
            </w:r>
            <w:r>
              <w:rPr>
                <w:rFonts w:ascii="Arial" w:eastAsia="Arial" w:hAnsi="Arial" w:cs="Arial"/>
                <w:i/>
                <w:sz w:val="18"/>
              </w:rPr>
              <w:t>IT</w:t>
            </w:r>
            <w:r>
              <w:t>、</w:t>
            </w:r>
            <w:r>
              <w:rPr>
                <w:rFonts w:ascii="Arial" w:eastAsia="Arial" w:hAnsi="Arial" w:cs="Arial"/>
                <w:i/>
                <w:sz w:val="18"/>
              </w:rPr>
              <w:t>NT</w:t>
            </w:r>
            <w:r>
              <w:t>、</w:t>
            </w:r>
            <w:r>
              <w:rPr>
                <w:rFonts w:ascii="Arial" w:eastAsia="Arial" w:hAnsi="Arial" w:cs="Arial"/>
                <w:i/>
                <w:sz w:val="18"/>
              </w:rPr>
              <w:t>S1D</w:t>
            </w:r>
            <w:r>
              <w:t>、</w:t>
            </w:r>
            <w:r>
              <w:rPr>
                <w:rFonts w:ascii="Arial" w:eastAsia="Arial" w:hAnsi="Arial" w:cs="Arial"/>
                <w:i/>
                <w:sz w:val="18"/>
              </w:rPr>
              <w:t>S1D2</w:t>
            </w:r>
            <w:r>
              <w:t>及</w:t>
            </w:r>
            <w:r>
              <w:rPr>
                <w:rFonts w:ascii="Arial" w:eastAsia="Arial" w:hAnsi="Arial" w:cs="Arial"/>
                <w:i/>
                <w:sz w:val="18"/>
              </w:rPr>
              <w:t>WT</w:t>
            </w:r>
            <w:r>
              <w:t>類股份</w:t>
            </w:r>
            <w:r>
              <w:rPr>
                <w:sz w:val="18"/>
              </w:rPr>
              <w:t>按月宣派及派付</w:t>
            </w:r>
            <w:r>
              <w:rPr>
                <w:rFonts w:ascii="Arial" w:eastAsia="Arial" w:hAnsi="Arial" w:cs="Arial"/>
                <w:sz w:val="18"/>
              </w:rPr>
              <w:t xml:space="preserve"> </w:t>
            </w:r>
          </w:p>
          <w:p w:rsidR="004D6F0E" w:rsidRDefault="00490F21">
            <w:pPr>
              <w:spacing w:after="26"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i/>
                <w:sz w:val="18"/>
              </w:rPr>
              <w:t>AA</w:t>
            </w:r>
            <w:r>
              <w:t>、</w:t>
            </w:r>
            <w:r>
              <w:rPr>
                <w:rFonts w:ascii="Arial" w:eastAsia="Arial" w:hAnsi="Arial" w:cs="Arial"/>
                <w:i/>
                <w:sz w:val="18"/>
              </w:rPr>
              <w:t>EA</w:t>
            </w:r>
            <w:r>
              <w:rPr>
                <w:sz w:val="20"/>
              </w:rPr>
              <w:t>、</w:t>
            </w:r>
            <w:r>
              <w:rPr>
                <w:rFonts w:ascii="Arial" w:eastAsia="Arial" w:hAnsi="Arial" w:cs="Arial"/>
                <w:i/>
                <w:sz w:val="18"/>
              </w:rPr>
              <w:t>IA</w:t>
            </w:r>
            <w:r>
              <w:t>及</w:t>
            </w:r>
            <w:r>
              <w:rPr>
                <w:rFonts w:ascii="Arial" w:eastAsia="Arial" w:hAnsi="Arial" w:cs="Arial"/>
                <w:i/>
                <w:sz w:val="18"/>
              </w:rPr>
              <w:t>SA</w:t>
            </w:r>
            <w:r>
              <w:t>類股份</w:t>
            </w:r>
            <w:r>
              <w:rPr>
                <w:rFonts w:ascii="Arial" w:eastAsia="Arial" w:hAnsi="Arial" w:cs="Arial"/>
                <w:i/>
                <w:sz w:val="18"/>
              </w:rPr>
              <w:t xml:space="preserve"> </w:t>
            </w:r>
          </w:p>
          <w:p w:rsidR="004D6F0E" w:rsidRDefault="00490F21">
            <w:pPr>
              <w:spacing w:after="0" w:line="272" w:lineRule="auto"/>
              <w:ind w:left="0" w:firstLine="0"/>
            </w:pPr>
            <w:r>
              <w:rPr>
                <w:sz w:val="18"/>
              </w:rPr>
              <w:t>按月宣派及派付，派息率來自於總收入（扣除費用及開支前）</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i/>
                <w:sz w:val="18"/>
              </w:rPr>
              <w:t>SHK</w:t>
            </w:r>
            <w:r>
              <w:t>類股份</w:t>
            </w:r>
            <w:r>
              <w:rPr>
                <w:rFonts w:ascii="Arial" w:eastAsia="Arial" w:hAnsi="Arial" w:cs="Arial"/>
                <w:i/>
                <w:sz w:val="18"/>
              </w:rPr>
              <w:t xml:space="preserve"> </w:t>
            </w:r>
          </w:p>
          <w:p w:rsidR="004D6F0E" w:rsidRDefault="00490F21">
            <w:pPr>
              <w:spacing w:after="0" w:line="259" w:lineRule="auto"/>
              <w:ind w:left="0" w:firstLine="0"/>
            </w:pPr>
            <w:r>
              <w:rPr>
                <w:sz w:val="18"/>
              </w:rPr>
              <w:t>每日宣派及按月派付，派息率來自於總收入（扣除費用及開支前）</w:t>
            </w:r>
            <w:r>
              <w:rPr>
                <w:rFonts w:ascii="Arial" w:eastAsia="Arial" w:hAnsi="Arial" w:cs="Arial"/>
                <w:sz w:val="18"/>
              </w:rPr>
              <w:t xml:space="preserve"> </w:t>
            </w:r>
          </w:p>
        </w:tc>
      </w:tr>
    </w:tbl>
    <w:p w:rsidR="004D6F0E" w:rsidRDefault="00490F21">
      <w:pPr>
        <w:spacing w:after="0" w:line="259" w:lineRule="auto"/>
        <w:ind w:left="2356" w:firstLine="0"/>
        <w:jc w:val="center"/>
      </w:pPr>
      <w:r>
        <w:rPr>
          <w:rFonts w:ascii="Arial" w:eastAsia="Arial" w:hAnsi="Arial" w:cs="Arial"/>
          <w:sz w:val="18"/>
        </w:rPr>
        <w:t xml:space="preserve"> </w:t>
      </w:r>
    </w:p>
    <w:p w:rsidR="004D6F0E" w:rsidRDefault="00490F21">
      <w:pPr>
        <w:spacing w:after="0" w:line="259" w:lineRule="auto"/>
        <w:ind w:left="1925" w:firstLine="0"/>
      </w:pPr>
      <w:r>
        <w:rPr>
          <w:rFonts w:ascii="Arial" w:eastAsia="Arial" w:hAnsi="Arial" w:cs="Arial"/>
          <w:i/>
          <w:sz w:val="18"/>
        </w:rPr>
        <w:t xml:space="preserve"> </w:t>
      </w:r>
    </w:p>
    <w:p w:rsidR="004D6F0E" w:rsidRDefault="00490F21">
      <w:pPr>
        <w:spacing w:line="216" w:lineRule="auto"/>
        <w:ind w:left="1913" w:right="2" w:firstLine="4716"/>
      </w:pPr>
      <w:r>
        <w:rPr>
          <w:rFonts w:ascii="Arial" w:eastAsia="Arial" w:hAnsi="Arial" w:cs="Arial"/>
          <w:i/>
          <w:sz w:val="18"/>
        </w:rPr>
        <w:t>AR</w:t>
      </w:r>
      <w:r>
        <w:t>類股份貨幣對沖股份類別（人民幣對沖股份類別除</w:t>
      </w:r>
    </w:p>
    <w:p w:rsidR="004D6F0E" w:rsidRDefault="00490F21">
      <w:pPr>
        <w:spacing w:line="216" w:lineRule="auto"/>
        <w:ind w:left="1913" w:right="13" w:firstLine="4716"/>
      </w:pPr>
      <w:r>
        <w:rPr>
          <w:sz w:val="18"/>
        </w:rPr>
        <w:t>按年宣派及派付，派息率來自於總收入（扣除費用及開</w:t>
      </w:r>
      <w:r>
        <w:t>外）</w:t>
      </w:r>
      <w:r>
        <w:rPr>
          <w:rFonts w:ascii="Arial" w:eastAsia="Arial" w:hAnsi="Arial" w:cs="Arial"/>
          <w:i/>
          <w:sz w:val="18"/>
        </w:rPr>
        <w:t xml:space="preserve"> </w:t>
      </w:r>
    </w:p>
    <w:p w:rsidR="004D6F0E" w:rsidRDefault="00490F21">
      <w:pPr>
        <w:spacing w:line="216" w:lineRule="auto"/>
        <w:ind w:left="1925" w:right="1572" w:firstLine="4704"/>
      </w:pPr>
      <w:r>
        <w:rPr>
          <w:sz w:val="18"/>
        </w:rPr>
        <w:t>支前）歐洲中部時間各營業日下午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2356" w:firstLine="0"/>
        <w:jc w:val="center"/>
      </w:pPr>
      <w:r>
        <w:rPr>
          <w:rFonts w:ascii="Arial" w:eastAsia="Arial" w:hAnsi="Arial" w:cs="Arial"/>
          <w:sz w:val="18"/>
        </w:rPr>
        <w:t xml:space="preserve"> </w:t>
      </w:r>
    </w:p>
    <w:p w:rsidR="004D6F0E" w:rsidRDefault="00490F21">
      <w:pPr>
        <w:spacing w:after="0" w:line="259" w:lineRule="auto"/>
        <w:ind w:left="1925" w:firstLine="0"/>
      </w:pPr>
      <w:r>
        <w:rPr>
          <w:rFonts w:ascii="Arial" w:eastAsia="Arial" w:hAnsi="Arial" w:cs="Arial"/>
          <w:sz w:val="18"/>
        </w:rPr>
        <w:t xml:space="preserve"> </w:t>
      </w:r>
    </w:p>
    <w:p w:rsidR="004D6F0E" w:rsidRDefault="00490F21">
      <w:pPr>
        <w:spacing w:line="216" w:lineRule="auto"/>
        <w:ind w:left="1913" w:right="1767" w:firstLine="4716"/>
      </w:pPr>
      <w:r>
        <w:rPr>
          <w:rFonts w:ascii="Arial" w:eastAsia="Arial" w:hAnsi="Arial" w:cs="Arial"/>
          <w:i/>
          <w:sz w:val="18"/>
        </w:rPr>
        <w:t>SK</w:t>
      </w:r>
      <w:r>
        <w:t>類股份人民幣對沖股份類別</w:t>
      </w:r>
      <w:r>
        <w:rPr>
          <w:rFonts w:ascii="Arial" w:eastAsia="Arial" w:hAnsi="Arial" w:cs="Arial"/>
          <w:i/>
          <w:sz w:val="18"/>
        </w:rPr>
        <w:t xml:space="preserve"> </w:t>
      </w:r>
    </w:p>
    <w:p w:rsidR="004D6F0E" w:rsidRDefault="00490F21">
      <w:pPr>
        <w:spacing w:line="216" w:lineRule="auto"/>
        <w:ind w:left="1925" w:right="13" w:firstLine="4704"/>
      </w:pPr>
      <w:r>
        <w:rPr>
          <w:sz w:val="18"/>
        </w:rPr>
        <w:t>由管理公司酌情宣派和派付歐洲中部時間各營業日下午</w:t>
      </w:r>
      <w:r>
        <w:rPr>
          <w:sz w:val="18"/>
        </w:rPr>
        <w:t xml:space="preserve"> </w:t>
      </w:r>
      <w:r>
        <w:rPr>
          <w:rFonts w:ascii="Arial" w:eastAsia="Arial" w:hAnsi="Arial" w:cs="Arial"/>
          <w:sz w:val="18"/>
        </w:rPr>
        <w:t xml:space="preserve">1:00 </w:t>
      </w:r>
    </w:p>
    <w:p w:rsidR="004D6F0E" w:rsidRDefault="00490F21">
      <w:pPr>
        <w:spacing w:after="0" w:line="259" w:lineRule="auto"/>
        <w:ind w:left="2356" w:firstLine="0"/>
        <w:jc w:val="center"/>
      </w:pPr>
      <w:r>
        <w:rPr>
          <w:rFonts w:ascii="Arial" w:eastAsia="Arial" w:hAnsi="Arial" w:cs="Arial"/>
          <w:i/>
          <w:sz w:val="18"/>
        </w:rPr>
        <w:t xml:space="preserve"> </w:t>
      </w:r>
    </w:p>
    <w:p w:rsidR="004D6F0E" w:rsidRDefault="00490F21">
      <w:pPr>
        <w:spacing w:after="1" w:line="259" w:lineRule="auto"/>
        <w:ind w:left="6639" w:right="315" w:hanging="10"/>
      </w:pPr>
      <w:r>
        <w:rPr>
          <w:rFonts w:ascii="Arial" w:eastAsia="Arial" w:hAnsi="Arial" w:cs="Arial"/>
          <w:i/>
          <w:sz w:val="18"/>
        </w:rPr>
        <w:t>A2</w:t>
      </w:r>
      <w:r>
        <w:t>、</w:t>
      </w:r>
      <w:r>
        <w:rPr>
          <w:rFonts w:ascii="Arial" w:eastAsia="Arial" w:hAnsi="Arial" w:cs="Arial"/>
          <w:i/>
          <w:sz w:val="18"/>
        </w:rPr>
        <w:t>B2</w:t>
      </w:r>
      <w:r>
        <w:t>、</w:t>
      </w:r>
      <w:r>
        <w:rPr>
          <w:rFonts w:ascii="Arial" w:eastAsia="Arial" w:hAnsi="Arial" w:cs="Arial"/>
          <w:i/>
          <w:sz w:val="18"/>
        </w:rPr>
        <w:t>C2</w:t>
      </w:r>
      <w:r>
        <w:t>、</w:t>
      </w:r>
      <w:r>
        <w:rPr>
          <w:rFonts w:ascii="Arial" w:eastAsia="Arial" w:hAnsi="Arial" w:cs="Arial"/>
          <w:i/>
          <w:sz w:val="18"/>
        </w:rPr>
        <w:t>I2</w:t>
      </w:r>
      <w:r>
        <w:t>、</w:t>
      </w:r>
      <w:r>
        <w:rPr>
          <w:rFonts w:ascii="Arial" w:eastAsia="Arial" w:hAnsi="Arial" w:cs="Arial"/>
          <w:i/>
          <w:sz w:val="18"/>
        </w:rPr>
        <w:t>N2</w:t>
      </w:r>
      <w:r>
        <w:t>、</w:t>
      </w:r>
      <w:r>
        <w:rPr>
          <w:rFonts w:ascii="Arial" w:eastAsia="Arial" w:hAnsi="Arial" w:cs="Arial"/>
          <w:i/>
          <w:sz w:val="18"/>
        </w:rPr>
        <w:t>S</w:t>
      </w:r>
      <w:r>
        <w:t>、</w:t>
      </w:r>
      <w:r>
        <w:rPr>
          <w:rFonts w:ascii="Arial" w:eastAsia="Arial" w:hAnsi="Arial" w:cs="Arial"/>
          <w:i/>
          <w:sz w:val="18"/>
        </w:rPr>
        <w:t>S1</w:t>
      </w:r>
      <w:r>
        <w:t>及</w:t>
      </w:r>
      <w:r>
        <w:rPr>
          <w:rFonts w:ascii="Arial" w:eastAsia="Arial" w:hAnsi="Arial" w:cs="Arial"/>
          <w:i/>
          <w:sz w:val="18"/>
        </w:rPr>
        <w:t>W2</w:t>
      </w:r>
      <w:r>
        <w:t>類股份</w:t>
      </w:r>
      <w:r>
        <w:rPr>
          <w:sz w:val="18"/>
        </w:rPr>
        <w:t>無。</w:t>
      </w:r>
      <w:r>
        <w:rPr>
          <w:rFonts w:ascii="Arial" w:eastAsia="Arial" w:hAnsi="Arial" w:cs="Arial"/>
          <w:sz w:val="24"/>
        </w:rPr>
        <w:t xml:space="preserve"> </w:t>
      </w:r>
    </w:p>
    <w:p w:rsidR="004D6F0E" w:rsidRDefault="00490F21">
      <w:pPr>
        <w:spacing w:after="0" w:line="259" w:lineRule="auto"/>
        <w:ind w:left="2356" w:firstLine="0"/>
        <w:jc w:val="center"/>
      </w:pPr>
      <w:r>
        <w:rPr>
          <w:rFonts w:ascii="Arial" w:eastAsia="Arial" w:hAnsi="Arial" w:cs="Arial"/>
          <w:i/>
          <w:sz w:val="18"/>
        </w:rPr>
        <w:lastRenderedPageBreak/>
        <w:t xml:space="preserve"> </w:t>
      </w:r>
    </w:p>
    <w:p w:rsidR="004D6F0E" w:rsidRDefault="00490F21">
      <w:pPr>
        <w:spacing w:after="0" w:line="259" w:lineRule="auto"/>
        <w:ind w:left="4020" w:firstLine="0"/>
        <w:jc w:val="center"/>
      </w:pPr>
      <w:r>
        <w:rPr>
          <w:rFonts w:ascii="Arial" w:eastAsia="Arial" w:hAnsi="Arial" w:cs="Arial"/>
          <w:i/>
          <w:sz w:val="18"/>
        </w:rPr>
        <w:t>IQD</w:t>
      </w:r>
      <w:r>
        <w:t>及</w:t>
      </w:r>
      <w:r>
        <w:rPr>
          <w:rFonts w:ascii="Arial" w:eastAsia="Arial" w:hAnsi="Arial" w:cs="Arial"/>
          <w:i/>
          <w:sz w:val="18"/>
        </w:rPr>
        <w:t>S1QD</w:t>
      </w:r>
      <w:r>
        <w:t>類股份</w:t>
      </w:r>
      <w:r>
        <w:rPr>
          <w:rFonts w:ascii="Arial" w:eastAsia="Arial" w:hAnsi="Arial" w:cs="Arial"/>
          <w:i/>
          <w:sz w:val="18"/>
        </w:rPr>
        <w:t xml:space="preserve"> </w:t>
      </w:r>
    </w:p>
    <w:p w:rsidR="004D6F0E" w:rsidRDefault="00490F21">
      <w:pPr>
        <w:spacing w:line="259" w:lineRule="auto"/>
        <w:ind w:left="5895" w:right="2318" w:hanging="10"/>
        <w:jc w:val="center"/>
      </w:pPr>
      <w:r>
        <w:rPr>
          <w:sz w:val="18"/>
        </w:rPr>
        <w:t>按季宣派及派付</w:t>
      </w:r>
      <w:r>
        <w:rPr>
          <w:rFonts w:ascii="Arial" w:eastAsia="Arial" w:hAnsi="Arial" w:cs="Arial"/>
          <w:sz w:val="18"/>
        </w:rPr>
        <w:t xml:space="preserve"> </w:t>
      </w:r>
    </w:p>
    <w:p w:rsidR="004D6F0E" w:rsidRDefault="00490F21">
      <w:pPr>
        <w:spacing w:after="0" w:line="259" w:lineRule="auto"/>
        <w:ind w:left="2357" w:firstLine="0"/>
        <w:jc w:val="center"/>
      </w:pPr>
      <w:r>
        <w:rPr>
          <w:rFonts w:ascii="Arial" w:eastAsia="Arial" w:hAnsi="Arial" w:cs="Arial"/>
          <w:sz w:val="18"/>
        </w:rPr>
        <w:t xml:space="preserve"> </w:t>
      </w:r>
    </w:p>
    <w:p w:rsidR="004D6F0E" w:rsidRDefault="00490F21">
      <w:pPr>
        <w:ind w:left="6639" w:right="1306" w:hanging="10"/>
      </w:pPr>
      <w:r>
        <w:rPr>
          <w:rFonts w:ascii="Arial" w:eastAsia="Arial" w:hAnsi="Arial" w:cs="Arial"/>
          <w:i/>
          <w:sz w:val="18"/>
        </w:rPr>
        <w:t>AK</w:t>
      </w:r>
      <w:r>
        <w:t>及</w:t>
      </w:r>
      <w:r>
        <w:rPr>
          <w:rFonts w:ascii="Arial" w:eastAsia="Arial" w:hAnsi="Arial" w:cs="Arial"/>
          <w:i/>
          <w:sz w:val="18"/>
        </w:rPr>
        <w:t>CK</w:t>
      </w:r>
      <w:r>
        <w:t>類股份</w:t>
      </w:r>
      <w:r>
        <w:rPr>
          <w:sz w:val="18"/>
        </w:rPr>
        <w:t>每年兩次宣派及派付</w:t>
      </w:r>
      <w:r>
        <w:rPr>
          <w:rFonts w:ascii="Arial" w:eastAsia="Arial" w:hAnsi="Arial" w:cs="Arial"/>
          <w:sz w:val="18"/>
        </w:rPr>
        <w:t xml:space="preserve"> </w:t>
      </w:r>
    </w:p>
    <w:p w:rsidR="004D6F0E" w:rsidRDefault="00490F21">
      <w:pPr>
        <w:spacing w:after="0" w:line="259" w:lineRule="auto"/>
        <w:ind w:left="2356" w:firstLine="0"/>
        <w:jc w:val="center"/>
      </w:pPr>
      <w:r>
        <w:rPr>
          <w:rFonts w:ascii="Arial" w:eastAsia="Arial" w:hAnsi="Arial" w:cs="Arial"/>
          <w:sz w:val="18"/>
        </w:rPr>
        <w:t xml:space="preserve"> </w:t>
      </w:r>
    </w:p>
    <w:p w:rsidR="004D6F0E" w:rsidRDefault="00490F21">
      <w:pPr>
        <w:spacing w:line="259" w:lineRule="auto"/>
        <w:ind w:left="5895" w:right="2138" w:hanging="10"/>
        <w:jc w:val="center"/>
      </w:pPr>
      <w:r>
        <w:rPr>
          <w:sz w:val="18"/>
        </w:rPr>
        <w:t>見下文「派息」。</w:t>
      </w:r>
      <w:r>
        <w:rPr>
          <w:rFonts w:ascii="Arial" w:eastAsia="Arial" w:hAnsi="Arial" w:cs="Arial"/>
          <w:sz w:val="18"/>
        </w:rPr>
        <w:t xml:space="preserve"> </w:t>
      </w:r>
    </w:p>
    <w:p w:rsidR="004D6F0E" w:rsidRDefault="00490F21">
      <w:pPr>
        <w:spacing w:after="0" w:line="259" w:lineRule="auto"/>
        <w:ind w:left="2356" w:firstLine="0"/>
        <w:jc w:val="center"/>
      </w:pPr>
      <w:r>
        <w:rPr>
          <w:rFonts w:ascii="Arial" w:eastAsia="Arial" w:hAnsi="Arial" w:cs="Arial"/>
          <w:sz w:val="18"/>
        </w:rPr>
        <w:t xml:space="preserve"> </w:t>
      </w:r>
    </w:p>
    <w:p w:rsidR="004D6F0E" w:rsidRDefault="00490F21">
      <w:pPr>
        <w:spacing w:line="259" w:lineRule="auto"/>
        <w:ind w:left="5895" w:right="1889" w:hanging="10"/>
        <w:jc w:val="center"/>
      </w:pPr>
      <w:r>
        <w:rPr>
          <w:rFonts w:ascii="Arial" w:eastAsia="Arial" w:hAnsi="Arial" w:cs="Arial"/>
          <w:sz w:val="18"/>
        </w:rPr>
        <w:t>*</w:t>
      </w:r>
      <w:r>
        <w:rPr>
          <w:sz w:val="18"/>
        </w:rPr>
        <w:t>包括對沖股份類別。</w:t>
      </w:r>
      <w:r>
        <w:rPr>
          <w:rFonts w:ascii="Arial" w:eastAsia="Arial" w:hAnsi="Arial" w:cs="Arial"/>
          <w:sz w:val="18"/>
        </w:rPr>
        <w:t xml:space="preserve"> </w:t>
      </w:r>
    </w:p>
    <w:p w:rsidR="004D6F0E" w:rsidRDefault="00490F21">
      <w:pPr>
        <w:spacing w:after="12" w:line="259" w:lineRule="auto"/>
        <w:ind w:left="-7" w:right="-108" w:firstLine="0"/>
      </w:pPr>
      <w:r>
        <w:rPr>
          <w:rFonts w:ascii="Calibri" w:eastAsia="Calibri" w:hAnsi="Calibri" w:cs="Calibri"/>
          <w:noProof/>
          <w:sz w:val="22"/>
        </w:rPr>
        <mc:AlternateContent>
          <mc:Choice Requires="wpg">
            <w:drawing>
              <wp:inline distT="0" distB="0" distL="0" distR="0">
                <wp:extent cx="7027164" cy="335280"/>
                <wp:effectExtent l="0" t="0" r="0" b="0"/>
                <wp:docPr id="486265" name="Group 486265"/>
                <wp:cNvGraphicFramePr/>
                <a:graphic xmlns:a="http://schemas.openxmlformats.org/drawingml/2006/main">
                  <a:graphicData uri="http://schemas.microsoft.com/office/word/2010/wordprocessingGroup">
                    <wpg:wgp>
                      <wpg:cNvGrpSpPr/>
                      <wpg:grpSpPr>
                        <a:xfrm>
                          <a:off x="0" y="0"/>
                          <a:ext cx="7027164" cy="335280"/>
                          <a:chOff x="0" y="0"/>
                          <a:chExt cx="7027164" cy="335280"/>
                        </a:xfrm>
                      </wpg:grpSpPr>
                      <wps:wsp>
                        <wps:cNvPr id="21764" name="Rectangle 21764"/>
                        <wps:cNvSpPr/>
                        <wps:spPr>
                          <a:xfrm>
                            <a:off x="73152" y="36487"/>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21765" name="Rectangle 21765"/>
                        <wps:cNvSpPr/>
                        <wps:spPr>
                          <a:xfrm>
                            <a:off x="1132332" y="34441"/>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21766" name="Rectangle 21766"/>
                        <wps:cNvSpPr/>
                        <wps:spPr>
                          <a:xfrm>
                            <a:off x="1173480" y="17065"/>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24"/>
                                </w:rPr>
                                <w:t xml:space="preserve"> </w:t>
                              </w:r>
                            </w:p>
                          </w:txbxContent>
                        </wps:txbx>
                        <wps:bodyPr horzOverflow="overflow" vert="horz" lIns="0" tIns="0" rIns="0" bIns="0" rtlCol="0">
                          <a:noAutofit/>
                        </wps:bodyPr>
                      </wps:wsp>
                      <wps:wsp>
                        <wps:cNvPr id="658163" name="Shape 65816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64" name="Shape 658164"/>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65" name="Shape 658165"/>
                        <wps:cNvSpPr/>
                        <wps:spPr>
                          <a:xfrm>
                            <a:off x="22860" y="0"/>
                            <a:ext cx="1135380" cy="18288"/>
                          </a:xfrm>
                          <a:custGeom>
                            <a:avLst/>
                            <a:gdLst/>
                            <a:ahLst/>
                            <a:cxnLst/>
                            <a:rect l="0" t="0" r="0" b="0"/>
                            <a:pathLst>
                              <a:path w="1135380" h="18288">
                                <a:moveTo>
                                  <a:pt x="0" y="0"/>
                                </a:moveTo>
                                <a:lnTo>
                                  <a:pt x="1135380" y="0"/>
                                </a:lnTo>
                                <a:lnTo>
                                  <a:pt x="113538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66" name="Shape 658166"/>
                        <wps:cNvSpPr/>
                        <wps:spPr>
                          <a:xfrm>
                            <a:off x="115824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67" name="Shape 658167"/>
                        <wps:cNvSpPr/>
                        <wps:spPr>
                          <a:xfrm>
                            <a:off x="1176528" y="0"/>
                            <a:ext cx="2249424" cy="18288"/>
                          </a:xfrm>
                          <a:custGeom>
                            <a:avLst/>
                            <a:gdLst/>
                            <a:ahLst/>
                            <a:cxnLst/>
                            <a:rect l="0" t="0" r="0" b="0"/>
                            <a:pathLst>
                              <a:path w="2249424" h="18288">
                                <a:moveTo>
                                  <a:pt x="0" y="0"/>
                                </a:moveTo>
                                <a:lnTo>
                                  <a:pt x="2249424" y="0"/>
                                </a:lnTo>
                                <a:lnTo>
                                  <a:pt x="2249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68" name="Shape 658168"/>
                        <wps:cNvSpPr/>
                        <wps:spPr>
                          <a:xfrm>
                            <a:off x="342595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69" name="Shape 658169"/>
                        <wps:cNvSpPr/>
                        <wps:spPr>
                          <a:xfrm>
                            <a:off x="3444240" y="0"/>
                            <a:ext cx="240792" cy="18288"/>
                          </a:xfrm>
                          <a:custGeom>
                            <a:avLst/>
                            <a:gdLst/>
                            <a:ahLst/>
                            <a:cxnLst/>
                            <a:rect l="0" t="0" r="0" b="0"/>
                            <a:pathLst>
                              <a:path w="240792" h="18288">
                                <a:moveTo>
                                  <a:pt x="0" y="0"/>
                                </a:moveTo>
                                <a:lnTo>
                                  <a:pt x="240792" y="0"/>
                                </a:lnTo>
                                <a:lnTo>
                                  <a:pt x="24079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70" name="Shape 658170"/>
                        <wps:cNvSpPr/>
                        <wps:spPr>
                          <a:xfrm>
                            <a:off x="368503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71" name="Shape 658171"/>
                        <wps:cNvSpPr/>
                        <wps:spPr>
                          <a:xfrm>
                            <a:off x="3703320" y="0"/>
                            <a:ext cx="441960" cy="18288"/>
                          </a:xfrm>
                          <a:custGeom>
                            <a:avLst/>
                            <a:gdLst/>
                            <a:ahLst/>
                            <a:cxnLst/>
                            <a:rect l="0" t="0" r="0" b="0"/>
                            <a:pathLst>
                              <a:path w="441960" h="18288">
                                <a:moveTo>
                                  <a:pt x="0" y="0"/>
                                </a:moveTo>
                                <a:lnTo>
                                  <a:pt x="441960" y="0"/>
                                </a:lnTo>
                                <a:lnTo>
                                  <a:pt x="4419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72" name="Shape 658172"/>
                        <wps:cNvSpPr/>
                        <wps:spPr>
                          <a:xfrm>
                            <a:off x="414528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73" name="Shape 658173"/>
                        <wps:cNvSpPr/>
                        <wps:spPr>
                          <a:xfrm>
                            <a:off x="4163568" y="0"/>
                            <a:ext cx="2863596" cy="18288"/>
                          </a:xfrm>
                          <a:custGeom>
                            <a:avLst/>
                            <a:gdLst/>
                            <a:ahLst/>
                            <a:cxnLst/>
                            <a:rect l="0" t="0" r="0" b="0"/>
                            <a:pathLst>
                              <a:path w="2863596" h="18288">
                                <a:moveTo>
                                  <a:pt x="0" y="0"/>
                                </a:moveTo>
                                <a:lnTo>
                                  <a:pt x="2863596" y="0"/>
                                </a:lnTo>
                                <a:lnTo>
                                  <a:pt x="286359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8" name="Rectangle 21778"/>
                        <wps:cNvSpPr/>
                        <wps:spPr>
                          <a:xfrm>
                            <a:off x="73152" y="214271"/>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21779" name="Rectangle 21779"/>
                        <wps:cNvSpPr/>
                        <wps:spPr>
                          <a:xfrm>
                            <a:off x="1623060" y="1858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21780" name="Rectangle 21780"/>
                        <wps:cNvSpPr/>
                        <wps:spPr>
                          <a:xfrm>
                            <a:off x="2225040" y="183793"/>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21781" name="Rectangle 21781"/>
                        <wps:cNvSpPr/>
                        <wps:spPr>
                          <a:xfrm>
                            <a:off x="2266188"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176" name="Shape 658176"/>
                        <wps:cNvSpPr/>
                        <wps:spPr>
                          <a:xfrm>
                            <a:off x="1418844" y="329184"/>
                            <a:ext cx="1051560" cy="9144"/>
                          </a:xfrm>
                          <a:custGeom>
                            <a:avLst/>
                            <a:gdLst/>
                            <a:ahLst/>
                            <a:cxnLst/>
                            <a:rect l="0" t="0" r="0" b="0"/>
                            <a:pathLst>
                              <a:path w="1051560" h="9144">
                                <a:moveTo>
                                  <a:pt x="0" y="0"/>
                                </a:moveTo>
                                <a:lnTo>
                                  <a:pt x="1051560" y="0"/>
                                </a:lnTo>
                                <a:lnTo>
                                  <a:pt x="1051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3" name="Rectangle 21783"/>
                        <wps:cNvSpPr/>
                        <wps:spPr>
                          <a:xfrm>
                            <a:off x="3037332" y="1858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21784" name="Rectangle 21784"/>
                        <wps:cNvSpPr/>
                        <wps:spPr>
                          <a:xfrm>
                            <a:off x="3410712" y="183793"/>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21785" name="Rectangle 21785"/>
                        <wps:cNvSpPr/>
                        <wps:spPr>
                          <a:xfrm>
                            <a:off x="3451860"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179" name="Shape 658179"/>
                        <wps:cNvSpPr/>
                        <wps:spPr>
                          <a:xfrm>
                            <a:off x="2580132" y="329184"/>
                            <a:ext cx="1330452" cy="9144"/>
                          </a:xfrm>
                          <a:custGeom>
                            <a:avLst/>
                            <a:gdLst/>
                            <a:ahLst/>
                            <a:cxnLst/>
                            <a:rect l="0" t="0" r="0" b="0"/>
                            <a:pathLst>
                              <a:path w="1330452" h="9144">
                                <a:moveTo>
                                  <a:pt x="0" y="0"/>
                                </a:moveTo>
                                <a:lnTo>
                                  <a:pt x="1330452" y="0"/>
                                </a:lnTo>
                                <a:lnTo>
                                  <a:pt x="1330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7" name="Rectangle 21787"/>
                        <wps:cNvSpPr/>
                        <wps:spPr>
                          <a:xfrm>
                            <a:off x="4387596" y="1858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21788" name="Rectangle 21788"/>
                        <wps:cNvSpPr/>
                        <wps:spPr>
                          <a:xfrm>
                            <a:off x="4760976" y="183793"/>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21789" name="Rectangle 21789"/>
                        <wps:cNvSpPr/>
                        <wps:spPr>
                          <a:xfrm>
                            <a:off x="4802124"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182" name="Shape 658182"/>
                        <wps:cNvSpPr/>
                        <wps:spPr>
                          <a:xfrm>
                            <a:off x="4020312" y="329184"/>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1" name="Rectangle 21791"/>
                        <wps:cNvSpPr/>
                        <wps:spPr>
                          <a:xfrm>
                            <a:off x="5690616" y="185839"/>
                            <a:ext cx="1064133" cy="152019"/>
                          </a:xfrm>
                          <a:prstGeom prst="rect">
                            <a:avLst/>
                          </a:prstGeom>
                          <a:ln>
                            <a:noFill/>
                          </a:ln>
                        </wps:spPr>
                        <wps:txbx>
                          <w:txbxContent>
                            <w:p w:rsidR="004D6F0E" w:rsidRDefault="00490F21">
                              <w:pPr>
                                <w:spacing w:after="160" w:line="259" w:lineRule="auto"/>
                                <w:ind w:left="0" w:firstLine="0"/>
                              </w:pPr>
                              <w:r>
                                <w:rPr>
                                  <w:w w:val="99"/>
                                  <w:sz w:val="18"/>
                                </w:rPr>
                                <w:t>或有遞延銷售費</w:t>
                              </w:r>
                            </w:p>
                          </w:txbxContent>
                        </wps:txbx>
                        <wps:bodyPr horzOverflow="overflow" vert="horz" lIns="0" tIns="0" rIns="0" bIns="0" rtlCol="0">
                          <a:noAutofit/>
                        </wps:bodyPr>
                      </wps:wsp>
                      <wps:wsp>
                        <wps:cNvPr id="21792" name="Rectangle 21792"/>
                        <wps:cNvSpPr/>
                        <wps:spPr>
                          <a:xfrm>
                            <a:off x="6521196" y="183793"/>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21793" name="Rectangle 21793"/>
                        <wps:cNvSpPr/>
                        <wps:spPr>
                          <a:xfrm>
                            <a:off x="6562344"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185" name="Shape 658185"/>
                        <wps:cNvSpPr/>
                        <wps:spPr>
                          <a:xfrm>
                            <a:off x="5280660" y="329184"/>
                            <a:ext cx="1691640" cy="9144"/>
                          </a:xfrm>
                          <a:custGeom>
                            <a:avLst/>
                            <a:gdLst/>
                            <a:ahLst/>
                            <a:cxnLst/>
                            <a:rect l="0" t="0" r="0" b="0"/>
                            <a:pathLst>
                              <a:path w="1691640" h="9144">
                                <a:moveTo>
                                  <a:pt x="0" y="0"/>
                                </a:moveTo>
                                <a:lnTo>
                                  <a:pt x="1691640" y="0"/>
                                </a:lnTo>
                                <a:lnTo>
                                  <a:pt x="16916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86265" o:spid="_x0000_s1220" style="width:553.3pt;height:26.4pt;mso-position-horizontal-relative:char;mso-position-vertical-relative:line" coordsize="70271,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">
                <v:rect id="Rectangle 21764" o:spid="_x0000_s1221" style="position:absolute;left:731;top:364;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V7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p83wGv3fCFZCbHwAAAP//AwBQSwECLQAUAAYACAAAACEA2+H2y+4AAACFAQAAEwAAAAAA&#10;AAAAAAAAAAAAAAAAW0NvbnRlbnRfVHlwZXNdLnhtbFBLAQItABQABgAIAAAAIQBa9CxbvwAAABUB&#10;AAALAAAAAAAAAAAAAAAAAB8BAABfcmVscy8ucmVsc1BLAQItABQABgAIAAAAIQAsCKV7yAAAAN4A&#10;AAAPAAAAAAAAAAAAAAAAAAcCAABkcnMvZG93bnJldi54bWxQSwUGAAAAAAMAAwC3AAAA/AI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21765" o:spid="_x0000_s1222" style="position:absolute;left:11323;top:344;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Dg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p83wGv3fCFZCbHwAAAP//AwBQSwECLQAUAAYACAAAACEA2+H2y+4AAACFAQAAEwAAAAAA&#10;AAAAAAAAAAAAAAAAW0NvbnRlbnRfVHlwZXNdLnhtbFBLAQItABQABgAIAAAAIQBa9CxbvwAAABUB&#10;AAALAAAAAAAAAAAAAAAAAB8BAABfcmVscy8ucmVsc1BLAQItABQABgAIAAAAIQBDRADg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21766" o:spid="_x0000_s1223" style="position:absolute;left:11734;top:17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24"/>
                          </w:rPr>
                          <w:t xml:space="preserve"> </w:t>
                        </w:r>
                      </w:p>
                    </w:txbxContent>
                  </v:textbox>
                </v:rect>
                <v:shape id="Shape 658163" o:spid="_x0000_s1224"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" path="m,l9144,r,18288l,18288,,e" fillcolor="black" stroked="f" strokeweight="0">
                  <v:stroke miterlimit="83231f" joinstyle="miter"/>
                  <v:path arrowok="t" textboxrect="0,0,9144,18288"/>
                </v:shape>
                <v:shape id="Shape 658164" o:spid="_x0000_s1225" style="position:absolute;left: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" path="m,l18288,r,18288l,18288,,e" fillcolor="black" stroked="f" strokeweight="0">
                  <v:stroke miterlimit="83231f" joinstyle="miter"/>
                  <v:path arrowok="t" textboxrect="0,0,18288,18288"/>
                </v:shape>
                <v:shape id="Shape 658165" o:spid="_x0000_s1226" style="position:absolute;left:228;width:11354;height:182;visibility:visible;mso-wrap-style:square;v-text-anchor:top" coordsize="113538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" path="m,l1135380,r,18288l,18288,,e" fillcolor="black" stroked="f" strokeweight="0">
                  <v:stroke miterlimit="83231f" joinstyle="miter"/>
                  <v:path arrowok="t" textboxrect="0,0,1135380,18288"/>
                </v:shape>
                <v:shape id="Shape 658166" o:spid="_x0000_s1227" style="position:absolute;left:1158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" path="m,l18288,r,18288l,18288,,e" fillcolor="black" stroked="f" strokeweight="0">
                  <v:stroke miterlimit="83231f" joinstyle="miter"/>
                  <v:path arrowok="t" textboxrect="0,0,18288,18288"/>
                </v:shape>
                <v:shape id="Shape 658167" o:spid="_x0000_s1228" style="position:absolute;left:11765;width:22494;height:182;visibility:visible;mso-wrap-style:square;v-text-anchor:top" coordsize="22494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" path="m,l2249424,r,18288l,18288,,e" fillcolor="black" stroked="f" strokeweight="0">
                  <v:stroke miterlimit="83231f" joinstyle="miter"/>
                  <v:path arrowok="t" textboxrect="0,0,2249424,18288"/>
                </v:shape>
                <v:shape id="Shape 658168" o:spid="_x0000_s1229" style="position:absolute;left:3425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" path="m,l18288,r,18288l,18288,,e" fillcolor="black" stroked="f" strokeweight="0">
                  <v:stroke miterlimit="83231f" joinstyle="miter"/>
                  <v:path arrowok="t" textboxrect="0,0,18288,18288"/>
                </v:shape>
                <v:shape id="Shape 658169" o:spid="_x0000_s1230" style="position:absolute;left:34442;width:2408;height:182;visibility:visible;mso-wrap-style:square;v-text-anchor:top" coordsize="24079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" path="m,l240792,r,18288l,18288,,e" fillcolor="black" stroked="f" strokeweight="0">
                  <v:stroke miterlimit="83231f" joinstyle="miter"/>
                  <v:path arrowok="t" textboxrect="0,0,240792,18288"/>
                </v:shape>
                <v:shape id="Shape 658170" o:spid="_x0000_s1231" style="position:absolute;left:3685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" path="m,l18288,r,18288l,18288,,e" fillcolor="black" stroked="f" strokeweight="0">
                  <v:stroke miterlimit="83231f" joinstyle="miter"/>
                  <v:path arrowok="t" textboxrect="0,0,18288,18288"/>
                </v:shape>
                <v:shape id="Shape 658171" o:spid="_x0000_s1232" style="position:absolute;left:37033;width:4419;height:182;visibility:visible;mso-wrap-style:square;v-text-anchor:top" coordsize="4419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" path="m,l441960,r,18288l,18288,,e" fillcolor="black" stroked="f" strokeweight="0">
                  <v:stroke miterlimit="83231f" joinstyle="miter"/>
                  <v:path arrowok="t" textboxrect="0,0,441960,18288"/>
                </v:shape>
                <v:shape id="Shape 658172" o:spid="_x0000_s1233" style="position:absolute;left:4145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" path="m,l18288,r,18288l,18288,,e" fillcolor="black" stroked="f" strokeweight="0">
                  <v:stroke miterlimit="83231f" joinstyle="miter"/>
                  <v:path arrowok="t" textboxrect="0,0,18288,18288"/>
                </v:shape>
                <v:shape id="Shape 658173" o:spid="_x0000_s1234" style="position:absolute;left:41635;width:28636;height:182;visibility:visible;mso-wrap-style:square;v-text-anchor:top" coordsize="286359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" path="m,l2863596,r,18288l,18288,,e" fillcolor="black" stroked="f" strokeweight="0">
                  <v:stroke miterlimit="83231f" joinstyle="miter"/>
                  <v:path arrowok="t" textboxrect="0,0,2863596,18288"/>
                </v:shape>
                <v:rect id="Rectangle 21778" o:spid="_x0000_s1235" style="position:absolute;left:731;top:2142;width:28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rect id="Rectangle 21779" o:spid="_x0000_s1236" style="position:absolute;left:16230;top:1858;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首次銷售費</w:t>
                        </w:r>
                      </w:p>
                    </w:txbxContent>
                  </v:textbox>
                </v:rect>
                <v:rect id="Rectangle 21780" o:spid="_x0000_s1237" style="position:absolute;left:22250;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21781" o:spid="_x0000_s1238" style="position:absolute;left:22661;top:16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176" o:spid="_x0000_s1239" style="position:absolute;left:14188;top:3291;width:10516;height:92;visibility:visible;mso-wrap-style:square;v-text-anchor:top" coordsize="1051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" path="m,l1051560,r,9144l,9144,,e" fillcolor="black" stroked="f" strokeweight="0">
                  <v:stroke miterlimit="83231f" joinstyle="miter"/>
                  <v:path arrowok="t" textboxrect="0,0,1051560,9144"/>
                </v:shape>
                <v:rect id="Rectangle 21783" o:spid="_x0000_s1240" style="position:absolute;left:30373;top:1858;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管理費</w:t>
                        </w:r>
                      </w:p>
                    </w:txbxContent>
                  </v:textbox>
                </v:rect>
                <v:rect id="Rectangle 21784" o:spid="_x0000_s1241" style="position:absolute;left:34107;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21785" o:spid="_x0000_s1242" style="position:absolute;left:34518;top:16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179" o:spid="_x0000_s1243" style="position:absolute;left:25801;top:3291;width:13304;height:92;visibility:visible;mso-wrap-style:square;v-text-anchor:top" coordsize="13304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" path="m,l1330452,r,9144l,9144,,e" fillcolor="black" stroked="f" strokeweight="0">
                  <v:stroke miterlimit="83231f" joinstyle="miter"/>
                  <v:path arrowok="t" textboxrect="0,0,1330452,9144"/>
                </v:shape>
                <v:rect id="Rectangle 21787" o:spid="_x0000_s1244" style="position:absolute;left:43875;top:1858;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分銷費</w:t>
                        </w:r>
                      </w:p>
                    </w:txbxContent>
                  </v:textbox>
                </v:rect>
                <v:rect id="Rectangle 21788" o:spid="_x0000_s1245" style="position:absolute;left:47609;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21789" o:spid="_x0000_s1246" style="position:absolute;left:48021;top:166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182" o:spid="_x0000_s1247" style="position:absolute;left:40203;top:3291;width:11506;height:92;visibility:visible;mso-wrap-style:square;v-text-anchor:top" coordsize="1150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" path="m,l1150620,r,9144l,9144,,e" fillcolor="black" stroked="f" strokeweight="0">
                  <v:stroke miterlimit="83231f" joinstyle="miter"/>
                  <v:path arrowok="t" textboxrect="0,0,1150620,9144"/>
                </v:shape>
                <v:rect id="Rectangle 21791" o:spid="_x0000_s1248" style="position:absolute;left:56906;top:1858;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" filled="f" stroked="f">
                  <v:textbox inset="0,0,0,0">
                    <w:txbxContent>
                      <w:p w:rsidR="004D6F0E" w:rsidRDefault="00490F21">
                        <w:pPr>
                          <w:spacing w:after="160" w:line="259" w:lineRule="auto"/>
                          <w:ind w:left="0" w:firstLine="0"/>
                        </w:pPr>
                        <w:r>
                          <w:rPr>
                            <w:w w:val="99"/>
                            <w:sz w:val="18"/>
                          </w:rPr>
                          <w:t>或有遞延銷售費</w:t>
                        </w:r>
                      </w:p>
                    </w:txbxContent>
                  </v:textbox>
                </v:rect>
                <v:rect id="Rectangle 21792" o:spid="_x0000_s1249" style="position:absolute;left:65211;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21793" o:spid="_x0000_s1250" style="position:absolute;left:65623;top:166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185" o:spid="_x0000_s1251" style="position:absolute;left:52806;top:3291;width:16917;height:92;visibility:visible;mso-wrap-style:square;v-text-anchor:top" coordsize="16916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" path="m,l1691640,r,9144l,9144,,e" fillcolor="black" stroked="f" strokeweight="0">
                  <v:stroke miterlimit="83231f" joinstyle="miter"/>
                  <v:path arrowok="t" textboxrect="0,0,1691640,9144"/>
                </v:shape>
                <w10:anchorlock/>
              </v:group>
            </w:pict>
          </mc:Fallback>
        </mc:AlternateContent>
      </w:r>
    </w:p>
    <w:p w:rsidR="004D6F0E" w:rsidRDefault="00490F21">
      <w:pPr>
        <w:spacing w:after="111" w:line="259" w:lineRule="auto"/>
        <w:ind w:left="108" w:firstLine="0"/>
      </w:pPr>
      <w:r>
        <w:rPr>
          <w:rFonts w:ascii="Arial" w:eastAsia="Arial" w:hAnsi="Arial" w:cs="Arial"/>
          <w:sz w:val="6"/>
        </w:rPr>
        <w:t xml:space="preserve"> </w:t>
      </w:r>
    </w:p>
    <w:p w:rsidR="004D6F0E" w:rsidRDefault="00490F21">
      <w:pPr>
        <w:shd w:val="clear" w:color="auto" w:fill="D9D9D9"/>
        <w:spacing w:after="11" w:line="250" w:lineRule="auto"/>
        <w:ind w:left="110" w:right="552" w:hanging="10"/>
      </w:pPr>
      <w:r>
        <w:rPr>
          <w:sz w:val="18"/>
        </w:rPr>
        <w:t>美元計價股份類別</w:t>
      </w:r>
      <w:r>
        <w:rPr>
          <w:rFonts w:ascii="Arial" w:eastAsia="Arial" w:hAnsi="Arial" w:cs="Arial"/>
          <w:sz w:val="18"/>
        </w:rPr>
        <w:t xml:space="preserve"> </w:t>
      </w:r>
    </w:p>
    <w:tbl>
      <w:tblPr>
        <w:tblStyle w:val="TableGrid"/>
        <w:tblW w:w="10305" w:type="dxa"/>
        <w:tblInd w:w="108" w:type="dxa"/>
        <w:tblCellMar>
          <w:top w:w="7" w:type="dxa"/>
          <w:left w:w="0" w:type="dxa"/>
          <w:bottom w:w="0" w:type="dxa"/>
          <w:right w:w="0" w:type="dxa"/>
        </w:tblCellMar>
        <w:tblLook w:val="04A0" w:firstRow="1" w:lastRow="0" w:firstColumn="1" w:lastColumn="0" w:noHBand="0" w:noVBand="1"/>
      </w:tblPr>
      <w:tblGrid>
        <w:gridCol w:w="2399"/>
        <w:gridCol w:w="2047"/>
        <w:gridCol w:w="2074"/>
        <w:gridCol w:w="2290"/>
        <w:gridCol w:w="1495"/>
      </w:tblGrid>
      <w:tr w:rsidR="004D6F0E">
        <w:trPr>
          <w:trHeight w:val="442"/>
        </w:trPr>
        <w:tc>
          <w:tcPr>
            <w:tcW w:w="240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047"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74" w:type="dxa"/>
            <w:tcBorders>
              <w:top w:val="nil"/>
              <w:left w:val="nil"/>
              <w:bottom w:val="nil"/>
              <w:right w:val="nil"/>
            </w:tcBorders>
          </w:tcPr>
          <w:p w:rsidR="004D6F0E" w:rsidRDefault="00490F21">
            <w:pPr>
              <w:spacing w:after="0" w:line="259" w:lineRule="auto"/>
              <w:ind w:left="0" w:right="389"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90" w:type="dxa"/>
            <w:tcBorders>
              <w:top w:val="nil"/>
              <w:left w:val="nil"/>
              <w:bottom w:val="nil"/>
              <w:right w:val="nil"/>
            </w:tcBorders>
            <w:vAlign w:val="center"/>
          </w:tcPr>
          <w:p w:rsidR="004D6F0E" w:rsidRDefault="00490F21">
            <w:pPr>
              <w:spacing w:after="0" w:line="259" w:lineRule="auto"/>
              <w:ind w:left="511" w:firstLine="0"/>
            </w:pPr>
            <w:r>
              <w:rPr>
                <w:sz w:val="18"/>
              </w:rPr>
              <w:t>無</w:t>
            </w:r>
            <w:r>
              <w:rPr>
                <w:rFonts w:ascii="Arial" w:eastAsia="Arial" w:hAnsi="Arial" w:cs="Arial"/>
                <w:sz w:val="18"/>
              </w:rPr>
              <w:t xml:space="preserve"> </w:t>
            </w:r>
          </w:p>
        </w:tc>
        <w:tc>
          <w:tcPr>
            <w:tcW w:w="1495" w:type="dxa"/>
            <w:tcBorders>
              <w:top w:val="nil"/>
              <w:left w:val="nil"/>
              <w:bottom w:val="nil"/>
              <w:right w:val="nil"/>
            </w:tcBorders>
            <w:vAlign w:val="center"/>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468"/>
        </w:trPr>
        <w:tc>
          <w:tcPr>
            <w:tcW w:w="240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047"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74" w:type="dxa"/>
            <w:tcBorders>
              <w:top w:val="nil"/>
              <w:left w:val="nil"/>
              <w:bottom w:val="nil"/>
              <w:right w:val="nil"/>
            </w:tcBorders>
          </w:tcPr>
          <w:p w:rsidR="004D6F0E" w:rsidRDefault="00490F21">
            <w:pPr>
              <w:spacing w:after="0" w:line="259" w:lineRule="auto"/>
              <w:ind w:left="0" w:right="389"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90" w:type="dxa"/>
            <w:tcBorders>
              <w:top w:val="nil"/>
              <w:left w:val="nil"/>
              <w:bottom w:val="nil"/>
              <w:right w:val="nil"/>
            </w:tcBorders>
            <w:vAlign w:val="center"/>
          </w:tcPr>
          <w:p w:rsidR="004D6F0E" w:rsidRDefault="00490F21">
            <w:pPr>
              <w:spacing w:after="0" w:line="259" w:lineRule="auto"/>
              <w:ind w:left="511" w:firstLine="0"/>
            </w:pPr>
            <w:r>
              <w:rPr>
                <w:sz w:val="18"/>
              </w:rPr>
              <w:t>無</w:t>
            </w:r>
            <w:r>
              <w:rPr>
                <w:rFonts w:ascii="Arial" w:eastAsia="Arial" w:hAnsi="Arial" w:cs="Arial"/>
                <w:sz w:val="18"/>
              </w:rPr>
              <w:t xml:space="preserve"> </w:t>
            </w:r>
          </w:p>
        </w:tc>
        <w:tc>
          <w:tcPr>
            <w:tcW w:w="1495" w:type="dxa"/>
            <w:tcBorders>
              <w:top w:val="nil"/>
              <w:left w:val="nil"/>
              <w:bottom w:val="nil"/>
              <w:right w:val="nil"/>
            </w:tcBorders>
            <w:vAlign w:val="center"/>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468"/>
        </w:trPr>
        <w:tc>
          <w:tcPr>
            <w:tcW w:w="240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2047"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74" w:type="dxa"/>
            <w:tcBorders>
              <w:top w:val="nil"/>
              <w:left w:val="nil"/>
              <w:bottom w:val="nil"/>
              <w:right w:val="nil"/>
            </w:tcBorders>
          </w:tcPr>
          <w:p w:rsidR="004D6F0E" w:rsidRDefault="00490F21">
            <w:pPr>
              <w:spacing w:after="0" w:line="259" w:lineRule="auto"/>
              <w:ind w:left="0" w:right="389"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90" w:type="dxa"/>
            <w:tcBorders>
              <w:top w:val="nil"/>
              <w:left w:val="nil"/>
              <w:bottom w:val="nil"/>
              <w:right w:val="nil"/>
            </w:tcBorders>
            <w:vAlign w:val="center"/>
          </w:tcPr>
          <w:p w:rsidR="004D6F0E" w:rsidRDefault="00490F21">
            <w:pPr>
              <w:spacing w:after="0" w:line="259" w:lineRule="auto"/>
              <w:ind w:left="511" w:firstLine="0"/>
            </w:pPr>
            <w:r>
              <w:rPr>
                <w:sz w:val="18"/>
              </w:rPr>
              <w:t>無</w:t>
            </w:r>
            <w:r>
              <w:rPr>
                <w:rFonts w:ascii="Arial" w:eastAsia="Arial" w:hAnsi="Arial" w:cs="Arial"/>
                <w:sz w:val="18"/>
              </w:rPr>
              <w:t xml:space="preserve"> </w:t>
            </w:r>
          </w:p>
        </w:tc>
        <w:tc>
          <w:tcPr>
            <w:tcW w:w="1495" w:type="dxa"/>
            <w:tcBorders>
              <w:top w:val="nil"/>
              <w:left w:val="nil"/>
              <w:bottom w:val="nil"/>
              <w:right w:val="nil"/>
            </w:tcBorders>
            <w:vAlign w:val="center"/>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468"/>
        </w:trPr>
        <w:tc>
          <w:tcPr>
            <w:tcW w:w="240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2047"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074" w:type="dxa"/>
            <w:tcBorders>
              <w:top w:val="nil"/>
              <w:left w:val="nil"/>
              <w:bottom w:val="nil"/>
              <w:right w:val="nil"/>
            </w:tcBorders>
          </w:tcPr>
          <w:p w:rsidR="004D6F0E" w:rsidRDefault="00490F21">
            <w:pPr>
              <w:spacing w:after="0" w:line="259" w:lineRule="auto"/>
              <w:ind w:left="0" w:right="389"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90" w:type="dxa"/>
            <w:tcBorders>
              <w:top w:val="nil"/>
              <w:left w:val="nil"/>
              <w:bottom w:val="nil"/>
              <w:right w:val="nil"/>
            </w:tcBorders>
            <w:vAlign w:val="center"/>
          </w:tcPr>
          <w:p w:rsidR="004D6F0E" w:rsidRDefault="00490F21">
            <w:pPr>
              <w:spacing w:after="0" w:line="259" w:lineRule="auto"/>
              <w:ind w:left="511" w:firstLine="0"/>
            </w:pPr>
            <w:r>
              <w:rPr>
                <w:sz w:val="18"/>
              </w:rPr>
              <w:t>無</w:t>
            </w:r>
            <w:r>
              <w:rPr>
                <w:rFonts w:ascii="Arial" w:eastAsia="Arial" w:hAnsi="Arial" w:cs="Arial"/>
                <w:sz w:val="18"/>
              </w:rPr>
              <w:t xml:space="preserve"> </w:t>
            </w:r>
          </w:p>
        </w:tc>
        <w:tc>
          <w:tcPr>
            <w:tcW w:w="1495" w:type="dxa"/>
            <w:tcBorders>
              <w:top w:val="nil"/>
              <w:left w:val="nil"/>
              <w:bottom w:val="nil"/>
              <w:right w:val="nil"/>
            </w:tcBorders>
            <w:vAlign w:val="center"/>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937"/>
        </w:trPr>
        <w:tc>
          <w:tcPr>
            <w:tcW w:w="240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B </w:t>
            </w:r>
            <w:r>
              <w:rPr>
                <w:sz w:val="18"/>
              </w:rPr>
              <w:t>及</w:t>
            </w:r>
            <w:r>
              <w:rPr>
                <w:sz w:val="18"/>
              </w:rPr>
              <w:t xml:space="preserve"> </w:t>
            </w:r>
            <w:r>
              <w:rPr>
                <w:rFonts w:ascii="Arial" w:eastAsia="Arial" w:hAnsi="Arial" w:cs="Arial"/>
                <w:sz w:val="18"/>
              </w:rPr>
              <w:t xml:space="preserve">B2 </w:t>
            </w:r>
            <w:r>
              <w:rPr>
                <w:sz w:val="18"/>
              </w:rPr>
              <w:t>類股份</w:t>
            </w:r>
            <w:r>
              <w:rPr>
                <w:sz w:val="18"/>
              </w:rPr>
              <w:t xml:space="preserve"> </w:t>
            </w:r>
            <w:r>
              <w:rPr>
                <w:rFonts w:ascii="Arial" w:eastAsia="Arial" w:hAnsi="Arial" w:cs="Arial"/>
                <w:b/>
                <w:sz w:val="18"/>
                <w:vertAlign w:val="superscript"/>
              </w:rPr>
              <w:t>2**</w:t>
            </w:r>
            <w:r>
              <w:rPr>
                <w:rFonts w:ascii="Arial" w:eastAsia="Arial" w:hAnsi="Arial" w:cs="Arial"/>
                <w:sz w:val="18"/>
              </w:rPr>
              <w:t xml:space="preserve"> </w:t>
            </w:r>
          </w:p>
        </w:tc>
        <w:tc>
          <w:tcPr>
            <w:tcW w:w="2047"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074" w:type="dxa"/>
            <w:tcBorders>
              <w:top w:val="nil"/>
              <w:left w:val="nil"/>
              <w:bottom w:val="nil"/>
              <w:right w:val="nil"/>
            </w:tcBorders>
            <w:vAlign w:val="center"/>
          </w:tcPr>
          <w:p w:rsidR="004D6F0E" w:rsidRDefault="00490F21">
            <w:pPr>
              <w:spacing w:after="0" w:line="259" w:lineRule="auto"/>
              <w:ind w:left="0" w:right="389"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90" w:type="dxa"/>
            <w:tcBorders>
              <w:top w:val="nil"/>
              <w:left w:val="nil"/>
              <w:bottom w:val="nil"/>
              <w:right w:val="nil"/>
            </w:tcBorders>
            <w:vAlign w:val="center"/>
          </w:tcPr>
          <w:p w:rsidR="004D6F0E" w:rsidRDefault="00490F21">
            <w:pPr>
              <w:spacing w:after="0" w:line="259" w:lineRule="auto"/>
              <w:ind w:left="346" w:firstLine="0"/>
            </w:pPr>
            <w:r>
              <w:rPr>
                <w:rFonts w:ascii="Arial" w:eastAsia="Arial" w:hAnsi="Arial" w:cs="Arial"/>
                <w:sz w:val="18"/>
              </w:rPr>
              <w:t xml:space="preserve">1.00% </w:t>
            </w:r>
          </w:p>
        </w:tc>
        <w:tc>
          <w:tcPr>
            <w:tcW w:w="1495" w:type="dxa"/>
            <w:tcBorders>
              <w:top w:val="nil"/>
              <w:left w:val="nil"/>
              <w:bottom w:val="nil"/>
              <w:right w:val="nil"/>
            </w:tcBorders>
          </w:tcPr>
          <w:p w:rsidR="004D6F0E" w:rsidRDefault="00490F21">
            <w:pPr>
              <w:spacing w:after="30"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911"/>
        </w:trPr>
        <w:tc>
          <w:tcPr>
            <w:tcW w:w="240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BT </w:t>
            </w:r>
            <w:r>
              <w:rPr>
                <w:sz w:val="18"/>
              </w:rPr>
              <w:t>類股份</w:t>
            </w:r>
            <w:r>
              <w:rPr>
                <w:sz w:val="18"/>
              </w:rPr>
              <w:t xml:space="preserve"> </w:t>
            </w:r>
            <w:r>
              <w:rPr>
                <w:rFonts w:ascii="Arial" w:eastAsia="Arial" w:hAnsi="Arial" w:cs="Arial"/>
                <w:b/>
                <w:sz w:val="12"/>
              </w:rPr>
              <w:t>2**</w:t>
            </w:r>
            <w:r>
              <w:rPr>
                <w:rFonts w:ascii="Arial" w:eastAsia="Arial" w:hAnsi="Arial" w:cs="Arial"/>
                <w:sz w:val="18"/>
              </w:rPr>
              <w:t xml:space="preserve"> </w:t>
            </w:r>
          </w:p>
        </w:tc>
        <w:tc>
          <w:tcPr>
            <w:tcW w:w="2047"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074" w:type="dxa"/>
            <w:tcBorders>
              <w:top w:val="nil"/>
              <w:left w:val="nil"/>
              <w:bottom w:val="nil"/>
              <w:right w:val="nil"/>
            </w:tcBorders>
            <w:vAlign w:val="center"/>
          </w:tcPr>
          <w:p w:rsidR="004D6F0E" w:rsidRDefault="00490F21">
            <w:pPr>
              <w:spacing w:after="0" w:line="259" w:lineRule="auto"/>
              <w:ind w:left="0" w:right="389"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90" w:type="dxa"/>
            <w:tcBorders>
              <w:top w:val="nil"/>
              <w:left w:val="nil"/>
              <w:bottom w:val="nil"/>
              <w:right w:val="nil"/>
            </w:tcBorders>
            <w:vAlign w:val="center"/>
          </w:tcPr>
          <w:p w:rsidR="004D6F0E" w:rsidRDefault="00490F21">
            <w:pPr>
              <w:spacing w:after="0" w:line="259" w:lineRule="auto"/>
              <w:ind w:left="346" w:firstLine="0"/>
            </w:pPr>
            <w:r>
              <w:rPr>
                <w:rFonts w:ascii="Arial" w:eastAsia="Arial" w:hAnsi="Arial" w:cs="Arial"/>
                <w:sz w:val="18"/>
              </w:rPr>
              <w:t xml:space="preserve">1.00% </w:t>
            </w:r>
          </w:p>
        </w:tc>
        <w:tc>
          <w:tcPr>
            <w:tcW w:w="1495" w:type="dxa"/>
            <w:tcBorders>
              <w:top w:val="nil"/>
              <w:left w:val="nil"/>
              <w:bottom w:val="nil"/>
              <w:right w:val="nil"/>
            </w:tcBorders>
          </w:tcPr>
          <w:p w:rsidR="004D6F0E" w:rsidRDefault="00490F21">
            <w:pPr>
              <w:spacing w:after="30"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bl>
    <w:p w:rsidR="004D6F0E" w:rsidRDefault="00490F21">
      <w:pPr>
        <w:spacing w:after="0" w:line="259" w:lineRule="auto"/>
        <w:ind w:left="0" w:firstLine="0"/>
      </w:pPr>
      <w:r>
        <w:rPr>
          <w:rFonts w:ascii="Arial" w:eastAsia="Arial" w:hAnsi="Arial" w:cs="Arial"/>
          <w:sz w:val="24"/>
        </w:rPr>
        <w:t xml:space="preserve"> </w:t>
      </w:r>
    </w:p>
    <w:p w:rsidR="004D6F0E" w:rsidRDefault="00490F21">
      <w:pPr>
        <w:tabs>
          <w:tab w:val="center" w:pos="5103"/>
          <w:tab w:val="center" w:pos="9709"/>
        </w:tabs>
        <w:spacing w:after="0" w:line="259" w:lineRule="auto"/>
        <w:ind w:left="0" w:firstLine="0"/>
      </w:pPr>
      <w:r>
        <w:rPr>
          <w:rFonts w:ascii="Calibri" w:eastAsia="Calibri" w:hAnsi="Calibri" w:cs="Calibri"/>
          <w:sz w:val="22"/>
        </w:rPr>
        <w:tab/>
      </w:r>
      <w:r>
        <w:rPr>
          <w:sz w:val="18"/>
        </w:rPr>
        <w:t>最高為</w:t>
      </w:r>
      <w:r>
        <w:rPr>
          <w:sz w:val="18"/>
        </w:rPr>
        <w:t xml:space="preserve"> </w:t>
      </w:r>
      <w:r>
        <w:rPr>
          <w:rFonts w:ascii="Arial" w:eastAsia="Arial" w:hAnsi="Arial" w:cs="Arial"/>
          <w:sz w:val="18"/>
        </w:rPr>
        <w:t xml:space="preserve">1.95% </w:t>
      </w:r>
      <w:r>
        <w:rPr>
          <w:rFonts w:ascii="Arial" w:eastAsia="Arial" w:hAnsi="Arial" w:cs="Arial"/>
          <w:sz w:val="18"/>
        </w:rPr>
        <w:tab/>
      </w: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p>
    <w:tbl>
      <w:tblPr>
        <w:tblStyle w:val="TableGrid"/>
        <w:tblW w:w="10372" w:type="dxa"/>
        <w:tblInd w:w="108" w:type="dxa"/>
        <w:tblCellMar>
          <w:top w:w="3" w:type="dxa"/>
          <w:left w:w="0" w:type="dxa"/>
          <w:bottom w:w="0" w:type="dxa"/>
          <w:right w:w="0" w:type="dxa"/>
        </w:tblCellMar>
        <w:tblLook w:val="04A0" w:firstRow="1" w:lastRow="0" w:firstColumn="1" w:lastColumn="0" w:noHBand="0" w:noVBand="1"/>
      </w:tblPr>
      <w:tblGrid>
        <w:gridCol w:w="2134"/>
        <w:gridCol w:w="259"/>
        <w:gridCol w:w="1584"/>
        <w:gridCol w:w="451"/>
        <w:gridCol w:w="1817"/>
        <w:gridCol w:w="763"/>
        <w:gridCol w:w="1502"/>
        <w:gridCol w:w="367"/>
        <w:gridCol w:w="1495"/>
      </w:tblGrid>
      <w:tr w:rsidR="004D6F0E">
        <w:trPr>
          <w:trHeight w:val="326"/>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firstLine="0"/>
            </w:pPr>
            <w:r>
              <w:rPr>
                <w:sz w:val="18"/>
              </w:rPr>
              <w:t>最高為</w:t>
            </w:r>
            <w:r>
              <w:rPr>
                <w:sz w:val="18"/>
              </w:rPr>
              <w:t xml:space="preserve"> </w:t>
            </w:r>
            <w:r>
              <w:rPr>
                <w:rFonts w:ascii="Arial" w:eastAsia="Arial" w:hAnsi="Arial" w:cs="Arial"/>
                <w:sz w:val="18"/>
              </w:rPr>
              <w:t xml:space="preserve">1.75%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6" w:firstLine="0"/>
              <w:jc w:val="center"/>
            </w:pPr>
            <w:r>
              <w:rPr>
                <w:sz w:val="18"/>
              </w:rPr>
              <w:t>此後</w:t>
            </w:r>
            <w:r>
              <w:rPr>
                <w:rFonts w:ascii="Arial" w:eastAsia="Arial" w:hAnsi="Arial" w:cs="Arial"/>
                <w:sz w:val="18"/>
              </w:rPr>
              <w:t xml:space="preserve"> = 0% </w:t>
            </w:r>
          </w:p>
        </w:tc>
      </w:tr>
      <w:tr w:rsidR="004D6F0E">
        <w:trPr>
          <w:trHeight w:val="468"/>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lastRenderedPageBreak/>
              <w:t xml:space="preserve">CT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1.95% </w:t>
            </w:r>
            <w:r>
              <w:rPr>
                <w:sz w:val="18"/>
              </w:rPr>
              <w:t>最高為</w:t>
            </w:r>
            <w:r>
              <w:rPr>
                <w:sz w:val="18"/>
              </w:rPr>
              <w:t xml:space="preserve"> </w:t>
            </w:r>
            <w:r>
              <w:rPr>
                <w:rFonts w:ascii="Arial" w:eastAsia="Arial" w:hAnsi="Arial" w:cs="Arial"/>
                <w:sz w:val="18"/>
              </w:rPr>
              <w:t xml:space="preserve">1.75%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290" w:hanging="29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trHeight w:val="468"/>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CK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1.95% </w:t>
            </w:r>
            <w:r>
              <w:rPr>
                <w:sz w:val="18"/>
              </w:rPr>
              <w:t>最高為</w:t>
            </w:r>
            <w:r>
              <w:rPr>
                <w:sz w:val="18"/>
              </w:rPr>
              <w:t xml:space="preserve"> </w:t>
            </w:r>
            <w:r>
              <w:rPr>
                <w:rFonts w:ascii="Arial" w:eastAsia="Arial" w:hAnsi="Arial" w:cs="Arial"/>
                <w:sz w:val="18"/>
              </w:rPr>
              <w:t xml:space="preserve">1.75%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290" w:hanging="29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trHeight w:val="937"/>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EA </w:t>
            </w:r>
            <w:r>
              <w:rPr>
                <w:sz w:val="18"/>
              </w:rPr>
              <w:t>類股份</w:t>
            </w:r>
            <w:r>
              <w:rPr>
                <w:sz w:val="18"/>
              </w:rPr>
              <w:t xml:space="preserve"> </w:t>
            </w:r>
            <w:r>
              <w:rPr>
                <w:rFonts w:ascii="Arial" w:eastAsia="Arial" w:hAnsi="Arial" w:cs="Arial"/>
                <w:sz w:val="18"/>
                <w:vertAlign w:val="superscript"/>
              </w:rPr>
              <w:t>11</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vAlign w:val="center"/>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28"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68"/>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5" w:firstLine="0"/>
            </w:pPr>
            <w:r>
              <w:rPr>
                <w:sz w:val="18"/>
              </w:rPr>
              <w:t>最高為</w:t>
            </w:r>
            <w:r>
              <w:rPr>
                <w:sz w:val="18"/>
              </w:rPr>
              <w:t xml:space="preserve"> </w:t>
            </w:r>
            <w:r>
              <w:rPr>
                <w:rFonts w:ascii="Arial" w:eastAsia="Arial" w:hAnsi="Arial" w:cs="Arial"/>
                <w:sz w:val="18"/>
              </w:rPr>
              <w:t xml:space="preserve">1.50%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vAlign w:val="center"/>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468"/>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5" w:firstLine="0"/>
            </w:pPr>
            <w:r>
              <w:rPr>
                <w:sz w:val="18"/>
              </w:rPr>
              <w:t>最高為</w:t>
            </w:r>
            <w:r>
              <w:rPr>
                <w:sz w:val="18"/>
              </w:rPr>
              <w:t xml:space="preserve"> </w:t>
            </w:r>
            <w:r>
              <w:rPr>
                <w:rFonts w:ascii="Arial" w:eastAsia="Arial" w:hAnsi="Arial" w:cs="Arial"/>
                <w:sz w:val="18"/>
              </w:rPr>
              <w:t xml:space="preserve">1.50%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0" w:right="113" w:firstLine="19"/>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vAlign w:val="center"/>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468"/>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IQD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5" w:firstLine="0"/>
            </w:pPr>
            <w:r>
              <w:rPr>
                <w:sz w:val="18"/>
              </w:rPr>
              <w:t>最高為</w:t>
            </w:r>
            <w:r>
              <w:rPr>
                <w:sz w:val="18"/>
              </w:rPr>
              <w:t xml:space="preserve"> </w:t>
            </w:r>
            <w:r>
              <w:rPr>
                <w:rFonts w:ascii="Arial" w:eastAsia="Arial" w:hAnsi="Arial" w:cs="Arial"/>
                <w:sz w:val="18"/>
              </w:rPr>
              <w:t xml:space="preserve">1.50%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vAlign w:val="center"/>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469"/>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JA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vAlign w:val="center"/>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trHeight w:val="936"/>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J </w:t>
            </w:r>
            <w:r>
              <w:rPr>
                <w:sz w:val="18"/>
              </w:rPr>
              <w:t>類股份</w:t>
            </w:r>
            <w:r>
              <w:rPr>
                <w:sz w:val="18"/>
              </w:rPr>
              <w:t xml:space="preserve"> </w:t>
            </w:r>
            <w:r>
              <w:rPr>
                <w:rFonts w:ascii="Arial" w:eastAsia="Arial" w:hAnsi="Arial" w:cs="Arial"/>
                <w:b/>
                <w:sz w:val="18"/>
                <w:vertAlign w:val="superscript"/>
              </w:rPr>
              <w:t>2</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vAlign w:val="center"/>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28"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20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66"/>
        </w:trPr>
        <w:tc>
          <w:tcPr>
            <w:tcW w:w="213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vAlign w:val="center"/>
          </w:tcPr>
          <w:p w:rsidR="004D6F0E" w:rsidRDefault="00490F21">
            <w:pPr>
              <w:spacing w:after="0" w:line="259" w:lineRule="auto"/>
              <w:ind w:left="5" w:firstLine="0"/>
            </w:pPr>
            <w:r>
              <w:rPr>
                <w:sz w:val="18"/>
              </w:rPr>
              <w:t>最高為</w:t>
            </w:r>
            <w:r>
              <w:rPr>
                <w:sz w:val="18"/>
              </w:rPr>
              <w:t xml:space="preserve"> </w:t>
            </w:r>
            <w:r>
              <w:rPr>
                <w:rFonts w:ascii="Arial" w:eastAsia="Arial" w:hAnsi="Arial" w:cs="Arial"/>
                <w:sz w:val="18"/>
              </w:rPr>
              <w:t xml:space="preserve">3.00%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right="113" w:firstLine="0"/>
            </w:pPr>
            <w:r>
              <w:rPr>
                <w:sz w:val="18"/>
              </w:rPr>
              <w:t>最高為</w:t>
            </w:r>
            <w:r>
              <w:rPr>
                <w:sz w:val="18"/>
              </w:rPr>
              <w:t xml:space="preserve"> </w:t>
            </w:r>
            <w:r>
              <w:rPr>
                <w:rFonts w:ascii="Arial" w:eastAsia="Arial" w:hAnsi="Arial" w:cs="Arial"/>
                <w:sz w:val="18"/>
              </w:rPr>
              <w:t xml:space="preserve">2.00% </w:t>
            </w:r>
            <w:r>
              <w:rPr>
                <w:sz w:val="18"/>
              </w:rPr>
              <w:t>最高為</w:t>
            </w:r>
            <w:r>
              <w:rPr>
                <w:sz w:val="18"/>
              </w:rPr>
              <w:t xml:space="preserve"> </w:t>
            </w:r>
            <w:r>
              <w:rPr>
                <w:rFonts w:ascii="Arial" w:eastAsia="Arial" w:hAnsi="Arial" w:cs="Arial"/>
                <w:sz w:val="18"/>
              </w:rPr>
              <w:t xml:space="preserve">1.85%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vAlign w:val="center"/>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trHeight w:val="237"/>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478" w:firstLine="0"/>
            </w:pPr>
            <w:r>
              <w:rPr>
                <w:sz w:val="18"/>
              </w:rPr>
              <w:t>無</w:t>
            </w:r>
            <w:r>
              <w:rPr>
                <w:rFonts w:ascii="Arial" w:eastAsia="Arial" w:hAnsi="Arial" w:cs="Arial"/>
                <w:sz w:val="18"/>
              </w:rPr>
              <w:t xml:space="preserve">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37"/>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18"/>
              </w:rPr>
              <w:t xml:space="preserve">0.90%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29"/>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SA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478" w:firstLine="0"/>
            </w:pPr>
            <w:r>
              <w:rPr>
                <w:sz w:val="18"/>
              </w:rPr>
              <w:t>無</w:t>
            </w:r>
            <w:r>
              <w:rPr>
                <w:rFonts w:ascii="Arial" w:eastAsia="Arial" w:hAnsi="Arial" w:cs="Arial"/>
                <w:sz w:val="18"/>
              </w:rPr>
              <w:t xml:space="preserve">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40"/>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S1D </w:t>
            </w:r>
            <w:r>
              <w:rPr>
                <w:sz w:val="18"/>
              </w:rPr>
              <w:t>類股份</w:t>
            </w:r>
            <w:r>
              <w:rPr>
                <w:sz w:val="18"/>
              </w:rPr>
              <w:t xml:space="preserve"> </w:t>
            </w:r>
            <w:r>
              <w:rPr>
                <w:rFonts w:ascii="Arial" w:eastAsia="Arial" w:hAnsi="Arial" w:cs="Arial"/>
                <w:sz w:val="18"/>
                <w:vertAlign w:val="superscript"/>
              </w:rPr>
              <w:t>10</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18"/>
              </w:rPr>
              <w:t xml:space="preserve">0.90%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35"/>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S1D2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18"/>
              </w:rPr>
              <w:t xml:space="preserve">0.90%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31"/>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S1QD </w:t>
            </w:r>
            <w:r>
              <w:rPr>
                <w:sz w:val="18"/>
              </w:rPr>
              <w:t>類股份</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18"/>
              </w:rPr>
              <w:t xml:space="preserve">0.90%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35"/>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SK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312" w:firstLine="0"/>
            </w:pPr>
            <w:r>
              <w:rPr>
                <w:rFonts w:ascii="Arial" w:eastAsia="Arial" w:hAnsi="Arial" w:cs="Arial"/>
                <w:sz w:val="18"/>
              </w:rPr>
              <w:t xml:space="preserve">0.65%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28"/>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SHK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478" w:firstLine="0"/>
            </w:pPr>
            <w:r>
              <w:rPr>
                <w:sz w:val="18"/>
              </w:rPr>
              <w:t>無</w:t>
            </w:r>
            <w:r>
              <w:rPr>
                <w:rFonts w:ascii="Arial" w:eastAsia="Arial" w:hAnsi="Arial" w:cs="Arial"/>
                <w:sz w:val="18"/>
              </w:rPr>
              <w:t xml:space="preserve">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34"/>
        </w:trPr>
        <w:tc>
          <w:tcPr>
            <w:tcW w:w="2134" w:type="dxa"/>
            <w:tcBorders>
              <w:top w:val="nil"/>
              <w:left w:val="nil"/>
              <w:bottom w:val="nil"/>
              <w:right w:val="nil"/>
            </w:tcBorders>
          </w:tcPr>
          <w:p w:rsidR="004D6F0E" w:rsidRDefault="00490F21">
            <w:pPr>
              <w:spacing w:after="0" w:line="259" w:lineRule="auto"/>
              <w:ind w:left="12" w:firstLine="0"/>
            </w:pPr>
            <w:r>
              <w:rPr>
                <w:rFonts w:ascii="Arial" w:eastAsia="Arial" w:hAnsi="Arial" w:cs="Arial"/>
                <w:sz w:val="18"/>
              </w:rPr>
              <w:t xml:space="preserve">W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firstLine="0"/>
            </w:pPr>
            <w:r>
              <w:rPr>
                <w:sz w:val="18"/>
              </w:rPr>
              <w:t>最高為</w:t>
            </w:r>
            <w:r>
              <w:rPr>
                <w:sz w:val="18"/>
              </w:rPr>
              <w:t xml:space="preserve"> </w:t>
            </w:r>
            <w:r>
              <w:rPr>
                <w:rFonts w:ascii="Arial" w:eastAsia="Arial" w:hAnsi="Arial" w:cs="Arial"/>
                <w:sz w:val="18"/>
              </w:rPr>
              <w:t xml:space="preserve">1.15%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35"/>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WT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firstLine="0"/>
            </w:pPr>
            <w:r>
              <w:rPr>
                <w:sz w:val="18"/>
              </w:rPr>
              <w:t>最高為</w:t>
            </w:r>
            <w:r>
              <w:rPr>
                <w:sz w:val="18"/>
              </w:rPr>
              <w:t xml:space="preserve"> </w:t>
            </w:r>
            <w:r>
              <w:rPr>
                <w:rFonts w:ascii="Arial" w:eastAsia="Arial" w:hAnsi="Arial" w:cs="Arial"/>
                <w:sz w:val="18"/>
              </w:rPr>
              <w:t xml:space="preserve">1.15%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41"/>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W2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9" w:type="dxa"/>
            <w:tcBorders>
              <w:top w:val="nil"/>
              <w:left w:val="nil"/>
              <w:bottom w:val="nil"/>
              <w:right w:val="nil"/>
            </w:tcBorders>
          </w:tcPr>
          <w:p w:rsidR="004D6F0E" w:rsidRDefault="004D6F0E">
            <w:pPr>
              <w:spacing w:after="160" w:line="259" w:lineRule="auto"/>
              <w:ind w:left="0" w:firstLine="0"/>
            </w:pPr>
          </w:p>
        </w:tc>
        <w:tc>
          <w:tcPr>
            <w:tcW w:w="1584" w:type="dxa"/>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451" w:type="dxa"/>
            <w:tcBorders>
              <w:top w:val="nil"/>
              <w:left w:val="nil"/>
              <w:bottom w:val="nil"/>
              <w:right w:val="nil"/>
            </w:tcBorders>
          </w:tcPr>
          <w:p w:rsidR="004D6F0E" w:rsidRDefault="004D6F0E">
            <w:pPr>
              <w:spacing w:after="160" w:line="259" w:lineRule="auto"/>
              <w:ind w:left="0" w:firstLine="0"/>
            </w:pPr>
          </w:p>
        </w:tc>
        <w:tc>
          <w:tcPr>
            <w:tcW w:w="1817" w:type="dxa"/>
            <w:tcBorders>
              <w:top w:val="nil"/>
              <w:left w:val="nil"/>
              <w:bottom w:val="nil"/>
              <w:right w:val="nil"/>
            </w:tcBorders>
          </w:tcPr>
          <w:p w:rsidR="004D6F0E" w:rsidRDefault="00490F21">
            <w:pPr>
              <w:spacing w:after="0" w:line="259" w:lineRule="auto"/>
              <w:ind w:left="19" w:firstLine="0"/>
            </w:pPr>
            <w:r>
              <w:rPr>
                <w:sz w:val="18"/>
              </w:rPr>
              <w:t>最高為</w:t>
            </w:r>
            <w:r>
              <w:rPr>
                <w:sz w:val="18"/>
              </w:rPr>
              <w:t xml:space="preserve"> </w:t>
            </w:r>
            <w:r>
              <w:rPr>
                <w:rFonts w:ascii="Arial" w:eastAsia="Arial" w:hAnsi="Arial" w:cs="Arial"/>
                <w:sz w:val="18"/>
              </w:rPr>
              <w:t xml:space="preserve">1.15% </w:t>
            </w:r>
          </w:p>
        </w:tc>
        <w:tc>
          <w:tcPr>
            <w:tcW w:w="763" w:type="dxa"/>
            <w:tcBorders>
              <w:top w:val="nil"/>
              <w:left w:val="nil"/>
              <w:bottom w:val="nil"/>
              <w:right w:val="nil"/>
            </w:tcBorders>
          </w:tcPr>
          <w:p w:rsidR="004D6F0E" w:rsidRDefault="004D6F0E">
            <w:pPr>
              <w:spacing w:after="160" w:line="259" w:lineRule="auto"/>
              <w:ind w:left="0" w:firstLine="0"/>
            </w:pPr>
          </w:p>
        </w:tc>
        <w:tc>
          <w:tcPr>
            <w:tcW w:w="150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367" w:type="dxa"/>
            <w:tcBorders>
              <w:top w:val="nil"/>
              <w:left w:val="nil"/>
              <w:bottom w:val="nil"/>
              <w:right w:val="nil"/>
            </w:tcBorders>
          </w:tcPr>
          <w:p w:rsidR="004D6F0E" w:rsidRDefault="004D6F0E">
            <w:pPr>
              <w:spacing w:after="160" w:line="259" w:lineRule="auto"/>
              <w:ind w:left="0" w:firstLine="0"/>
            </w:pPr>
          </w:p>
        </w:tc>
        <w:tc>
          <w:tcPr>
            <w:tcW w:w="1495" w:type="dxa"/>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trHeight w:val="200"/>
        </w:trPr>
        <w:tc>
          <w:tcPr>
            <w:tcW w:w="213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25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584" w:type="dxa"/>
            <w:tcBorders>
              <w:top w:val="nil"/>
              <w:left w:val="nil"/>
              <w:bottom w:val="nil"/>
              <w:right w:val="nil"/>
            </w:tcBorders>
          </w:tcPr>
          <w:p w:rsidR="004D6F0E" w:rsidRDefault="004D6F0E">
            <w:pPr>
              <w:spacing w:after="160" w:line="259" w:lineRule="auto"/>
              <w:ind w:left="0" w:firstLine="0"/>
            </w:pPr>
          </w:p>
        </w:tc>
        <w:tc>
          <w:tcPr>
            <w:tcW w:w="4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817" w:type="dxa"/>
            <w:tcBorders>
              <w:top w:val="nil"/>
              <w:left w:val="nil"/>
              <w:bottom w:val="nil"/>
              <w:right w:val="nil"/>
            </w:tcBorders>
          </w:tcPr>
          <w:p w:rsidR="004D6F0E" w:rsidRDefault="004D6F0E">
            <w:pPr>
              <w:spacing w:after="160" w:line="259" w:lineRule="auto"/>
              <w:ind w:left="0" w:firstLine="0"/>
            </w:pPr>
          </w:p>
        </w:tc>
        <w:tc>
          <w:tcPr>
            <w:tcW w:w="76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502" w:type="dxa"/>
            <w:tcBorders>
              <w:top w:val="nil"/>
              <w:left w:val="nil"/>
              <w:bottom w:val="nil"/>
              <w:right w:val="nil"/>
            </w:tcBorders>
          </w:tcPr>
          <w:p w:rsidR="004D6F0E" w:rsidRDefault="004D6F0E">
            <w:pPr>
              <w:spacing w:after="160" w:line="259" w:lineRule="auto"/>
              <w:ind w:left="0" w:firstLine="0"/>
            </w:pPr>
          </w:p>
        </w:tc>
        <w:tc>
          <w:tcPr>
            <w:tcW w:w="367"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495" w:type="dxa"/>
            <w:tcBorders>
              <w:top w:val="nil"/>
              <w:left w:val="nil"/>
              <w:bottom w:val="nil"/>
              <w:right w:val="nil"/>
            </w:tcBorders>
          </w:tcPr>
          <w:p w:rsidR="004D6F0E" w:rsidRDefault="004D6F0E">
            <w:pPr>
              <w:spacing w:after="160" w:line="259" w:lineRule="auto"/>
              <w:ind w:left="0" w:firstLine="0"/>
            </w:pPr>
          </w:p>
        </w:tc>
      </w:tr>
    </w:tbl>
    <w:p w:rsidR="004D6F0E" w:rsidRDefault="00490F21">
      <w:pPr>
        <w:shd w:val="clear" w:color="auto" w:fill="D9D9D9"/>
        <w:tabs>
          <w:tab w:val="center" w:pos="2242"/>
          <w:tab w:val="center" w:pos="4085"/>
          <w:tab w:val="center" w:pos="6353"/>
          <w:tab w:val="center" w:pos="8618"/>
        </w:tabs>
        <w:spacing w:after="11" w:line="250" w:lineRule="auto"/>
        <w:ind w:left="100" w:right="552" w:firstLine="0"/>
      </w:pPr>
      <w:r>
        <w:rPr>
          <w:sz w:val="18"/>
        </w:rPr>
        <w:t>歐元計價股份類別</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0480" w:type="dxa"/>
        <w:tblInd w:w="0" w:type="dxa"/>
        <w:tblCellMar>
          <w:top w:w="7" w:type="dxa"/>
          <w:left w:w="0" w:type="dxa"/>
          <w:bottom w:w="0" w:type="dxa"/>
          <w:right w:w="0" w:type="dxa"/>
        </w:tblCellMar>
        <w:tblLook w:val="04A0" w:firstRow="1" w:lastRow="0" w:firstColumn="1" w:lastColumn="0" w:noHBand="0" w:noVBand="1"/>
      </w:tblPr>
      <w:tblGrid>
        <w:gridCol w:w="2423"/>
        <w:gridCol w:w="77"/>
        <w:gridCol w:w="1906"/>
        <w:gridCol w:w="166"/>
        <w:gridCol w:w="2269"/>
        <w:gridCol w:w="218"/>
        <w:gridCol w:w="1591"/>
        <w:gridCol w:w="9"/>
        <w:gridCol w:w="1442"/>
        <w:gridCol w:w="379"/>
      </w:tblGrid>
      <w:tr w:rsidR="004D6F0E">
        <w:trPr>
          <w:gridAfter w:val="1"/>
          <w:wAfter w:w="441" w:type="dxa"/>
          <w:trHeight w:val="442"/>
        </w:trPr>
        <w:tc>
          <w:tcPr>
            <w:tcW w:w="2501"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035"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580" w:type="dxa"/>
            <w:gridSpan w:val="2"/>
            <w:tcBorders>
              <w:top w:val="nil"/>
              <w:left w:val="nil"/>
              <w:bottom w:val="nil"/>
              <w:right w:val="nil"/>
            </w:tcBorders>
          </w:tcPr>
          <w:p w:rsidR="004D6F0E" w:rsidRDefault="00490F21">
            <w:pPr>
              <w:spacing w:after="0" w:line="259" w:lineRule="auto"/>
              <w:ind w:left="19" w:right="87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70"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vAlign w:val="center"/>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gridAfter w:val="1"/>
          <w:wAfter w:w="441" w:type="dxa"/>
          <w:trHeight w:val="469"/>
        </w:trPr>
        <w:tc>
          <w:tcPr>
            <w:tcW w:w="2501"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035"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580" w:type="dxa"/>
            <w:gridSpan w:val="2"/>
            <w:tcBorders>
              <w:top w:val="nil"/>
              <w:left w:val="nil"/>
              <w:bottom w:val="nil"/>
              <w:right w:val="nil"/>
            </w:tcBorders>
          </w:tcPr>
          <w:p w:rsidR="004D6F0E" w:rsidRDefault="00490F21">
            <w:pPr>
              <w:spacing w:after="0" w:line="259" w:lineRule="auto"/>
              <w:ind w:left="19" w:right="87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70"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vAlign w:val="center"/>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gridAfter w:val="1"/>
          <w:wAfter w:w="441" w:type="dxa"/>
          <w:trHeight w:val="468"/>
        </w:trPr>
        <w:tc>
          <w:tcPr>
            <w:tcW w:w="2501"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2035"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580" w:type="dxa"/>
            <w:gridSpan w:val="2"/>
            <w:tcBorders>
              <w:top w:val="nil"/>
              <w:left w:val="nil"/>
              <w:bottom w:val="nil"/>
              <w:right w:val="nil"/>
            </w:tcBorders>
          </w:tcPr>
          <w:p w:rsidR="004D6F0E" w:rsidRDefault="00490F21">
            <w:pPr>
              <w:spacing w:after="0" w:line="259" w:lineRule="auto"/>
              <w:ind w:left="19" w:right="87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70"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vAlign w:val="center"/>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gridAfter w:val="1"/>
          <w:wAfter w:w="441" w:type="dxa"/>
          <w:trHeight w:val="468"/>
        </w:trPr>
        <w:tc>
          <w:tcPr>
            <w:tcW w:w="2501"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2035" w:type="dxa"/>
            <w:gridSpan w:val="2"/>
            <w:tcBorders>
              <w:top w:val="nil"/>
              <w:left w:val="nil"/>
              <w:bottom w:val="nil"/>
              <w:right w:val="nil"/>
            </w:tcBorders>
            <w:vAlign w:val="center"/>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2580" w:type="dxa"/>
            <w:gridSpan w:val="2"/>
            <w:tcBorders>
              <w:top w:val="nil"/>
              <w:left w:val="nil"/>
              <w:bottom w:val="nil"/>
              <w:right w:val="nil"/>
            </w:tcBorders>
          </w:tcPr>
          <w:p w:rsidR="004D6F0E" w:rsidRDefault="00490F21">
            <w:pPr>
              <w:spacing w:after="0" w:line="259" w:lineRule="auto"/>
              <w:ind w:left="19" w:right="876" w:firstLine="0"/>
            </w:pPr>
            <w:r>
              <w:rPr>
                <w:sz w:val="18"/>
              </w:rPr>
              <w:t>最高為</w:t>
            </w:r>
            <w:r>
              <w:rPr>
                <w:sz w:val="18"/>
              </w:rPr>
              <w:t xml:space="preserve"> </w:t>
            </w:r>
            <w:r>
              <w:rPr>
                <w:rFonts w:ascii="Arial" w:eastAsia="Arial" w:hAnsi="Arial" w:cs="Arial"/>
                <w:sz w:val="18"/>
              </w:rPr>
              <w:t xml:space="preserve">1.95% </w:t>
            </w:r>
            <w:r>
              <w:rPr>
                <w:sz w:val="18"/>
              </w:rPr>
              <w:t>最高為</w:t>
            </w:r>
            <w:r>
              <w:rPr>
                <w:sz w:val="18"/>
              </w:rPr>
              <w:t xml:space="preserve"> </w:t>
            </w:r>
            <w:r>
              <w:rPr>
                <w:rFonts w:ascii="Arial" w:eastAsia="Arial" w:hAnsi="Arial" w:cs="Arial"/>
                <w:sz w:val="18"/>
              </w:rPr>
              <w:t xml:space="preserve">1.75% </w:t>
            </w:r>
          </w:p>
        </w:tc>
        <w:tc>
          <w:tcPr>
            <w:tcW w:w="1870"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gridAfter w:val="1"/>
          <w:wAfter w:w="441" w:type="dxa"/>
          <w:trHeight w:val="468"/>
        </w:trPr>
        <w:tc>
          <w:tcPr>
            <w:tcW w:w="2501"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035" w:type="dxa"/>
            <w:gridSpan w:val="2"/>
            <w:tcBorders>
              <w:top w:val="nil"/>
              <w:left w:val="nil"/>
              <w:bottom w:val="nil"/>
              <w:right w:val="nil"/>
            </w:tcBorders>
            <w:vAlign w:val="center"/>
          </w:tcPr>
          <w:p w:rsidR="004D6F0E" w:rsidRDefault="00490F21">
            <w:pPr>
              <w:spacing w:after="0" w:line="259" w:lineRule="auto"/>
              <w:ind w:left="89" w:firstLine="0"/>
            </w:pPr>
            <w:r>
              <w:rPr>
                <w:sz w:val="18"/>
              </w:rPr>
              <w:t>最高為</w:t>
            </w:r>
            <w:r>
              <w:rPr>
                <w:sz w:val="18"/>
              </w:rPr>
              <w:t xml:space="preserve"> </w:t>
            </w:r>
            <w:r>
              <w:rPr>
                <w:rFonts w:ascii="Arial" w:eastAsia="Arial" w:hAnsi="Arial" w:cs="Arial"/>
                <w:sz w:val="18"/>
              </w:rPr>
              <w:t xml:space="preserve">1.50% </w:t>
            </w:r>
          </w:p>
        </w:tc>
        <w:tc>
          <w:tcPr>
            <w:tcW w:w="2580" w:type="dxa"/>
            <w:gridSpan w:val="2"/>
            <w:tcBorders>
              <w:top w:val="nil"/>
              <w:left w:val="nil"/>
              <w:bottom w:val="nil"/>
              <w:right w:val="nil"/>
            </w:tcBorders>
          </w:tcPr>
          <w:p w:rsidR="004D6F0E" w:rsidRDefault="00490F21">
            <w:pPr>
              <w:spacing w:after="0" w:line="259" w:lineRule="auto"/>
              <w:ind w:left="19" w:right="876"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1870"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vAlign w:val="center"/>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gridAfter w:val="1"/>
          <w:wAfter w:w="441" w:type="dxa"/>
          <w:trHeight w:val="238"/>
        </w:trPr>
        <w:tc>
          <w:tcPr>
            <w:tcW w:w="2501"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035" w:type="dxa"/>
            <w:gridSpan w:val="2"/>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580" w:type="dxa"/>
            <w:gridSpan w:val="2"/>
            <w:tcBorders>
              <w:top w:val="nil"/>
              <w:left w:val="nil"/>
              <w:bottom w:val="nil"/>
              <w:right w:val="nil"/>
            </w:tcBorders>
          </w:tcPr>
          <w:p w:rsidR="004D6F0E" w:rsidRDefault="00490F21">
            <w:pPr>
              <w:spacing w:after="0" w:line="259" w:lineRule="auto"/>
              <w:ind w:left="312" w:firstLine="0"/>
            </w:pPr>
            <w:r>
              <w:rPr>
                <w:rFonts w:ascii="Arial" w:eastAsia="Arial" w:hAnsi="Arial" w:cs="Arial"/>
                <w:sz w:val="18"/>
              </w:rPr>
              <w:t xml:space="preserve">0.90% </w:t>
            </w:r>
          </w:p>
        </w:tc>
        <w:tc>
          <w:tcPr>
            <w:tcW w:w="187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gridAfter w:val="1"/>
          <w:wAfter w:w="441" w:type="dxa"/>
          <w:trHeight w:val="236"/>
        </w:trPr>
        <w:tc>
          <w:tcPr>
            <w:tcW w:w="2501"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035" w:type="dxa"/>
            <w:gridSpan w:val="2"/>
            <w:tcBorders>
              <w:top w:val="nil"/>
              <w:left w:val="nil"/>
              <w:bottom w:val="nil"/>
              <w:right w:val="nil"/>
            </w:tcBorders>
          </w:tcPr>
          <w:p w:rsidR="004D6F0E" w:rsidRDefault="00490F21">
            <w:pPr>
              <w:spacing w:after="0" w:line="259" w:lineRule="auto"/>
              <w:ind w:left="463" w:firstLine="0"/>
            </w:pPr>
            <w:r>
              <w:rPr>
                <w:sz w:val="18"/>
              </w:rPr>
              <w:t>無</w:t>
            </w:r>
            <w:r>
              <w:rPr>
                <w:rFonts w:ascii="Arial" w:eastAsia="Arial" w:hAnsi="Arial" w:cs="Arial"/>
                <w:sz w:val="18"/>
              </w:rPr>
              <w:t xml:space="preserve"> </w:t>
            </w:r>
          </w:p>
        </w:tc>
        <w:tc>
          <w:tcPr>
            <w:tcW w:w="2580" w:type="dxa"/>
            <w:gridSpan w:val="2"/>
            <w:tcBorders>
              <w:top w:val="nil"/>
              <w:left w:val="nil"/>
              <w:bottom w:val="nil"/>
              <w:right w:val="nil"/>
            </w:tcBorders>
          </w:tcPr>
          <w:p w:rsidR="004D6F0E" w:rsidRDefault="00490F21">
            <w:pPr>
              <w:spacing w:after="0" w:line="259" w:lineRule="auto"/>
              <w:ind w:left="19" w:firstLine="0"/>
            </w:pPr>
            <w:r>
              <w:rPr>
                <w:sz w:val="18"/>
              </w:rPr>
              <w:t>最高為</w:t>
            </w:r>
            <w:r>
              <w:rPr>
                <w:sz w:val="18"/>
              </w:rPr>
              <w:t xml:space="preserve"> </w:t>
            </w:r>
            <w:r>
              <w:rPr>
                <w:rFonts w:ascii="Arial" w:eastAsia="Arial" w:hAnsi="Arial" w:cs="Arial"/>
                <w:sz w:val="18"/>
              </w:rPr>
              <w:t xml:space="preserve">1.15% </w:t>
            </w:r>
          </w:p>
        </w:tc>
        <w:tc>
          <w:tcPr>
            <w:tcW w:w="187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tcPr>
          <w:p w:rsidR="004D6F0E" w:rsidRDefault="00490F21">
            <w:pPr>
              <w:spacing w:after="0" w:line="259" w:lineRule="auto"/>
              <w:ind w:left="0" w:right="48" w:firstLine="0"/>
              <w:jc w:val="center"/>
            </w:pPr>
            <w:r>
              <w:rPr>
                <w:sz w:val="18"/>
              </w:rPr>
              <w:t>無</w:t>
            </w:r>
            <w:r>
              <w:rPr>
                <w:rFonts w:ascii="Arial" w:eastAsia="Arial" w:hAnsi="Arial" w:cs="Arial"/>
                <w:sz w:val="18"/>
              </w:rPr>
              <w:t xml:space="preserve"> </w:t>
            </w:r>
          </w:p>
        </w:tc>
      </w:tr>
      <w:tr w:rsidR="004D6F0E">
        <w:trPr>
          <w:gridAfter w:val="1"/>
          <w:wAfter w:w="441" w:type="dxa"/>
          <w:trHeight w:val="226"/>
        </w:trPr>
        <w:tc>
          <w:tcPr>
            <w:tcW w:w="2501"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 </w:t>
            </w:r>
          </w:p>
        </w:tc>
        <w:tc>
          <w:tcPr>
            <w:tcW w:w="2035" w:type="dxa"/>
            <w:gridSpan w:val="2"/>
            <w:tcBorders>
              <w:top w:val="nil"/>
              <w:left w:val="nil"/>
              <w:bottom w:val="nil"/>
              <w:right w:val="nil"/>
            </w:tcBorders>
          </w:tcPr>
          <w:p w:rsidR="004D6F0E" w:rsidRDefault="00490F21">
            <w:pPr>
              <w:spacing w:after="0" w:line="259" w:lineRule="auto"/>
              <w:ind w:left="0" w:right="171" w:firstLine="0"/>
              <w:jc w:val="center"/>
            </w:pPr>
            <w:r>
              <w:rPr>
                <w:rFonts w:ascii="Arial" w:eastAsia="Arial" w:hAnsi="Arial" w:cs="Arial"/>
                <w:sz w:val="18"/>
              </w:rPr>
              <w:t xml:space="preserve"> </w:t>
            </w:r>
          </w:p>
        </w:tc>
        <w:tc>
          <w:tcPr>
            <w:tcW w:w="2580" w:type="dxa"/>
            <w:gridSpan w:val="2"/>
            <w:tcBorders>
              <w:top w:val="nil"/>
              <w:left w:val="nil"/>
              <w:bottom w:val="nil"/>
              <w:right w:val="nil"/>
            </w:tcBorders>
          </w:tcPr>
          <w:p w:rsidR="004D6F0E" w:rsidRDefault="00490F21">
            <w:pPr>
              <w:spacing w:after="0" w:line="259" w:lineRule="auto"/>
              <w:ind w:left="566" w:firstLine="0"/>
            </w:pPr>
            <w:r>
              <w:rPr>
                <w:rFonts w:ascii="Arial" w:eastAsia="Arial" w:hAnsi="Arial" w:cs="Arial"/>
                <w:sz w:val="18"/>
              </w:rPr>
              <w:t xml:space="preserve"> </w:t>
            </w:r>
          </w:p>
        </w:tc>
        <w:tc>
          <w:tcPr>
            <w:tcW w:w="1870"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 </w:t>
            </w:r>
          </w:p>
        </w:tc>
        <w:tc>
          <w:tcPr>
            <w:tcW w:w="1495" w:type="dxa"/>
            <w:gridSpan w:val="2"/>
            <w:tcBorders>
              <w:top w:val="nil"/>
              <w:left w:val="nil"/>
              <w:bottom w:val="nil"/>
              <w:right w:val="nil"/>
            </w:tcBorders>
          </w:tcPr>
          <w:p w:rsidR="004D6F0E" w:rsidRDefault="00490F21">
            <w:pPr>
              <w:spacing w:after="0" w:line="259" w:lineRule="auto"/>
              <w:ind w:left="0" w:firstLine="0"/>
              <w:jc w:val="center"/>
            </w:pPr>
            <w:r>
              <w:rPr>
                <w:rFonts w:ascii="Arial" w:eastAsia="Arial" w:hAnsi="Arial" w:cs="Arial"/>
                <w:sz w:val="18"/>
              </w:rPr>
              <w:t xml:space="preserve"> </w:t>
            </w:r>
          </w:p>
        </w:tc>
      </w:tr>
      <w:tr w:rsidR="004D6F0E">
        <w:trPr>
          <w:gridAfter w:val="1"/>
          <w:wAfter w:w="441" w:type="dxa"/>
          <w:trHeight w:val="243"/>
        </w:trPr>
        <w:tc>
          <w:tcPr>
            <w:tcW w:w="2501" w:type="dxa"/>
            <w:tcBorders>
              <w:top w:val="nil"/>
              <w:left w:val="nil"/>
              <w:bottom w:val="nil"/>
              <w:right w:val="nil"/>
            </w:tcBorders>
          </w:tcPr>
          <w:p w:rsidR="004D6F0E" w:rsidRDefault="00490F21">
            <w:pPr>
              <w:spacing w:after="0" w:line="259" w:lineRule="auto"/>
              <w:ind w:left="0" w:firstLine="0"/>
            </w:pPr>
            <w:r>
              <w:rPr>
                <w:rFonts w:ascii="Times New Roman" w:eastAsia="Times New Roman" w:hAnsi="Times New Roman" w:cs="Times New Roman"/>
                <w:sz w:val="24"/>
              </w:rPr>
              <w:t xml:space="preserve"> </w:t>
            </w:r>
          </w:p>
        </w:tc>
        <w:tc>
          <w:tcPr>
            <w:tcW w:w="2035" w:type="dxa"/>
            <w:gridSpan w:val="2"/>
            <w:tcBorders>
              <w:top w:val="nil"/>
              <w:left w:val="nil"/>
              <w:bottom w:val="nil"/>
              <w:right w:val="nil"/>
            </w:tcBorders>
          </w:tcPr>
          <w:p w:rsidR="004D6F0E" w:rsidRDefault="00490F21">
            <w:pPr>
              <w:spacing w:after="0" w:line="259" w:lineRule="auto"/>
              <w:ind w:left="379" w:firstLine="0"/>
            </w:pPr>
            <w:r>
              <w:rPr>
                <w:rFonts w:ascii="Times New Roman" w:eastAsia="Times New Roman" w:hAnsi="Times New Roman" w:cs="Times New Roman"/>
                <w:sz w:val="24"/>
              </w:rPr>
              <w:t xml:space="preserve"> </w:t>
            </w:r>
          </w:p>
        </w:tc>
        <w:tc>
          <w:tcPr>
            <w:tcW w:w="2580" w:type="dxa"/>
            <w:gridSpan w:val="2"/>
            <w:tcBorders>
              <w:top w:val="nil"/>
              <w:left w:val="nil"/>
              <w:bottom w:val="nil"/>
              <w:right w:val="nil"/>
            </w:tcBorders>
          </w:tcPr>
          <w:p w:rsidR="004D6F0E" w:rsidRDefault="004D6F0E">
            <w:pPr>
              <w:spacing w:after="160" w:line="259" w:lineRule="auto"/>
              <w:ind w:left="0" w:firstLine="0"/>
            </w:pPr>
          </w:p>
        </w:tc>
        <w:tc>
          <w:tcPr>
            <w:tcW w:w="1870" w:type="dxa"/>
            <w:gridSpan w:val="2"/>
            <w:tcBorders>
              <w:top w:val="nil"/>
              <w:left w:val="nil"/>
              <w:bottom w:val="nil"/>
              <w:right w:val="nil"/>
            </w:tcBorders>
          </w:tcPr>
          <w:p w:rsidR="004D6F0E" w:rsidRDefault="004D6F0E">
            <w:pPr>
              <w:spacing w:after="160" w:line="259" w:lineRule="auto"/>
              <w:ind w:left="0" w:firstLine="0"/>
            </w:pPr>
          </w:p>
        </w:tc>
        <w:tc>
          <w:tcPr>
            <w:tcW w:w="1495" w:type="dxa"/>
            <w:gridSpan w:val="2"/>
            <w:tcBorders>
              <w:top w:val="nil"/>
              <w:left w:val="nil"/>
              <w:bottom w:val="nil"/>
              <w:right w:val="nil"/>
            </w:tcBorders>
          </w:tcPr>
          <w:p w:rsidR="004D6F0E" w:rsidRDefault="004D6F0E">
            <w:pPr>
              <w:spacing w:after="160" w:line="259" w:lineRule="auto"/>
              <w:ind w:left="0" w:firstLine="0"/>
            </w:pPr>
          </w:p>
        </w:tc>
      </w:tr>
      <w:tr w:rsidR="004D6F0E">
        <w:tblPrEx>
          <w:tblCellMar>
            <w:top w:w="23" w:type="dxa"/>
            <w:right w:w="115" w:type="dxa"/>
          </w:tblCellMar>
        </w:tblPrEx>
        <w:trPr>
          <w:trHeight w:val="233"/>
        </w:trPr>
        <w:tc>
          <w:tcPr>
            <w:tcW w:w="258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2124" w:type="dxa"/>
            <w:gridSpan w:val="2"/>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654" w:type="dxa"/>
            <w:gridSpan w:val="2"/>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1637"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927" w:type="dxa"/>
            <w:gridSpan w:val="2"/>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blPrEx>
          <w:tblCellMar>
            <w:top w:w="23" w:type="dxa"/>
            <w:right w:w="115" w:type="dxa"/>
          </w:tblCellMar>
        </w:tblPrEx>
        <w:trPr>
          <w:trHeight w:val="469"/>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676"/>
        </w:trPr>
        <w:tc>
          <w:tcPr>
            <w:tcW w:w="2580" w:type="dxa"/>
            <w:gridSpan w:val="2"/>
            <w:tcBorders>
              <w:top w:val="nil"/>
              <w:left w:val="nil"/>
              <w:bottom w:val="nil"/>
              <w:right w:val="nil"/>
            </w:tcBorders>
            <w:vAlign w:val="bottom"/>
          </w:tcPr>
          <w:p w:rsidR="004D6F0E" w:rsidRDefault="00490F21">
            <w:pPr>
              <w:spacing w:after="148" w:line="259" w:lineRule="auto"/>
              <w:ind w:left="115"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124" w:type="dxa"/>
            <w:gridSpan w:val="2"/>
            <w:tcBorders>
              <w:top w:val="nil"/>
              <w:left w:val="nil"/>
              <w:bottom w:val="nil"/>
              <w:right w:val="nil"/>
            </w:tcBorders>
            <w:vAlign w:val="bottom"/>
          </w:tcPr>
          <w:p w:rsidR="004D6F0E" w:rsidRDefault="00490F21">
            <w:pPr>
              <w:spacing w:after="13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8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p w:rsidR="004D6F0E" w:rsidRDefault="00490F21">
            <w:pPr>
              <w:spacing w:after="0" w:line="259" w:lineRule="auto"/>
              <w:ind w:left="547" w:firstLine="0"/>
            </w:pPr>
            <w:r>
              <w:rPr>
                <w:rFonts w:ascii="Arial" w:eastAsia="Arial" w:hAnsi="Arial" w:cs="Arial"/>
                <w:sz w:val="18"/>
              </w:rPr>
              <w:lastRenderedPageBreak/>
              <w:t xml:space="preserve"> </w:t>
            </w:r>
          </w:p>
        </w:tc>
        <w:tc>
          <w:tcPr>
            <w:tcW w:w="1637" w:type="dxa"/>
            <w:gridSpan w:val="2"/>
            <w:tcBorders>
              <w:top w:val="nil"/>
              <w:left w:val="nil"/>
              <w:bottom w:val="nil"/>
              <w:right w:val="nil"/>
            </w:tcBorders>
            <w:vAlign w:val="bottom"/>
          </w:tcPr>
          <w:p w:rsidR="004D6F0E" w:rsidRDefault="00490F21">
            <w:pPr>
              <w:spacing w:after="127" w:line="259" w:lineRule="auto"/>
              <w:ind w:left="0"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927" w:type="dxa"/>
            <w:gridSpan w:val="2"/>
            <w:tcBorders>
              <w:top w:val="nil"/>
              <w:left w:val="nil"/>
              <w:bottom w:val="nil"/>
              <w:right w:val="nil"/>
            </w:tcBorders>
            <w:vAlign w:val="bottom"/>
          </w:tcPr>
          <w:p w:rsidR="004D6F0E" w:rsidRDefault="00490F21">
            <w:pPr>
              <w:spacing w:after="12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blPrEx>
          <w:tblCellMar>
            <w:top w:w="23" w:type="dxa"/>
            <w:right w:w="115" w:type="dxa"/>
          </w:tblCellMar>
        </w:tblPrEx>
        <w:trPr>
          <w:trHeight w:val="233"/>
        </w:trPr>
        <w:tc>
          <w:tcPr>
            <w:tcW w:w="258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2124" w:type="dxa"/>
            <w:gridSpan w:val="2"/>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654" w:type="dxa"/>
            <w:gridSpan w:val="2"/>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1637" w:type="dxa"/>
            <w:gridSpan w:val="2"/>
            <w:tcBorders>
              <w:top w:val="nil"/>
              <w:left w:val="nil"/>
              <w:bottom w:val="nil"/>
              <w:right w:val="nil"/>
            </w:tcBorders>
            <w:shd w:val="clear" w:color="auto" w:fill="D9D9D9"/>
          </w:tcPr>
          <w:p w:rsidR="004D6F0E" w:rsidRDefault="00490F21">
            <w:pPr>
              <w:spacing w:after="0" w:line="259" w:lineRule="auto"/>
              <w:ind w:left="89" w:firstLine="0"/>
            </w:pPr>
            <w:r>
              <w:rPr>
                <w:rFonts w:ascii="Arial" w:eastAsia="Arial" w:hAnsi="Arial" w:cs="Arial"/>
                <w:sz w:val="18"/>
              </w:rPr>
              <w:t xml:space="preserve"> </w:t>
            </w:r>
          </w:p>
        </w:tc>
        <w:tc>
          <w:tcPr>
            <w:tcW w:w="1927" w:type="dxa"/>
            <w:gridSpan w:val="2"/>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r>
      <w:tr w:rsidR="004D6F0E">
        <w:tblPrEx>
          <w:tblCellMar>
            <w:top w:w="23" w:type="dxa"/>
            <w:right w:w="115" w:type="dxa"/>
          </w:tblCellMar>
        </w:tblPrEx>
        <w:trPr>
          <w:trHeight w:val="469"/>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12"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9"/>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675"/>
        </w:trPr>
        <w:tc>
          <w:tcPr>
            <w:tcW w:w="2580" w:type="dxa"/>
            <w:gridSpan w:val="2"/>
            <w:tcBorders>
              <w:top w:val="nil"/>
              <w:left w:val="nil"/>
              <w:bottom w:val="nil"/>
              <w:right w:val="nil"/>
            </w:tcBorders>
            <w:vAlign w:val="bottom"/>
          </w:tcPr>
          <w:p w:rsidR="004D6F0E" w:rsidRDefault="00490F21">
            <w:pPr>
              <w:spacing w:after="148" w:line="259" w:lineRule="auto"/>
              <w:ind w:left="115" w:firstLine="0"/>
            </w:pP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124" w:type="dxa"/>
            <w:gridSpan w:val="2"/>
            <w:tcBorders>
              <w:top w:val="nil"/>
              <w:left w:val="nil"/>
              <w:bottom w:val="nil"/>
              <w:right w:val="nil"/>
            </w:tcBorders>
            <w:vAlign w:val="bottom"/>
          </w:tcPr>
          <w:p w:rsidR="004D6F0E" w:rsidRDefault="00490F21">
            <w:pPr>
              <w:spacing w:after="13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86"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p w:rsidR="004D6F0E" w:rsidRDefault="00490F21">
            <w:pPr>
              <w:spacing w:after="0" w:line="259" w:lineRule="auto"/>
              <w:ind w:left="547" w:firstLine="0"/>
            </w:pPr>
            <w:r>
              <w:rPr>
                <w:rFonts w:ascii="Arial" w:eastAsia="Arial" w:hAnsi="Arial" w:cs="Arial"/>
                <w:sz w:val="18"/>
              </w:rPr>
              <w:t xml:space="preserve"> </w:t>
            </w:r>
          </w:p>
        </w:tc>
        <w:tc>
          <w:tcPr>
            <w:tcW w:w="1637" w:type="dxa"/>
            <w:gridSpan w:val="2"/>
            <w:tcBorders>
              <w:top w:val="nil"/>
              <w:left w:val="nil"/>
              <w:bottom w:val="nil"/>
              <w:right w:val="nil"/>
            </w:tcBorders>
            <w:vAlign w:val="bottom"/>
          </w:tcPr>
          <w:p w:rsidR="004D6F0E" w:rsidRDefault="00490F21">
            <w:pPr>
              <w:spacing w:after="12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927" w:type="dxa"/>
            <w:gridSpan w:val="2"/>
            <w:tcBorders>
              <w:top w:val="nil"/>
              <w:left w:val="nil"/>
              <w:bottom w:val="nil"/>
              <w:right w:val="nil"/>
            </w:tcBorders>
            <w:vAlign w:val="bottom"/>
          </w:tcPr>
          <w:p w:rsidR="004D6F0E" w:rsidRDefault="00490F21">
            <w:pPr>
              <w:spacing w:after="12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blPrEx>
          <w:tblCellMar>
            <w:top w:w="23" w:type="dxa"/>
            <w:right w:w="115" w:type="dxa"/>
          </w:tblCellMar>
        </w:tblPrEx>
        <w:trPr>
          <w:trHeight w:val="235"/>
        </w:trPr>
        <w:tc>
          <w:tcPr>
            <w:tcW w:w="258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212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6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37"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115" w:type="dxa"/>
          </w:tblCellMar>
        </w:tblPrEx>
        <w:trPr>
          <w:trHeight w:val="468"/>
        </w:trPr>
        <w:tc>
          <w:tcPr>
            <w:tcW w:w="2580" w:type="dxa"/>
            <w:gridSpan w:val="2"/>
            <w:tcBorders>
              <w:top w:val="nil"/>
              <w:left w:val="nil"/>
              <w:bottom w:val="nil"/>
              <w:right w:val="nil"/>
            </w:tcBorders>
          </w:tcPr>
          <w:p w:rsidR="004D6F0E" w:rsidRDefault="00490F21">
            <w:pPr>
              <w:spacing w:after="22"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歐元股份及</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9"/>
        </w:trPr>
        <w:tc>
          <w:tcPr>
            <w:tcW w:w="2580" w:type="dxa"/>
            <w:gridSpan w:val="2"/>
            <w:tcBorders>
              <w:top w:val="nil"/>
              <w:left w:val="nil"/>
              <w:bottom w:val="nil"/>
              <w:right w:val="nil"/>
            </w:tcBorders>
          </w:tcPr>
          <w:p w:rsidR="004D6F0E" w:rsidRDefault="00490F21">
            <w:pPr>
              <w:spacing w:after="24"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歐元股份及</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CT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1.95% </w:t>
            </w:r>
            <w:r>
              <w:rPr>
                <w:sz w:val="18"/>
              </w:rPr>
              <w:t>最高為</w:t>
            </w:r>
            <w:r>
              <w:rPr>
                <w:sz w:val="18"/>
              </w:rPr>
              <w:t xml:space="preserve"> </w:t>
            </w:r>
            <w:r>
              <w:rPr>
                <w:rFonts w:ascii="Arial" w:eastAsia="Arial" w:hAnsi="Arial" w:cs="Arial"/>
                <w:sz w:val="18"/>
              </w:rPr>
              <w:t xml:space="preserve">1.75%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1.95% </w:t>
            </w:r>
            <w:r>
              <w:rPr>
                <w:sz w:val="18"/>
              </w:rPr>
              <w:t>最高為</w:t>
            </w:r>
            <w:r>
              <w:rPr>
                <w:sz w:val="18"/>
              </w:rPr>
              <w:t xml:space="preserve"> </w:t>
            </w:r>
            <w:r>
              <w:rPr>
                <w:rFonts w:ascii="Arial" w:eastAsia="Arial" w:hAnsi="Arial" w:cs="Arial"/>
                <w:sz w:val="18"/>
              </w:rPr>
              <w:t xml:space="preserve">1.75%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blPrEx>
          <w:tblCellMar>
            <w:top w:w="23" w:type="dxa"/>
            <w:right w:w="115" w:type="dxa"/>
          </w:tblCellMar>
        </w:tblPrEx>
        <w:trPr>
          <w:trHeight w:val="468"/>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66"/>
        </w:trPr>
        <w:tc>
          <w:tcPr>
            <w:tcW w:w="2580"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gridSpan w:val="2"/>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4"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1637"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236"/>
        </w:trPr>
        <w:tc>
          <w:tcPr>
            <w:tcW w:w="258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124" w:type="dxa"/>
            <w:gridSpan w:val="2"/>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637"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241"/>
        </w:trPr>
        <w:tc>
          <w:tcPr>
            <w:tcW w:w="258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637"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231"/>
        </w:trPr>
        <w:tc>
          <w:tcPr>
            <w:tcW w:w="258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S1QD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124" w:type="dxa"/>
            <w:gridSpan w:val="2"/>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637"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229"/>
        </w:trPr>
        <w:tc>
          <w:tcPr>
            <w:tcW w:w="2580"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gridSpan w:val="2"/>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1.15% </w:t>
            </w:r>
          </w:p>
        </w:tc>
        <w:tc>
          <w:tcPr>
            <w:tcW w:w="1637"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927" w:type="dxa"/>
            <w:gridSpan w:val="2"/>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blPrEx>
          <w:tblCellMar>
            <w:top w:w="23" w:type="dxa"/>
            <w:right w:w="115" w:type="dxa"/>
          </w:tblCellMar>
        </w:tblPrEx>
        <w:trPr>
          <w:trHeight w:val="443"/>
        </w:trPr>
        <w:tc>
          <w:tcPr>
            <w:tcW w:w="2580" w:type="dxa"/>
            <w:gridSpan w:val="2"/>
            <w:tcBorders>
              <w:top w:val="nil"/>
              <w:left w:val="nil"/>
              <w:bottom w:val="nil"/>
              <w:right w:val="nil"/>
            </w:tcBorders>
          </w:tcPr>
          <w:p w:rsidR="004D6F0E" w:rsidRDefault="00490F21">
            <w:pPr>
              <w:spacing w:after="37" w:line="259" w:lineRule="auto"/>
              <w:ind w:left="115"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27" w:firstLine="0"/>
            </w:pPr>
            <w:r>
              <w:rPr>
                <w:rFonts w:ascii="Arial" w:eastAsia="Arial" w:hAnsi="Arial" w:cs="Arial"/>
                <w:sz w:val="18"/>
              </w:rPr>
              <w:lastRenderedPageBreak/>
              <w:t xml:space="preserve"> </w:t>
            </w:r>
            <w:r>
              <w:rPr>
                <w:rFonts w:ascii="Arial" w:eastAsia="Arial" w:hAnsi="Arial" w:cs="Arial"/>
                <w:sz w:val="18"/>
              </w:rPr>
              <w:tab/>
              <w:t xml:space="preserve"> </w:t>
            </w:r>
          </w:p>
        </w:tc>
        <w:tc>
          <w:tcPr>
            <w:tcW w:w="2124" w:type="dxa"/>
            <w:gridSpan w:val="2"/>
            <w:tcBorders>
              <w:top w:val="nil"/>
              <w:left w:val="nil"/>
              <w:bottom w:val="nil"/>
              <w:right w:val="nil"/>
            </w:tcBorders>
          </w:tcPr>
          <w:p w:rsidR="004D6F0E" w:rsidRDefault="00490F21">
            <w:pPr>
              <w:spacing w:after="7" w:line="259" w:lineRule="auto"/>
              <w:ind w:left="456"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lastRenderedPageBreak/>
              <w:t xml:space="preserve"> </w:t>
            </w:r>
          </w:p>
        </w:tc>
        <w:tc>
          <w:tcPr>
            <w:tcW w:w="2654" w:type="dxa"/>
            <w:gridSpan w:val="2"/>
            <w:tcBorders>
              <w:top w:val="nil"/>
              <w:left w:val="nil"/>
              <w:bottom w:val="nil"/>
              <w:right w:val="nil"/>
            </w:tcBorders>
          </w:tcPr>
          <w:p w:rsidR="004D6F0E" w:rsidRDefault="00490F21">
            <w:pPr>
              <w:spacing w:after="12" w:line="259" w:lineRule="auto"/>
              <w:ind w:left="0" w:firstLine="0"/>
            </w:pPr>
            <w:r>
              <w:rPr>
                <w:sz w:val="18"/>
              </w:rPr>
              <w:lastRenderedPageBreak/>
              <w:t>最高為</w:t>
            </w:r>
            <w:r>
              <w:rPr>
                <w:sz w:val="18"/>
              </w:rPr>
              <w:t xml:space="preserve"> </w:t>
            </w:r>
            <w:r>
              <w:rPr>
                <w:rFonts w:ascii="Arial" w:eastAsia="Arial" w:hAnsi="Arial" w:cs="Arial"/>
                <w:sz w:val="18"/>
              </w:rPr>
              <w:t xml:space="preserve">1.15% </w:t>
            </w:r>
          </w:p>
          <w:p w:rsidR="004D6F0E" w:rsidRDefault="00490F21">
            <w:pPr>
              <w:spacing w:after="0" w:line="259" w:lineRule="auto"/>
              <w:ind w:left="1101" w:firstLine="0"/>
              <w:jc w:val="center"/>
            </w:pPr>
            <w:r>
              <w:rPr>
                <w:rFonts w:ascii="Arial" w:eastAsia="Arial" w:hAnsi="Arial" w:cs="Arial"/>
                <w:sz w:val="18"/>
              </w:rPr>
              <w:lastRenderedPageBreak/>
              <w:t xml:space="preserve"> </w:t>
            </w:r>
          </w:p>
        </w:tc>
        <w:tc>
          <w:tcPr>
            <w:tcW w:w="1637" w:type="dxa"/>
            <w:gridSpan w:val="2"/>
            <w:tcBorders>
              <w:top w:val="nil"/>
              <w:left w:val="nil"/>
              <w:bottom w:val="nil"/>
              <w:right w:val="nil"/>
            </w:tcBorders>
          </w:tcPr>
          <w:p w:rsidR="004D6F0E" w:rsidRDefault="00490F21">
            <w:pPr>
              <w:spacing w:after="7" w:line="259" w:lineRule="auto"/>
              <w:ind w:left="0"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1270" w:firstLine="0"/>
            </w:pPr>
            <w:r>
              <w:rPr>
                <w:rFonts w:ascii="Arial" w:eastAsia="Arial" w:hAnsi="Arial" w:cs="Arial"/>
                <w:sz w:val="18"/>
              </w:rPr>
              <w:lastRenderedPageBreak/>
              <w:t xml:space="preserve"> </w:t>
            </w:r>
          </w:p>
        </w:tc>
        <w:tc>
          <w:tcPr>
            <w:tcW w:w="1927" w:type="dxa"/>
            <w:gridSpan w:val="2"/>
            <w:tcBorders>
              <w:top w:val="nil"/>
              <w:left w:val="nil"/>
              <w:bottom w:val="nil"/>
              <w:right w:val="nil"/>
            </w:tcBorders>
          </w:tcPr>
          <w:p w:rsidR="004D6F0E" w:rsidRDefault="00490F21">
            <w:pPr>
              <w:spacing w:after="0" w:line="259" w:lineRule="auto"/>
              <w:ind w:left="631" w:firstLine="0"/>
            </w:pPr>
            <w:r>
              <w:rPr>
                <w:sz w:val="18"/>
              </w:rPr>
              <w:lastRenderedPageBreak/>
              <w:t>無</w:t>
            </w:r>
            <w:r>
              <w:rPr>
                <w:rFonts w:ascii="Arial" w:eastAsia="Arial" w:hAnsi="Arial" w:cs="Arial"/>
                <w:sz w:val="18"/>
              </w:rPr>
              <w:t xml:space="preserve"> </w:t>
            </w:r>
          </w:p>
        </w:tc>
      </w:tr>
      <w:tr w:rsidR="004D6F0E">
        <w:tblPrEx>
          <w:tblCellMar>
            <w:top w:w="23" w:type="dxa"/>
            <w:right w:w="115" w:type="dxa"/>
          </w:tblCellMar>
        </w:tblPrEx>
        <w:trPr>
          <w:trHeight w:val="233"/>
        </w:trPr>
        <w:tc>
          <w:tcPr>
            <w:tcW w:w="2580"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sz w:val="18"/>
              </w:rPr>
              <w:t xml:space="preserve"> </w:t>
            </w:r>
          </w:p>
        </w:tc>
        <w:tc>
          <w:tcPr>
            <w:tcW w:w="212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6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37"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gridSpan w:val="2"/>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line="259" w:lineRule="auto"/>
        <w:ind w:left="4437" w:right="4889" w:hanging="10"/>
        <w:jc w:val="center"/>
      </w:pPr>
      <w:r>
        <w:rPr>
          <w:sz w:val="18"/>
        </w:rPr>
        <w:t>最高為</w:t>
      </w:r>
      <w:r>
        <w:rPr>
          <w:sz w:val="18"/>
        </w:rPr>
        <w:t xml:space="preserve"> </w:t>
      </w:r>
      <w:r>
        <w:rPr>
          <w:rFonts w:ascii="Arial" w:eastAsia="Arial" w:hAnsi="Arial" w:cs="Arial"/>
          <w:sz w:val="18"/>
        </w:rPr>
        <w:t xml:space="preserve">1.45% </w:t>
      </w:r>
    </w:p>
    <w:tbl>
      <w:tblPr>
        <w:tblStyle w:val="TableGrid"/>
        <w:tblW w:w="10375" w:type="dxa"/>
        <w:tblInd w:w="108" w:type="dxa"/>
        <w:tblCellMar>
          <w:top w:w="3" w:type="dxa"/>
          <w:left w:w="0" w:type="dxa"/>
          <w:bottom w:w="0" w:type="dxa"/>
          <w:right w:w="0" w:type="dxa"/>
        </w:tblCellMar>
        <w:tblLook w:val="04A0" w:firstRow="1" w:lastRow="0" w:firstColumn="1" w:lastColumn="0" w:noHBand="0" w:noVBand="1"/>
      </w:tblPr>
      <w:tblGrid>
        <w:gridCol w:w="100"/>
        <w:gridCol w:w="2398"/>
        <w:gridCol w:w="2077"/>
        <w:gridCol w:w="2349"/>
        <w:gridCol w:w="154"/>
        <w:gridCol w:w="1478"/>
        <w:gridCol w:w="630"/>
        <w:gridCol w:w="813"/>
        <w:gridCol w:w="376"/>
      </w:tblGrid>
      <w:tr w:rsidR="004D6F0E">
        <w:trPr>
          <w:gridBefore w:val="1"/>
          <w:gridAfter w:val="1"/>
          <w:wBefore w:w="103" w:type="dxa"/>
          <w:wAfter w:w="433" w:type="dxa"/>
          <w:trHeight w:val="341"/>
        </w:trPr>
        <w:tc>
          <w:tcPr>
            <w:tcW w:w="246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12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8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1.25% </w:t>
            </w:r>
          </w:p>
        </w:tc>
        <w:tc>
          <w:tcPr>
            <w:tcW w:w="180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gridBefore w:val="1"/>
          <w:gridAfter w:val="1"/>
          <w:wBefore w:w="103" w:type="dxa"/>
          <w:wAfter w:w="433" w:type="dxa"/>
          <w:trHeight w:val="484"/>
        </w:trPr>
        <w:tc>
          <w:tcPr>
            <w:tcW w:w="246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89" w:type="dxa"/>
            <w:tcBorders>
              <w:top w:val="nil"/>
              <w:left w:val="nil"/>
              <w:bottom w:val="nil"/>
              <w:right w:val="nil"/>
            </w:tcBorders>
          </w:tcPr>
          <w:p w:rsidR="004D6F0E" w:rsidRDefault="00490F21">
            <w:pPr>
              <w:spacing w:after="0" w:line="259" w:lineRule="auto"/>
              <w:ind w:left="0" w:right="804"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02"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495" w:type="dxa"/>
            <w:gridSpan w:val="2"/>
            <w:tcBorders>
              <w:top w:val="nil"/>
              <w:left w:val="nil"/>
              <w:bottom w:val="nil"/>
              <w:right w:val="nil"/>
            </w:tcBorders>
            <w:vAlign w:val="center"/>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gridBefore w:val="1"/>
          <w:gridAfter w:val="1"/>
          <w:wBefore w:w="103" w:type="dxa"/>
          <w:wAfter w:w="433" w:type="dxa"/>
          <w:trHeight w:val="937"/>
        </w:trPr>
        <w:tc>
          <w:tcPr>
            <w:tcW w:w="246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BT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89" w:type="dxa"/>
            <w:tcBorders>
              <w:top w:val="nil"/>
              <w:left w:val="nil"/>
              <w:bottom w:val="nil"/>
              <w:right w:val="nil"/>
            </w:tcBorders>
            <w:vAlign w:val="center"/>
          </w:tcPr>
          <w:p w:rsidR="004D6F0E" w:rsidRDefault="00490F21">
            <w:pPr>
              <w:spacing w:after="0" w:line="259" w:lineRule="auto"/>
              <w:ind w:left="0" w:right="804"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02"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1.00% </w:t>
            </w:r>
          </w:p>
        </w:tc>
        <w:tc>
          <w:tcPr>
            <w:tcW w:w="1495" w:type="dxa"/>
            <w:gridSpan w:val="2"/>
            <w:tcBorders>
              <w:top w:val="nil"/>
              <w:left w:val="nil"/>
              <w:bottom w:val="nil"/>
              <w:right w:val="nil"/>
            </w:tcBorders>
          </w:tcPr>
          <w:p w:rsidR="004D6F0E" w:rsidRDefault="00490F21">
            <w:pPr>
              <w:spacing w:after="30"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0" w:right="51"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0" w:right="51"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gridBefore w:val="1"/>
          <w:gridAfter w:val="1"/>
          <w:wBefore w:w="103" w:type="dxa"/>
          <w:wAfter w:w="433" w:type="dxa"/>
          <w:trHeight w:val="910"/>
        </w:trPr>
        <w:tc>
          <w:tcPr>
            <w:tcW w:w="2465"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11</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89" w:type="dxa"/>
            <w:tcBorders>
              <w:top w:val="nil"/>
              <w:left w:val="nil"/>
              <w:bottom w:val="nil"/>
              <w:right w:val="nil"/>
            </w:tcBorders>
            <w:vAlign w:val="center"/>
          </w:tcPr>
          <w:p w:rsidR="004D6F0E" w:rsidRDefault="00490F21">
            <w:pPr>
              <w:spacing w:after="0" w:line="259" w:lineRule="auto"/>
              <w:ind w:left="0" w:right="804"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02"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1495" w:type="dxa"/>
            <w:gridSpan w:val="2"/>
            <w:tcBorders>
              <w:top w:val="nil"/>
              <w:left w:val="nil"/>
              <w:bottom w:val="nil"/>
              <w:right w:val="nil"/>
            </w:tcBorders>
          </w:tcPr>
          <w:p w:rsidR="004D6F0E" w:rsidRDefault="00490F21">
            <w:pPr>
              <w:spacing w:after="28"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0" w:right="51"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0" w:right="51"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blPrEx>
          <w:tblCellMar>
            <w:top w:w="7" w:type="dxa"/>
            <w:right w:w="115" w:type="dxa"/>
          </w:tblCellMar>
        </w:tblPrEx>
        <w:trPr>
          <w:trHeight w:val="442"/>
        </w:trPr>
        <w:tc>
          <w:tcPr>
            <w:tcW w:w="2568" w:type="dxa"/>
            <w:gridSpan w:val="2"/>
            <w:tcBorders>
              <w:top w:val="nil"/>
              <w:left w:val="nil"/>
              <w:bottom w:val="nil"/>
              <w:right w:val="nil"/>
            </w:tcBorders>
            <w:vAlign w:val="center"/>
          </w:tcPr>
          <w:p w:rsidR="004D6F0E" w:rsidRDefault="00490F21">
            <w:pPr>
              <w:spacing w:after="0" w:line="259" w:lineRule="auto"/>
              <w:ind w:left="103"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03"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03"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238"/>
        </w:trPr>
        <w:tc>
          <w:tcPr>
            <w:tcW w:w="2568" w:type="dxa"/>
            <w:gridSpan w:val="2"/>
            <w:tcBorders>
              <w:top w:val="nil"/>
              <w:left w:val="nil"/>
              <w:bottom w:val="nil"/>
              <w:right w:val="nil"/>
            </w:tcBorders>
          </w:tcPr>
          <w:p w:rsidR="004D6F0E" w:rsidRDefault="00490F21">
            <w:pPr>
              <w:spacing w:after="0" w:line="259" w:lineRule="auto"/>
              <w:ind w:left="103"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12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gridSpan w:val="2"/>
            <w:tcBorders>
              <w:top w:val="nil"/>
              <w:left w:val="nil"/>
              <w:bottom w:val="nil"/>
              <w:right w:val="nil"/>
            </w:tcBorders>
          </w:tcPr>
          <w:p w:rsidR="004D6F0E" w:rsidRDefault="00490F21">
            <w:pPr>
              <w:spacing w:after="0" w:line="259" w:lineRule="auto"/>
              <w:ind w:left="291" w:firstLine="0"/>
            </w:pPr>
            <w:r>
              <w:rPr>
                <w:rFonts w:ascii="Arial" w:eastAsia="Arial" w:hAnsi="Arial" w:cs="Arial"/>
                <w:sz w:val="18"/>
              </w:rPr>
              <w:t xml:space="preserve">0.90% </w:t>
            </w:r>
          </w:p>
        </w:tc>
        <w:tc>
          <w:tcPr>
            <w:tcW w:w="226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36"/>
        </w:trPr>
        <w:tc>
          <w:tcPr>
            <w:tcW w:w="2568" w:type="dxa"/>
            <w:gridSpan w:val="2"/>
            <w:tcBorders>
              <w:top w:val="nil"/>
              <w:left w:val="nil"/>
              <w:bottom w:val="nil"/>
              <w:right w:val="nil"/>
            </w:tcBorders>
          </w:tcPr>
          <w:p w:rsidR="004D6F0E" w:rsidRDefault="00490F21">
            <w:pPr>
              <w:spacing w:after="40" w:line="259" w:lineRule="auto"/>
              <w:ind w:left="103"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03" w:firstLine="0"/>
            </w:pPr>
            <w:r>
              <w:rPr>
                <w:rFonts w:ascii="Arial" w:eastAsia="Arial" w:hAnsi="Arial" w:cs="Arial"/>
                <w:sz w:val="18"/>
              </w:rPr>
              <w:t xml:space="preserve"> </w:t>
            </w:r>
            <w:r>
              <w:rPr>
                <w:rFonts w:ascii="Arial" w:eastAsia="Arial" w:hAnsi="Arial" w:cs="Arial"/>
                <w:sz w:val="18"/>
              </w:rPr>
              <w:tab/>
              <w:t xml:space="preserve"> </w:t>
            </w:r>
          </w:p>
        </w:tc>
        <w:tc>
          <w:tcPr>
            <w:tcW w:w="212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t xml:space="preserve"> </w:t>
            </w:r>
          </w:p>
        </w:tc>
        <w:tc>
          <w:tcPr>
            <w:tcW w:w="2655"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1.15% </w:t>
            </w:r>
          </w:p>
          <w:p w:rsidR="004D6F0E" w:rsidRDefault="00490F21">
            <w:pPr>
              <w:spacing w:after="0" w:line="259" w:lineRule="auto"/>
              <w:ind w:left="1101" w:firstLine="0"/>
              <w:jc w:val="center"/>
            </w:pPr>
            <w:r>
              <w:rPr>
                <w:rFonts w:ascii="Arial" w:eastAsia="Arial" w:hAnsi="Arial" w:cs="Arial"/>
                <w:sz w:val="18"/>
              </w:rPr>
              <w:t xml:space="preserve"> </w:t>
            </w:r>
          </w:p>
        </w:tc>
        <w:tc>
          <w:tcPr>
            <w:tcW w:w="2268"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36" w:firstLine="0"/>
              <w:jc w:val="center"/>
            </w:pPr>
            <w:r>
              <w:rPr>
                <w:rFonts w:ascii="Arial" w:eastAsia="Arial" w:hAnsi="Arial" w:cs="Arial"/>
                <w:sz w:val="18"/>
              </w:rPr>
              <w:t xml:space="preserve"> </w:t>
            </w:r>
          </w:p>
        </w:tc>
        <w:tc>
          <w:tcPr>
            <w:tcW w:w="129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235"/>
        </w:trPr>
        <w:tc>
          <w:tcPr>
            <w:tcW w:w="256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6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9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7" w:type="dxa"/>
            <w:right w:w="115" w:type="dxa"/>
          </w:tblCellMar>
        </w:tblPrEx>
        <w:trPr>
          <w:trHeight w:val="468"/>
        </w:trPr>
        <w:tc>
          <w:tcPr>
            <w:tcW w:w="2568" w:type="dxa"/>
            <w:gridSpan w:val="2"/>
            <w:tcBorders>
              <w:top w:val="nil"/>
              <w:left w:val="nil"/>
              <w:bottom w:val="nil"/>
              <w:right w:val="nil"/>
            </w:tcBorders>
          </w:tcPr>
          <w:p w:rsidR="004D6F0E" w:rsidRDefault="00490F21">
            <w:pPr>
              <w:spacing w:after="21"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新加坡元股份及</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9"/>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676"/>
        </w:trPr>
        <w:tc>
          <w:tcPr>
            <w:tcW w:w="2568" w:type="dxa"/>
            <w:gridSpan w:val="2"/>
            <w:tcBorders>
              <w:top w:val="nil"/>
              <w:left w:val="nil"/>
              <w:bottom w:val="nil"/>
              <w:right w:val="nil"/>
            </w:tcBorders>
            <w:vAlign w:val="bottom"/>
          </w:tcPr>
          <w:p w:rsidR="004D6F0E" w:rsidRDefault="00490F21">
            <w:pPr>
              <w:spacing w:after="155" w:line="259" w:lineRule="auto"/>
              <w:ind w:left="115" w:firstLine="0"/>
            </w:pPr>
            <w:r>
              <w:rPr>
                <w:rFonts w:ascii="Arial" w:eastAsia="Arial" w:hAnsi="Arial" w:cs="Arial"/>
                <w:sz w:val="18"/>
              </w:rPr>
              <w:lastRenderedPageBreak/>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124" w:type="dxa"/>
            <w:tcBorders>
              <w:top w:val="nil"/>
              <w:left w:val="nil"/>
              <w:bottom w:val="nil"/>
              <w:right w:val="nil"/>
            </w:tcBorders>
            <w:vAlign w:val="bottom"/>
          </w:tcPr>
          <w:p w:rsidR="004D6F0E" w:rsidRDefault="00490F21">
            <w:pPr>
              <w:spacing w:after="129"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654" w:firstLine="0"/>
            </w:pPr>
            <w:r>
              <w:rPr>
                <w:rFonts w:ascii="Arial" w:eastAsia="Arial" w:hAnsi="Arial" w:cs="Arial"/>
                <w:sz w:val="18"/>
              </w:rPr>
              <w:t xml:space="preserve"> </w:t>
            </w:r>
          </w:p>
        </w:tc>
        <w:tc>
          <w:tcPr>
            <w:tcW w:w="2655" w:type="dxa"/>
            <w:gridSpan w:val="2"/>
            <w:tcBorders>
              <w:top w:val="nil"/>
              <w:left w:val="nil"/>
              <w:bottom w:val="nil"/>
              <w:right w:val="nil"/>
            </w:tcBorders>
          </w:tcPr>
          <w:p w:rsidR="004D6F0E" w:rsidRDefault="00490F21">
            <w:pPr>
              <w:spacing w:after="0" w:line="28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p w:rsidR="004D6F0E" w:rsidRDefault="00490F21">
            <w:pPr>
              <w:spacing w:after="0" w:line="259" w:lineRule="auto"/>
              <w:ind w:left="1101" w:firstLine="0"/>
              <w:jc w:val="center"/>
            </w:pPr>
            <w:r>
              <w:rPr>
                <w:rFonts w:ascii="Arial" w:eastAsia="Arial" w:hAnsi="Arial" w:cs="Arial"/>
                <w:sz w:val="18"/>
              </w:rPr>
              <w:t xml:space="preserve"> </w:t>
            </w:r>
          </w:p>
        </w:tc>
        <w:tc>
          <w:tcPr>
            <w:tcW w:w="2268" w:type="dxa"/>
            <w:gridSpan w:val="2"/>
            <w:tcBorders>
              <w:top w:val="nil"/>
              <w:left w:val="nil"/>
              <w:bottom w:val="nil"/>
              <w:right w:val="nil"/>
            </w:tcBorders>
            <w:vAlign w:val="bottom"/>
          </w:tcPr>
          <w:p w:rsidR="004D6F0E" w:rsidRDefault="00490F21">
            <w:pPr>
              <w:spacing w:after="125"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36" w:firstLine="0"/>
              <w:jc w:val="center"/>
            </w:pPr>
            <w:r>
              <w:rPr>
                <w:rFonts w:ascii="Arial" w:eastAsia="Arial" w:hAnsi="Arial" w:cs="Arial"/>
                <w:sz w:val="18"/>
              </w:rPr>
              <w:t xml:space="preserve"> </w:t>
            </w:r>
          </w:p>
        </w:tc>
        <w:tc>
          <w:tcPr>
            <w:tcW w:w="129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233"/>
        </w:trPr>
        <w:tc>
          <w:tcPr>
            <w:tcW w:w="256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6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9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7" w:type="dxa"/>
            <w:right w:w="115" w:type="dxa"/>
          </w:tblCellMar>
        </w:tblPrEx>
        <w:trPr>
          <w:trHeight w:val="469"/>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6"/>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加元股份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42"/>
        </w:trPr>
        <w:tc>
          <w:tcPr>
            <w:tcW w:w="2568" w:type="dxa"/>
            <w:gridSpan w:val="2"/>
            <w:tcBorders>
              <w:top w:val="nil"/>
              <w:left w:val="nil"/>
              <w:bottom w:val="nil"/>
              <w:right w:val="nil"/>
            </w:tcBorders>
          </w:tcPr>
          <w:p w:rsidR="004D6F0E" w:rsidRDefault="00490F21">
            <w:pPr>
              <w:spacing w:after="40" w:line="259" w:lineRule="auto"/>
              <w:ind w:left="122"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加元股份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12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t xml:space="preserve"> </w:t>
            </w:r>
          </w:p>
        </w:tc>
        <w:tc>
          <w:tcPr>
            <w:tcW w:w="2655"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1.15% </w:t>
            </w:r>
          </w:p>
          <w:p w:rsidR="004D6F0E" w:rsidRDefault="00490F21">
            <w:pPr>
              <w:spacing w:after="0" w:line="259" w:lineRule="auto"/>
              <w:ind w:left="1101" w:firstLine="0"/>
              <w:jc w:val="center"/>
            </w:pPr>
            <w:r>
              <w:rPr>
                <w:rFonts w:ascii="Arial" w:eastAsia="Arial" w:hAnsi="Arial" w:cs="Arial"/>
                <w:sz w:val="18"/>
              </w:rPr>
              <w:t xml:space="preserve"> </w:t>
            </w:r>
          </w:p>
        </w:tc>
        <w:tc>
          <w:tcPr>
            <w:tcW w:w="2268"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36" w:firstLine="0"/>
              <w:jc w:val="center"/>
            </w:pPr>
            <w:r>
              <w:rPr>
                <w:rFonts w:ascii="Arial" w:eastAsia="Arial" w:hAnsi="Arial" w:cs="Arial"/>
                <w:sz w:val="18"/>
              </w:rPr>
              <w:t xml:space="preserve"> </w:t>
            </w:r>
          </w:p>
        </w:tc>
        <w:tc>
          <w:tcPr>
            <w:tcW w:w="129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235"/>
        </w:trPr>
        <w:tc>
          <w:tcPr>
            <w:tcW w:w="256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6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9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42"/>
        </w:trPr>
        <w:tc>
          <w:tcPr>
            <w:tcW w:w="2568" w:type="dxa"/>
            <w:gridSpan w:val="2"/>
            <w:tcBorders>
              <w:top w:val="nil"/>
              <w:left w:val="nil"/>
              <w:bottom w:val="nil"/>
              <w:right w:val="nil"/>
            </w:tcBorders>
          </w:tcPr>
          <w:p w:rsidR="004D6F0E" w:rsidRDefault="00490F21">
            <w:pPr>
              <w:spacing w:after="40" w:line="259" w:lineRule="auto"/>
              <w:ind w:left="122"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12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t xml:space="preserve"> </w:t>
            </w:r>
          </w:p>
        </w:tc>
        <w:tc>
          <w:tcPr>
            <w:tcW w:w="2655"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1.15% </w:t>
            </w:r>
          </w:p>
          <w:p w:rsidR="004D6F0E" w:rsidRDefault="00490F21">
            <w:pPr>
              <w:spacing w:after="0" w:line="259" w:lineRule="auto"/>
              <w:ind w:left="1101" w:firstLine="0"/>
              <w:jc w:val="center"/>
            </w:pPr>
            <w:r>
              <w:rPr>
                <w:rFonts w:ascii="Arial" w:eastAsia="Arial" w:hAnsi="Arial" w:cs="Arial"/>
                <w:sz w:val="18"/>
              </w:rPr>
              <w:t xml:space="preserve"> </w:t>
            </w:r>
          </w:p>
        </w:tc>
        <w:tc>
          <w:tcPr>
            <w:tcW w:w="2268"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436" w:firstLine="0"/>
              <w:jc w:val="center"/>
            </w:pPr>
            <w:r>
              <w:rPr>
                <w:rFonts w:ascii="Arial" w:eastAsia="Arial" w:hAnsi="Arial" w:cs="Arial"/>
                <w:sz w:val="18"/>
              </w:rPr>
              <w:t xml:space="preserve"> </w:t>
            </w:r>
          </w:p>
        </w:tc>
        <w:tc>
          <w:tcPr>
            <w:tcW w:w="129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235"/>
        </w:trPr>
        <w:tc>
          <w:tcPr>
            <w:tcW w:w="256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人民幣</w:t>
            </w:r>
            <w:r>
              <w:rPr>
                <w:rFonts w:ascii="Arial" w:eastAsia="Arial" w:hAnsi="Arial" w:cs="Arial"/>
                <w:b/>
                <w:sz w:val="18"/>
                <w:vertAlign w:val="superscript"/>
              </w:rPr>
              <w:t>*</w:t>
            </w:r>
            <w:r>
              <w:rPr>
                <w:sz w:val="18"/>
              </w:rPr>
              <w:t>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6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9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8"/>
        </w:trPr>
        <w:tc>
          <w:tcPr>
            <w:tcW w:w="2568" w:type="dxa"/>
            <w:gridSpan w:val="2"/>
            <w:tcBorders>
              <w:top w:val="nil"/>
              <w:left w:val="nil"/>
              <w:bottom w:val="nil"/>
              <w:right w:val="nil"/>
            </w:tcBorders>
            <w:vAlign w:val="center"/>
          </w:tcPr>
          <w:p w:rsidR="004D6F0E" w:rsidRDefault="00490F21">
            <w:pPr>
              <w:spacing w:after="0" w:line="259" w:lineRule="auto"/>
              <w:ind w:left="122"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人民幣股份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1.50%</w:t>
            </w:r>
            <w:r>
              <w:rPr>
                <w:rFonts w:ascii="Arial" w:eastAsia="Arial" w:hAnsi="Arial" w:cs="Arial"/>
                <w:sz w:val="18"/>
                <w:vertAlign w:val="superscript"/>
              </w:rPr>
              <w:t xml:space="preserve">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66"/>
        </w:trPr>
        <w:tc>
          <w:tcPr>
            <w:tcW w:w="2568" w:type="dxa"/>
            <w:gridSpan w:val="2"/>
            <w:tcBorders>
              <w:top w:val="nil"/>
              <w:left w:val="nil"/>
              <w:bottom w:val="nil"/>
              <w:right w:val="nil"/>
            </w:tcBorders>
            <w:vAlign w:val="center"/>
          </w:tcPr>
          <w:p w:rsidR="004D6F0E" w:rsidRDefault="00490F21">
            <w:pPr>
              <w:spacing w:after="0" w:line="259" w:lineRule="auto"/>
              <w:ind w:left="123"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人民幣股份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1.50%</w:t>
            </w:r>
            <w:r>
              <w:rPr>
                <w:rFonts w:ascii="Arial" w:eastAsia="Arial" w:hAnsi="Arial" w:cs="Arial"/>
                <w:sz w:val="18"/>
                <w:vertAlign w:val="superscript"/>
              </w:rPr>
              <w:t xml:space="preserve"> </w:t>
            </w:r>
          </w:p>
        </w:tc>
        <w:tc>
          <w:tcPr>
            <w:tcW w:w="2655" w:type="dxa"/>
            <w:gridSpan w:val="2"/>
            <w:tcBorders>
              <w:top w:val="nil"/>
              <w:left w:val="nil"/>
              <w:bottom w:val="nil"/>
              <w:right w:val="nil"/>
            </w:tcBorders>
          </w:tcPr>
          <w:p w:rsidR="004D6F0E" w:rsidRDefault="00490F21">
            <w:pPr>
              <w:spacing w:after="0" w:line="259" w:lineRule="auto"/>
              <w:ind w:left="0" w:right="85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2268"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96" w:type="dxa"/>
            <w:gridSpan w:val="2"/>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443"/>
        </w:trPr>
        <w:tc>
          <w:tcPr>
            <w:tcW w:w="2568" w:type="dxa"/>
            <w:gridSpan w:val="2"/>
            <w:tcBorders>
              <w:top w:val="nil"/>
              <w:left w:val="nil"/>
              <w:bottom w:val="nil"/>
              <w:right w:val="nil"/>
            </w:tcBorders>
          </w:tcPr>
          <w:p w:rsidR="004D6F0E" w:rsidRDefault="00490F21">
            <w:pPr>
              <w:spacing w:after="40" w:line="259" w:lineRule="auto"/>
              <w:ind w:left="122"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人民幣股份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22" w:firstLine="0"/>
            </w:pPr>
            <w:r>
              <w:rPr>
                <w:rFonts w:ascii="Arial" w:eastAsia="Arial" w:hAnsi="Arial" w:cs="Arial"/>
                <w:sz w:val="18"/>
              </w:rPr>
              <w:lastRenderedPageBreak/>
              <w:t xml:space="preserve"> </w:t>
            </w:r>
            <w:r>
              <w:rPr>
                <w:rFonts w:ascii="Arial" w:eastAsia="Arial" w:hAnsi="Arial" w:cs="Arial"/>
                <w:sz w:val="18"/>
              </w:rPr>
              <w:tab/>
              <w:t xml:space="preserve"> </w:t>
            </w:r>
          </w:p>
        </w:tc>
        <w:tc>
          <w:tcPr>
            <w:tcW w:w="2124" w:type="dxa"/>
            <w:tcBorders>
              <w:top w:val="nil"/>
              <w:left w:val="nil"/>
              <w:bottom w:val="nil"/>
              <w:right w:val="nil"/>
            </w:tcBorders>
          </w:tcPr>
          <w:p w:rsidR="004D6F0E" w:rsidRDefault="00490F21">
            <w:pPr>
              <w:spacing w:after="9" w:line="259" w:lineRule="auto"/>
              <w:ind w:left="456"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t xml:space="preserve"> </w:t>
            </w:r>
          </w:p>
        </w:tc>
        <w:tc>
          <w:tcPr>
            <w:tcW w:w="2655"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1.15% </w:t>
            </w:r>
          </w:p>
          <w:p w:rsidR="004D6F0E" w:rsidRDefault="00490F21">
            <w:pPr>
              <w:spacing w:after="0" w:line="259" w:lineRule="auto"/>
              <w:ind w:left="1101" w:firstLine="0"/>
              <w:jc w:val="center"/>
            </w:pPr>
            <w:r>
              <w:rPr>
                <w:rFonts w:ascii="Arial" w:eastAsia="Arial" w:hAnsi="Arial" w:cs="Arial"/>
                <w:sz w:val="18"/>
              </w:rPr>
              <w:lastRenderedPageBreak/>
              <w:t xml:space="preserve"> </w:t>
            </w:r>
          </w:p>
        </w:tc>
        <w:tc>
          <w:tcPr>
            <w:tcW w:w="2268" w:type="dxa"/>
            <w:gridSpan w:val="2"/>
            <w:tcBorders>
              <w:top w:val="nil"/>
              <w:left w:val="nil"/>
              <w:bottom w:val="nil"/>
              <w:right w:val="nil"/>
            </w:tcBorders>
          </w:tcPr>
          <w:p w:rsidR="004D6F0E" w:rsidRDefault="00490F21">
            <w:pPr>
              <w:spacing w:after="9" w:line="259" w:lineRule="auto"/>
              <w:ind w:left="0"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436" w:firstLine="0"/>
              <w:jc w:val="center"/>
            </w:pPr>
            <w:r>
              <w:rPr>
                <w:rFonts w:ascii="Arial" w:eastAsia="Arial" w:hAnsi="Arial" w:cs="Arial"/>
                <w:sz w:val="18"/>
              </w:rPr>
              <w:t xml:space="preserve"> </w:t>
            </w:r>
          </w:p>
        </w:tc>
        <w:tc>
          <w:tcPr>
            <w:tcW w:w="1296"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blPrEx>
          <w:tblCellMar>
            <w:top w:w="7" w:type="dxa"/>
            <w:right w:w="115" w:type="dxa"/>
          </w:tblCellMar>
        </w:tblPrEx>
        <w:trPr>
          <w:trHeight w:val="233"/>
        </w:trPr>
        <w:tc>
          <w:tcPr>
            <w:tcW w:w="2568"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6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9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line="259" w:lineRule="auto"/>
        <w:ind w:left="4437" w:right="4888" w:hanging="10"/>
        <w:jc w:val="center"/>
      </w:pPr>
      <w:r>
        <w:rPr>
          <w:sz w:val="18"/>
        </w:rPr>
        <w:t>最高為</w:t>
      </w:r>
      <w:r>
        <w:rPr>
          <w:sz w:val="18"/>
        </w:rPr>
        <w:t xml:space="preserve"> </w:t>
      </w:r>
      <w:r>
        <w:rPr>
          <w:rFonts w:ascii="Arial" w:eastAsia="Arial" w:hAnsi="Arial" w:cs="Arial"/>
          <w:sz w:val="18"/>
        </w:rPr>
        <w:t xml:space="preserve">1.45% </w:t>
      </w:r>
    </w:p>
    <w:p w:rsidR="004D6F0E" w:rsidRDefault="00490F21">
      <w:pPr>
        <w:tabs>
          <w:tab w:val="center" w:pos="3121"/>
          <w:tab w:val="center" w:pos="7441"/>
          <w:tab w:val="center" w:pos="9709"/>
        </w:tabs>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r>
        <w:rPr>
          <w:rFonts w:ascii="Arial" w:eastAsia="Arial" w:hAnsi="Arial" w:cs="Arial"/>
          <w:b/>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spacing w:line="259" w:lineRule="auto"/>
        <w:ind w:left="4437" w:right="4840" w:hanging="10"/>
        <w:jc w:val="center"/>
      </w:pPr>
      <w:r>
        <w:rPr>
          <w:sz w:val="18"/>
        </w:rPr>
        <w:t>最高為</w:t>
      </w:r>
      <w:r>
        <w:rPr>
          <w:sz w:val="18"/>
        </w:rPr>
        <w:t xml:space="preserve"> </w:t>
      </w:r>
      <w:r>
        <w:rPr>
          <w:rFonts w:ascii="Arial" w:eastAsia="Arial" w:hAnsi="Arial" w:cs="Arial"/>
          <w:sz w:val="18"/>
        </w:rPr>
        <w:t xml:space="preserve">1.25% </w:t>
      </w:r>
      <w:r>
        <w:rPr>
          <w:sz w:val="18"/>
        </w:rPr>
        <w:t>最高為</w:t>
      </w:r>
      <w:r>
        <w:rPr>
          <w:sz w:val="18"/>
        </w:rPr>
        <w:t xml:space="preserve"> </w:t>
      </w:r>
      <w:r>
        <w:rPr>
          <w:rFonts w:ascii="Arial" w:eastAsia="Arial" w:hAnsi="Arial" w:cs="Arial"/>
          <w:sz w:val="18"/>
        </w:rPr>
        <w:t xml:space="preserve">1.45% </w:t>
      </w:r>
    </w:p>
    <w:p w:rsidR="004D6F0E" w:rsidRDefault="00490F21">
      <w:pPr>
        <w:spacing w:after="208" w:line="216" w:lineRule="auto"/>
        <w:ind w:left="4697" w:right="562" w:hanging="4577"/>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無最高為</w:t>
      </w:r>
      <w:r>
        <w:rPr>
          <w:sz w:val="18"/>
        </w:rPr>
        <w:t xml:space="preserve"> </w:t>
      </w:r>
      <w:r>
        <w:rPr>
          <w:rFonts w:ascii="Arial" w:eastAsia="Arial" w:hAnsi="Arial" w:cs="Arial"/>
          <w:sz w:val="18"/>
        </w:rPr>
        <w:t xml:space="preserve">1.25% </w:t>
      </w:r>
    </w:p>
    <w:p w:rsidR="004D6F0E" w:rsidRDefault="00490F21">
      <w:pPr>
        <w:tabs>
          <w:tab w:val="center" w:pos="1884"/>
          <w:tab w:val="center" w:pos="3121"/>
          <w:tab w:val="center" w:pos="5245"/>
          <w:tab w:val="center" w:pos="7441"/>
          <w:tab w:val="center" w:pos="9709"/>
        </w:tabs>
        <w:spacing w:after="0" w:line="259" w:lineRule="auto"/>
        <w:ind w:left="0" w:firstLine="0"/>
      </w:pPr>
      <w:r>
        <w:rPr>
          <w:rFonts w:ascii="Calibri" w:eastAsia="Calibri" w:hAnsi="Calibri" w:cs="Calibri"/>
          <w:sz w:val="22"/>
        </w:rPr>
        <w:tab/>
      </w:r>
      <w:r>
        <w:rPr>
          <w:rFonts w:ascii="Arial" w:eastAsia="Arial" w:hAnsi="Arial" w:cs="Arial"/>
          <w:sz w:val="18"/>
          <w:vertAlign w:val="superscript"/>
        </w:rPr>
        <w:t>9</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1.50%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0.95%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ind w:left="130" w:right="13" w:hanging="1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紐西蘭元股份</w:t>
      </w:r>
    </w:p>
    <w:p w:rsidR="004D6F0E" w:rsidRDefault="00490F21">
      <w:pPr>
        <w:spacing w:after="30" w:line="259" w:lineRule="auto"/>
        <w:ind w:left="4437" w:right="4888" w:hanging="10"/>
        <w:jc w:val="center"/>
      </w:pPr>
      <w:r>
        <w:rPr>
          <w:sz w:val="18"/>
        </w:rPr>
        <w:t>最高為</w:t>
      </w:r>
      <w:r>
        <w:rPr>
          <w:sz w:val="18"/>
        </w:rPr>
        <w:t xml:space="preserve"> </w:t>
      </w:r>
      <w:r>
        <w:rPr>
          <w:rFonts w:ascii="Arial" w:eastAsia="Arial" w:hAnsi="Arial" w:cs="Arial"/>
          <w:sz w:val="18"/>
        </w:rPr>
        <w:t xml:space="preserve">0.75% </w:t>
      </w:r>
    </w:p>
    <w:p w:rsidR="004D6F0E" w:rsidRDefault="00490F21">
      <w:pPr>
        <w:spacing w:after="0" w:line="259" w:lineRule="auto"/>
        <w:ind w:left="120"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0910" w:type="dxa"/>
        <w:tblInd w:w="5" w:type="dxa"/>
        <w:tblCellMar>
          <w:top w:w="27" w:type="dxa"/>
          <w:left w:w="0" w:type="dxa"/>
          <w:bottom w:w="0" w:type="dxa"/>
          <w:right w:w="279" w:type="dxa"/>
        </w:tblCellMar>
        <w:tblLook w:val="04A0" w:firstRow="1" w:lastRow="0" w:firstColumn="1" w:lastColumn="0" w:noHBand="0" w:noVBand="1"/>
      </w:tblPr>
      <w:tblGrid>
        <w:gridCol w:w="2568"/>
        <w:gridCol w:w="2124"/>
        <w:gridCol w:w="2489"/>
        <w:gridCol w:w="1802"/>
        <w:gridCol w:w="1927"/>
      </w:tblGrid>
      <w:tr w:rsidR="004D6F0E">
        <w:trPr>
          <w:trHeight w:val="233"/>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489" w:type="dxa"/>
            <w:tcBorders>
              <w:top w:val="nil"/>
              <w:left w:val="nil"/>
              <w:bottom w:val="nil"/>
              <w:right w:val="nil"/>
            </w:tcBorders>
            <w:shd w:val="clear" w:color="auto" w:fill="D9D9D9"/>
          </w:tcPr>
          <w:p w:rsidR="004D6F0E" w:rsidRDefault="004D6F0E">
            <w:pPr>
              <w:spacing w:after="160" w:line="259" w:lineRule="auto"/>
              <w:ind w:left="0" w:firstLine="0"/>
            </w:pPr>
          </w:p>
        </w:tc>
        <w:tc>
          <w:tcPr>
            <w:tcW w:w="1802"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69"/>
        </w:trPr>
        <w:tc>
          <w:tcPr>
            <w:tcW w:w="256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89" w:type="dxa"/>
            <w:tcBorders>
              <w:top w:val="nil"/>
              <w:left w:val="nil"/>
              <w:bottom w:val="nil"/>
              <w:right w:val="nil"/>
            </w:tcBorders>
          </w:tcPr>
          <w:p w:rsidR="004D6F0E" w:rsidRDefault="00490F21">
            <w:pPr>
              <w:spacing w:after="0" w:line="259" w:lineRule="auto"/>
              <w:ind w:left="0" w:right="52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02"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27" w:type="dxa"/>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1144"/>
        </w:trPr>
        <w:tc>
          <w:tcPr>
            <w:tcW w:w="2568" w:type="dxa"/>
            <w:tcBorders>
              <w:top w:val="nil"/>
              <w:left w:val="nil"/>
              <w:bottom w:val="nil"/>
              <w:right w:val="nil"/>
            </w:tcBorders>
            <w:vAlign w:val="bottom"/>
          </w:tcPr>
          <w:p w:rsidR="004D6F0E" w:rsidRDefault="00490F21">
            <w:pPr>
              <w:spacing w:after="39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sz w:val="18"/>
              </w:rPr>
              <w:t xml:space="preserve"> </w:t>
            </w:r>
            <w:r>
              <w:rPr>
                <w:rFonts w:ascii="Arial" w:eastAsia="Arial" w:hAnsi="Arial" w:cs="Arial"/>
                <w:sz w:val="18"/>
                <w:vertAlign w:val="superscript"/>
              </w:rPr>
              <w:t>11</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124" w:type="dxa"/>
            <w:tcBorders>
              <w:top w:val="nil"/>
              <w:left w:val="nil"/>
              <w:bottom w:val="nil"/>
              <w:right w:val="nil"/>
            </w:tcBorders>
            <w:vAlign w:val="bottom"/>
          </w:tcPr>
          <w:p w:rsidR="004D6F0E" w:rsidRDefault="00490F21">
            <w:pPr>
              <w:spacing w:after="35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t xml:space="preserve"> </w:t>
            </w:r>
          </w:p>
        </w:tc>
        <w:tc>
          <w:tcPr>
            <w:tcW w:w="2489" w:type="dxa"/>
            <w:tcBorders>
              <w:top w:val="nil"/>
              <w:left w:val="nil"/>
              <w:bottom w:val="nil"/>
              <w:right w:val="nil"/>
            </w:tcBorders>
            <w:vAlign w:val="bottom"/>
          </w:tcPr>
          <w:p w:rsidR="004D6F0E" w:rsidRDefault="00490F21">
            <w:pPr>
              <w:spacing w:after="223" w:line="286" w:lineRule="auto"/>
              <w:ind w:left="0" w:right="52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p w:rsidR="004D6F0E" w:rsidRDefault="00490F21">
            <w:pPr>
              <w:spacing w:after="0" w:line="259" w:lineRule="auto"/>
              <w:ind w:left="1430" w:firstLine="0"/>
              <w:jc w:val="center"/>
            </w:pPr>
            <w:r>
              <w:rPr>
                <w:rFonts w:ascii="Arial" w:eastAsia="Arial" w:hAnsi="Arial" w:cs="Arial"/>
                <w:sz w:val="18"/>
              </w:rPr>
              <w:t xml:space="preserve"> </w:t>
            </w:r>
          </w:p>
        </w:tc>
        <w:tc>
          <w:tcPr>
            <w:tcW w:w="1802" w:type="dxa"/>
            <w:tcBorders>
              <w:top w:val="nil"/>
              <w:left w:val="nil"/>
              <w:bottom w:val="nil"/>
              <w:right w:val="nil"/>
            </w:tcBorders>
            <w:vAlign w:val="bottom"/>
          </w:tcPr>
          <w:p w:rsidR="004D6F0E" w:rsidRDefault="00490F21">
            <w:pPr>
              <w:spacing w:after="348" w:line="259" w:lineRule="auto"/>
              <w:ind w:left="0" w:firstLine="0"/>
            </w:pPr>
            <w:r>
              <w:rPr>
                <w:rFonts w:ascii="Arial" w:eastAsia="Arial" w:hAnsi="Arial" w:cs="Arial"/>
                <w:sz w:val="18"/>
              </w:rPr>
              <w:t xml:space="preserve">0.50% </w:t>
            </w:r>
          </w:p>
          <w:p w:rsidR="004D6F0E" w:rsidRDefault="00490F21">
            <w:pPr>
              <w:spacing w:after="0" w:line="259" w:lineRule="auto"/>
              <w:ind w:left="1435"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38"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=3.0%</w:t>
            </w:r>
            <w:r>
              <w:rPr>
                <w:rFonts w:ascii="Arial" w:eastAsia="Arial" w:hAnsi="Arial" w:cs="Arial"/>
                <w:b/>
                <w:sz w:val="18"/>
                <w:vertAlign w:val="superscript"/>
              </w:rPr>
              <w:t xml:space="preserve"> </w:t>
            </w:r>
          </w:p>
          <w:p w:rsidR="004D6F0E" w:rsidRDefault="00490F21">
            <w:pPr>
              <w:spacing w:after="27" w:line="259" w:lineRule="auto"/>
              <w:ind w:left="221"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2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233"/>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瑞士法郎對沖股份類別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489" w:type="dxa"/>
            <w:tcBorders>
              <w:top w:val="nil"/>
              <w:left w:val="nil"/>
              <w:bottom w:val="nil"/>
              <w:right w:val="nil"/>
            </w:tcBorders>
            <w:shd w:val="clear" w:color="auto" w:fill="D9D9D9"/>
          </w:tcPr>
          <w:p w:rsidR="004D6F0E" w:rsidRDefault="004D6F0E">
            <w:pPr>
              <w:spacing w:after="160" w:line="259" w:lineRule="auto"/>
              <w:ind w:left="0" w:firstLine="0"/>
            </w:pPr>
          </w:p>
        </w:tc>
        <w:tc>
          <w:tcPr>
            <w:tcW w:w="1802"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69"/>
        </w:trPr>
        <w:tc>
          <w:tcPr>
            <w:tcW w:w="256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89" w:type="dxa"/>
            <w:tcBorders>
              <w:top w:val="nil"/>
              <w:left w:val="nil"/>
              <w:bottom w:val="nil"/>
              <w:right w:val="nil"/>
            </w:tcBorders>
          </w:tcPr>
          <w:p w:rsidR="004D6F0E" w:rsidRDefault="00490F21">
            <w:pPr>
              <w:spacing w:after="0" w:line="259" w:lineRule="auto"/>
              <w:ind w:left="0" w:right="52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02"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27" w:type="dxa"/>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6"/>
        </w:trPr>
        <w:tc>
          <w:tcPr>
            <w:tcW w:w="256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89" w:type="dxa"/>
            <w:tcBorders>
              <w:top w:val="nil"/>
              <w:left w:val="nil"/>
              <w:bottom w:val="nil"/>
              <w:right w:val="nil"/>
            </w:tcBorders>
          </w:tcPr>
          <w:p w:rsidR="004D6F0E" w:rsidRDefault="00490F21">
            <w:pPr>
              <w:spacing w:after="0" w:line="259" w:lineRule="auto"/>
              <w:ind w:left="0" w:right="526"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1802"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27" w:type="dxa"/>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42"/>
        </w:trPr>
        <w:tc>
          <w:tcPr>
            <w:tcW w:w="2568" w:type="dxa"/>
            <w:tcBorders>
              <w:top w:val="nil"/>
              <w:left w:val="nil"/>
              <w:bottom w:val="nil"/>
              <w:right w:val="nil"/>
            </w:tcBorders>
          </w:tcPr>
          <w:p w:rsidR="004D6F0E" w:rsidRDefault="00490F21">
            <w:pPr>
              <w:spacing w:after="0" w:line="259" w:lineRule="auto"/>
              <w:ind w:left="115" w:firstLine="0"/>
              <w:jc w:val="right"/>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r>
              <w:rPr>
                <w:rFonts w:ascii="Arial" w:eastAsia="Arial" w:hAnsi="Arial" w:cs="Arial"/>
                <w:sz w:val="18"/>
              </w:rPr>
              <w:tab/>
              <w:t xml:space="preserve"> </w:t>
            </w:r>
          </w:p>
        </w:tc>
        <w:tc>
          <w:tcPr>
            <w:tcW w:w="212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654" w:firstLine="0"/>
            </w:pPr>
            <w:r>
              <w:rPr>
                <w:rFonts w:ascii="Arial" w:eastAsia="Arial" w:hAnsi="Arial" w:cs="Arial"/>
                <w:sz w:val="18"/>
              </w:rPr>
              <w:t xml:space="preserve"> </w:t>
            </w:r>
          </w:p>
        </w:tc>
        <w:tc>
          <w:tcPr>
            <w:tcW w:w="2489"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1.15% </w:t>
            </w:r>
          </w:p>
          <w:p w:rsidR="004D6F0E" w:rsidRDefault="00490F21">
            <w:pPr>
              <w:spacing w:after="0" w:line="259" w:lineRule="auto"/>
              <w:ind w:left="1430" w:firstLine="0"/>
              <w:jc w:val="center"/>
            </w:pPr>
            <w:r>
              <w:rPr>
                <w:rFonts w:ascii="Arial" w:eastAsia="Arial" w:hAnsi="Arial" w:cs="Arial"/>
                <w:sz w:val="18"/>
              </w:rPr>
              <w:t xml:space="preserve"> </w:t>
            </w:r>
          </w:p>
        </w:tc>
        <w:tc>
          <w:tcPr>
            <w:tcW w:w="1802" w:type="dxa"/>
            <w:tcBorders>
              <w:top w:val="nil"/>
              <w:left w:val="nil"/>
              <w:bottom w:val="nil"/>
              <w:right w:val="nil"/>
            </w:tcBorders>
          </w:tcPr>
          <w:p w:rsidR="004D6F0E" w:rsidRDefault="00490F21">
            <w:pPr>
              <w:spacing w:after="9" w:line="259" w:lineRule="auto"/>
              <w:ind w:left="165" w:firstLine="0"/>
            </w:pPr>
            <w:r>
              <w:rPr>
                <w:sz w:val="18"/>
              </w:rPr>
              <w:t>無</w:t>
            </w:r>
            <w:r>
              <w:rPr>
                <w:rFonts w:ascii="Arial" w:eastAsia="Arial" w:hAnsi="Arial" w:cs="Arial"/>
                <w:sz w:val="18"/>
              </w:rPr>
              <w:t xml:space="preserve"> </w:t>
            </w:r>
          </w:p>
          <w:p w:rsidR="004D6F0E" w:rsidRDefault="00490F21">
            <w:pPr>
              <w:spacing w:after="0" w:line="259" w:lineRule="auto"/>
              <w:ind w:left="1435"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5"/>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489" w:type="dxa"/>
            <w:tcBorders>
              <w:top w:val="nil"/>
              <w:left w:val="nil"/>
              <w:bottom w:val="nil"/>
              <w:right w:val="nil"/>
            </w:tcBorders>
            <w:shd w:val="clear" w:color="auto" w:fill="D9D9D9"/>
          </w:tcPr>
          <w:p w:rsidR="004D6F0E" w:rsidRDefault="004D6F0E">
            <w:pPr>
              <w:spacing w:after="160" w:line="259" w:lineRule="auto"/>
              <w:ind w:left="0" w:firstLine="0"/>
            </w:pPr>
          </w:p>
        </w:tc>
        <w:tc>
          <w:tcPr>
            <w:tcW w:w="1802"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68"/>
        </w:trPr>
        <w:tc>
          <w:tcPr>
            <w:tcW w:w="256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89" w:type="dxa"/>
            <w:tcBorders>
              <w:top w:val="nil"/>
              <w:left w:val="nil"/>
              <w:bottom w:val="nil"/>
              <w:right w:val="nil"/>
            </w:tcBorders>
          </w:tcPr>
          <w:p w:rsidR="004D6F0E" w:rsidRDefault="00490F21">
            <w:pPr>
              <w:spacing w:after="0" w:line="259" w:lineRule="auto"/>
              <w:ind w:left="0" w:right="526" w:firstLine="0"/>
            </w:pPr>
            <w:r>
              <w:rPr>
                <w:sz w:val="18"/>
              </w:rPr>
              <w:t>最高為</w:t>
            </w:r>
            <w:r>
              <w:rPr>
                <w:sz w:val="18"/>
              </w:rPr>
              <w:t xml:space="preserve"> </w:t>
            </w:r>
            <w:r>
              <w:rPr>
                <w:rFonts w:ascii="Arial" w:eastAsia="Arial" w:hAnsi="Arial" w:cs="Arial"/>
                <w:sz w:val="18"/>
              </w:rPr>
              <w:t xml:space="preserve">1.45% </w:t>
            </w:r>
            <w:r>
              <w:rPr>
                <w:sz w:val="18"/>
              </w:rPr>
              <w:t>最高為</w:t>
            </w:r>
            <w:r>
              <w:rPr>
                <w:sz w:val="18"/>
              </w:rPr>
              <w:t xml:space="preserve"> </w:t>
            </w:r>
            <w:r>
              <w:rPr>
                <w:rFonts w:ascii="Arial" w:eastAsia="Arial" w:hAnsi="Arial" w:cs="Arial"/>
                <w:sz w:val="18"/>
              </w:rPr>
              <w:t xml:space="preserve">1.25% </w:t>
            </w:r>
          </w:p>
        </w:tc>
        <w:tc>
          <w:tcPr>
            <w:tcW w:w="1802"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27" w:type="dxa"/>
            <w:tcBorders>
              <w:top w:val="nil"/>
              <w:left w:val="nil"/>
              <w:bottom w:val="nil"/>
              <w:right w:val="nil"/>
            </w:tcBorders>
            <w:vAlign w:val="center"/>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675"/>
        </w:trPr>
        <w:tc>
          <w:tcPr>
            <w:tcW w:w="2568" w:type="dxa"/>
            <w:tcBorders>
              <w:top w:val="nil"/>
              <w:left w:val="nil"/>
              <w:bottom w:val="nil"/>
              <w:right w:val="nil"/>
            </w:tcBorders>
            <w:vAlign w:val="bottom"/>
          </w:tcPr>
          <w:p w:rsidR="004D6F0E" w:rsidRDefault="00490F21">
            <w:pPr>
              <w:spacing w:after="139"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波蘭茲羅提股份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lastRenderedPageBreak/>
              <w:t xml:space="preserve"> </w:t>
            </w:r>
          </w:p>
        </w:tc>
        <w:tc>
          <w:tcPr>
            <w:tcW w:w="2124" w:type="dxa"/>
            <w:tcBorders>
              <w:top w:val="nil"/>
              <w:left w:val="nil"/>
              <w:bottom w:val="nil"/>
              <w:right w:val="nil"/>
            </w:tcBorders>
            <w:vAlign w:val="bottom"/>
          </w:tcPr>
          <w:p w:rsidR="004D6F0E" w:rsidRDefault="00490F21">
            <w:pPr>
              <w:spacing w:after="129" w:line="259" w:lineRule="auto"/>
              <w:ind w:left="0" w:firstLine="0"/>
            </w:pPr>
            <w:r>
              <w:rPr>
                <w:sz w:val="18"/>
              </w:rPr>
              <w:lastRenderedPageBreak/>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lastRenderedPageBreak/>
              <w:t xml:space="preserve"> </w:t>
            </w:r>
          </w:p>
        </w:tc>
        <w:tc>
          <w:tcPr>
            <w:tcW w:w="2489" w:type="dxa"/>
            <w:tcBorders>
              <w:top w:val="nil"/>
              <w:left w:val="nil"/>
              <w:bottom w:val="nil"/>
              <w:right w:val="nil"/>
            </w:tcBorders>
          </w:tcPr>
          <w:p w:rsidR="004D6F0E" w:rsidRDefault="00490F21">
            <w:pPr>
              <w:spacing w:after="0" w:line="289" w:lineRule="auto"/>
              <w:ind w:left="0" w:right="526" w:firstLine="0"/>
            </w:pPr>
            <w:r>
              <w:rPr>
                <w:sz w:val="18"/>
              </w:rPr>
              <w:lastRenderedPageBreak/>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p w:rsidR="004D6F0E" w:rsidRDefault="00490F21">
            <w:pPr>
              <w:spacing w:after="0" w:line="259" w:lineRule="auto"/>
              <w:ind w:left="547" w:firstLine="0"/>
            </w:pPr>
            <w:r>
              <w:rPr>
                <w:rFonts w:ascii="Arial" w:eastAsia="Arial" w:hAnsi="Arial" w:cs="Arial"/>
                <w:sz w:val="18"/>
              </w:rPr>
              <w:lastRenderedPageBreak/>
              <w:t xml:space="preserve"> </w:t>
            </w:r>
          </w:p>
        </w:tc>
        <w:tc>
          <w:tcPr>
            <w:tcW w:w="1802" w:type="dxa"/>
            <w:tcBorders>
              <w:top w:val="nil"/>
              <w:left w:val="nil"/>
              <w:bottom w:val="nil"/>
              <w:right w:val="nil"/>
            </w:tcBorders>
            <w:vAlign w:val="bottom"/>
          </w:tcPr>
          <w:p w:rsidR="004D6F0E" w:rsidRDefault="00490F21">
            <w:pPr>
              <w:spacing w:after="125" w:line="259" w:lineRule="auto"/>
              <w:ind w:left="165"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lastRenderedPageBreak/>
              <w:t xml:space="preserve"> </w:t>
            </w:r>
          </w:p>
        </w:tc>
        <w:tc>
          <w:tcPr>
            <w:tcW w:w="1927" w:type="dxa"/>
            <w:tcBorders>
              <w:top w:val="nil"/>
              <w:left w:val="nil"/>
              <w:bottom w:val="nil"/>
              <w:right w:val="nil"/>
            </w:tcBorders>
            <w:vAlign w:val="bottom"/>
          </w:tcPr>
          <w:p w:rsidR="004D6F0E" w:rsidRDefault="00490F21">
            <w:pPr>
              <w:spacing w:after="125" w:line="259" w:lineRule="auto"/>
              <w:ind w:left="631"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lastRenderedPageBreak/>
              <w:t xml:space="preserve"> </w:t>
            </w:r>
          </w:p>
        </w:tc>
      </w:tr>
      <w:tr w:rsidR="004D6F0E">
        <w:trPr>
          <w:trHeight w:val="235"/>
        </w:trPr>
        <w:tc>
          <w:tcPr>
            <w:tcW w:w="2568"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捷克克朗對沖股份類別</w:t>
            </w:r>
            <w:r>
              <w:rPr>
                <w:rFonts w:ascii="Arial" w:eastAsia="Arial" w:hAnsi="Arial" w:cs="Arial"/>
                <w:sz w:val="18"/>
              </w:rPr>
              <w:t xml:space="preserve"> </w:t>
            </w:r>
          </w:p>
        </w:tc>
        <w:tc>
          <w:tcPr>
            <w:tcW w:w="2124" w:type="dxa"/>
            <w:tcBorders>
              <w:top w:val="nil"/>
              <w:left w:val="nil"/>
              <w:bottom w:val="nil"/>
              <w:right w:val="nil"/>
            </w:tcBorders>
            <w:shd w:val="clear" w:color="auto" w:fill="D9D9D9"/>
          </w:tcPr>
          <w:p w:rsidR="004D6F0E" w:rsidRDefault="004D6F0E">
            <w:pPr>
              <w:spacing w:after="160" w:line="259" w:lineRule="auto"/>
              <w:ind w:left="0" w:firstLine="0"/>
            </w:pPr>
          </w:p>
        </w:tc>
        <w:tc>
          <w:tcPr>
            <w:tcW w:w="2489" w:type="dxa"/>
            <w:tcBorders>
              <w:top w:val="nil"/>
              <w:left w:val="nil"/>
              <w:bottom w:val="nil"/>
              <w:right w:val="nil"/>
            </w:tcBorders>
            <w:shd w:val="clear" w:color="auto" w:fill="D9D9D9"/>
          </w:tcPr>
          <w:p w:rsidR="004D6F0E" w:rsidRDefault="004D6F0E">
            <w:pPr>
              <w:spacing w:after="160" w:line="259" w:lineRule="auto"/>
              <w:ind w:left="0" w:firstLine="0"/>
            </w:pPr>
          </w:p>
        </w:tc>
        <w:tc>
          <w:tcPr>
            <w:tcW w:w="1802"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line="259" w:lineRule="auto"/>
        <w:ind w:left="4437" w:right="4888" w:hanging="10"/>
        <w:jc w:val="center"/>
      </w:pPr>
      <w:r>
        <w:rPr>
          <w:sz w:val="18"/>
        </w:rPr>
        <w:t>最高為</w:t>
      </w:r>
      <w:r>
        <w:rPr>
          <w:sz w:val="18"/>
        </w:rPr>
        <w:t xml:space="preserve"> </w:t>
      </w:r>
      <w:r>
        <w:rPr>
          <w:rFonts w:ascii="Arial" w:eastAsia="Arial" w:hAnsi="Arial" w:cs="Arial"/>
          <w:sz w:val="18"/>
        </w:rPr>
        <w:t xml:space="preserve">1.45% </w:t>
      </w:r>
    </w:p>
    <w:tbl>
      <w:tblPr>
        <w:tblStyle w:val="TableGrid"/>
        <w:tblW w:w="9729" w:type="dxa"/>
        <w:tblInd w:w="120" w:type="dxa"/>
        <w:tblCellMar>
          <w:top w:w="3" w:type="dxa"/>
          <w:left w:w="0" w:type="dxa"/>
          <w:bottom w:w="0" w:type="dxa"/>
          <w:right w:w="0" w:type="dxa"/>
        </w:tblCellMar>
        <w:tblLook w:val="04A0" w:firstRow="1" w:lastRow="0" w:firstColumn="1" w:lastColumn="0" w:noHBand="0" w:noVBand="1"/>
      </w:tblPr>
      <w:tblGrid>
        <w:gridCol w:w="2453"/>
        <w:gridCol w:w="2124"/>
        <w:gridCol w:w="2489"/>
        <w:gridCol w:w="1802"/>
        <w:gridCol w:w="861"/>
      </w:tblGrid>
      <w:tr w:rsidR="004D6F0E">
        <w:trPr>
          <w:trHeight w:val="324"/>
        </w:trPr>
        <w:tc>
          <w:tcPr>
            <w:tcW w:w="245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tc>
        <w:tc>
          <w:tcPr>
            <w:tcW w:w="212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8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1.25% </w:t>
            </w:r>
          </w:p>
        </w:tc>
        <w:tc>
          <w:tcPr>
            <w:tcW w:w="1802"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861" w:type="dxa"/>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rPr>
          <w:trHeight w:val="444"/>
        </w:trPr>
        <w:tc>
          <w:tcPr>
            <w:tcW w:w="2453"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捷克克朗股份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12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89" w:type="dxa"/>
            <w:tcBorders>
              <w:top w:val="nil"/>
              <w:left w:val="nil"/>
              <w:bottom w:val="nil"/>
              <w:right w:val="nil"/>
            </w:tcBorders>
          </w:tcPr>
          <w:p w:rsidR="004D6F0E" w:rsidRDefault="00490F21">
            <w:pPr>
              <w:spacing w:after="0" w:line="259" w:lineRule="auto"/>
              <w:ind w:left="0" w:right="805" w:firstLine="0"/>
            </w:pPr>
            <w:r>
              <w:rPr>
                <w:sz w:val="18"/>
              </w:rPr>
              <w:t>最高為</w:t>
            </w:r>
            <w:r>
              <w:rPr>
                <w:sz w:val="18"/>
              </w:rPr>
              <w:t xml:space="preserve"> </w:t>
            </w:r>
            <w:r>
              <w:rPr>
                <w:rFonts w:ascii="Arial" w:eastAsia="Arial" w:hAnsi="Arial" w:cs="Arial"/>
                <w:sz w:val="18"/>
              </w:rPr>
              <w:t xml:space="preserve">0.95% </w:t>
            </w:r>
            <w:r>
              <w:rPr>
                <w:sz w:val="18"/>
              </w:rPr>
              <w:t>最高為</w:t>
            </w:r>
            <w:r>
              <w:rPr>
                <w:sz w:val="18"/>
              </w:rPr>
              <w:t xml:space="preserve"> </w:t>
            </w:r>
            <w:r>
              <w:rPr>
                <w:rFonts w:ascii="Arial" w:eastAsia="Arial" w:hAnsi="Arial" w:cs="Arial"/>
                <w:sz w:val="18"/>
              </w:rPr>
              <w:t xml:space="preserve">0.75% </w:t>
            </w:r>
          </w:p>
        </w:tc>
        <w:tc>
          <w:tcPr>
            <w:tcW w:w="1802"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861" w:type="dxa"/>
            <w:tcBorders>
              <w:top w:val="nil"/>
              <w:left w:val="nil"/>
              <w:bottom w:val="nil"/>
              <w:right w:val="nil"/>
            </w:tcBorders>
            <w:vAlign w:val="center"/>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bl>
    <w:p w:rsidR="004D6F0E" w:rsidRDefault="004D6F0E">
      <w:pPr>
        <w:sectPr w:rsidR="004D6F0E">
          <w:type w:val="continuous"/>
          <w:pgSz w:w="12240" w:h="15840"/>
          <w:pgMar w:top="1231" w:right="569" w:bottom="1661" w:left="720" w:header="720" w:footer="720" w:gutter="0"/>
          <w:cols w:space="720"/>
        </w:sectPr>
      </w:pP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17"/>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S(0.10%)</w:t>
      </w:r>
      <w:r>
        <w:rPr>
          <w:sz w:val="16"/>
        </w:rPr>
        <w:t>、</w:t>
      </w:r>
      <w:r>
        <w:rPr>
          <w:rFonts w:ascii="Arial" w:eastAsia="Arial" w:hAnsi="Arial" w:cs="Arial"/>
          <w:sz w:val="16"/>
        </w:rPr>
        <w:t>SK(0.75%)</w:t>
      </w:r>
      <w:r>
        <w:rPr>
          <w:sz w:val="16"/>
        </w:rPr>
        <w:t>、</w:t>
      </w:r>
      <w:r>
        <w:rPr>
          <w:rFonts w:ascii="Arial" w:eastAsia="Arial" w:hAnsi="Arial" w:cs="Arial"/>
          <w:sz w:val="16"/>
        </w:rPr>
        <w:t>SHK (0.10%)</w:t>
      </w:r>
      <w:r>
        <w:rPr>
          <w:sz w:val="16"/>
        </w:rPr>
        <w:t>、</w:t>
      </w:r>
      <w:r>
        <w:rPr>
          <w:sz w:val="16"/>
        </w:rPr>
        <w:t xml:space="preserve"> </w:t>
      </w:r>
      <w:r>
        <w:rPr>
          <w:rFonts w:ascii="Arial" w:eastAsia="Arial" w:hAnsi="Arial" w:cs="Arial"/>
          <w:sz w:val="16"/>
        </w:rPr>
        <w:t>S1(1.00%)</w:t>
      </w:r>
      <w:r>
        <w:rPr>
          <w:sz w:val="16"/>
        </w:rPr>
        <w:t>、</w:t>
      </w:r>
      <w:r>
        <w:rPr>
          <w:rFonts w:ascii="Arial" w:eastAsia="Arial" w:hAnsi="Arial" w:cs="Arial"/>
          <w:sz w:val="16"/>
        </w:rPr>
        <w:t>S1D(1.</w:t>
      </w:r>
      <w:r>
        <w:rPr>
          <w:rFonts w:ascii="Arial" w:eastAsia="Arial" w:hAnsi="Arial" w:cs="Arial"/>
          <w:sz w:val="16"/>
        </w:rPr>
        <w:t>00%)</w:t>
      </w:r>
      <w:r>
        <w:rPr>
          <w:sz w:val="16"/>
        </w:rPr>
        <w:t>、</w:t>
      </w:r>
      <w:r>
        <w:rPr>
          <w:rFonts w:ascii="Arial" w:eastAsia="Arial" w:hAnsi="Arial" w:cs="Arial"/>
          <w:sz w:val="16"/>
        </w:rPr>
        <w:t>S1D2(1.00%)</w:t>
      </w:r>
      <w:r>
        <w:rPr>
          <w:sz w:val="16"/>
        </w:rPr>
        <w:t>、</w:t>
      </w:r>
      <w:r>
        <w:rPr>
          <w:rFonts w:ascii="Arial" w:eastAsia="Arial" w:hAnsi="Arial" w:cs="Arial"/>
          <w:sz w:val="16"/>
        </w:rPr>
        <w:t>S1QD(1.00%)</w:t>
      </w:r>
      <w:r>
        <w:rPr>
          <w:sz w:val="16"/>
        </w:rPr>
        <w:t>及</w:t>
      </w:r>
      <w:r>
        <w:rPr>
          <w:sz w:val="16"/>
        </w:rPr>
        <w:t xml:space="preserve"> </w:t>
      </w:r>
      <w:r>
        <w:rPr>
          <w:rFonts w:ascii="Arial" w:eastAsia="Arial" w:hAnsi="Arial" w:cs="Arial"/>
          <w:sz w:val="16"/>
        </w:rPr>
        <w:t xml:space="preserve">SA(0.10%) </w:t>
      </w:r>
      <w:r>
        <w:rPr>
          <w:sz w:val="16"/>
        </w:rPr>
        <w:t>，則本傘子基金可自應付管理公司的款項中扣減（或管理公司將另行承擔）超出的費用及開支。</w:t>
      </w:r>
      <w:r>
        <w:rPr>
          <w:rFonts w:ascii="Arial" w:eastAsia="Arial" w:hAnsi="Arial" w:cs="Arial"/>
          <w:sz w:val="24"/>
        </w:rPr>
        <w:t xml:space="preserve"> </w:t>
      </w:r>
    </w:p>
    <w:p w:rsidR="004D6F0E" w:rsidRDefault="00490F21">
      <w:pPr>
        <w:numPr>
          <w:ilvl w:val="0"/>
          <w:numId w:val="17"/>
        </w:numPr>
        <w:spacing w:after="4" w:line="275" w:lineRule="auto"/>
        <w:ind w:right="13" w:hanging="360"/>
        <w:jc w:val="both"/>
      </w:pPr>
      <w:r>
        <w:rPr>
          <w:rFonts w:ascii="Arial" w:eastAsia="Arial" w:hAnsi="Arial" w:cs="Arial"/>
          <w:sz w:val="16"/>
        </w:rPr>
        <w:t xml:space="preserve">B </w:t>
      </w:r>
      <w:r>
        <w:rPr>
          <w:sz w:val="16"/>
        </w:rPr>
        <w:t>類股份、</w:t>
      </w:r>
      <w:r>
        <w:rPr>
          <w:rFonts w:ascii="Arial" w:eastAsia="Arial" w:hAnsi="Arial" w:cs="Arial"/>
          <w:sz w:val="16"/>
        </w:rPr>
        <w:t xml:space="preserve">B2 </w:t>
      </w:r>
      <w:r>
        <w:rPr>
          <w:sz w:val="16"/>
        </w:rPr>
        <w:t>類股份、</w:t>
      </w:r>
      <w:r>
        <w:rPr>
          <w:rFonts w:ascii="Arial" w:eastAsia="Arial" w:hAnsi="Arial" w:cs="Arial"/>
          <w:sz w:val="16"/>
        </w:rPr>
        <w:t xml:space="preserve">BT </w:t>
      </w:r>
      <w:r>
        <w:rPr>
          <w:sz w:val="16"/>
        </w:rPr>
        <w:t>類股份和</w:t>
      </w:r>
      <w:r>
        <w:rPr>
          <w:sz w:val="16"/>
        </w:rPr>
        <w:t xml:space="preserve"> </w:t>
      </w:r>
      <w:r>
        <w:rPr>
          <w:rFonts w:ascii="Arial" w:eastAsia="Arial" w:hAnsi="Arial" w:cs="Arial"/>
          <w:sz w:val="16"/>
        </w:rPr>
        <w:t xml:space="preserve">J </w:t>
      </w:r>
      <w:r>
        <w:rPr>
          <w:sz w:val="16"/>
        </w:rPr>
        <w:t>類股份自認購日起四年後合資格分別轉入</w:t>
      </w:r>
      <w:r>
        <w:rPr>
          <w:sz w:val="16"/>
        </w:rPr>
        <w:t xml:space="preserve"> </w:t>
      </w:r>
      <w:r>
        <w:rPr>
          <w:rFonts w:ascii="Arial" w:eastAsia="Arial" w:hAnsi="Arial" w:cs="Arial"/>
          <w:sz w:val="16"/>
        </w:rPr>
        <w:t xml:space="preserve">A </w:t>
      </w:r>
      <w:r>
        <w:rPr>
          <w:sz w:val="16"/>
        </w:rPr>
        <w:t>類股份、</w:t>
      </w:r>
      <w:r>
        <w:rPr>
          <w:rFonts w:ascii="Arial" w:eastAsia="Arial" w:hAnsi="Arial" w:cs="Arial"/>
          <w:sz w:val="16"/>
        </w:rPr>
        <w:t xml:space="preserve">A2 </w:t>
      </w:r>
      <w:r>
        <w:rPr>
          <w:sz w:val="16"/>
        </w:rPr>
        <w:t>類股份、</w:t>
      </w:r>
      <w:r>
        <w:rPr>
          <w:rFonts w:ascii="Arial" w:eastAsia="Arial" w:hAnsi="Arial" w:cs="Arial"/>
          <w:sz w:val="16"/>
        </w:rPr>
        <w:t xml:space="preserve">AT </w:t>
      </w:r>
      <w:r>
        <w:rPr>
          <w:sz w:val="16"/>
        </w:rPr>
        <w:t>類股份和</w:t>
      </w:r>
      <w:r>
        <w:rPr>
          <w:sz w:val="16"/>
        </w:rPr>
        <w:t xml:space="preserve"> </w:t>
      </w:r>
      <w:r>
        <w:rPr>
          <w:rFonts w:ascii="Arial" w:eastAsia="Arial" w:hAnsi="Arial" w:cs="Arial"/>
          <w:sz w:val="16"/>
        </w:rPr>
        <w:t xml:space="preserve">JA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17"/>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17"/>
        </w:numPr>
        <w:spacing w:after="56"/>
        <w:ind w:right="13" w:hanging="360"/>
        <w:jc w:val="both"/>
      </w:pPr>
      <w:r>
        <w:rPr>
          <w:sz w:val="16"/>
        </w:rPr>
        <w:t>佔每日平均資產淨值的年百分比。就某些類股</w:t>
      </w:r>
      <w:r>
        <w:rPr>
          <w:sz w:val="16"/>
        </w:rPr>
        <w:t>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部分「附加資料－費用及開支」。就除</w:t>
      </w:r>
      <w:r>
        <w:rPr>
          <w:sz w:val="16"/>
        </w:rPr>
        <w:t xml:space="preserve"> </w:t>
      </w:r>
      <w:r>
        <w:rPr>
          <w:rFonts w:ascii="Arial" w:eastAsia="Arial" w:hAnsi="Arial" w:cs="Arial"/>
          <w:sz w:val="16"/>
        </w:rPr>
        <w:t>S</w:t>
      </w:r>
      <w:r>
        <w:rPr>
          <w:sz w:val="16"/>
        </w:rPr>
        <w:t>、</w:t>
      </w:r>
      <w:r>
        <w:rPr>
          <w:rFonts w:ascii="Arial" w:eastAsia="Arial" w:hAnsi="Arial" w:cs="Arial"/>
          <w:sz w:val="16"/>
        </w:rPr>
        <w:t>S1</w:t>
      </w:r>
      <w:r>
        <w:rPr>
          <w:sz w:val="16"/>
        </w:rPr>
        <w:t>、</w:t>
      </w:r>
      <w:r>
        <w:rPr>
          <w:sz w:val="16"/>
        </w:rPr>
        <w:t xml:space="preserve"> </w:t>
      </w:r>
      <w:r>
        <w:rPr>
          <w:rFonts w:ascii="Arial" w:eastAsia="Arial" w:hAnsi="Arial" w:cs="Arial"/>
          <w:sz w:val="16"/>
        </w:rPr>
        <w:t>S1D</w:t>
      </w:r>
      <w:r>
        <w:rPr>
          <w:sz w:val="16"/>
        </w:rPr>
        <w:t>、</w:t>
      </w:r>
      <w:r>
        <w:rPr>
          <w:rFonts w:ascii="Arial" w:eastAsia="Arial" w:hAnsi="Arial" w:cs="Arial"/>
          <w:sz w:val="16"/>
        </w:rPr>
        <w:t>S1D2</w:t>
      </w:r>
      <w:r>
        <w:rPr>
          <w:sz w:val="16"/>
        </w:rPr>
        <w:t>、</w:t>
      </w:r>
      <w:r>
        <w:rPr>
          <w:rFonts w:ascii="Arial" w:eastAsia="Arial" w:hAnsi="Arial" w:cs="Arial"/>
          <w:sz w:val="16"/>
        </w:rPr>
        <w:t>S1QD</w:t>
      </w:r>
      <w:r>
        <w:rPr>
          <w:sz w:val="16"/>
        </w:rPr>
        <w:t>、</w:t>
      </w:r>
      <w:r>
        <w:rPr>
          <w:rFonts w:ascii="Arial" w:eastAsia="Arial" w:hAnsi="Arial" w:cs="Arial"/>
          <w:sz w:val="16"/>
        </w:rPr>
        <w:t>W</w:t>
      </w:r>
      <w:r>
        <w:rPr>
          <w:sz w:val="16"/>
        </w:rPr>
        <w:t>、</w:t>
      </w:r>
      <w:r>
        <w:rPr>
          <w:rFonts w:ascii="Arial" w:eastAsia="Arial" w:hAnsi="Arial" w:cs="Arial"/>
          <w:sz w:val="16"/>
        </w:rPr>
        <w:t xml:space="preserve">W2 </w:t>
      </w:r>
      <w:r>
        <w:rPr>
          <w:sz w:val="16"/>
        </w:rPr>
        <w:t>及</w:t>
      </w:r>
      <w:r>
        <w:rPr>
          <w:sz w:val="16"/>
        </w:rPr>
        <w:t xml:space="preserve"> </w:t>
      </w:r>
      <w:r>
        <w:rPr>
          <w:rFonts w:ascii="Arial" w:eastAsia="Arial" w:hAnsi="Arial" w:cs="Arial"/>
          <w:sz w:val="16"/>
        </w:rPr>
        <w:t xml:space="preserve">WT </w:t>
      </w:r>
      <w:r>
        <w:rPr>
          <w:sz w:val="16"/>
        </w:rPr>
        <w:t>類股份以外的所有股份而言，所列連續費用水平適用於</w:t>
      </w:r>
      <w:r>
        <w:rPr>
          <w:rFonts w:ascii="Arial" w:eastAsia="Arial" w:hAnsi="Arial" w:cs="Arial"/>
          <w:sz w:val="16"/>
        </w:rPr>
        <w:t>(1)</w:t>
      </w:r>
      <w:r>
        <w:rPr>
          <w:sz w:val="16"/>
        </w:rPr>
        <w:t>此等基金股份類別的集體淨資產的首</w:t>
      </w:r>
      <w:r>
        <w:rPr>
          <w:sz w:val="16"/>
        </w:rPr>
        <w:t xml:space="preserve"> </w:t>
      </w:r>
      <w:r>
        <w:rPr>
          <w:rFonts w:ascii="Arial" w:eastAsia="Arial" w:hAnsi="Arial" w:cs="Arial"/>
          <w:sz w:val="16"/>
        </w:rPr>
        <w:t xml:space="preserve">15,000,000,000 </w:t>
      </w:r>
      <w:r>
        <w:rPr>
          <w:sz w:val="16"/>
        </w:rPr>
        <w:t>美元，及</w:t>
      </w:r>
      <w:r>
        <w:rPr>
          <w:rFonts w:ascii="Arial" w:eastAsia="Arial" w:hAnsi="Arial" w:cs="Arial"/>
          <w:sz w:val="16"/>
        </w:rPr>
        <w:t>(2)</w:t>
      </w:r>
      <w:r>
        <w:rPr>
          <w:sz w:val="16"/>
        </w:rPr>
        <w:t>此等基金股份類別的集體淨資產數額超過</w:t>
      </w:r>
    </w:p>
    <w:p w:rsidR="004D6F0E" w:rsidRDefault="00490F21">
      <w:pPr>
        <w:spacing w:after="44" w:line="269" w:lineRule="auto"/>
        <w:ind w:left="354"/>
        <w:jc w:val="both"/>
      </w:pPr>
      <w:r>
        <w:rPr>
          <w:rFonts w:ascii="Arial" w:eastAsia="Arial" w:hAnsi="Arial" w:cs="Arial"/>
          <w:sz w:val="16"/>
        </w:rPr>
        <w:t xml:space="preserve">15,000,000,000 </w:t>
      </w:r>
      <w:r>
        <w:rPr>
          <w:sz w:val="16"/>
        </w:rPr>
        <w:t>美元的部分。</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numPr>
          <w:ilvl w:val="0"/>
          <w:numId w:val="17"/>
        </w:numPr>
        <w:ind w:right="13" w:hanging="360"/>
        <w:jc w:val="both"/>
      </w:pPr>
      <w:r>
        <w:rPr>
          <w:sz w:val="16"/>
        </w:rPr>
        <w:t>佔每日平均資產淨值的年百分比。</w:t>
      </w:r>
      <w:r>
        <w:rPr>
          <w:rFonts w:ascii="Arial" w:eastAsia="Arial" w:hAnsi="Arial" w:cs="Arial"/>
          <w:sz w:val="16"/>
        </w:rPr>
        <w:t xml:space="preserve">  </w:t>
      </w:r>
    </w:p>
    <w:p w:rsidR="004D6F0E" w:rsidRDefault="00490F21">
      <w:pPr>
        <w:numPr>
          <w:ilvl w:val="0"/>
          <w:numId w:val="17"/>
        </w:numPr>
        <w:ind w:right="13" w:hanging="360"/>
        <w:jc w:val="both"/>
      </w:pPr>
      <w:r>
        <w:rPr>
          <w:sz w:val="16"/>
        </w:rPr>
        <w:t>佔所贖回</w:t>
      </w:r>
      <w:r>
        <w:rPr>
          <w:sz w:val="16"/>
        </w:rPr>
        <w:t xml:space="preserve"> </w:t>
      </w:r>
      <w:r>
        <w:rPr>
          <w:rFonts w:ascii="Arial" w:eastAsia="Arial" w:hAnsi="Arial" w:cs="Arial"/>
          <w:sz w:val="16"/>
        </w:rPr>
        <w:t>B</w:t>
      </w:r>
      <w:r>
        <w:rPr>
          <w:sz w:val="16"/>
        </w:rPr>
        <w:t>、</w:t>
      </w:r>
      <w:r>
        <w:rPr>
          <w:rFonts w:ascii="Arial" w:eastAsia="Arial" w:hAnsi="Arial" w:cs="Arial"/>
          <w:sz w:val="16"/>
        </w:rPr>
        <w:t xml:space="preserve">B2 </w:t>
      </w:r>
      <w:r>
        <w:rPr>
          <w:sz w:val="16"/>
        </w:rPr>
        <w:t>及</w:t>
      </w:r>
      <w:r>
        <w:rPr>
          <w:sz w:val="16"/>
        </w:rPr>
        <w:t xml:space="preserve"> </w:t>
      </w:r>
      <w:r>
        <w:rPr>
          <w:rFonts w:ascii="Arial" w:eastAsia="Arial" w:hAnsi="Arial" w:cs="Arial"/>
          <w:sz w:val="16"/>
        </w:rPr>
        <w:t xml:space="preserve">BT </w:t>
      </w:r>
      <w:r>
        <w:rPr>
          <w:sz w:val="16"/>
        </w:rPr>
        <w:t>類股份的現行資產淨值及原始成本此兩個數字中較低者的有關百分率，並視乎該等股份的持有時間而定。就</w:t>
      </w:r>
      <w:r>
        <w:rPr>
          <w:sz w:val="16"/>
        </w:rPr>
        <w:t xml:space="preserve"> </w:t>
      </w:r>
      <w:r>
        <w:rPr>
          <w:rFonts w:ascii="Arial" w:eastAsia="Arial" w:hAnsi="Arial" w:cs="Arial"/>
          <w:sz w:val="16"/>
        </w:rPr>
        <w:t xml:space="preserve">J </w:t>
      </w:r>
      <w:r>
        <w:rPr>
          <w:sz w:val="16"/>
        </w:rPr>
        <w:t>類股份而言，佔所贖回股份現行資產淨值的百分比。</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w:t>
      </w:r>
      <w:r>
        <w:rPr>
          <w:rFonts w:ascii="Arial" w:eastAsia="Arial" w:hAnsi="Arial" w:cs="Arial"/>
          <w:sz w:val="16"/>
        </w:rPr>
        <w:t xml:space="preserve">CT </w:t>
      </w:r>
      <w:r>
        <w:rPr>
          <w:sz w:val="16"/>
        </w:rPr>
        <w:t>類股份、</w:t>
      </w:r>
      <w:r>
        <w:rPr>
          <w:rFonts w:ascii="Arial" w:eastAsia="Arial" w:hAnsi="Arial" w:cs="Arial"/>
          <w:sz w:val="16"/>
        </w:rPr>
        <w:t xml:space="preserve">CK </w:t>
      </w:r>
      <w:r>
        <w:rPr>
          <w:sz w:val="16"/>
        </w:rPr>
        <w:t>類股份和</w:t>
      </w:r>
      <w:r>
        <w:rPr>
          <w:sz w:val="16"/>
        </w:rPr>
        <w:t xml:space="preserve"> </w:t>
      </w:r>
      <w:r>
        <w:rPr>
          <w:rFonts w:ascii="Arial" w:eastAsia="Arial" w:hAnsi="Arial" w:cs="Arial"/>
          <w:sz w:val="16"/>
        </w:rPr>
        <w:t xml:space="preserve">C2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類股份）而言，交易商可在某些情況下選擇減免或有遞延銷售費。</w:t>
      </w:r>
      <w:r>
        <w:rPr>
          <w:rFonts w:ascii="Arial" w:eastAsia="Arial" w:hAnsi="Arial" w:cs="Arial"/>
          <w:sz w:val="24"/>
        </w:rPr>
        <w:t xml:space="preserve"> </w:t>
      </w:r>
    </w:p>
    <w:p w:rsidR="004D6F0E" w:rsidRDefault="00490F21">
      <w:pPr>
        <w:numPr>
          <w:ilvl w:val="0"/>
          <w:numId w:val="17"/>
        </w:numPr>
        <w:ind w:right="13" w:hanging="360"/>
        <w:jc w:val="both"/>
      </w:pPr>
      <w:r>
        <w:rPr>
          <w:rFonts w:ascii="Arial" w:eastAsia="Arial" w:hAnsi="Arial" w:cs="Arial"/>
          <w:sz w:val="16"/>
        </w:rPr>
        <w:t xml:space="preserve">S </w:t>
      </w:r>
      <w:r>
        <w:rPr>
          <w:sz w:val="16"/>
        </w:rPr>
        <w:t>及</w:t>
      </w:r>
      <w:r>
        <w:rPr>
          <w:sz w:val="16"/>
        </w:rPr>
        <w:t xml:space="preserve"> </w:t>
      </w:r>
      <w:r>
        <w:rPr>
          <w:rFonts w:ascii="Arial" w:eastAsia="Arial" w:hAnsi="Arial" w:cs="Arial"/>
          <w:sz w:val="16"/>
        </w:rPr>
        <w:t xml:space="preserve">SA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7"/>
        </w:numPr>
        <w:ind w:right="13" w:hanging="360"/>
        <w:jc w:val="both"/>
      </w:pPr>
      <w:r>
        <w:rPr>
          <w:rFonts w:ascii="Arial" w:eastAsia="Arial" w:hAnsi="Arial" w:cs="Arial"/>
          <w:sz w:val="16"/>
        </w:rPr>
        <w:t xml:space="preserve">SK </w:t>
      </w:r>
      <w:r>
        <w:rPr>
          <w:sz w:val="16"/>
        </w:rPr>
        <w:t>及</w:t>
      </w:r>
      <w:r>
        <w:rPr>
          <w:sz w:val="16"/>
        </w:rPr>
        <w:t xml:space="preserve"> </w:t>
      </w:r>
      <w:r>
        <w:rPr>
          <w:rFonts w:ascii="Arial" w:eastAsia="Arial" w:hAnsi="Arial" w:cs="Arial"/>
          <w:sz w:val="16"/>
        </w:rPr>
        <w:t xml:space="preserve">SHK </w:t>
      </w:r>
      <w:r>
        <w:rPr>
          <w:sz w:val="16"/>
        </w:rPr>
        <w:t>類股份僅供</w:t>
      </w:r>
      <w:r>
        <w:rPr>
          <w:sz w:val="16"/>
        </w:rPr>
        <w:t>聯博基金投資。</w:t>
      </w:r>
      <w:r>
        <w:rPr>
          <w:rFonts w:ascii="Arial" w:eastAsia="Arial" w:hAnsi="Arial" w:cs="Arial"/>
          <w:sz w:val="16"/>
        </w:rPr>
        <w:t xml:space="preserve"> </w:t>
      </w:r>
    </w:p>
    <w:p w:rsidR="004D6F0E" w:rsidRDefault="00490F21">
      <w:pPr>
        <w:numPr>
          <w:ilvl w:val="0"/>
          <w:numId w:val="17"/>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p>
    <w:p w:rsidR="004D6F0E" w:rsidRDefault="00490F21">
      <w:pPr>
        <w:ind w:left="370" w:right="13" w:hanging="10"/>
        <w:jc w:val="both"/>
      </w:pPr>
      <w:r>
        <w:rPr>
          <w:sz w:val="16"/>
        </w:rPr>
        <w:t>」。</w:t>
      </w:r>
      <w:r>
        <w:rPr>
          <w:rFonts w:ascii="Arial" w:eastAsia="Arial" w:hAnsi="Arial" w:cs="Arial"/>
          <w:sz w:val="16"/>
        </w:rPr>
        <w:t xml:space="preserve"> </w:t>
      </w:r>
    </w:p>
    <w:p w:rsidR="004D6F0E" w:rsidRDefault="00490F21">
      <w:pPr>
        <w:numPr>
          <w:ilvl w:val="0"/>
          <w:numId w:val="17"/>
        </w:numPr>
        <w:ind w:right="13" w:hanging="360"/>
        <w:jc w:val="both"/>
      </w:pPr>
      <w:r>
        <w:rPr>
          <w:rFonts w:ascii="Arial" w:eastAsia="Arial" w:hAnsi="Arial" w:cs="Arial"/>
          <w:sz w:val="16"/>
        </w:rPr>
        <w:t xml:space="preserve">S1D </w:t>
      </w:r>
      <w:r>
        <w:rPr>
          <w:sz w:val="16"/>
        </w:rPr>
        <w:t>類股份僅開放予此股份類別的現有股東作新購入。</w:t>
      </w:r>
      <w:r>
        <w:rPr>
          <w:rFonts w:ascii="Arial" w:eastAsia="Arial" w:hAnsi="Arial" w:cs="Arial"/>
          <w:sz w:val="16"/>
        </w:rPr>
        <w:t xml:space="preserve"> </w:t>
      </w:r>
    </w:p>
    <w:p w:rsidR="004D6F0E" w:rsidRDefault="00490F21">
      <w:pPr>
        <w:numPr>
          <w:ilvl w:val="0"/>
          <w:numId w:val="17"/>
        </w:numPr>
        <w:spacing w:after="4" w:line="275" w:lineRule="auto"/>
        <w:ind w:right="13" w:hanging="360"/>
        <w:jc w:val="both"/>
      </w:pPr>
      <w:r>
        <w:rPr>
          <w:rFonts w:ascii="Arial" w:eastAsia="Arial" w:hAnsi="Arial" w:cs="Arial"/>
          <w:sz w:val="16"/>
        </w:rPr>
        <w:t xml:space="preserve">EA </w:t>
      </w:r>
      <w:r>
        <w:rPr>
          <w:sz w:val="16"/>
        </w:rPr>
        <w:t>類股份（及相應</w:t>
      </w:r>
      <w:r>
        <w:rPr>
          <w:sz w:val="16"/>
        </w:rPr>
        <w:t xml:space="preserve"> </w:t>
      </w:r>
      <w:r>
        <w:rPr>
          <w:rFonts w:ascii="Arial" w:eastAsia="Arial" w:hAnsi="Arial" w:cs="Arial"/>
          <w:sz w:val="16"/>
        </w:rPr>
        <w:t xml:space="preserve">H </w:t>
      </w:r>
      <w:r>
        <w:rPr>
          <w:sz w:val="16"/>
        </w:rPr>
        <w:t>類股份）自認購日起三年後將轉入</w:t>
      </w:r>
      <w:r>
        <w:rPr>
          <w:sz w:val="16"/>
        </w:rPr>
        <w:t xml:space="preserve"> </w:t>
      </w:r>
      <w:r>
        <w:rPr>
          <w:rFonts w:ascii="Arial" w:eastAsia="Arial" w:hAnsi="Arial" w:cs="Arial"/>
          <w:sz w:val="16"/>
        </w:rPr>
        <w:t xml:space="preserve">AA </w:t>
      </w:r>
      <w:r>
        <w:rPr>
          <w:sz w:val="16"/>
        </w:rPr>
        <w:t>類股份（及相應</w:t>
      </w:r>
      <w:r>
        <w:rPr>
          <w:sz w:val="16"/>
        </w:rPr>
        <w:t xml:space="preserve"> </w:t>
      </w:r>
      <w:r>
        <w:rPr>
          <w:rFonts w:ascii="Arial" w:eastAsia="Arial" w:hAnsi="Arial" w:cs="Arial"/>
          <w:sz w:val="16"/>
        </w:rPr>
        <w:t xml:space="preserve">H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lastRenderedPageBreak/>
        <w:t xml:space="preserve"> </w:t>
      </w:r>
    </w:p>
    <w:p w:rsidR="004D6F0E" w:rsidRDefault="00490F21">
      <w:pPr>
        <w:spacing w:after="52"/>
        <w:ind w:left="347" w:right="13" w:hanging="360"/>
        <w:jc w:val="both"/>
      </w:pP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」），而非稱為</w:t>
      </w:r>
      <w:r>
        <w:rPr>
          <w:sz w:val="16"/>
        </w:rPr>
        <w:t xml:space="preserve"> </w:t>
      </w:r>
      <w:r>
        <w:rPr>
          <w:rFonts w:ascii="Arial" w:eastAsia="Arial" w:hAnsi="Arial" w:cs="Arial"/>
          <w:sz w:val="16"/>
        </w:rPr>
        <w:t xml:space="preserve">CNY </w:t>
      </w:r>
      <w:r>
        <w:rPr>
          <w:sz w:val="16"/>
        </w:rPr>
        <w:t>的在岸人民幣。</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ind w:left="414" w:right="13" w:hanging="427"/>
        <w:jc w:val="both"/>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p>
    <w:p w:rsidR="004D6F0E" w:rsidRDefault="004D6F0E">
      <w:pPr>
        <w:sectPr w:rsidR="004D6F0E">
          <w:type w:val="continuous"/>
          <w:pgSz w:w="12240" w:h="15840"/>
          <w:pgMar w:top="1440" w:right="758" w:bottom="1440" w:left="720" w:header="720" w:footer="720" w:gutter="0"/>
          <w:cols w:num="2" w:space="340"/>
        </w:sectPr>
      </w:pPr>
    </w:p>
    <w:p w:rsidR="004D6F0E" w:rsidRDefault="00490F21">
      <w:pPr>
        <w:spacing w:after="301" w:line="259" w:lineRule="auto"/>
        <w:ind w:left="0" w:right="107" w:firstLine="0"/>
        <w:jc w:val="right"/>
      </w:pPr>
      <w:r>
        <w:rPr>
          <w:rFonts w:ascii="Arial" w:eastAsia="Arial" w:hAnsi="Arial" w:cs="Arial"/>
          <w:sz w:val="18"/>
        </w:rPr>
        <w:lastRenderedPageBreak/>
        <w:t xml:space="preserve"> </w:t>
      </w:r>
    </w:p>
    <w:p w:rsidR="004D6F0E" w:rsidRDefault="00490F21">
      <w:pPr>
        <w:spacing w:after="0"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25" w:line="259" w:lineRule="auto"/>
        <w:ind w:left="0" w:right="-109" w:firstLine="0"/>
      </w:pPr>
      <w:r>
        <w:rPr>
          <w:rFonts w:ascii="Calibri" w:eastAsia="Calibri" w:hAnsi="Calibri" w:cs="Calibri"/>
          <w:noProof/>
          <w:sz w:val="22"/>
        </w:rPr>
        <mc:AlternateContent>
          <mc:Choice Requires="wpg">
            <w:drawing>
              <wp:inline distT="0" distB="0" distL="0" distR="0">
                <wp:extent cx="7021069" cy="18288"/>
                <wp:effectExtent l="0" t="0" r="0" b="0"/>
                <wp:docPr id="515447" name="Group 515447"/>
                <wp:cNvGraphicFramePr/>
                <a:graphic xmlns:a="http://schemas.openxmlformats.org/drawingml/2006/main">
                  <a:graphicData uri="http://schemas.microsoft.com/office/word/2010/wordprocessingGroup">
                    <wpg:wgp>
                      <wpg:cNvGrpSpPr/>
                      <wpg:grpSpPr>
                        <a:xfrm>
                          <a:off x="0" y="0"/>
                          <a:ext cx="7021069" cy="18288"/>
                          <a:chOff x="0" y="0"/>
                          <a:chExt cx="7021069" cy="18288"/>
                        </a:xfrm>
                      </wpg:grpSpPr>
                      <wps:wsp>
                        <wps:cNvPr id="658211" name="Shape 658211"/>
                        <wps:cNvSpPr/>
                        <wps:spPr>
                          <a:xfrm>
                            <a:off x="0" y="0"/>
                            <a:ext cx="7021069" cy="18288"/>
                          </a:xfrm>
                          <a:custGeom>
                            <a:avLst/>
                            <a:gdLst/>
                            <a:ahLst/>
                            <a:cxnLst/>
                            <a:rect l="0" t="0" r="0" b="0"/>
                            <a:pathLst>
                              <a:path w="7021069" h="18288">
                                <a:moveTo>
                                  <a:pt x="0" y="0"/>
                                </a:moveTo>
                                <a:lnTo>
                                  <a:pt x="7021069" y="0"/>
                                </a:lnTo>
                                <a:lnTo>
                                  <a:pt x="702106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5447" style="width:552.84pt;height:1.44pt;mso-position-horizontal-relative:char;mso-position-vertical-relative:line" coordsize="70210,182">
                <v:shape id="Shape 658212" style="position:absolute;width:70210;height:182;left:0;top:0;" coordsize="7021069,18288" path="m0,0l7021069,0l7021069,18288l0,18288l0,0">
                  <v:stroke weight="0pt" endcap="flat" joinstyle="miter" miterlimit="10" on="false" color="#000000" opacity="0"/>
                  <v:fill on="true" color="#000000"/>
                </v:shape>
              </v:group>
            </w:pict>
          </mc:Fallback>
        </mc:AlternateContent>
      </w:r>
    </w:p>
    <w:p w:rsidR="004D6F0E" w:rsidRDefault="00490F21">
      <w:pPr>
        <w:ind w:left="124" w:right="2"/>
      </w:pPr>
      <w:r>
        <w:t>其他股份類別特色</w:t>
      </w:r>
      <w:r>
        <w:rPr>
          <w:rFonts w:ascii="Arial" w:eastAsia="Arial" w:hAnsi="Arial" w:cs="Arial"/>
          <w:sz w:val="24"/>
        </w:rPr>
        <w:t xml:space="preserve"> </w:t>
      </w:r>
    </w:p>
    <w:p w:rsidR="004D6F0E" w:rsidRDefault="00490F21">
      <w:pPr>
        <w:spacing w:after="92" w:line="265" w:lineRule="auto"/>
        <w:ind w:right="139" w:hanging="10"/>
        <w:jc w:val="right"/>
      </w:pPr>
      <w:r>
        <w:rPr>
          <w:sz w:val="18"/>
        </w:rPr>
        <w:t>盧森堡年稅</w:t>
      </w:r>
      <w:r>
        <w:t>（</w:t>
      </w:r>
      <w:r>
        <w:rPr>
          <w:rFonts w:ascii="Arial" w:eastAsia="Arial" w:hAnsi="Arial" w:cs="Arial"/>
          <w:b/>
          <w:i/>
          <w:sz w:val="18"/>
        </w:rPr>
        <w:t xml:space="preserve">Taxe </w:t>
      </w:r>
    </w:p>
    <w:p w:rsidR="004D6F0E" w:rsidRDefault="00490F21">
      <w:pPr>
        <w:tabs>
          <w:tab w:val="center" w:pos="2763"/>
          <w:tab w:val="center" w:pos="4818"/>
          <w:tab w:val="center" w:pos="7510"/>
          <w:tab w:val="right" w:pos="10948"/>
        </w:tabs>
        <w:ind w:left="0" w:firstLine="0"/>
      </w:pPr>
      <w:r>
        <w:rPr>
          <w:rFonts w:ascii="Arial" w:eastAsia="Arial" w:hAnsi="Arial" w:cs="Arial"/>
          <w:b/>
          <w:sz w:val="29"/>
          <w:vertAlign w:val="superscript"/>
        </w:rPr>
        <w:t xml:space="preserve"> </w:t>
      </w:r>
      <w:r>
        <w:rPr>
          <w:rFonts w:ascii="Arial" w:eastAsia="Arial" w:hAnsi="Arial" w:cs="Arial"/>
          <w:b/>
          <w:sz w:val="29"/>
          <w:vertAlign w:val="superscript"/>
        </w:rPr>
        <w:tab/>
      </w:r>
      <w:r>
        <w:rPr>
          <w:sz w:val="18"/>
        </w:rPr>
        <w:t>發售貨幣</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最低首次投資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最低後續投資</w:t>
      </w:r>
      <w:r>
        <w:rPr>
          <w:rFonts w:ascii="Arial" w:eastAsia="Arial" w:hAnsi="Arial" w:cs="Arial"/>
          <w:b/>
          <w:sz w:val="18"/>
        </w:rPr>
        <w:t>**</w:t>
      </w:r>
      <w:r>
        <w:rPr>
          <w:rFonts w:ascii="Arial" w:eastAsia="Arial" w:hAnsi="Arial" w:cs="Arial"/>
          <w:sz w:val="24"/>
        </w:rPr>
        <w:t xml:space="preserve"> </w:t>
      </w:r>
      <w:r>
        <w:rPr>
          <w:sz w:val="18"/>
        </w:rPr>
        <w:t>最高投資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24"/>
        </w:rPr>
        <w:t xml:space="preserve"> </w:t>
      </w:r>
    </w:p>
    <w:p w:rsidR="004D6F0E" w:rsidRDefault="00490F21">
      <w:pPr>
        <w:spacing w:after="12" w:line="259" w:lineRule="auto"/>
        <w:ind w:left="1927" w:right="-22" w:firstLine="0"/>
      </w:pPr>
      <w:r>
        <w:rPr>
          <w:rFonts w:ascii="Calibri" w:eastAsia="Calibri" w:hAnsi="Calibri" w:cs="Calibri"/>
          <w:noProof/>
          <w:sz w:val="22"/>
        </w:rPr>
        <mc:AlternateContent>
          <mc:Choice Requires="wpg">
            <w:drawing>
              <wp:inline distT="0" distB="0" distL="0" distR="0">
                <wp:extent cx="5742433" cy="6109"/>
                <wp:effectExtent l="0" t="0" r="0" b="0"/>
                <wp:docPr id="515449" name="Group 515449"/>
                <wp:cNvGraphicFramePr/>
                <a:graphic xmlns:a="http://schemas.openxmlformats.org/drawingml/2006/main">
                  <a:graphicData uri="http://schemas.microsoft.com/office/word/2010/wordprocessingGroup">
                    <wpg:wgp>
                      <wpg:cNvGrpSpPr/>
                      <wpg:grpSpPr>
                        <a:xfrm>
                          <a:off x="0" y="0"/>
                          <a:ext cx="5742433" cy="6109"/>
                          <a:chOff x="0" y="0"/>
                          <a:chExt cx="5742433" cy="6109"/>
                        </a:xfrm>
                      </wpg:grpSpPr>
                      <wps:wsp>
                        <wps:cNvPr id="658213" name="Shape 658213"/>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14" name="Shape 658214"/>
                        <wps:cNvSpPr/>
                        <wps:spPr>
                          <a:xfrm>
                            <a:off x="1170432" y="0"/>
                            <a:ext cx="1330452" cy="9144"/>
                          </a:xfrm>
                          <a:custGeom>
                            <a:avLst/>
                            <a:gdLst/>
                            <a:ahLst/>
                            <a:cxnLst/>
                            <a:rect l="0" t="0" r="0" b="0"/>
                            <a:pathLst>
                              <a:path w="1330452" h="9144">
                                <a:moveTo>
                                  <a:pt x="0" y="0"/>
                                </a:moveTo>
                                <a:lnTo>
                                  <a:pt x="1330452" y="0"/>
                                </a:lnTo>
                                <a:lnTo>
                                  <a:pt x="1330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15" name="Shape 658215"/>
                        <wps:cNvSpPr/>
                        <wps:spPr>
                          <a:xfrm>
                            <a:off x="2610612"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16" name="Shape 658216"/>
                        <wps:cNvSpPr/>
                        <wps:spPr>
                          <a:xfrm>
                            <a:off x="3691128" y="0"/>
                            <a:ext cx="790956" cy="9144"/>
                          </a:xfrm>
                          <a:custGeom>
                            <a:avLst/>
                            <a:gdLst/>
                            <a:ahLst/>
                            <a:cxnLst/>
                            <a:rect l="0" t="0" r="0" b="0"/>
                            <a:pathLst>
                              <a:path w="790956" h="9144">
                                <a:moveTo>
                                  <a:pt x="0" y="0"/>
                                </a:moveTo>
                                <a:lnTo>
                                  <a:pt x="790956" y="0"/>
                                </a:lnTo>
                                <a:lnTo>
                                  <a:pt x="790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17" name="Shape 658217"/>
                        <wps:cNvSpPr/>
                        <wps:spPr>
                          <a:xfrm>
                            <a:off x="459181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5449" style="width:452.16pt;height:0.481018pt;mso-position-horizontal-relative:char;mso-position-vertical-relative:line" coordsize="57424,61">
                <v:shape id="Shape 658218" style="position:absolute;width:10607;height:91;left:0;top:0;" coordsize="1060704,9144" path="m0,0l1060704,0l1060704,9144l0,9144l0,0">
                  <v:stroke weight="0pt" endcap="flat" joinstyle="miter" miterlimit="10" on="false" color="#000000" opacity="0"/>
                  <v:fill on="true" color="#000000"/>
                </v:shape>
                <v:shape id="Shape 658219" style="position:absolute;width:13304;height:91;left:11704;top:0;" coordsize="1330452,9144" path="m0,0l1330452,0l1330452,9144l0,9144l0,0">
                  <v:stroke weight="0pt" endcap="flat" joinstyle="miter" miterlimit="10" on="false" color="#000000" opacity="0"/>
                  <v:fill on="true" color="#000000"/>
                </v:shape>
                <v:shape id="Shape 658220" style="position:absolute;width:9707;height:91;left:26106;top:0;" coordsize="970788,9144" path="m0,0l970788,0l970788,9144l0,9144l0,0">
                  <v:stroke weight="0pt" endcap="flat" joinstyle="miter" miterlimit="10" on="false" color="#000000" opacity="0"/>
                  <v:fill on="true" color="#000000"/>
                </v:shape>
                <v:shape id="Shape 658221" style="position:absolute;width:7909;height:91;left:36911;top:0;" coordsize="790956,9144" path="m0,0l790956,0l790956,9144l0,9144l0,0">
                  <v:stroke weight="0pt" endcap="flat" joinstyle="miter" miterlimit="10" on="false" color="#000000" opacity="0"/>
                  <v:fill on="true" color="#000000"/>
                </v:shape>
                <v:shape id="Shape 658222" style="position:absolute;width:11506;height:91;left:45918;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p>
    <w:tbl>
      <w:tblPr>
        <w:tblStyle w:val="TableGrid"/>
        <w:tblW w:w="11057" w:type="dxa"/>
        <w:tblInd w:w="0" w:type="dxa"/>
        <w:tblCellMar>
          <w:top w:w="21" w:type="dxa"/>
          <w:left w:w="0" w:type="dxa"/>
          <w:bottom w:w="0" w:type="dxa"/>
          <w:right w:w="115" w:type="dxa"/>
        </w:tblCellMar>
        <w:tblLook w:val="04A0" w:firstRow="1" w:lastRow="0" w:firstColumn="1" w:lastColumn="0" w:noHBand="0" w:noVBand="1"/>
      </w:tblPr>
      <w:tblGrid>
        <w:gridCol w:w="2583"/>
        <w:gridCol w:w="1426"/>
        <w:gridCol w:w="2366"/>
        <w:gridCol w:w="1459"/>
        <w:gridCol w:w="1975"/>
        <w:gridCol w:w="1248"/>
      </w:tblGrid>
      <w:tr w:rsidR="004D6F0E">
        <w:trPr>
          <w:trHeight w:val="233"/>
        </w:trPr>
        <w:tc>
          <w:tcPr>
            <w:tcW w:w="2582"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426" w:type="dxa"/>
            <w:tcBorders>
              <w:top w:val="nil"/>
              <w:left w:val="nil"/>
              <w:bottom w:val="nil"/>
              <w:right w:val="nil"/>
            </w:tcBorders>
            <w:shd w:val="clear" w:color="auto" w:fill="D9D9D9"/>
          </w:tcPr>
          <w:p w:rsidR="004D6F0E" w:rsidRDefault="004D6F0E">
            <w:pPr>
              <w:spacing w:after="160" w:line="259" w:lineRule="auto"/>
              <w:ind w:left="0" w:firstLine="0"/>
            </w:pPr>
          </w:p>
        </w:tc>
        <w:tc>
          <w:tcPr>
            <w:tcW w:w="2366" w:type="dxa"/>
            <w:tcBorders>
              <w:top w:val="nil"/>
              <w:left w:val="nil"/>
              <w:bottom w:val="nil"/>
              <w:right w:val="nil"/>
            </w:tcBorders>
            <w:shd w:val="clear" w:color="auto" w:fill="D9D9D9"/>
          </w:tcPr>
          <w:p w:rsidR="004D6F0E" w:rsidRDefault="004D6F0E">
            <w:pPr>
              <w:spacing w:after="160" w:line="259" w:lineRule="auto"/>
              <w:ind w:left="0" w:firstLine="0"/>
            </w:pPr>
          </w:p>
        </w:tc>
        <w:tc>
          <w:tcPr>
            <w:tcW w:w="1459" w:type="dxa"/>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 </w:t>
            </w:r>
            <w:r>
              <w:rPr>
                <w:sz w:val="18"/>
              </w:rPr>
              <w:t>及</w:t>
            </w:r>
            <w:r>
              <w:rPr>
                <w:sz w:val="18"/>
              </w:rPr>
              <w:t xml:space="preserve"> </w:t>
            </w:r>
            <w:r>
              <w:rPr>
                <w:rFonts w:ascii="Arial" w:eastAsia="Arial" w:hAnsi="Arial" w:cs="Arial"/>
                <w:sz w:val="18"/>
              </w:rPr>
              <w:t xml:space="preserve">B2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CK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I</w:t>
            </w:r>
            <w:r>
              <w:rPr>
                <w:sz w:val="18"/>
              </w:rPr>
              <w:t>、</w:t>
            </w:r>
            <w:r>
              <w:rPr>
                <w:rFonts w:ascii="Arial" w:eastAsia="Arial" w:hAnsi="Arial" w:cs="Arial"/>
                <w:sz w:val="18"/>
              </w:rPr>
              <w:t xml:space="preserve">I2 </w:t>
            </w:r>
            <w:r>
              <w:rPr>
                <w:sz w:val="18"/>
              </w:rPr>
              <w:t>及</w:t>
            </w:r>
            <w:r>
              <w:rPr>
                <w:sz w:val="18"/>
              </w:rPr>
              <w:t xml:space="preserve"> </w:t>
            </w:r>
            <w:r>
              <w:rPr>
                <w:rFonts w:ascii="Arial" w:eastAsia="Arial" w:hAnsi="Arial" w:cs="Arial"/>
                <w:sz w:val="18"/>
              </w:rPr>
              <w:t xml:space="preserve">IQD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101"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101"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JA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300 </w:t>
            </w:r>
            <w:r>
              <w:rPr>
                <w:sz w:val="18"/>
              </w:rPr>
              <w:t>股</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J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300 </w:t>
            </w:r>
            <w:r>
              <w:rPr>
                <w:sz w:val="18"/>
              </w:rPr>
              <w:t>股</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29"/>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9"/>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S1D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S1D2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S1QD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SK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SHK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101"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101"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58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W2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lastRenderedPageBreak/>
              <w:t xml:space="preserve"> </w:t>
            </w:r>
          </w:p>
        </w:tc>
        <w:tc>
          <w:tcPr>
            <w:tcW w:w="1426" w:type="dxa"/>
            <w:tcBorders>
              <w:top w:val="nil"/>
              <w:left w:val="nil"/>
              <w:bottom w:val="nil"/>
              <w:right w:val="nil"/>
            </w:tcBorders>
          </w:tcPr>
          <w:p w:rsidR="004D6F0E" w:rsidRDefault="00490F21">
            <w:pPr>
              <w:spacing w:after="10" w:line="259" w:lineRule="auto"/>
              <w:ind w:left="0" w:firstLine="0"/>
            </w:pPr>
            <w:r>
              <w:rPr>
                <w:sz w:val="18"/>
              </w:rPr>
              <w:lastRenderedPageBreak/>
              <w:t>美元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lastRenderedPageBreak/>
              <w:t xml:space="preserve"> </w:t>
            </w:r>
          </w:p>
        </w:tc>
        <w:tc>
          <w:tcPr>
            <w:tcW w:w="2366" w:type="dxa"/>
            <w:tcBorders>
              <w:top w:val="nil"/>
              <w:left w:val="nil"/>
              <w:bottom w:val="nil"/>
              <w:right w:val="nil"/>
            </w:tcBorders>
          </w:tcPr>
          <w:p w:rsidR="004D6F0E" w:rsidRDefault="00490F21">
            <w:pPr>
              <w:spacing w:after="14" w:line="259" w:lineRule="auto"/>
              <w:ind w:left="101" w:firstLine="0"/>
            </w:pPr>
            <w:r>
              <w:rPr>
                <w:rFonts w:ascii="Arial" w:eastAsia="Arial" w:hAnsi="Arial" w:cs="Arial"/>
                <w:sz w:val="18"/>
              </w:rPr>
              <w:lastRenderedPageBreak/>
              <w:t xml:space="preserve">1,000,000 </w:t>
            </w:r>
            <w:r>
              <w:rPr>
                <w:sz w:val="18"/>
              </w:rPr>
              <w:t>美元</w:t>
            </w:r>
            <w:r>
              <w:rPr>
                <w:rFonts w:ascii="Arial" w:eastAsia="Arial" w:hAnsi="Arial" w:cs="Arial"/>
                <w:sz w:val="18"/>
              </w:rPr>
              <w:t xml:space="preserve">*** </w:t>
            </w:r>
          </w:p>
          <w:p w:rsidR="004D6F0E" w:rsidRDefault="00490F21">
            <w:pPr>
              <w:spacing w:after="0" w:line="259" w:lineRule="auto"/>
              <w:ind w:left="809" w:firstLine="0"/>
            </w:pPr>
            <w:r>
              <w:rPr>
                <w:rFonts w:ascii="Arial" w:eastAsia="Arial" w:hAnsi="Arial" w:cs="Arial"/>
                <w:sz w:val="18"/>
              </w:rPr>
              <w:lastRenderedPageBreak/>
              <w:t xml:space="preserve"> </w:t>
            </w:r>
          </w:p>
        </w:tc>
        <w:tc>
          <w:tcPr>
            <w:tcW w:w="1459" w:type="dxa"/>
            <w:tcBorders>
              <w:top w:val="nil"/>
              <w:left w:val="nil"/>
              <w:bottom w:val="nil"/>
              <w:right w:val="nil"/>
            </w:tcBorders>
          </w:tcPr>
          <w:p w:rsidR="004D6F0E" w:rsidRDefault="00490F21">
            <w:pPr>
              <w:spacing w:after="9" w:line="259" w:lineRule="auto"/>
              <w:ind w:left="338"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lastRenderedPageBreak/>
              <w:t xml:space="preserve"> </w:t>
            </w:r>
          </w:p>
        </w:tc>
        <w:tc>
          <w:tcPr>
            <w:tcW w:w="1975" w:type="dxa"/>
            <w:tcBorders>
              <w:top w:val="nil"/>
              <w:left w:val="nil"/>
              <w:bottom w:val="nil"/>
              <w:right w:val="nil"/>
            </w:tcBorders>
          </w:tcPr>
          <w:p w:rsidR="004D6F0E" w:rsidRDefault="00490F21">
            <w:pPr>
              <w:spacing w:after="9" w:line="259" w:lineRule="auto"/>
              <w:ind w:left="439"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lastRenderedPageBreak/>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0.05% </w:t>
            </w:r>
          </w:p>
          <w:p w:rsidR="004D6F0E" w:rsidRDefault="00490F21">
            <w:pPr>
              <w:spacing w:after="0" w:line="259" w:lineRule="auto"/>
              <w:ind w:left="254" w:firstLine="0"/>
            </w:pPr>
            <w:r>
              <w:rPr>
                <w:rFonts w:ascii="Arial" w:eastAsia="Arial" w:hAnsi="Arial" w:cs="Arial"/>
                <w:sz w:val="18"/>
              </w:rPr>
              <w:lastRenderedPageBreak/>
              <w:t xml:space="preserve"> </w:t>
            </w:r>
          </w:p>
        </w:tc>
      </w:tr>
      <w:tr w:rsidR="004D6F0E">
        <w:trPr>
          <w:trHeight w:val="235"/>
        </w:trPr>
        <w:tc>
          <w:tcPr>
            <w:tcW w:w="2582"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歐元計價股份類別</w:t>
            </w:r>
            <w:r>
              <w:rPr>
                <w:rFonts w:ascii="Arial" w:eastAsia="Arial" w:hAnsi="Arial" w:cs="Arial"/>
                <w:sz w:val="18"/>
              </w:rPr>
              <w:t xml:space="preserve"> </w:t>
            </w:r>
          </w:p>
        </w:tc>
        <w:tc>
          <w:tcPr>
            <w:tcW w:w="1426"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366" w:type="dxa"/>
            <w:tcBorders>
              <w:top w:val="nil"/>
              <w:left w:val="nil"/>
              <w:bottom w:val="nil"/>
              <w:right w:val="nil"/>
            </w:tcBorders>
            <w:shd w:val="clear" w:color="auto" w:fill="D9D9D9"/>
          </w:tcPr>
          <w:p w:rsidR="004D6F0E" w:rsidRDefault="00490F21">
            <w:pPr>
              <w:spacing w:after="0" w:line="259" w:lineRule="auto"/>
              <w:ind w:left="809" w:firstLine="0"/>
            </w:pPr>
            <w:r>
              <w:rPr>
                <w:rFonts w:ascii="Arial" w:eastAsia="Arial" w:hAnsi="Arial" w:cs="Arial"/>
                <w:sz w:val="18"/>
              </w:rPr>
              <w:t xml:space="preserve"> </w:t>
            </w:r>
          </w:p>
        </w:tc>
        <w:tc>
          <w:tcPr>
            <w:tcW w:w="1459"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1975"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9"/>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101"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101"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6"/>
        </w:trPr>
        <w:tc>
          <w:tcPr>
            <w:tcW w:w="258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W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10"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14" w:line="259" w:lineRule="auto"/>
              <w:ind w:left="101" w:firstLine="0"/>
            </w:pPr>
            <w:r>
              <w:rPr>
                <w:rFonts w:ascii="Arial" w:eastAsia="Arial" w:hAnsi="Arial" w:cs="Arial"/>
                <w:sz w:val="18"/>
              </w:rPr>
              <w:t xml:space="preserve">1,000,000 </w:t>
            </w:r>
            <w:r>
              <w:rPr>
                <w:sz w:val="18"/>
              </w:rPr>
              <w:t>歐元</w:t>
            </w:r>
            <w:r>
              <w:rPr>
                <w:rFonts w:ascii="Arial" w:eastAsia="Arial" w:hAnsi="Arial" w:cs="Arial"/>
                <w:sz w:val="18"/>
              </w:rPr>
              <w:t xml:space="preserve">*** </w:t>
            </w:r>
          </w:p>
          <w:p w:rsidR="004D6F0E" w:rsidRDefault="00490F21">
            <w:pPr>
              <w:spacing w:after="0" w:line="259" w:lineRule="auto"/>
              <w:ind w:left="809" w:firstLine="0"/>
            </w:pP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9" w:line="259" w:lineRule="auto"/>
              <w:ind w:left="338"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9"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582"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426"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366" w:type="dxa"/>
            <w:tcBorders>
              <w:top w:val="nil"/>
              <w:left w:val="nil"/>
              <w:bottom w:val="nil"/>
              <w:right w:val="nil"/>
            </w:tcBorders>
            <w:shd w:val="clear" w:color="auto" w:fill="D9D9D9"/>
          </w:tcPr>
          <w:p w:rsidR="004D6F0E" w:rsidRDefault="00490F21">
            <w:pPr>
              <w:spacing w:after="0" w:line="259" w:lineRule="auto"/>
              <w:ind w:left="809" w:firstLine="0"/>
            </w:pPr>
            <w:r>
              <w:rPr>
                <w:rFonts w:ascii="Arial" w:eastAsia="Arial" w:hAnsi="Arial" w:cs="Arial"/>
                <w:sz w:val="18"/>
              </w:rPr>
              <w:t xml:space="preserve"> </w:t>
            </w:r>
          </w:p>
        </w:tc>
        <w:tc>
          <w:tcPr>
            <w:tcW w:w="1459" w:type="dxa"/>
            <w:tcBorders>
              <w:top w:val="nil"/>
              <w:left w:val="nil"/>
              <w:bottom w:val="nil"/>
              <w:right w:val="nil"/>
            </w:tcBorders>
            <w:shd w:val="clear" w:color="auto" w:fill="D9D9D9"/>
          </w:tcPr>
          <w:p w:rsidR="004D6F0E" w:rsidRDefault="00490F21">
            <w:pPr>
              <w:spacing w:after="0" w:line="259" w:lineRule="auto"/>
              <w:ind w:left="427" w:firstLine="0"/>
            </w:pPr>
            <w:r>
              <w:rPr>
                <w:rFonts w:ascii="Arial" w:eastAsia="Arial" w:hAnsi="Arial" w:cs="Arial"/>
                <w:sz w:val="18"/>
              </w:rPr>
              <w:t xml:space="preserve"> </w:t>
            </w:r>
          </w:p>
        </w:tc>
        <w:tc>
          <w:tcPr>
            <w:tcW w:w="1975"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港元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31"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港元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31"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58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0" w:line="259" w:lineRule="auto"/>
              <w:ind w:left="0" w:firstLine="0"/>
            </w:pPr>
            <w:r>
              <w:rPr>
                <w:sz w:val="18"/>
              </w:rPr>
              <w:t>港元</w:t>
            </w: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0" w:line="259" w:lineRule="auto"/>
              <w:ind w:left="331"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42"/>
        </w:trPr>
        <w:tc>
          <w:tcPr>
            <w:tcW w:w="2582"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26" w:type="dxa"/>
            <w:tcBorders>
              <w:top w:val="nil"/>
              <w:left w:val="nil"/>
              <w:bottom w:val="nil"/>
              <w:right w:val="nil"/>
            </w:tcBorders>
          </w:tcPr>
          <w:p w:rsidR="004D6F0E" w:rsidRDefault="00490F21">
            <w:pPr>
              <w:spacing w:after="10" w:line="259" w:lineRule="auto"/>
              <w:ind w:left="0" w:firstLine="0"/>
            </w:pPr>
            <w:r>
              <w:rPr>
                <w:sz w:val="18"/>
              </w:rPr>
              <w:t>港元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66" w:type="dxa"/>
            <w:tcBorders>
              <w:top w:val="nil"/>
              <w:left w:val="nil"/>
              <w:bottom w:val="nil"/>
              <w:right w:val="nil"/>
            </w:tcBorders>
          </w:tcPr>
          <w:p w:rsidR="004D6F0E" w:rsidRDefault="00490F21">
            <w:pPr>
              <w:spacing w:after="14" w:line="259" w:lineRule="auto"/>
              <w:ind w:left="101" w:firstLine="0"/>
            </w:pPr>
            <w:r>
              <w:rPr>
                <w:rFonts w:ascii="Arial" w:eastAsia="Arial" w:hAnsi="Arial" w:cs="Arial"/>
                <w:sz w:val="18"/>
              </w:rPr>
              <w:t xml:space="preserve">8,000,000 </w:t>
            </w:r>
            <w:r>
              <w:rPr>
                <w:sz w:val="18"/>
              </w:rPr>
              <w:t>港元</w:t>
            </w:r>
            <w:r>
              <w:rPr>
                <w:rFonts w:ascii="Arial" w:eastAsia="Arial" w:hAnsi="Arial" w:cs="Arial"/>
                <w:sz w:val="18"/>
              </w:rPr>
              <w:t xml:space="preserve">*** </w:t>
            </w:r>
          </w:p>
          <w:p w:rsidR="004D6F0E" w:rsidRDefault="00490F21">
            <w:pPr>
              <w:spacing w:after="0" w:line="259" w:lineRule="auto"/>
              <w:ind w:left="809" w:firstLine="0"/>
            </w:pPr>
            <w:r>
              <w:rPr>
                <w:rFonts w:ascii="Arial" w:eastAsia="Arial" w:hAnsi="Arial" w:cs="Arial"/>
                <w:sz w:val="18"/>
              </w:rPr>
              <w:t xml:space="preserve"> </w:t>
            </w:r>
          </w:p>
        </w:tc>
        <w:tc>
          <w:tcPr>
            <w:tcW w:w="1459" w:type="dxa"/>
            <w:tcBorders>
              <w:top w:val="nil"/>
              <w:left w:val="nil"/>
              <w:bottom w:val="nil"/>
              <w:right w:val="nil"/>
            </w:tcBorders>
          </w:tcPr>
          <w:p w:rsidR="004D6F0E" w:rsidRDefault="00490F21">
            <w:pPr>
              <w:spacing w:after="9" w:line="259" w:lineRule="auto"/>
              <w:ind w:left="338" w:firstLine="0"/>
            </w:pPr>
            <w:r>
              <w:rPr>
                <w:sz w:val="18"/>
              </w:rPr>
              <w:t>無</w:t>
            </w:r>
            <w:r>
              <w:rPr>
                <w:rFonts w:ascii="Arial" w:eastAsia="Arial" w:hAnsi="Arial" w:cs="Arial"/>
                <w:sz w:val="18"/>
              </w:rPr>
              <w:t xml:space="preserve"> </w:t>
            </w:r>
          </w:p>
          <w:p w:rsidR="004D6F0E" w:rsidRDefault="00490F21">
            <w:pPr>
              <w:spacing w:after="0" w:line="259" w:lineRule="auto"/>
              <w:ind w:left="427" w:firstLine="0"/>
            </w:pPr>
            <w:r>
              <w:rPr>
                <w:rFonts w:ascii="Arial" w:eastAsia="Arial" w:hAnsi="Arial" w:cs="Arial"/>
                <w:sz w:val="18"/>
              </w:rPr>
              <w:t xml:space="preserve"> </w:t>
            </w:r>
          </w:p>
        </w:tc>
        <w:tc>
          <w:tcPr>
            <w:tcW w:w="1975" w:type="dxa"/>
            <w:tcBorders>
              <w:top w:val="nil"/>
              <w:left w:val="nil"/>
              <w:bottom w:val="nil"/>
              <w:right w:val="nil"/>
            </w:tcBorders>
          </w:tcPr>
          <w:p w:rsidR="004D6F0E" w:rsidRDefault="00490F21">
            <w:pPr>
              <w:spacing w:after="9"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582"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1426" w:type="dxa"/>
            <w:tcBorders>
              <w:top w:val="nil"/>
              <w:left w:val="nil"/>
              <w:bottom w:val="nil"/>
              <w:right w:val="nil"/>
            </w:tcBorders>
            <w:shd w:val="clear" w:color="auto" w:fill="D9D9D9"/>
          </w:tcPr>
          <w:p w:rsidR="004D6F0E" w:rsidRDefault="004D6F0E">
            <w:pPr>
              <w:spacing w:after="160" w:line="259" w:lineRule="auto"/>
              <w:ind w:left="0" w:firstLine="0"/>
            </w:pPr>
          </w:p>
        </w:tc>
        <w:tc>
          <w:tcPr>
            <w:tcW w:w="2366" w:type="dxa"/>
            <w:tcBorders>
              <w:top w:val="nil"/>
              <w:left w:val="nil"/>
              <w:bottom w:val="nil"/>
              <w:right w:val="nil"/>
            </w:tcBorders>
            <w:shd w:val="clear" w:color="auto" w:fill="D9D9D9"/>
          </w:tcPr>
          <w:p w:rsidR="004D6F0E" w:rsidRDefault="004D6F0E">
            <w:pPr>
              <w:spacing w:after="160" w:line="259" w:lineRule="auto"/>
              <w:ind w:left="0" w:firstLine="0"/>
            </w:pPr>
          </w:p>
        </w:tc>
        <w:tc>
          <w:tcPr>
            <w:tcW w:w="1459" w:type="dxa"/>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2762"/>
          <w:tab w:val="center" w:pos="4818"/>
          <w:tab w:val="center" w:pos="6803"/>
          <w:tab w:val="center" w:pos="8363"/>
          <w:tab w:val="center" w:pos="10065"/>
        </w:tabs>
        <w:spacing w:after="20"/>
        <w:ind w:left="0" w:firstLine="0"/>
      </w:pPr>
      <w:r>
        <w:rPr>
          <w:rFonts w:ascii="Arial" w:eastAsia="Arial" w:hAnsi="Arial" w:cs="Arial"/>
          <w:sz w:val="18"/>
        </w:rPr>
        <w:t xml:space="preserve">A2 </w:t>
      </w:r>
      <w:r>
        <w:rPr>
          <w:sz w:val="18"/>
        </w:rPr>
        <w:t>類股份</w:t>
      </w:r>
      <w:r>
        <w:rPr>
          <w:rFonts w:ascii="Arial" w:eastAsia="Arial" w:hAnsi="Arial" w:cs="Arial"/>
          <w:sz w:val="18"/>
        </w:rPr>
        <w:t xml:space="preserve"> </w:t>
      </w:r>
      <w:r>
        <w:rPr>
          <w:rFonts w:ascii="Arial" w:eastAsia="Arial" w:hAnsi="Arial" w:cs="Arial"/>
          <w:sz w:val="18"/>
        </w:rPr>
        <w:tab/>
      </w:r>
      <w:r>
        <w:rPr>
          <w:sz w:val="18"/>
        </w:rPr>
        <w:t>新加坡元</w:t>
      </w:r>
      <w:r>
        <w:rPr>
          <w:rFonts w:ascii="Arial" w:eastAsia="Arial" w:hAnsi="Arial" w:cs="Arial"/>
          <w:sz w:val="18"/>
        </w:rPr>
        <w:t xml:space="preserve"> </w:t>
      </w:r>
      <w:r>
        <w:rPr>
          <w:rFonts w:ascii="Arial" w:eastAsia="Arial" w:hAnsi="Arial" w:cs="Arial"/>
          <w:sz w:val="18"/>
        </w:rPr>
        <w:tab/>
        <w:t xml:space="preserve">3,000 </w:t>
      </w:r>
      <w:r>
        <w:rPr>
          <w:sz w:val="18"/>
        </w:rPr>
        <w:t>新加坡元</w:t>
      </w:r>
      <w:r>
        <w:rPr>
          <w:rFonts w:ascii="Arial" w:eastAsia="Arial" w:hAnsi="Arial" w:cs="Arial"/>
          <w:sz w:val="18"/>
        </w:rPr>
        <w:t xml:space="preserve"> </w:t>
      </w:r>
      <w:r>
        <w:rPr>
          <w:rFonts w:ascii="Arial" w:eastAsia="Arial" w:hAnsi="Arial" w:cs="Arial"/>
          <w:sz w:val="18"/>
        </w:rPr>
        <w:tab/>
      </w:r>
      <w:r>
        <w:rPr>
          <w:rFonts w:ascii="Arial" w:eastAsia="Arial" w:hAnsi="Arial" w:cs="Arial"/>
          <w:sz w:val="18"/>
        </w:rPr>
        <w:t xml:space="preserve">1,000 </w:t>
      </w:r>
      <w:r>
        <w:rPr>
          <w:sz w:val="18"/>
        </w:rPr>
        <w:t>新加坡元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tabs>
          <w:tab w:val="center" w:pos="2762"/>
          <w:tab w:val="center" w:pos="4818"/>
          <w:tab w:val="center" w:pos="6803"/>
          <w:tab w:val="center" w:pos="8363"/>
          <w:tab w:val="center" w:pos="10065"/>
        </w:tabs>
        <w:spacing w:after="20"/>
        <w:ind w:left="0" w:firstLine="0"/>
      </w:pPr>
      <w:r>
        <w:rPr>
          <w:rFonts w:ascii="Arial" w:eastAsia="Arial" w:hAnsi="Arial" w:cs="Arial"/>
          <w:sz w:val="18"/>
        </w:rPr>
        <w:t xml:space="preserve">AT </w:t>
      </w:r>
      <w:r>
        <w:rPr>
          <w:sz w:val="18"/>
        </w:rPr>
        <w:t>類股份</w:t>
      </w:r>
      <w:r>
        <w:rPr>
          <w:rFonts w:ascii="Arial" w:eastAsia="Arial" w:hAnsi="Arial" w:cs="Arial"/>
          <w:sz w:val="18"/>
        </w:rPr>
        <w:t xml:space="preserve"> </w:t>
      </w:r>
      <w:r>
        <w:rPr>
          <w:rFonts w:ascii="Arial" w:eastAsia="Arial" w:hAnsi="Arial" w:cs="Arial"/>
          <w:sz w:val="18"/>
        </w:rPr>
        <w:tab/>
      </w:r>
      <w:r>
        <w:rPr>
          <w:sz w:val="18"/>
        </w:rPr>
        <w:t>新加坡元</w:t>
      </w:r>
      <w:r>
        <w:rPr>
          <w:rFonts w:ascii="Arial" w:eastAsia="Arial" w:hAnsi="Arial" w:cs="Arial"/>
          <w:sz w:val="18"/>
        </w:rPr>
        <w:t xml:space="preserve"> </w:t>
      </w:r>
      <w:r>
        <w:rPr>
          <w:rFonts w:ascii="Arial" w:eastAsia="Arial" w:hAnsi="Arial" w:cs="Arial"/>
          <w:sz w:val="18"/>
        </w:rPr>
        <w:tab/>
        <w:t xml:space="preserve">3,000 </w:t>
      </w:r>
      <w:r>
        <w:rPr>
          <w:sz w:val="18"/>
        </w:rPr>
        <w:t>新加坡元</w:t>
      </w:r>
      <w:r>
        <w:rPr>
          <w:rFonts w:ascii="Arial" w:eastAsia="Arial" w:hAnsi="Arial" w:cs="Arial"/>
          <w:sz w:val="18"/>
        </w:rPr>
        <w:t xml:space="preserve"> </w:t>
      </w:r>
      <w:r>
        <w:rPr>
          <w:rFonts w:ascii="Arial" w:eastAsia="Arial" w:hAnsi="Arial" w:cs="Arial"/>
          <w:sz w:val="18"/>
        </w:rPr>
        <w:tab/>
        <w:t xml:space="preserve">1,000 </w:t>
      </w:r>
      <w:r>
        <w:rPr>
          <w:sz w:val="18"/>
        </w:rPr>
        <w:t>新加坡元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tabs>
          <w:tab w:val="center" w:pos="2762"/>
          <w:tab w:val="center" w:pos="4817"/>
          <w:tab w:val="center" w:pos="6803"/>
          <w:tab w:val="center" w:pos="8363"/>
          <w:tab w:val="center" w:pos="10065"/>
        </w:tabs>
        <w:spacing w:after="20"/>
        <w:ind w:left="0" w:firstLine="0"/>
      </w:pPr>
      <w:r>
        <w:rPr>
          <w:rFonts w:ascii="Arial" w:eastAsia="Arial" w:hAnsi="Arial" w:cs="Arial"/>
          <w:sz w:val="18"/>
        </w:rPr>
        <w:t xml:space="preserve">I2 </w:t>
      </w:r>
      <w:r>
        <w:rPr>
          <w:sz w:val="18"/>
        </w:rPr>
        <w:t>類股份</w:t>
      </w:r>
      <w:r>
        <w:rPr>
          <w:rFonts w:ascii="Arial" w:eastAsia="Arial" w:hAnsi="Arial" w:cs="Arial"/>
          <w:sz w:val="18"/>
        </w:rPr>
        <w:t xml:space="preserve"> </w:t>
      </w:r>
      <w:r>
        <w:rPr>
          <w:rFonts w:ascii="Arial" w:eastAsia="Arial" w:hAnsi="Arial" w:cs="Arial"/>
          <w:sz w:val="18"/>
        </w:rPr>
        <w:tab/>
      </w:r>
      <w:r>
        <w:rPr>
          <w:sz w:val="18"/>
        </w:rPr>
        <w:t>新加坡元</w:t>
      </w:r>
      <w:r>
        <w:rPr>
          <w:rFonts w:ascii="Arial" w:eastAsia="Arial" w:hAnsi="Arial" w:cs="Arial"/>
          <w:sz w:val="18"/>
        </w:rPr>
        <w:t xml:space="preserve"> </w:t>
      </w:r>
      <w:r>
        <w:rPr>
          <w:rFonts w:ascii="Arial" w:eastAsia="Arial" w:hAnsi="Arial" w:cs="Arial"/>
          <w:sz w:val="18"/>
        </w:rPr>
        <w:tab/>
        <w:t xml:space="preserve">1,500,000 </w:t>
      </w:r>
      <w:r>
        <w:rPr>
          <w:sz w:val="18"/>
        </w:rPr>
        <w:t>新加坡元</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380"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24" w:line="259" w:lineRule="auto"/>
        <w:ind w:left="0" w:firstLine="0"/>
        <w:jc w:val="right"/>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p>
    <w:p w:rsidR="004D6F0E" w:rsidRDefault="00490F21">
      <w:pPr>
        <w:spacing w:after="3" w:line="259" w:lineRule="auto"/>
        <w:ind w:right="152" w:hanging="10"/>
        <w:jc w:val="center"/>
      </w:pPr>
      <w:r>
        <w:rPr>
          <w:rFonts w:ascii="Times New Roman" w:eastAsia="Times New Roman" w:hAnsi="Times New Roman" w:cs="Times New Roman"/>
          <w:sz w:val="20"/>
        </w:rPr>
        <w:t xml:space="preserve">I-53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0795" w:firstLine="0"/>
      </w:pPr>
      <w:r>
        <w:rPr>
          <w:rFonts w:ascii="Arial" w:eastAsia="Arial" w:hAnsi="Arial" w:cs="Arial"/>
          <w:sz w:val="12"/>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p w:rsidR="004D6F0E" w:rsidRDefault="00490F21">
      <w:pPr>
        <w:spacing w:after="4" w:line="265" w:lineRule="auto"/>
        <w:ind w:right="139"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402" w:right="13" w:hanging="2287"/>
      </w:pPr>
      <w:r>
        <w:rPr>
          <w:rFonts w:ascii="Arial" w:eastAsia="Arial" w:hAnsi="Arial" w:cs="Arial"/>
          <w:b/>
          <w:sz w:val="18"/>
        </w:rPr>
        <w:t xml:space="preserve"> </w:t>
      </w:r>
      <w:r>
        <w:rPr>
          <w:sz w:val="18"/>
        </w:rPr>
        <w:t>對沖貨幣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18"/>
        </w:rPr>
        <w:t xml:space="preserve"> </w:t>
      </w:r>
    </w:p>
    <w:p w:rsidR="004D6F0E" w:rsidRDefault="00490F21">
      <w:pPr>
        <w:spacing w:after="12" w:line="259" w:lineRule="auto"/>
        <w:ind w:left="1927" w:right="-22" w:firstLine="0"/>
      </w:pPr>
      <w:r>
        <w:rPr>
          <w:rFonts w:ascii="Calibri" w:eastAsia="Calibri" w:hAnsi="Calibri" w:cs="Calibri"/>
          <w:noProof/>
          <w:sz w:val="22"/>
        </w:rPr>
        <mc:AlternateContent>
          <mc:Choice Requires="wpg">
            <w:drawing>
              <wp:inline distT="0" distB="0" distL="0" distR="0">
                <wp:extent cx="5742433" cy="6109"/>
                <wp:effectExtent l="0" t="0" r="0" b="0"/>
                <wp:docPr id="512239" name="Group 512239"/>
                <wp:cNvGraphicFramePr/>
                <a:graphic xmlns:a="http://schemas.openxmlformats.org/drawingml/2006/main">
                  <a:graphicData uri="http://schemas.microsoft.com/office/word/2010/wordprocessingGroup">
                    <wpg:wgp>
                      <wpg:cNvGrpSpPr/>
                      <wpg:grpSpPr>
                        <a:xfrm>
                          <a:off x="0" y="0"/>
                          <a:ext cx="5742433" cy="6109"/>
                          <a:chOff x="0" y="0"/>
                          <a:chExt cx="5742433" cy="6109"/>
                        </a:xfrm>
                      </wpg:grpSpPr>
                      <wps:wsp>
                        <wps:cNvPr id="658223" name="Shape 658223"/>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24" name="Shape 658224"/>
                        <wps:cNvSpPr/>
                        <wps:spPr>
                          <a:xfrm>
                            <a:off x="1170432" y="0"/>
                            <a:ext cx="1330452" cy="9144"/>
                          </a:xfrm>
                          <a:custGeom>
                            <a:avLst/>
                            <a:gdLst/>
                            <a:ahLst/>
                            <a:cxnLst/>
                            <a:rect l="0" t="0" r="0" b="0"/>
                            <a:pathLst>
                              <a:path w="1330452" h="9144">
                                <a:moveTo>
                                  <a:pt x="0" y="0"/>
                                </a:moveTo>
                                <a:lnTo>
                                  <a:pt x="1330452" y="0"/>
                                </a:lnTo>
                                <a:lnTo>
                                  <a:pt x="1330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25" name="Shape 658225"/>
                        <wps:cNvSpPr/>
                        <wps:spPr>
                          <a:xfrm>
                            <a:off x="2610612"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26" name="Shape 658226"/>
                        <wps:cNvSpPr/>
                        <wps:spPr>
                          <a:xfrm>
                            <a:off x="3691128" y="0"/>
                            <a:ext cx="790956" cy="9144"/>
                          </a:xfrm>
                          <a:custGeom>
                            <a:avLst/>
                            <a:gdLst/>
                            <a:ahLst/>
                            <a:cxnLst/>
                            <a:rect l="0" t="0" r="0" b="0"/>
                            <a:pathLst>
                              <a:path w="790956" h="9144">
                                <a:moveTo>
                                  <a:pt x="0" y="0"/>
                                </a:moveTo>
                                <a:lnTo>
                                  <a:pt x="790956" y="0"/>
                                </a:lnTo>
                                <a:lnTo>
                                  <a:pt x="790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27" name="Shape 658227"/>
                        <wps:cNvSpPr/>
                        <wps:spPr>
                          <a:xfrm>
                            <a:off x="459181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2239" style="width:452.16pt;height:0.481018pt;mso-position-horizontal-relative:char;mso-position-vertical-relative:line" coordsize="57424,61">
                <v:shape id="Shape 658228" style="position:absolute;width:10607;height:91;left:0;top:0;" coordsize="1060704,9144" path="m0,0l1060704,0l1060704,9144l0,9144l0,0">
                  <v:stroke weight="0pt" endcap="flat" joinstyle="miter" miterlimit="10" on="false" color="#000000" opacity="0"/>
                  <v:fill on="true" color="#000000"/>
                </v:shape>
                <v:shape id="Shape 658229" style="position:absolute;width:13304;height:91;left:11704;top:0;" coordsize="1330452,9144" path="m0,0l1330452,0l1330452,9144l0,9144l0,0">
                  <v:stroke weight="0pt" endcap="flat" joinstyle="miter" miterlimit="10" on="false" color="#000000" opacity="0"/>
                  <v:fill on="true" color="#000000"/>
                </v:shape>
                <v:shape id="Shape 658230" style="position:absolute;width:9707;height:91;left:26106;top:0;" coordsize="970788,9144" path="m0,0l970788,0l970788,9144l0,9144l0,0">
                  <v:stroke weight="0pt" endcap="flat" joinstyle="miter" miterlimit="10" on="false" color="#000000" opacity="0"/>
                  <v:fill on="true" color="#000000"/>
                </v:shape>
                <v:shape id="Shape 658231" style="position:absolute;width:7909;height:91;left:36911;top:0;" coordsize="790956,9144" path="m0,0l790956,0l790956,9144l0,9144l0,0">
                  <v:stroke weight="0pt" endcap="flat" joinstyle="miter" miterlimit="10" on="false" color="#000000" opacity="0"/>
                  <v:fill on="true" color="#000000"/>
                </v:shape>
                <v:shape id="Shape 658232" style="position:absolute;width:11506;height:91;left:45918;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p>
    <w:tbl>
      <w:tblPr>
        <w:tblStyle w:val="TableGrid"/>
        <w:tblW w:w="11057" w:type="dxa"/>
        <w:tblInd w:w="0" w:type="dxa"/>
        <w:tblCellMar>
          <w:top w:w="20" w:type="dxa"/>
          <w:left w:w="0" w:type="dxa"/>
          <w:bottom w:w="0" w:type="dxa"/>
          <w:right w:w="15" w:type="dxa"/>
        </w:tblCellMar>
        <w:tblLook w:val="04A0" w:firstRow="1" w:lastRow="0" w:firstColumn="1" w:lastColumn="0" w:noHBand="0" w:noVBand="1"/>
      </w:tblPr>
      <w:tblGrid>
        <w:gridCol w:w="2231"/>
        <w:gridCol w:w="180"/>
        <w:gridCol w:w="180"/>
        <w:gridCol w:w="1205"/>
        <w:gridCol w:w="127"/>
        <w:gridCol w:w="2107"/>
        <w:gridCol w:w="159"/>
        <w:gridCol w:w="1576"/>
        <w:gridCol w:w="66"/>
        <w:gridCol w:w="438"/>
        <w:gridCol w:w="914"/>
        <w:gridCol w:w="623"/>
        <w:gridCol w:w="561"/>
        <w:gridCol w:w="690"/>
      </w:tblGrid>
      <w:tr w:rsidR="004D6F0E">
        <w:trPr>
          <w:trHeight w:val="233"/>
        </w:trPr>
        <w:tc>
          <w:tcPr>
            <w:tcW w:w="2412"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151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6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4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69"/>
        </w:trPr>
        <w:tc>
          <w:tcPr>
            <w:tcW w:w="2412" w:type="dxa"/>
            <w:gridSpan w:val="2"/>
            <w:tcBorders>
              <w:top w:val="nil"/>
              <w:left w:val="nil"/>
              <w:bottom w:val="nil"/>
              <w:right w:val="nil"/>
            </w:tcBorders>
          </w:tcPr>
          <w:p w:rsidR="004D6F0E" w:rsidRDefault="00490F21">
            <w:pPr>
              <w:spacing w:after="24" w:line="259" w:lineRule="auto"/>
              <w:ind w:left="115" w:firstLine="0"/>
            </w:pPr>
            <w:r>
              <w:rPr>
                <w:rFonts w:ascii="Arial" w:eastAsia="Arial" w:hAnsi="Arial" w:cs="Arial"/>
                <w:sz w:val="18"/>
              </w:rPr>
              <w:lastRenderedPageBreak/>
              <w:t xml:space="preserve">A2 </w:t>
            </w:r>
            <w:r>
              <w:rPr>
                <w:sz w:val="18"/>
              </w:rPr>
              <w:t>類</w:t>
            </w:r>
            <w:r>
              <w:rPr>
                <w:sz w:val="18"/>
              </w:rPr>
              <w:t xml:space="preserve"> </w:t>
            </w:r>
            <w:r>
              <w:rPr>
                <w:rFonts w:ascii="Arial" w:eastAsia="Arial" w:hAnsi="Arial" w:cs="Arial"/>
                <w:sz w:val="18"/>
              </w:rPr>
              <w:t xml:space="preserve">H </w:t>
            </w:r>
            <w:r>
              <w:rPr>
                <w:sz w:val="18"/>
              </w:rPr>
              <w:t>歐元股份及</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vAlign w:val="center"/>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vAlign w:val="center"/>
          </w:tcPr>
          <w:p w:rsidR="004D6F0E" w:rsidRDefault="00490F21">
            <w:pPr>
              <w:spacing w:after="0" w:line="259" w:lineRule="auto"/>
              <w:ind w:left="46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vAlign w:val="center"/>
          </w:tcPr>
          <w:p w:rsidR="004D6F0E" w:rsidRDefault="00490F21">
            <w:pPr>
              <w:spacing w:after="0" w:line="259" w:lineRule="auto"/>
              <w:ind w:left="2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gridSpan w:val="3"/>
            <w:tcBorders>
              <w:top w:val="nil"/>
              <w:left w:val="nil"/>
              <w:bottom w:val="nil"/>
              <w:right w:val="nil"/>
            </w:tcBorders>
            <w:vAlign w:val="center"/>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vAlign w:val="center"/>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40"/>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463"/>
        </w:trPr>
        <w:tc>
          <w:tcPr>
            <w:tcW w:w="2412" w:type="dxa"/>
            <w:gridSpan w:val="2"/>
            <w:tcBorders>
              <w:top w:val="nil"/>
              <w:left w:val="nil"/>
              <w:bottom w:val="nil"/>
              <w:right w:val="nil"/>
            </w:tcBorders>
          </w:tcPr>
          <w:p w:rsidR="004D6F0E" w:rsidRDefault="00490F21">
            <w:pPr>
              <w:spacing w:after="24"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歐元股份及</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CT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vAlign w:val="center"/>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vAlign w:val="center"/>
          </w:tcPr>
          <w:p w:rsidR="004D6F0E" w:rsidRDefault="00490F21">
            <w:pPr>
              <w:spacing w:after="0" w:line="259" w:lineRule="auto"/>
              <w:ind w:left="46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vAlign w:val="center"/>
          </w:tcPr>
          <w:p w:rsidR="004D6F0E" w:rsidRDefault="00490F21">
            <w:pPr>
              <w:spacing w:after="0" w:line="259" w:lineRule="auto"/>
              <w:ind w:left="2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gridSpan w:val="3"/>
            <w:tcBorders>
              <w:top w:val="nil"/>
              <w:left w:val="nil"/>
              <w:bottom w:val="nil"/>
              <w:right w:val="nil"/>
            </w:tcBorders>
            <w:vAlign w:val="center"/>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vAlign w:val="center"/>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40"/>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6"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7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5"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5"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34"/>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34"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0.01% </w:t>
            </w:r>
          </w:p>
        </w:tc>
      </w:tr>
      <w:tr w:rsidR="004D6F0E">
        <w:trPr>
          <w:trHeight w:val="228"/>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34"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0.01%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S1QD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34"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0.01% </w:t>
            </w:r>
          </w:p>
        </w:tc>
      </w:tr>
      <w:tr w:rsidR="004D6F0E">
        <w:trPr>
          <w:trHeight w:val="239"/>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5"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436"/>
        </w:trPr>
        <w:tc>
          <w:tcPr>
            <w:tcW w:w="2412"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70" w:firstLine="0"/>
            </w:pPr>
            <w:r>
              <w:rPr>
                <w:sz w:val="18"/>
              </w:rPr>
              <w:t>歐元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5"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3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42"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sz w:val="18"/>
              </w:rPr>
              <w:t xml:space="preserve"> </w:t>
            </w:r>
          </w:p>
        </w:tc>
        <w:tc>
          <w:tcPr>
            <w:tcW w:w="151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6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4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1"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1"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1"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澳元</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61"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29"/>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68" w:firstLine="0"/>
            </w:pPr>
            <w:r>
              <w:rPr>
                <w:sz w:val="18"/>
              </w:rPr>
              <w:t>澳元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235" w:firstLine="0"/>
            </w:pPr>
            <w:r>
              <w:rPr>
                <w:rFonts w:ascii="Arial" w:eastAsia="Arial" w:hAnsi="Arial" w:cs="Arial"/>
                <w:sz w:val="18"/>
              </w:rPr>
              <w:t xml:space="preserve">25,000,000 </w:t>
            </w:r>
            <w:r>
              <w:rPr>
                <w:sz w:val="18"/>
              </w:rPr>
              <w:t>澳元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42"/>
        </w:trPr>
        <w:tc>
          <w:tcPr>
            <w:tcW w:w="2412" w:type="dxa"/>
            <w:gridSpan w:val="2"/>
            <w:tcBorders>
              <w:top w:val="nil"/>
              <w:left w:val="nil"/>
              <w:bottom w:val="nil"/>
              <w:right w:val="nil"/>
            </w:tcBorders>
          </w:tcPr>
          <w:p w:rsidR="004D6F0E" w:rsidRDefault="00490F21">
            <w:pPr>
              <w:spacing w:after="30"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0" w:firstLine="0"/>
              <w:jc w:val="center"/>
            </w:pPr>
            <w:r>
              <w:rPr>
                <w:rFonts w:ascii="Arial" w:eastAsia="Arial" w:hAnsi="Arial" w:cs="Arial"/>
                <w:sz w:val="18"/>
              </w:rPr>
              <w:t xml:space="preserve"> </w:t>
            </w:r>
            <w:r>
              <w:rPr>
                <w:rFonts w:ascii="Arial" w:eastAsia="Arial" w:hAnsi="Arial" w:cs="Arial"/>
                <w:sz w:val="18"/>
              </w:rPr>
              <w:tab/>
              <w:t xml:space="preserve"> </w:t>
            </w:r>
          </w:p>
        </w:tc>
        <w:tc>
          <w:tcPr>
            <w:tcW w:w="1512" w:type="dxa"/>
            <w:gridSpan w:val="3"/>
            <w:tcBorders>
              <w:top w:val="nil"/>
              <w:left w:val="nil"/>
              <w:bottom w:val="nil"/>
              <w:right w:val="nil"/>
            </w:tcBorders>
          </w:tcPr>
          <w:p w:rsidR="004D6F0E" w:rsidRDefault="00490F21">
            <w:pPr>
              <w:spacing w:after="10" w:line="259" w:lineRule="auto"/>
              <w:ind w:left="168" w:firstLine="0"/>
            </w:pPr>
            <w:r>
              <w:rPr>
                <w:sz w:val="18"/>
              </w:rPr>
              <w:t>澳元</w:t>
            </w:r>
            <w:r>
              <w:rPr>
                <w:rFonts w:ascii="Arial" w:eastAsia="Arial" w:hAnsi="Arial" w:cs="Arial"/>
                <w:sz w:val="18"/>
              </w:rPr>
              <w:t xml:space="preserve"> </w:t>
            </w:r>
          </w:p>
          <w:p w:rsidR="004D6F0E" w:rsidRDefault="00490F21">
            <w:pPr>
              <w:spacing w:after="0" w:line="259" w:lineRule="auto"/>
              <w:ind w:left="0" w:right="62" w:firstLine="0"/>
              <w:jc w:val="right"/>
            </w:pP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p w:rsidR="004D6F0E" w:rsidRDefault="00490F21">
            <w:pPr>
              <w:spacing w:after="0" w:line="259" w:lineRule="auto"/>
              <w:ind w:left="0" w:right="65" w:firstLine="0"/>
              <w:jc w:val="right"/>
            </w:pP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9"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797" w:firstLine="0"/>
              <w:jc w:val="center"/>
            </w:pP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12"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sz w:val="18"/>
              </w:rPr>
              <w:t xml:space="preserve"> </w:t>
            </w:r>
          </w:p>
        </w:tc>
        <w:tc>
          <w:tcPr>
            <w:tcW w:w="151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6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4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281"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281"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281"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412" w:type="dxa"/>
            <w:gridSpan w:val="2"/>
            <w:tcBorders>
              <w:top w:val="nil"/>
              <w:left w:val="nil"/>
              <w:bottom w:val="nil"/>
              <w:right w:val="nil"/>
            </w:tcBorders>
          </w:tcPr>
          <w:p w:rsidR="004D6F0E" w:rsidRDefault="00490F21">
            <w:pPr>
              <w:spacing w:after="2"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0" w:right="17" w:firstLine="0"/>
              <w:jc w:val="center"/>
            </w:pPr>
            <w:r>
              <w:rPr>
                <w:rFonts w:ascii="Arial" w:eastAsia="Arial" w:hAnsi="Arial" w:cs="Arial"/>
                <w:sz w:val="18"/>
              </w:rPr>
              <w:t xml:space="preserve"> </w:t>
            </w:r>
            <w:r>
              <w:rPr>
                <w:rFonts w:ascii="Arial" w:eastAsia="Arial" w:hAnsi="Arial" w:cs="Arial"/>
                <w:sz w:val="18"/>
              </w:rPr>
              <w:tab/>
            </w:r>
            <w:r>
              <w:rPr>
                <w:rFonts w:ascii="Arial" w:eastAsia="Arial" w:hAnsi="Arial" w:cs="Arial"/>
                <w:sz w:val="12"/>
              </w:rPr>
              <w:t xml:space="preserve"> </w:t>
            </w:r>
          </w:p>
        </w:tc>
        <w:tc>
          <w:tcPr>
            <w:tcW w:w="1512" w:type="dxa"/>
            <w:gridSpan w:val="3"/>
            <w:tcBorders>
              <w:top w:val="nil"/>
              <w:left w:val="nil"/>
              <w:bottom w:val="nil"/>
              <w:right w:val="nil"/>
            </w:tcBorders>
          </w:tcPr>
          <w:p w:rsidR="004D6F0E" w:rsidRDefault="00490F21">
            <w:pPr>
              <w:spacing w:after="7"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0" w:right="62" w:firstLine="0"/>
              <w:jc w:val="right"/>
            </w:pP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0" w:right="94" w:firstLine="0"/>
              <w:jc w:val="right"/>
            </w:pP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7"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797" w:firstLine="0"/>
              <w:jc w:val="center"/>
            </w:pP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sz w:val="18"/>
              </w:rPr>
              <w:t xml:space="preserve"> </w:t>
            </w:r>
          </w:p>
        </w:tc>
        <w:tc>
          <w:tcPr>
            <w:tcW w:w="151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6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4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46"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40"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46"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40"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166" w:firstLine="0"/>
            </w:pPr>
            <w:r>
              <w:rPr>
                <w:rFonts w:ascii="Arial" w:eastAsia="Arial" w:hAnsi="Arial" w:cs="Arial"/>
                <w:sz w:val="18"/>
              </w:rPr>
              <w:t xml:space="preserve">1,000,000 </w:t>
            </w:r>
            <w:r>
              <w:rPr>
                <w:sz w:val="18"/>
              </w:rPr>
              <w:t>加元</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04"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412" w:type="dxa"/>
            <w:gridSpan w:val="2"/>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0" w:firstLine="0"/>
              <w:jc w:val="center"/>
            </w:pPr>
            <w:r>
              <w:rPr>
                <w:rFonts w:ascii="Arial" w:eastAsia="Arial" w:hAnsi="Arial" w:cs="Arial"/>
                <w:sz w:val="18"/>
              </w:rPr>
              <w:t xml:space="preserve"> </w:t>
            </w:r>
            <w:r>
              <w:rPr>
                <w:rFonts w:ascii="Arial" w:eastAsia="Arial" w:hAnsi="Arial" w:cs="Arial"/>
                <w:sz w:val="18"/>
              </w:rPr>
              <w:tab/>
              <w:t xml:space="preserve"> </w:t>
            </w:r>
          </w:p>
        </w:tc>
        <w:tc>
          <w:tcPr>
            <w:tcW w:w="1512" w:type="dxa"/>
            <w:gridSpan w:val="3"/>
            <w:tcBorders>
              <w:top w:val="nil"/>
              <w:left w:val="nil"/>
              <w:bottom w:val="nil"/>
              <w:right w:val="nil"/>
            </w:tcBorders>
          </w:tcPr>
          <w:p w:rsidR="004D6F0E" w:rsidRDefault="00490F21">
            <w:pPr>
              <w:spacing w:after="7" w:line="259" w:lineRule="auto"/>
              <w:ind w:left="180" w:firstLine="0"/>
            </w:pPr>
            <w:r>
              <w:rPr>
                <w:sz w:val="18"/>
              </w:rPr>
              <w:t>加元</w:t>
            </w:r>
            <w:r>
              <w:rPr>
                <w:rFonts w:ascii="Arial" w:eastAsia="Arial" w:hAnsi="Arial" w:cs="Arial"/>
                <w:sz w:val="18"/>
              </w:rPr>
              <w:t xml:space="preserve"> </w:t>
            </w:r>
          </w:p>
          <w:p w:rsidR="004D6F0E" w:rsidRDefault="00490F21">
            <w:pPr>
              <w:spacing w:after="0" w:line="259" w:lineRule="auto"/>
              <w:ind w:left="0" w:right="62" w:firstLine="0"/>
              <w:jc w:val="right"/>
            </w:pP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11" w:line="259" w:lineRule="auto"/>
              <w:ind w:left="166" w:firstLine="0"/>
            </w:pPr>
            <w:r>
              <w:rPr>
                <w:rFonts w:ascii="Arial" w:eastAsia="Arial" w:hAnsi="Arial" w:cs="Arial"/>
                <w:sz w:val="18"/>
              </w:rPr>
              <w:t xml:space="preserve">1,000,000 </w:t>
            </w:r>
            <w:r>
              <w:rPr>
                <w:sz w:val="18"/>
              </w:rPr>
              <w:t>加元</w:t>
            </w:r>
            <w:r>
              <w:rPr>
                <w:rFonts w:ascii="Arial" w:eastAsia="Arial" w:hAnsi="Arial" w:cs="Arial"/>
                <w:sz w:val="18"/>
              </w:rPr>
              <w:t xml:space="preserve">*** </w:t>
            </w:r>
          </w:p>
          <w:p w:rsidR="004D6F0E" w:rsidRDefault="00490F21">
            <w:pPr>
              <w:spacing w:after="0" w:line="259" w:lineRule="auto"/>
              <w:ind w:left="0" w:right="94" w:firstLine="0"/>
              <w:jc w:val="right"/>
            </w:pP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7" w:line="259" w:lineRule="auto"/>
              <w:ind w:left="504"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797" w:firstLine="0"/>
              <w:jc w:val="center"/>
            </w:pP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sz w:val="18"/>
              </w:rPr>
              <w:t xml:space="preserve"> </w:t>
            </w:r>
          </w:p>
        </w:tc>
        <w:tc>
          <w:tcPr>
            <w:tcW w:w="151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6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4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p>
        </w:tc>
        <w:tc>
          <w:tcPr>
            <w:tcW w:w="1512" w:type="dxa"/>
            <w:gridSpan w:val="3"/>
            <w:tcBorders>
              <w:top w:val="nil"/>
              <w:left w:val="nil"/>
              <w:bottom w:val="nil"/>
              <w:right w:val="nil"/>
            </w:tcBorders>
          </w:tcPr>
          <w:p w:rsidR="004D6F0E" w:rsidRDefault="00490F21">
            <w:pPr>
              <w:spacing w:after="0" w:line="259" w:lineRule="auto"/>
              <w:ind w:left="180" w:firstLine="0"/>
            </w:pPr>
            <w:r>
              <w:rPr>
                <w:sz w:val="18"/>
              </w:rPr>
              <w:t>英鎊</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46" w:firstLine="0"/>
            </w:pPr>
            <w:r>
              <w:rPr>
                <w:rFonts w:ascii="Arial" w:eastAsia="Arial" w:hAnsi="Arial" w:cs="Arial"/>
                <w:sz w:val="18"/>
              </w:rPr>
              <w:t xml:space="preserve">2,000 </w:t>
            </w:r>
            <w:r>
              <w:rPr>
                <w:sz w:val="18"/>
              </w:rPr>
              <w:t>英鎊</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40" w:firstLine="0"/>
            </w:pPr>
            <w:r>
              <w:rPr>
                <w:rFonts w:ascii="Arial" w:eastAsia="Arial" w:hAnsi="Arial" w:cs="Arial"/>
                <w:sz w:val="18"/>
              </w:rPr>
              <w:t xml:space="preserve">750 </w:t>
            </w:r>
            <w:r>
              <w:rPr>
                <w:sz w:val="18"/>
              </w:rPr>
              <w:t>英鎊</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80" w:firstLine="0"/>
            </w:pPr>
            <w:r>
              <w:rPr>
                <w:sz w:val="18"/>
              </w:rPr>
              <w:t>英鎊</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446" w:firstLine="0"/>
            </w:pPr>
            <w:r>
              <w:rPr>
                <w:rFonts w:ascii="Arial" w:eastAsia="Arial" w:hAnsi="Arial" w:cs="Arial"/>
                <w:sz w:val="18"/>
              </w:rPr>
              <w:t xml:space="preserve">2,000 </w:t>
            </w:r>
            <w:r>
              <w:rPr>
                <w:sz w:val="18"/>
              </w:rPr>
              <w:t>英鎊</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240" w:firstLine="0"/>
            </w:pPr>
            <w:r>
              <w:rPr>
                <w:rFonts w:ascii="Arial" w:eastAsia="Arial" w:hAnsi="Arial" w:cs="Arial"/>
                <w:sz w:val="18"/>
              </w:rPr>
              <w:t xml:space="preserve">750 </w:t>
            </w:r>
            <w:r>
              <w:rPr>
                <w:sz w:val="18"/>
              </w:rPr>
              <w:t>英鎊</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412"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512" w:type="dxa"/>
            <w:gridSpan w:val="3"/>
            <w:tcBorders>
              <w:top w:val="nil"/>
              <w:left w:val="nil"/>
              <w:bottom w:val="nil"/>
              <w:right w:val="nil"/>
            </w:tcBorders>
          </w:tcPr>
          <w:p w:rsidR="004D6F0E" w:rsidRDefault="00490F21">
            <w:pPr>
              <w:spacing w:after="0" w:line="259" w:lineRule="auto"/>
              <w:ind w:left="180" w:firstLine="0"/>
            </w:pPr>
            <w:r>
              <w:rPr>
                <w:sz w:val="18"/>
              </w:rPr>
              <w:t>英鎊</w:t>
            </w: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0" w:line="259" w:lineRule="auto"/>
              <w:ind w:left="242" w:firstLine="0"/>
            </w:pPr>
            <w:r>
              <w:rPr>
                <w:rFonts w:ascii="Arial" w:eastAsia="Arial" w:hAnsi="Arial" w:cs="Arial"/>
                <w:sz w:val="18"/>
              </w:rPr>
              <w:t xml:space="preserve">500,000 </w:t>
            </w:r>
            <w:r>
              <w:rPr>
                <w:sz w:val="18"/>
              </w:rPr>
              <w:t>英鎊</w:t>
            </w: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0" w:line="259" w:lineRule="auto"/>
              <w:ind w:left="504" w:firstLine="0"/>
            </w:pPr>
            <w:r>
              <w:rPr>
                <w:sz w:val="18"/>
              </w:rPr>
              <w:t>無</w:t>
            </w: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9"/>
        </w:trPr>
        <w:tc>
          <w:tcPr>
            <w:tcW w:w="2412" w:type="dxa"/>
            <w:gridSpan w:val="2"/>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0" w:firstLine="0"/>
              <w:jc w:val="center"/>
            </w:pPr>
            <w:r>
              <w:rPr>
                <w:rFonts w:ascii="Arial" w:eastAsia="Arial" w:hAnsi="Arial" w:cs="Arial"/>
                <w:sz w:val="18"/>
              </w:rPr>
              <w:t xml:space="preserve"> </w:t>
            </w:r>
            <w:r>
              <w:rPr>
                <w:rFonts w:ascii="Arial" w:eastAsia="Arial" w:hAnsi="Arial" w:cs="Arial"/>
                <w:sz w:val="18"/>
              </w:rPr>
              <w:tab/>
              <w:t xml:space="preserve"> </w:t>
            </w:r>
          </w:p>
        </w:tc>
        <w:tc>
          <w:tcPr>
            <w:tcW w:w="1512" w:type="dxa"/>
            <w:gridSpan w:val="3"/>
            <w:tcBorders>
              <w:top w:val="nil"/>
              <w:left w:val="nil"/>
              <w:bottom w:val="nil"/>
              <w:right w:val="nil"/>
            </w:tcBorders>
          </w:tcPr>
          <w:p w:rsidR="004D6F0E" w:rsidRDefault="00490F21">
            <w:pPr>
              <w:spacing w:after="7" w:line="259" w:lineRule="auto"/>
              <w:ind w:left="180" w:firstLine="0"/>
            </w:pPr>
            <w:r>
              <w:rPr>
                <w:sz w:val="18"/>
              </w:rPr>
              <w:t>英鎊</w:t>
            </w:r>
            <w:r>
              <w:rPr>
                <w:rFonts w:ascii="Arial" w:eastAsia="Arial" w:hAnsi="Arial" w:cs="Arial"/>
                <w:sz w:val="18"/>
              </w:rPr>
              <w:t xml:space="preserve"> </w:t>
            </w:r>
          </w:p>
          <w:p w:rsidR="004D6F0E" w:rsidRDefault="00490F21">
            <w:pPr>
              <w:spacing w:after="0" w:line="259" w:lineRule="auto"/>
              <w:ind w:left="0" w:right="62" w:firstLine="0"/>
              <w:jc w:val="right"/>
            </w:pPr>
            <w:r>
              <w:rPr>
                <w:rFonts w:ascii="Arial" w:eastAsia="Arial" w:hAnsi="Arial" w:cs="Arial"/>
                <w:sz w:val="18"/>
              </w:rPr>
              <w:t xml:space="preserve"> </w:t>
            </w:r>
          </w:p>
        </w:tc>
        <w:tc>
          <w:tcPr>
            <w:tcW w:w="2266" w:type="dxa"/>
            <w:gridSpan w:val="2"/>
            <w:tcBorders>
              <w:top w:val="nil"/>
              <w:left w:val="nil"/>
              <w:bottom w:val="nil"/>
              <w:right w:val="nil"/>
            </w:tcBorders>
          </w:tcPr>
          <w:p w:rsidR="004D6F0E" w:rsidRDefault="00490F21">
            <w:pPr>
              <w:spacing w:after="11" w:line="259" w:lineRule="auto"/>
              <w:ind w:left="242" w:firstLine="0"/>
            </w:pPr>
            <w:r>
              <w:rPr>
                <w:rFonts w:ascii="Arial" w:eastAsia="Arial" w:hAnsi="Arial" w:cs="Arial"/>
                <w:sz w:val="18"/>
              </w:rPr>
              <w:t xml:space="preserve">500,000 </w:t>
            </w:r>
            <w:r>
              <w:rPr>
                <w:sz w:val="18"/>
              </w:rPr>
              <w:t>英鎊</w:t>
            </w:r>
            <w:r>
              <w:rPr>
                <w:rFonts w:ascii="Arial" w:eastAsia="Arial" w:hAnsi="Arial" w:cs="Arial"/>
                <w:sz w:val="18"/>
              </w:rPr>
              <w:t xml:space="preserve">*** </w:t>
            </w:r>
          </w:p>
          <w:p w:rsidR="004D6F0E" w:rsidRDefault="00490F21">
            <w:pPr>
              <w:spacing w:after="0" w:line="259" w:lineRule="auto"/>
              <w:ind w:left="0" w:right="94" w:firstLine="0"/>
              <w:jc w:val="right"/>
            </w:pPr>
            <w:r>
              <w:rPr>
                <w:rFonts w:ascii="Arial" w:eastAsia="Arial" w:hAnsi="Arial" w:cs="Arial"/>
                <w:sz w:val="18"/>
              </w:rPr>
              <w:t xml:space="preserve"> </w:t>
            </w:r>
          </w:p>
        </w:tc>
        <w:tc>
          <w:tcPr>
            <w:tcW w:w="1642" w:type="dxa"/>
            <w:gridSpan w:val="2"/>
            <w:tcBorders>
              <w:top w:val="nil"/>
              <w:left w:val="nil"/>
              <w:bottom w:val="nil"/>
              <w:right w:val="nil"/>
            </w:tcBorders>
          </w:tcPr>
          <w:p w:rsidR="004D6F0E" w:rsidRDefault="00490F21">
            <w:pPr>
              <w:spacing w:after="7" w:line="259" w:lineRule="auto"/>
              <w:ind w:left="504"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975" w:type="dxa"/>
            <w:gridSpan w:val="3"/>
            <w:tcBorders>
              <w:top w:val="nil"/>
              <w:left w:val="nil"/>
              <w:bottom w:val="nil"/>
              <w:right w:val="nil"/>
            </w:tcBorders>
          </w:tcPr>
          <w:p w:rsidR="004D6F0E" w:rsidRDefault="00490F21">
            <w:pPr>
              <w:spacing w:after="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797" w:firstLine="0"/>
              <w:jc w:val="center"/>
            </w:pPr>
            <w:r>
              <w:rPr>
                <w:rFonts w:ascii="Arial" w:eastAsia="Arial" w:hAnsi="Arial" w:cs="Arial"/>
                <w:sz w:val="18"/>
              </w:rPr>
              <w:t xml:space="preserve"> </w:t>
            </w:r>
          </w:p>
        </w:tc>
        <w:tc>
          <w:tcPr>
            <w:tcW w:w="125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412"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人民幣對沖股份類別</w:t>
            </w:r>
            <w:r>
              <w:rPr>
                <w:rFonts w:ascii="Arial" w:eastAsia="Arial" w:hAnsi="Arial" w:cs="Arial"/>
                <w:sz w:val="18"/>
              </w:rPr>
              <w:t xml:space="preserve"> </w:t>
            </w:r>
          </w:p>
        </w:tc>
        <w:tc>
          <w:tcPr>
            <w:tcW w:w="1512"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226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64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250"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1" w:type="dxa"/>
            <w:right w:w="0" w:type="dxa"/>
          </w:tblCellMar>
        </w:tblPrEx>
        <w:trPr>
          <w:gridAfter w:val="1"/>
          <w:wAfter w:w="690" w:type="dxa"/>
          <w:trHeight w:val="209"/>
        </w:trPr>
        <w:tc>
          <w:tcPr>
            <w:tcW w:w="22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360" w:type="dxa"/>
            <w:gridSpan w:val="2"/>
            <w:tcBorders>
              <w:top w:val="nil"/>
              <w:left w:val="nil"/>
              <w:bottom w:val="nil"/>
              <w:right w:val="nil"/>
            </w:tcBorders>
          </w:tcPr>
          <w:p w:rsidR="004D6F0E" w:rsidRDefault="004D6F0E">
            <w:pPr>
              <w:spacing w:after="160" w:line="259" w:lineRule="auto"/>
              <w:ind w:left="0" w:firstLine="0"/>
            </w:pPr>
          </w:p>
        </w:tc>
        <w:tc>
          <w:tcPr>
            <w:tcW w:w="1205" w:type="dxa"/>
            <w:tcBorders>
              <w:top w:val="nil"/>
              <w:left w:val="nil"/>
              <w:bottom w:val="nil"/>
              <w:right w:val="nil"/>
            </w:tcBorders>
          </w:tcPr>
          <w:p w:rsidR="004D6F0E" w:rsidRDefault="00490F21">
            <w:pPr>
              <w:spacing w:after="0" w:line="259" w:lineRule="auto"/>
              <w:ind w:left="36" w:firstLine="0"/>
            </w:pPr>
            <w:r>
              <w:rPr>
                <w:sz w:val="18"/>
              </w:rPr>
              <w:t>人民幣</w:t>
            </w:r>
            <w:r>
              <w:rPr>
                <w:rFonts w:ascii="Arial" w:eastAsia="Arial" w:hAnsi="Arial" w:cs="Arial"/>
                <w:sz w:val="18"/>
              </w:rPr>
              <w:t xml:space="preserve"> </w:t>
            </w:r>
          </w:p>
        </w:tc>
        <w:tc>
          <w:tcPr>
            <w:tcW w:w="2234" w:type="dxa"/>
            <w:gridSpan w:val="2"/>
            <w:tcBorders>
              <w:top w:val="nil"/>
              <w:left w:val="nil"/>
              <w:bottom w:val="nil"/>
              <w:right w:val="nil"/>
            </w:tcBorders>
          </w:tcPr>
          <w:p w:rsidR="004D6F0E" w:rsidRDefault="00490F21">
            <w:pPr>
              <w:spacing w:after="0" w:line="259" w:lineRule="auto"/>
              <w:ind w:left="336"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tc>
        <w:tc>
          <w:tcPr>
            <w:tcW w:w="1735" w:type="dxa"/>
            <w:gridSpan w:val="2"/>
            <w:tcBorders>
              <w:top w:val="nil"/>
              <w:left w:val="nil"/>
              <w:bottom w:val="nil"/>
              <w:right w:val="nil"/>
            </w:tcBorders>
          </w:tcPr>
          <w:p w:rsidR="004D6F0E" w:rsidRDefault="00490F21">
            <w:pPr>
              <w:spacing w:after="0" w:line="259" w:lineRule="auto"/>
              <w:ind w:left="137"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tc>
        <w:tc>
          <w:tcPr>
            <w:tcW w:w="504" w:type="dxa"/>
            <w:gridSpan w:val="2"/>
            <w:tcBorders>
              <w:top w:val="nil"/>
              <w:left w:val="nil"/>
              <w:bottom w:val="nil"/>
              <w:right w:val="nil"/>
            </w:tcBorders>
          </w:tcPr>
          <w:p w:rsidR="004D6F0E" w:rsidRDefault="004D6F0E">
            <w:pPr>
              <w:spacing w:after="160" w:line="259" w:lineRule="auto"/>
              <w:ind w:left="0" w:firstLine="0"/>
            </w:pP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22"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1" w:type="dxa"/>
            <w:right w:w="0" w:type="dxa"/>
          </w:tblCellMar>
        </w:tblPrEx>
        <w:trPr>
          <w:gridAfter w:val="1"/>
          <w:wAfter w:w="690" w:type="dxa"/>
          <w:trHeight w:val="234"/>
        </w:trPr>
        <w:tc>
          <w:tcPr>
            <w:tcW w:w="22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2"/>
              </w:rPr>
              <w:t>1</w:t>
            </w: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360" w:type="dxa"/>
            <w:gridSpan w:val="2"/>
            <w:tcBorders>
              <w:top w:val="nil"/>
              <w:left w:val="nil"/>
              <w:bottom w:val="nil"/>
              <w:right w:val="nil"/>
            </w:tcBorders>
          </w:tcPr>
          <w:p w:rsidR="004D6F0E" w:rsidRDefault="004D6F0E">
            <w:pPr>
              <w:spacing w:after="160" w:line="259" w:lineRule="auto"/>
              <w:ind w:left="0" w:firstLine="0"/>
            </w:pPr>
          </w:p>
        </w:tc>
        <w:tc>
          <w:tcPr>
            <w:tcW w:w="1205" w:type="dxa"/>
            <w:tcBorders>
              <w:top w:val="nil"/>
              <w:left w:val="nil"/>
              <w:bottom w:val="nil"/>
              <w:right w:val="nil"/>
            </w:tcBorders>
          </w:tcPr>
          <w:p w:rsidR="004D6F0E" w:rsidRDefault="00490F21">
            <w:pPr>
              <w:spacing w:after="0" w:line="259" w:lineRule="auto"/>
              <w:ind w:left="36" w:firstLine="0"/>
            </w:pPr>
            <w:r>
              <w:rPr>
                <w:sz w:val="18"/>
              </w:rPr>
              <w:t>人民幣</w:t>
            </w:r>
            <w:r>
              <w:rPr>
                <w:rFonts w:ascii="Arial" w:eastAsia="Arial" w:hAnsi="Arial" w:cs="Arial"/>
                <w:sz w:val="18"/>
              </w:rPr>
              <w:t xml:space="preserve"> </w:t>
            </w:r>
          </w:p>
        </w:tc>
        <w:tc>
          <w:tcPr>
            <w:tcW w:w="2234" w:type="dxa"/>
            <w:gridSpan w:val="2"/>
            <w:tcBorders>
              <w:top w:val="nil"/>
              <w:left w:val="nil"/>
              <w:bottom w:val="nil"/>
              <w:right w:val="nil"/>
            </w:tcBorders>
          </w:tcPr>
          <w:p w:rsidR="004D6F0E" w:rsidRDefault="00490F21">
            <w:pPr>
              <w:spacing w:after="0" w:line="259" w:lineRule="auto"/>
              <w:ind w:left="336"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tc>
        <w:tc>
          <w:tcPr>
            <w:tcW w:w="1735" w:type="dxa"/>
            <w:gridSpan w:val="2"/>
            <w:tcBorders>
              <w:top w:val="nil"/>
              <w:left w:val="nil"/>
              <w:bottom w:val="nil"/>
              <w:right w:val="nil"/>
            </w:tcBorders>
          </w:tcPr>
          <w:p w:rsidR="004D6F0E" w:rsidRDefault="00490F21">
            <w:pPr>
              <w:spacing w:after="0" w:line="259" w:lineRule="auto"/>
              <w:ind w:left="137"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tc>
        <w:tc>
          <w:tcPr>
            <w:tcW w:w="504" w:type="dxa"/>
            <w:gridSpan w:val="2"/>
            <w:tcBorders>
              <w:top w:val="nil"/>
              <w:left w:val="nil"/>
              <w:bottom w:val="nil"/>
              <w:right w:val="nil"/>
            </w:tcBorders>
          </w:tcPr>
          <w:p w:rsidR="004D6F0E" w:rsidRDefault="004D6F0E">
            <w:pPr>
              <w:spacing w:after="160" w:line="259" w:lineRule="auto"/>
              <w:ind w:left="0" w:firstLine="0"/>
            </w:pP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22"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1" w:type="dxa"/>
            <w:right w:w="0" w:type="dxa"/>
          </w:tblCellMar>
        </w:tblPrEx>
        <w:trPr>
          <w:gridAfter w:val="1"/>
          <w:wAfter w:w="690" w:type="dxa"/>
          <w:trHeight w:val="234"/>
        </w:trPr>
        <w:tc>
          <w:tcPr>
            <w:tcW w:w="22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360" w:type="dxa"/>
            <w:gridSpan w:val="2"/>
            <w:tcBorders>
              <w:top w:val="nil"/>
              <w:left w:val="nil"/>
              <w:bottom w:val="nil"/>
              <w:right w:val="nil"/>
            </w:tcBorders>
          </w:tcPr>
          <w:p w:rsidR="004D6F0E" w:rsidRDefault="004D6F0E">
            <w:pPr>
              <w:spacing w:after="160" w:line="259" w:lineRule="auto"/>
              <w:ind w:left="0" w:firstLine="0"/>
            </w:pPr>
          </w:p>
        </w:tc>
        <w:tc>
          <w:tcPr>
            <w:tcW w:w="1205" w:type="dxa"/>
            <w:tcBorders>
              <w:top w:val="nil"/>
              <w:left w:val="nil"/>
              <w:bottom w:val="nil"/>
              <w:right w:val="nil"/>
            </w:tcBorders>
          </w:tcPr>
          <w:p w:rsidR="004D6F0E" w:rsidRDefault="00490F21">
            <w:pPr>
              <w:spacing w:after="0" w:line="259" w:lineRule="auto"/>
              <w:ind w:left="36" w:firstLine="0"/>
            </w:pPr>
            <w:r>
              <w:rPr>
                <w:sz w:val="18"/>
              </w:rPr>
              <w:t>人民幣</w:t>
            </w:r>
            <w:r>
              <w:rPr>
                <w:rFonts w:ascii="Arial" w:eastAsia="Arial" w:hAnsi="Arial" w:cs="Arial"/>
                <w:sz w:val="18"/>
              </w:rPr>
              <w:t xml:space="preserve"> </w:t>
            </w:r>
          </w:p>
        </w:tc>
        <w:tc>
          <w:tcPr>
            <w:tcW w:w="2234" w:type="dxa"/>
            <w:gridSpan w:val="2"/>
            <w:tcBorders>
              <w:top w:val="nil"/>
              <w:left w:val="nil"/>
              <w:bottom w:val="nil"/>
              <w:right w:val="nil"/>
            </w:tcBorders>
          </w:tcPr>
          <w:p w:rsidR="004D6F0E" w:rsidRDefault="00490F21">
            <w:pPr>
              <w:spacing w:after="0" w:line="259" w:lineRule="auto"/>
              <w:ind w:left="106" w:firstLine="0"/>
            </w:pPr>
            <w:r>
              <w:rPr>
                <w:sz w:val="18"/>
              </w:rPr>
              <w:t>人民幣</w:t>
            </w:r>
            <w:r>
              <w:rPr>
                <w:sz w:val="18"/>
              </w:rPr>
              <w:t xml:space="preserve"> </w:t>
            </w:r>
            <w:r>
              <w:rPr>
                <w:rFonts w:ascii="Arial" w:eastAsia="Arial" w:hAnsi="Arial" w:cs="Arial"/>
                <w:sz w:val="18"/>
              </w:rPr>
              <w:t xml:space="preserve">5,000,000 </w:t>
            </w:r>
            <w:r>
              <w:rPr>
                <w:sz w:val="18"/>
              </w:rPr>
              <w:t>元</w:t>
            </w:r>
            <w:r>
              <w:rPr>
                <w:rFonts w:ascii="Arial" w:eastAsia="Arial" w:hAnsi="Arial" w:cs="Arial"/>
                <w:sz w:val="18"/>
              </w:rPr>
              <w:t xml:space="preserve">*** </w:t>
            </w:r>
          </w:p>
        </w:tc>
        <w:tc>
          <w:tcPr>
            <w:tcW w:w="1735" w:type="dxa"/>
            <w:gridSpan w:val="2"/>
            <w:tcBorders>
              <w:top w:val="nil"/>
              <w:left w:val="nil"/>
              <w:bottom w:val="nil"/>
              <w:right w:val="nil"/>
            </w:tcBorders>
          </w:tcPr>
          <w:p w:rsidR="004D6F0E" w:rsidRDefault="00490F21">
            <w:pPr>
              <w:spacing w:after="0" w:line="259" w:lineRule="auto"/>
              <w:ind w:left="0" w:right="202" w:firstLine="0"/>
              <w:jc w:val="center"/>
            </w:pPr>
            <w:r>
              <w:rPr>
                <w:sz w:val="18"/>
              </w:rPr>
              <w:t>無</w:t>
            </w:r>
            <w:r>
              <w:rPr>
                <w:rFonts w:ascii="Arial" w:eastAsia="Arial" w:hAnsi="Arial" w:cs="Arial"/>
                <w:sz w:val="18"/>
              </w:rPr>
              <w:t xml:space="preserve"> </w:t>
            </w:r>
          </w:p>
        </w:tc>
        <w:tc>
          <w:tcPr>
            <w:tcW w:w="504" w:type="dxa"/>
            <w:gridSpan w:val="2"/>
            <w:tcBorders>
              <w:top w:val="nil"/>
              <w:left w:val="nil"/>
              <w:bottom w:val="nil"/>
              <w:right w:val="nil"/>
            </w:tcBorders>
          </w:tcPr>
          <w:p w:rsidR="004D6F0E" w:rsidRDefault="004D6F0E">
            <w:pPr>
              <w:spacing w:after="160" w:line="259" w:lineRule="auto"/>
              <w:ind w:left="0" w:firstLine="0"/>
            </w:pP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22"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1" w:type="dxa"/>
            <w:right w:w="0" w:type="dxa"/>
          </w:tblCellMar>
        </w:tblPrEx>
        <w:trPr>
          <w:gridAfter w:val="1"/>
          <w:wAfter w:w="690" w:type="dxa"/>
          <w:trHeight w:val="234"/>
        </w:trPr>
        <w:tc>
          <w:tcPr>
            <w:tcW w:w="22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2"/>
              </w:rPr>
              <w:t>1</w:t>
            </w: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360" w:type="dxa"/>
            <w:gridSpan w:val="2"/>
            <w:tcBorders>
              <w:top w:val="nil"/>
              <w:left w:val="nil"/>
              <w:bottom w:val="nil"/>
              <w:right w:val="nil"/>
            </w:tcBorders>
          </w:tcPr>
          <w:p w:rsidR="004D6F0E" w:rsidRDefault="004D6F0E">
            <w:pPr>
              <w:spacing w:after="160" w:line="259" w:lineRule="auto"/>
              <w:ind w:left="0" w:firstLine="0"/>
            </w:pPr>
          </w:p>
        </w:tc>
        <w:tc>
          <w:tcPr>
            <w:tcW w:w="1205" w:type="dxa"/>
            <w:tcBorders>
              <w:top w:val="nil"/>
              <w:left w:val="nil"/>
              <w:bottom w:val="nil"/>
              <w:right w:val="nil"/>
            </w:tcBorders>
          </w:tcPr>
          <w:p w:rsidR="004D6F0E" w:rsidRDefault="00490F21">
            <w:pPr>
              <w:spacing w:after="0" w:line="259" w:lineRule="auto"/>
              <w:ind w:left="36" w:firstLine="0"/>
            </w:pPr>
            <w:r>
              <w:rPr>
                <w:sz w:val="18"/>
              </w:rPr>
              <w:t>人民幣</w:t>
            </w:r>
            <w:r>
              <w:rPr>
                <w:rFonts w:ascii="Arial" w:eastAsia="Arial" w:hAnsi="Arial" w:cs="Arial"/>
                <w:sz w:val="18"/>
              </w:rPr>
              <w:t xml:space="preserve"> </w:t>
            </w:r>
          </w:p>
        </w:tc>
        <w:tc>
          <w:tcPr>
            <w:tcW w:w="2234" w:type="dxa"/>
            <w:gridSpan w:val="2"/>
            <w:tcBorders>
              <w:top w:val="nil"/>
              <w:left w:val="nil"/>
              <w:bottom w:val="nil"/>
              <w:right w:val="nil"/>
            </w:tcBorders>
          </w:tcPr>
          <w:p w:rsidR="004D6F0E" w:rsidRDefault="00490F21">
            <w:pPr>
              <w:spacing w:after="0" w:line="259" w:lineRule="auto"/>
              <w:ind w:left="106" w:firstLine="0"/>
            </w:pPr>
            <w:r>
              <w:rPr>
                <w:sz w:val="18"/>
              </w:rPr>
              <w:t>人民幣</w:t>
            </w:r>
            <w:r>
              <w:rPr>
                <w:sz w:val="18"/>
              </w:rPr>
              <w:t xml:space="preserve"> </w:t>
            </w:r>
            <w:r>
              <w:rPr>
                <w:rFonts w:ascii="Arial" w:eastAsia="Arial" w:hAnsi="Arial" w:cs="Arial"/>
                <w:sz w:val="18"/>
              </w:rPr>
              <w:t xml:space="preserve">5,000,000 </w:t>
            </w:r>
            <w:r>
              <w:rPr>
                <w:sz w:val="18"/>
              </w:rPr>
              <w:t>元</w:t>
            </w:r>
            <w:r>
              <w:rPr>
                <w:rFonts w:ascii="Arial" w:eastAsia="Arial" w:hAnsi="Arial" w:cs="Arial"/>
                <w:sz w:val="18"/>
              </w:rPr>
              <w:t xml:space="preserve">*** </w:t>
            </w:r>
          </w:p>
        </w:tc>
        <w:tc>
          <w:tcPr>
            <w:tcW w:w="1735" w:type="dxa"/>
            <w:gridSpan w:val="2"/>
            <w:tcBorders>
              <w:top w:val="nil"/>
              <w:left w:val="nil"/>
              <w:bottom w:val="nil"/>
              <w:right w:val="nil"/>
            </w:tcBorders>
          </w:tcPr>
          <w:p w:rsidR="004D6F0E" w:rsidRDefault="00490F21">
            <w:pPr>
              <w:spacing w:after="0" w:line="259" w:lineRule="auto"/>
              <w:ind w:left="0" w:right="202" w:firstLine="0"/>
              <w:jc w:val="center"/>
            </w:pPr>
            <w:r>
              <w:rPr>
                <w:sz w:val="18"/>
              </w:rPr>
              <w:t>無</w:t>
            </w:r>
            <w:r>
              <w:rPr>
                <w:rFonts w:ascii="Arial" w:eastAsia="Arial" w:hAnsi="Arial" w:cs="Arial"/>
                <w:sz w:val="18"/>
              </w:rPr>
              <w:t xml:space="preserve"> </w:t>
            </w:r>
          </w:p>
        </w:tc>
        <w:tc>
          <w:tcPr>
            <w:tcW w:w="504" w:type="dxa"/>
            <w:gridSpan w:val="2"/>
            <w:tcBorders>
              <w:top w:val="nil"/>
              <w:left w:val="nil"/>
              <w:bottom w:val="nil"/>
              <w:right w:val="nil"/>
            </w:tcBorders>
          </w:tcPr>
          <w:p w:rsidR="004D6F0E" w:rsidRDefault="004D6F0E">
            <w:pPr>
              <w:spacing w:after="160" w:line="259" w:lineRule="auto"/>
              <w:ind w:left="0" w:firstLine="0"/>
            </w:pP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22"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1" w:type="dxa"/>
            <w:right w:w="0" w:type="dxa"/>
          </w:tblCellMar>
        </w:tblPrEx>
        <w:trPr>
          <w:gridAfter w:val="1"/>
          <w:wAfter w:w="690" w:type="dxa"/>
          <w:trHeight w:val="239"/>
        </w:trPr>
        <w:tc>
          <w:tcPr>
            <w:tcW w:w="22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360" w:type="dxa"/>
            <w:gridSpan w:val="2"/>
            <w:tcBorders>
              <w:top w:val="nil"/>
              <w:left w:val="nil"/>
              <w:bottom w:val="nil"/>
              <w:right w:val="nil"/>
            </w:tcBorders>
          </w:tcPr>
          <w:p w:rsidR="004D6F0E" w:rsidRDefault="004D6F0E">
            <w:pPr>
              <w:spacing w:after="160" w:line="259" w:lineRule="auto"/>
              <w:ind w:left="0" w:firstLine="0"/>
            </w:pPr>
          </w:p>
        </w:tc>
        <w:tc>
          <w:tcPr>
            <w:tcW w:w="1205" w:type="dxa"/>
            <w:tcBorders>
              <w:top w:val="nil"/>
              <w:left w:val="nil"/>
              <w:bottom w:val="nil"/>
              <w:right w:val="nil"/>
            </w:tcBorders>
          </w:tcPr>
          <w:p w:rsidR="004D6F0E" w:rsidRDefault="00490F21">
            <w:pPr>
              <w:spacing w:after="0" w:line="259" w:lineRule="auto"/>
              <w:ind w:left="36" w:firstLine="0"/>
            </w:pPr>
            <w:r>
              <w:rPr>
                <w:sz w:val="18"/>
              </w:rPr>
              <w:t>人民幣</w:t>
            </w:r>
            <w:r>
              <w:rPr>
                <w:rFonts w:ascii="Arial" w:eastAsia="Arial" w:hAnsi="Arial" w:cs="Arial"/>
                <w:sz w:val="18"/>
              </w:rPr>
              <w:t xml:space="preserve"> </w:t>
            </w:r>
          </w:p>
        </w:tc>
        <w:tc>
          <w:tcPr>
            <w:tcW w:w="2234" w:type="dxa"/>
            <w:gridSpan w:val="2"/>
            <w:tcBorders>
              <w:top w:val="nil"/>
              <w:left w:val="nil"/>
              <w:bottom w:val="nil"/>
              <w:right w:val="nil"/>
            </w:tcBorders>
          </w:tcPr>
          <w:p w:rsidR="004D6F0E" w:rsidRDefault="00490F21">
            <w:pPr>
              <w:spacing w:after="0" w:line="259" w:lineRule="auto"/>
              <w:ind w:left="106" w:firstLine="0"/>
            </w:pPr>
            <w:r>
              <w:rPr>
                <w:sz w:val="18"/>
              </w:rPr>
              <w:t>人民幣</w:t>
            </w:r>
            <w:r>
              <w:rPr>
                <w:sz w:val="18"/>
              </w:rPr>
              <w:t xml:space="preserve"> </w:t>
            </w:r>
            <w:r>
              <w:rPr>
                <w:rFonts w:ascii="Arial" w:eastAsia="Arial" w:hAnsi="Arial" w:cs="Arial"/>
                <w:sz w:val="18"/>
              </w:rPr>
              <w:t xml:space="preserve">5,000,000 </w:t>
            </w:r>
            <w:r>
              <w:rPr>
                <w:sz w:val="18"/>
              </w:rPr>
              <w:t>元</w:t>
            </w:r>
            <w:r>
              <w:rPr>
                <w:rFonts w:ascii="Arial" w:eastAsia="Arial" w:hAnsi="Arial" w:cs="Arial"/>
                <w:sz w:val="18"/>
              </w:rPr>
              <w:t xml:space="preserve">*** </w:t>
            </w:r>
          </w:p>
        </w:tc>
        <w:tc>
          <w:tcPr>
            <w:tcW w:w="1735" w:type="dxa"/>
            <w:gridSpan w:val="2"/>
            <w:tcBorders>
              <w:top w:val="nil"/>
              <w:left w:val="nil"/>
              <w:bottom w:val="nil"/>
              <w:right w:val="nil"/>
            </w:tcBorders>
          </w:tcPr>
          <w:p w:rsidR="004D6F0E" w:rsidRDefault="00490F21">
            <w:pPr>
              <w:spacing w:after="0" w:line="259" w:lineRule="auto"/>
              <w:ind w:left="0" w:right="202" w:firstLine="0"/>
              <w:jc w:val="center"/>
            </w:pPr>
            <w:r>
              <w:rPr>
                <w:sz w:val="18"/>
              </w:rPr>
              <w:t>無</w:t>
            </w:r>
            <w:r>
              <w:rPr>
                <w:rFonts w:ascii="Arial" w:eastAsia="Arial" w:hAnsi="Arial" w:cs="Arial"/>
                <w:sz w:val="18"/>
              </w:rPr>
              <w:t xml:space="preserve"> </w:t>
            </w:r>
          </w:p>
        </w:tc>
        <w:tc>
          <w:tcPr>
            <w:tcW w:w="504" w:type="dxa"/>
            <w:gridSpan w:val="2"/>
            <w:tcBorders>
              <w:top w:val="nil"/>
              <w:left w:val="nil"/>
              <w:bottom w:val="nil"/>
              <w:right w:val="nil"/>
            </w:tcBorders>
          </w:tcPr>
          <w:p w:rsidR="004D6F0E" w:rsidRDefault="004D6F0E">
            <w:pPr>
              <w:spacing w:after="160" w:line="259" w:lineRule="auto"/>
              <w:ind w:left="0" w:firstLine="0"/>
            </w:pPr>
          </w:p>
        </w:tc>
        <w:tc>
          <w:tcPr>
            <w:tcW w:w="9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22"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1" w:type="dxa"/>
            <w:right w:w="0" w:type="dxa"/>
          </w:tblCellMar>
        </w:tblPrEx>
        <w:trPr>
          <w:gridAfter w:val="1"/>
          <w:wAfter w:w="690" w:type="dxa"/>
          <w:trHeight w:val="226"/>
        </w:trPr>
        <w:tc>
          <w:tcPr>
            <w:tcW w:w="2232"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 </w:t>
            </w:r>
          </w:p>
        </w:tc>
        <w:tc>
          <w:tcPr>
            <w:tcW w:w="36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205" w:type="dxa"/>
            <w:tcBorders>
              <w:top w:val="nil"/>
              <w:left w:val="nil"/>
              <w:bottom w:val="nil"/>
              <w:right w:val="nil"/>
            </w:tcBorders>
          </w:tcPr>
          <w:p w:rsidR="004D6F0E" w:rsidRDefault="004D6F0E">
            <w:pPr>
              <w:spacing w:after="160" w:line="259" w:lineRule="auto"/>
              <w:ind w:left="0" w:firstLine="0"/>
            </w:pPr>
          </w:p>
        </w:tc>
        <w:tc>
          <w:tcPr>
            <w:tcW w:w="2234"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7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 </w:t>
            </w:r>
          </w:p>
        </w:tc>
        <w:tc>
          <w:tcPr>
            <w:tcW w:w="504"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914" w:type="dxa"/>
            <w:tcBorders>
              <w:top w:val="nil"/>
              <w:left w:val="nil"/>
              <w:bottom w:val="nil"/>
              <w:right w:val="nil"/>
            </w:tcBorders>
          </w:tcPr>
          <w:p w:rsidR="004D6F0E" w:rsidRDefault="004D6F0E">
            <w:pPr>
              <w:spacing w:after="160" w:line="259" w:lineRule="auto"/>
              <w:ind w:left="0" w:firstLine="0"/>
            </w:pPr>
          </w:p>
        </w:tc>
        <w:tc>
          <w:tcPr>
            <w:tcW w:w="6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561" w:type="dxa"/>
            <w:tcBorders>
              <w:top w:val="nil"/>
              <w:left w:val="nil"/>
              <w:bottom w:val="nil"/>
              <w:right w:val="nil"/>
            </w:tcBorders>
          </w:tcPr>
          <w:p w:rsidR="004D6F0E" w:rsidRDefault="004D6F0E">
            <w:pPr>
              <w:spacing w:after="160" w:line="259" w:lineRule="auto"/>
              <w:ind w:left="0" w:firstLine="0"/>
            </w:pPr>
          </w:p>
        </w:tc>
      </w:tr>
      <w:tr w:rsidR="004D6F0E">
        <w:tblPrEx>
          <w:tblCellMar>
            <w:top w:w="1" w:type="dxa"/>
            <w:right w:w="0" w:type="dxa"/>
          </w:tblCellMar>
        </w:tblPrEx>
        <w:trPr>
          <w:gridAfter w:val="1"/>
          <w:wAfter w:w="690" w:type="dxa"/>
          <w:trHeight w:val="243"/>
        </w:trPr>
        <w:tc>
          <w:tcPr>
            <w:tcW w:w="2232" w:type="dxa"/>
            <w:tcBorders>
              <w:top w:val="nil"/>
              <w:left w:val="nil"/>
              <w:bottom w:val="nil"/>
              <w:right w:val="nil"/>
            </w:tcBorders>
          </w:tcPr>
          <w:p w:rsidR="004D6F0E" w:rsidRDefault="00490F21">
            <w:pPr>
              <w:spacing w:after="0" w:line="259" w:lineRule="auto"/>
              <w:ind w:left="0" w:firstLine="0"/>
            </w:pPr>
            <w:r>
              <w:rPr>
                <w:rFonts w:ascii="Times New Roman" w:eastAsia="Times New Roman" w:hAnsi="Times New Roman" w:cs="Times New Roman"/>
                <w:sz w:val="24"/>
              </w:rPr>
              <w:t xml:space="preserve"> </w:t>
            </w:r>
          </w:p>
        </w:tc>
        <w:tc>
          <w:tcPr>
            <w:tcW w:w="360" w:type="dxa"/>
            <w:gridSpan w:val="2"/>
            <w:tcBorders>
              <w:top w:val="nil"/>
              <w:left w:val="nil"/>
              <w:bottom w:val="nil"/>
              <w:right w:val="nil"/>
            </w:tcBorders>
          </w:tcPr>
          <w:p w:rsidR="004D6F0E" w:rsidRDefault="004D6F0E">
            <w:pPr>
              <w:spacing w:after="160" w:line="259" w:lineRule="auto"/>
              <w:ind w:left="0" w:firstLine="0"/>
            </w:pPr>
          </w:p>
        </w:tc>
        <w:tc>
          <w:tcPr>
            <w:tcW w:w="1205" w:type="dxa"/>
            <w:tcBorders>
              <w:top w:val="nil"/>
              <w:left w:val="nil"/>
              <w:bottom w:val="nil"/>
              <w:right w:val="nil"/>
            </w:tcBorders>
          </w:tcPr>
          <w:p w:rsidR="004D6F0E" w:rsidRDefault="00490F21">
            <w:pPr>
              <w:spacing w:after="0" w:line="259" w:lineRule="auto"/>
              <w:ind w:left="288" w:firstLine="0"/>
            </w:pPr>
            <w:r>
              <w:rPr>
                <w:rFonts w:ascii="Times New Roman" w:eastAsia="Times New Roman" w:hAnsi="Times New Roman" w:cs="Times New Roman"/>
                <w:sz w:val="24"/>
              </w:rPr>
              <w:t xml:space="preserve"> </w:t>
            </w:r>
          </w:p>
        </w:tc>
        <w:tc>
          <w:tcPr>
            <w:tcW w:w="2234" w:type="dxa"/>
            <w:gridSpan w:val="2"/>
            <w:tcBorders>
              <w:top w:val="nil"/>
              <w:left w:val="nil"/>
              <w:bottom w:val="nil"/>
              <w:right w:val="nil"/>
            </w:tcBorders>
          </w:tcPr>
          <w:p w:rsidR="004D6F0E" w:rsidRDefault="004D6F0E">
            <w:pPr>
              <w:spacing w:after="160" w:line="259" w:lineRule="auto"/>
              <w:ind w:left="0" w:firstLine="0"/>
            </w:pPr>
          </w:p>
        </w:tc>
        <w:tc>
          <w:tcPr>
            <w:tcW w:w="1735" w:type="dxa"/>
            <w:gridSpan w:val="2"/>
            <w:tcBorders>
              <w:top w:val="nil"/>
              <w:left w:val="nil"/>
              <w:bottom w:val="nil"/>
              <w:right w:val="nil"/>
            </w:tcBorders>
          </w:tcPr>
          <w:p w:rsidR="004D6F0E" w:rsidRDefault="004D6F0E">
            <w:pPr>
              <w:spacing w:after="160" w:line="259" w:lineRule="auto"/>
              <w:ind w:left="0" w:firstLine="0"/>
            </w:pPr>
          </w:p>
        </w:tc>
        <w:tc>
          <w:tcPr>
            <w:tcW w:w="504" w:type="dxa"/>
            <w:gridSpan w:val="2"/>
            <w:tcBorders>
              <w:top w:val="nil"/>
              <w:left w:val="nil"/>
              <w:bottom w:val="nil"/>
              <w:right w:val="nil"/>
            </w:tcBorders>
          </w:tcPr>
          <w:p w:rsidR="004D6F0E" w:rsidRDefault="004D6F0E">
            <w:pPr>
              <w:spacing w:after="160" w:line="259" w:lineRule="auto"/>
              <w:ind w:left="0" w:firstLine="0"/>
            </w:pPr>
          </w:p>
        </w:tc>
        <w:tc>
          <w:tcPr>
            <w:tcW w:w="914" w:type="dxa"/>
            <w:tcBorders>
              <w:top w:val="nil"/>
              <w:left w:val="nil"/>
              <w:bottom w:val="nil"/>
              <w:right w:val="nil"/>
            </w:tcBorders>
          </w:tcPr>
          <w:p w:rsidR="004D6F0E" w:rsidRDefault="004D6F0E">
            <w:pPr>
              <w:spacing w:after="160" w:line="259" w:lineRule="auto"/>
              <w:ind w:left="0" w:firstLine="0"/>
            </w:pPr>
          </w:p>
        </w:tc>
        <w:tc>
          <w:tcPr>
            <w:tcW w:w="622"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D6F0E">
            <w:pPr>
              <w:spacing w:after="160" w:line="259" w:lineRule="auto"/>
              <w:ind w:left="0" w:firstLine="0"/>
            </w:pPr>
          </w:p>
        </w:tc>
      </w:tr>
    </w:tbl>
    <w:p w:rsidR="004D6F0E" w:rsidRDefault="00490F21">
      <w:pPr>
        <w:spacing w:after="3" w:line="259" w:lineRule="auto"/>
        <w:ind w:right="152" w:hanging="10"/>
        <w:jc w:val="center"/>
      </w:pPr>
      <w:r>
        <w:rPr>
          <w:rFonts w:ascii="Times New Roman" w:eastAsia="Times New Roman" w:hAnsi="Times New Roman" w:cs="Times New Roman"/>
          <w:sz w:val="20"/>
        </w:rPr>
        <w:t xml:space="preserve">I-54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tbl>
      <w:tblPr>
        <w:tblStyle w:val="TableGrid"/>
        <w:tblW w:w="11057" w:type="dxa"/>
        <w:tblInd w:w="0" w:type="dxa"/>
        <w:tblCellMar>
          <w:top w:w="26" w:type="dxa"/>
          <w:left w:w="0" w:type="dxa"/>
          <w:bottom w:w="0" w:type="dxa"/>
          <w:right w:w="0" w:type="dxa"/>
        </w:tblCellMar>
        <w:tblLook w:val="04A0" w:firstRow="1" w:lastRow="0" w:firstColumn="1" w:lastColumn="0" w:noHBand="0" w:noVBand="1"/>
      </w:tblPr>
      <w:tblGrid>
        <w:gridCol w:w="2447"/>
        <w:gridCol w:w="1476"/>
        <w:gridCol w:w="2177"/>
        <w:gridCol w:w="2170"/>
        <w:gridCol w:w="1536"/>
        <w:gridCol w:w="1251"/>
      </w:tblGrid>
      <w:tr w:rsidR="004D6F0E">
        <w:trPr>
          <w:trHeight w:val="235"/>
        </w:trPr>
        <w:tc>
          <w:tcPr>
            <w:tcW w:w="2448"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1476" w:type="dxa"/>
            <w:tcBorders>
              <w:top w:val="nil"/>
              <w:left w:val="nil"/>
              <w:bottom w:val="nil"/>
              <w:right w:val="nil"/>
            </w:tcBorders>
            <w:shd w:val="clear" w:color="auto" w:fill="D9D9D9"/>
          </w:tcPr>
          <w:p w:rsidR="004D6F0E" w:rsidRDefault="004D6F0E">
            <w:pPr>
              <w:spacing w:after="160" w:line="259" w:lineRule="auto"/>
              <w:ind w:left="0" w:firstLine="0"/>
            </w:pPr>
          </w:p>
        </w:tc>
        <w:tc>
          <w:tcPr>
            <w:tcW w:w="2177" w:type="dxa"/>
            <w:tcBorders>
              <w:top w:val="nil"/>
              <w:left w:val="nil"/>
              <w:bottom w:val="nil"/>
              <w:right w:val="nil"/>
            </w:tcBorders>
            <w:shd w:val="clear" w:color="auto" w:fill="D9D9D9"/>
          </w:tcPr>
          <w:p w:rsidR="004D6F0E" w:rsidRDefault="004D6F0E">
            <w:pPr>
              <w:spacing w:after="160" w:line="259" w:lineRule="auto"/>
              <w:ind w:left="0" w:firstLine="0"/>
            </w:pPr>
          </w:p>
        </w:tc>
        <w:tc>
          <w:tcPr>
            <w:tcW w:w="2170" w:type="dxa"/>
            <w:tcBorders>
              <w:top w:val="nil"/>
              <w:left w:val="nil"/>
              <w:bottom w:val="nil"/>
              <w:right w:val="nil"/>
            </w:tcBorders>
            <w:shd w:val="clear" w:color="auto" w:fill="D9D9D9"/>
          </w:tcPr>
          <w:p w:rsidR="004D6F0E" w:rsidRDefault="004D6F0E">
            <w:pPr>
              <w:spacing w:after="160" w:line="259" w:lineRule="auto"/>
              <w:ind w:left="0" w:firstLine="0"/>
            </w:pPr>
          </w:p>
        </w:tc>
        <w:tc>
          <w:tcPr>
            <w:tcW w:w="1536" w:type="dxa"/>
            <w:tcBorders>
              <w:top w:val="nil"/>
              <w:left w:val="nil"/>
              <w:bottom w:val="nil"/>
              <w:right w:val="nil"/>
            </w:tcBorders>
            <w:shd w:val="clear" w:color="auto" w:fill="D9D9D9"/>
          </w:tcPr>
          <w:p w:rsidR="004D6F0E" w:rsidRDefault="004D6F0E">
            <w:pPr>
              <w:spacing w:after="160" w:line="259" w:lineRule="auto"/>
              <w:ind w:left="0" w:firstLine="0"/>
            </w:pPr>
          </w:p>
        </w:tc>
        <w:tc>
          <w:tcPr>
            <w:tcW w:w="125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44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tc>
        <w:tc>
          <w:tcPr>
            <w:tcW w:w="1476" w:type="dxa"/>
            <w:tcBorders>
              <w:top w:val="nil"/>
              <w:left w:val="nil"/>
              <w:bottom w:val="nil"/>
              <w:right w:val="nil"/>
            </w:tcBorders>
          </w:tcPr>
          <w:p w:rsidR="004D6F0E" w:rsidRDefault="00490F21">
            <w:pPr>
              <w:spacing w:after="0" w:line="259" w:lineRule="auto"/>
              <w:ind w:left="91" w:firstLine="0"/>
            </w:pPr>
            <w:r>
              <w:rPr>
                <w:sz w:val="18"/>
              </w:rPr>
              <w:t>紐西蘭元</w:t>
            </w: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281"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44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1476" w:type="dxa"/>
            <w:tcBorders>
              <w:top w:val="nil"/>
              <w:left w:val="nil"/>
              <w:bottom w:val="nil"/>
              <w:right w:val="nil"/>
            </w:tcBorders>
          </w:tcPr>
          <w:p w:rsidR="004D6F0E" w:rsidRDefault="00490F21">
            <w:pPr>
              <w:spacing w:after="0" w:line="259" w:lineRule="auto"/>
              <w:ind w:left="91" w:firstLine="0"/>
            </w:pPr>
            <w:r>
              <w:rPr>
                <w:sz w:val="18"/>
              </w:rPr>
              <w:t>紐西蘭元</w:t>
            </w: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281"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41"/>
        </w:trPr>
        <w:tc>
          <w:tcPr>
            <w:tcW w:w="2448"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tcPr>
          <w:p w:rsidR="004D6F0E" w:rsidRDefault="00490F21">
            <w:pPr>
              <w:spacing w:after="10" w:line="259" w:lineRule="auto"/>
              <w:ind w:left="91" w:firstLine="0"/>
            </w:pPr>
            <w:r>
              <w:rPr>
                <w:sz w:val="18"/>
              </w:rPr>
              <w:t>紐西蘭元</w:t>
            </w:r>
            <w:r>
              <w:rPr>
                <w:rFonts w:ascii="Arial" w:eastAsia="Arial" w:hAnsi="Arial" w:cs="Arial"/>
                <w:sz w:val="18"/>
              </w:rPr>
              <w:t xml:space="preserve"> </w:t>
            </w:r>
          </w:p>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1,500,000 </w:t>
            </w:r>
            <w:r>
              <w:rPr>
                <w:sz w:val="18"/>
              </w:rPr>
              <w:t>紐西蘭元</w:t>
            </w:r>
            <w:r>
              <w:rPr>
                <w:rFonts w:ascii="Arial" w:eastAsia="Arial" w:hAnsi="Arial" w:cs="Arial"/>
                <w:sz w:val="18"/>
              </w:rPr>
              <w:t xml:space="preserve">*** </w:t>
            </w:r>
          </w:p>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9"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212"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48"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sz w:val="18"/>
              </w:rPr>
              <w:t xml:space="preserve"> </w:t>
            </w:r>
          </w:p>
        </w:tc>
        <w:tc>
          <w:tcPr>
            <w:tcW w:w="1476" w:type="dxa"/>
            <w:tcBorders>
              <w:top w:val="nil"/>
              <w:left w:val="nil"/>
              <w:bottom w:val="nil"/>
              <w:right w:val="nil"/>
            </w:tcBorders>
            <w:shd w:val="clear" w:color="auto" w:fill="D9D9D9"/>
          </w:tcPr>
          <w:p w:rsidR="004D6F0E" w:rsidRDefault="004D6F0E">
            <w:pPr>
              <w:spacing w:after="160" w:line="259" w:lineRule="auto"/>
              <w:ind w:left="0" w:firstLine="0"/>
            </w:pPr>
          </w:p>
        </w:tc>
        <w:tc>
          <w:tcPr>
            <w:tcW w:w="2177" w:type="dxa"/>
            <w:tcBorders>
              <w:top w:val="nil"/>
              <w:left w:val="nil"/>
              <w:bottom w:val="nil"/>
              <w:right w:val="nil"/>
            </w:tcBorders>
            <w:shd w:val="clear" w:color="auto" w:fill="D9D9D9"/>
          </w:tcPr>
          <w:p w:rsidR="004D6F0E" w:rsidRDefault="004D6F0E">
            <w:pPr>
              <w:spacing w:after="160" w:line="259" w:lineRule="auto"/>
              <w:ind w:left="0" w:firstLine="0"/>
            </w:pPr>
          </w:p>
        </w:tc>
        <w:tc>
          <w:tcPr>
            <w:tcW w:w="2170" w:type="dxa"/>
            <w:tcBorders>
              <w:top w:val="nil"/>
              <w:left w:val="nil"/>
              <w:bottom w:val="nil"/>
              <w:right w:val="nil"/>
            </w:tcBorders>
            <w:shd w:val="clear" w:color="auto" w:fill="D9D9D9"/>
          </w:tcPr>
          <w:p w:rsidR="004D6F0E" w:rsidRDefault="004D6F0E">
            <w:pPr>
              <w:spacing w:after="160" w:line="259" w:lineRule="auto"/>
              <w:ind w:left="0" w:firstLine="0"/>
            </w:pPr>
          </w:p>
        </w:tc>
        <w:tc>
          <w:tcPr>
            <w:tcW w:w="1536" w:type="dxa"/>
            <w:tcBorders>
              <w:top w:val="nil"/>
              <w:left w:val="nil"/>
              <w:bottom w:val="nil"/>
              <w:right w:val="nil"/>
            </w:tcBorders>
            <w:shd w:val="clear" w:color="auto" w:fill="D9D9D9"/>
          </w:tcPr>
          <w:p w:rsidR="004D6F0E" w:rsidRDefault="004D6F0E">
            <w:pPr>
              <w:spacing w:after="160" w:line="259" w:lineRule="auto"/>
              <w:ind w:left="0" w:firstLine="0"/>
            </w:pPr>
          </w:p>
        </w:tc>
        <w:tc>
          <w:tcPr>
            <w:tcW w:w="125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44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1476" w:type="dxa"/>
            <w:tcBorders>
              <w:top w:val="nil"/>
              <w:left w:val="nil"/>
              <w:bottom w:val="nil"/>
              <w:right w:val="nil"/>
            </w:tcBorders>
          </w:tcPr>
          <w:p w:rsidR="004D6F0E" w:rsidRDefault="00490F21">
            <w:pPr>
              <w:spacing w:after="0" w:line="259" w:lineRule="auto"/>
              <w:ind w:left="91" w:firstLine="0"/>
            </w:pPr>
            <w:r>
              <w:rPr>
                <w:sz w:val="18"/>
              </w:rPr>
              <w:t>南非蘭特</w:t>
            </w: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230"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42"/>
        </w:trPr>
        <w:tc>
          <w:tcPr>
            <w:tcW w:w="2448" w:type="dxa"/>
            <w:tcBorders>
              <w:top w:val="nil"/>
              <w:left w:val="nil"/>
              <w:bottom w:val="nil"/>
              <w:right w:val="nil"/>
            </w:tcBorders>
          </w:tcPr>
          <w:p w:rsidR="004D6F0E" w:rsidRDefault="00490F21">
            <w:pPr>
              <w:spacing w:after="0" w:line="259" w:lineRule="auto"/>
              <w:ind w:left="115" w:right="166" w:firstLine="0"/>
              <w:jc w:val="right"/>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tcPr>
          <w:p w:rsidR="004D6F0E" w:rsidRDefault="00490F21">
            <w:pPr>
              <w:spacing w:after="10" w:line="259" w:lineRule="auto"/>
              <w:ind w:left="91" w:firstLine="0"/>
            </w:pPr>
            <w:r>
              <w:rPr>
                <w:sz w:val="18"/>
              </w:rPr>
              <w:t>南非蘭特</w:t>
            </w:r>
            <w:r>
              <w:rPr>
                <w:rFonts w:ascii="Arial" w:eastAsia="Arial" w:hAnsi="Arial" w:cs="Arial"/>
                <w:sz w:val="18"/>
              </w:rPr>
              <w:t xml:space="preserve"> </w:t>
            </w:r>
          </w:p>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14" w:line="259" w:lineRule="auto"/>
              <w:ind w:left="230"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15" w:line="259" w:lineRule="auto"/>
              <w:ind w:left="89"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p w:rsidR="004D6F0E" w:rsidRDefault="00490F21">
            <w:pPr>
              <w:spacing w:after="0" w:line="259" w:lineRule="auto"/>
              <w:ind w:left="1212"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48" w:type="dxa"/>
            <w:tcBorders>
              <w:top w:val="nil"/>
              <w:left w:val="nil"/>
              <w:bottom w:val="nil"/>
              <w:right w:val="nil"/>
            </w:tcBorders>
            <w:shd w:val="clear" w:color="auto" w:fill="D9D9D9"/>
          </w:tcPr>
          <w:p w:rsidR="004D6F0E" w:rsidRDefault="00490F21">
            <w:pPr>
              <w:tabs>
                <w:tab w:val="center" w:pos="2232"/>
              </w:tabs>
              <w:spacing w:after="0" w:line="259" w:lineRule="auto"/>
              <w:ind w:left="0" w:firstLine="0"/>
            </w:pPr>
            <w:r>
              <w:rPr>
                <w:sz w:val="18"/>
              </w:rPr>
              <w:t>瑞士法郎對沖股份類別</w:t>
            </w: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shd w:val="clear" w:color="auto" w:fill="D9D9D9"/>
          </w:tcPr>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shd w:val="clear" w:color="auto" w:fill="D9D9D9"/>
          </w:tcPr>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shd w:val="clear" w:color="auto" w:fill="D9D9D9"/>
          </w:tcPr>
          <w:p w:rsidR="004D6F0E" w:rsidRDefault="00490F21">
            <w:pPr>
              <w:spacing w:after="0" w:line="259" w:lineRule="auto"/>
              <w:ind w:left="1212"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44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476" w:type="dxa"/>
            <w:tcBorders>
              <w:top w:val="nil"/>
              <w:left w:val="nil"/>
              <w:bottom w:val="nil"/>
              <w:right w:val="nil"/>
            </w:tcBorders>
          </w:tcPr>
          <w:p w:rsidR="004D6F0E" w:rsidRDefault="00490F21">
            <w:pPr>
              <w:spacing w:after="0" w:line="259" w:lineRule="auto"/>
              <w:ind w:left="91" w:firstLine="0"/>
            </w:pPr>
            <w:r>
              <w:rPr>
                <w:sz w:val="18"/>
              </w:rPr>
              <w:t>瑞士法郎</w:t>
            </w: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276" w:firstLine="0"/>
            </w:pPr>
            <w:r>
              <w:rPr>
                <w:rFonts w:ascii="Arial" w:eastAsia="Arial" w:hAnsi="Arial" w:cs="Arial"/>
                <w:sz w:val="2"/>
              </w:rPr>
              <w:t>1</w:t>
            </w:r>
            <w:r>
              <w:rPr>
                <w:rFonts w:ascii="Arial" w:eastAsia="Arial" w:hAnsi="Arial" w:cs="Arial"/>
                <w:sz w:val="18"/>
              </w:rPr>
              <w:t xml:space="preserve">2,000 </w:t>
            </w:r>
            <w:r>
              <w:rPr>
                <w:sz w:val="18"/>
              </w:rPr>
              <w:t>瑞士法郎</w:t>
            </w: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0" w:line="259" w:lineRule="auto"/>
              <w:ind w:left="163" w:firstLine="0"/>
            </w:pPr>
            <w:r>
              <w:rPr>
                <w:rFonts w:ascii="Arial" w:eastAsia="Arial" w:hAnsi="Arial" w:cs="Arial"/>
                <w:sz w:val="18"/>
              </w:rPr>
              <w:t xml:space="preserve">750 </w:t>
            </w:r>
            <w:r>
              <w:rPr>
                <w:sz w:val="18"/>
              </w:rPr>
              <w:t>瑞士法郎</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42"/>
        </w:trPr>
        <w:tc>
          <w:tcPr>
            <w:tcW w:w="244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476" w:type="dxa"/>
            <w:tcBorders>
              <w:top w:val="nil"/>
              <w:left w:val="nil"/>
              <w:bottom w:val="nil"/>
              <w:right w:val="nil"/>
            </w:tcBorders>
            <w:vAlign w:val="center"/>
          </w:tcPr>
          <w:p w:rsidR="004D6F0E" w:rsidRDefault="00490F21">
            <w:pPr>
              <w:spacing w:after="0" w:line="259" w:lineRule="auto"/>
              <w:ind w:left="91" w:firstLine="0"/>
            </w:pPr>
            <w:r>
              <w:rPr>
                <w:sz w:val="18"/>
              </w:rPr>
              <w:t>瑞士法郎</w:t>
            </w: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487" w:firstLine="0"/>
            </w:pPr>
            <w:r>
              <w:rPr>
                <w:rFonts w:ascii="Arial" w:eastAsia="Arial" w:hAnsi="Arial" w:cs="Arial"/>
                <w:sz w:val="18"/>
              </w:rPr>
              <w:t xml:space="preserve">1,000,000 </w:t>
            </w:r>
          </w:p>
          <w:p w:rsidR="004D6F0E" w:rsidRDefault="00490F21">
            <w:pPr>
              <w:spacing w:after="0" w:line="259" w:lineRule="auto"/>
              <w:ind w:left="422" w:firstLine="0"/>
            </w:pPr>
            <w:r>
              <w:rPr>
                <w:sz w:val="18"/>
              </w:rPr>
              <w:t>瑞士法郎</w:t>
            </w:r>
            <w:r>
              <w:rPr>
                <w:rFonts w:ascii="Arial" w:eastAsia="Arial" w:hAnsi="Arial" w:cs="Arial"/>
                <w:sz w:val="18"/>
              </w:rPr>
              <w:t xml:space="preserve">*** </w:t>
            </w:r>
          </w:p>
        </w:tc>
        <w:tc>
          <w:tcPr>
            <w:tcW w:w="2170" w:type="dxa"/>
            <w:tcBorders>
              <w:top w:val="nil"/>
              <w:left w:val="nil"/>
              <w:bottom w:val="nil"/>
              <w:right w:val="nil"/>
            </w:tcBorders>
            <w:vAlign w:val="center"/>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536"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51"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643"/>
        </w:trPr>
        <w:tc>
          <w:tcPr>
            <w:tcW w:w="2448" w:type="dxa"/>
            <w:tcBorders>
              <w:top w:val="nil"/>
              <w:left w:val="nil"/>
              <w:bottom w:val="nil"/>
              <w:right w:val="nil"/>
            </w:tcBorders>
            <w:vAlign w:val="bottom"/>
          </w:tcPr>
          <w:p w:rsidR="004D6F0E" w:rsidRDefault="00490F21">
            <w:pPr>
              <w:spacing w:after="0" w:line="259" w:lineRule="auto"/>
              <w:ind w:left="115" w:right="166" w:firstLine="0"/>
              <w:jc w:val="right"/>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vAlign w:val="bottom"/>
          </w:tcPr>
          <w:p w:rsidR="004D6F0E" w:rsidRDefault="00490F21">
            <w:pPr>
              <w:spacing w:after="110" w:line="259" w:lineRule="auto"/>
              <w:ind w:left="91" w:firstLine="0"/>
            </w:pPr>
            <w:r>
              <w:rPr>
                <w:sz w:val="18"/>
              </w:rPr>
              <w:t>瑞士法郎</w:t>
            </w:r>
            <w:r>
              <w:rPr>
                <w:rFonts w:ascii="Arial" w:eastAsia="Arial" w:hAnsi="Arial" w:cs="Arial"/>
                <w:sz w:val="18"/>
              </w:rPr>
              <w:t xml:space="preserve"> </w:t>
            </w:r>
          </w:p>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487" w:firstLine="0"/>
            </w:pPr>
            <w:r>
              <w:rPr>
                <w:rFonts w:ascii="Arial" w:eastAsia="Arial" w:hAnsi="Arial" w:cs="Arial"/>
                <w:sz w:val="18"/>
              </w:rPr>
              <w:t xml:space="preserve">1,000,000 </w:t>
            </w:r>
          </w:p>
          <w:p w:rsidR="004D6F0E" w:rsidRDefault="00490F21">
            <w:pPr>
              <w:spacing w:after="7" w:line="259" w:lineRule="auto"/>
              <w:ind w:left="422" w:firstLine="0"/>
            </w:pPr>
            <w:r>
              <w:rPr>
                <w:sz w:val="18"/>
              </w:rPr>
              <w:t>瑞士法郎</w:t>
            </w:r>
            <w:r>
              <w:rPr>
                <w:rFonts w:ascii="Arial" w:eastAsia="Arial" w:hAnsi="Arial" w:cs="Arial"/>
                <w:sz w:val="18"/>
              </w:rPr>
              <w:t xml:space="preserve">*** </w:t>
            </w:r>
          </w:p>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vAlign w:val="bottom"/>
          </w:tcPr>
          <w:p w:rsidR="004D6F0E" w:rsidRDefault="00490F21">
            <w:pPr>
              <w:spacing w:after="110"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212" w:firstLine="0"/>
              <w:jc w:val="center"/>
            </w:pPr>
            <w:r>
              <w:rPr>
                <w:rFonts w:ascii="Arial" w:eastAsia="Arial" w:hAnsi="Arial" w:cs="Arial"/>
                <w:sz w:val="18"/>
              </w:rPr>
              <w:t xml:space="preserve"> </w:t>
            </w:r>
          </w:p>
        </w:tc>
        <w:tc>
          <w:tcPr>
            <w:tcW w:w="1536" w:type="dxa"/>
            <w:tcBorders>
              <w:top w:val="nil"/>
              <w:left w:val="nil"/>
              <w:bottom w:val="nil"/>
              <w:right w:val="nil"/>
            </w:tcBorders>
            <w:vAlign w:val="bottom"/>
          </w:tcPr>
          <w:p w:rsidR="004D6F0E" w:rsidRDefault="00490F21">
            <w:pPr>
              <w:spacing w:after="110"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48" w:type="dxa"/>
            <w:tcBorders>
              <w:top w:val="nil"/>
              <w:left w:val="nil"/>
              <w:bottom w:val="nil"/>
              <w:right w:val="nil"/>
            </w:tcBorders>
            <w:shd w:val="clear" w:color="auto" w:fill="D9D9D9"/>
          </w:tcPr>
          <w:p w:rsidR="004D6F0E" w:rsidRDefault="00490F21">
            <w:pPr>
              <w:tabs>
                <w:tab w:val="center" w:pos="2374"/>
              </w:tabs>
              <w:spacing w:after="0" w:line="259" w:lineRule="auto"/>
              <w:ind w:left="0" w:firstLine="0"/>
            </w:pPr>
            <w:r>
              <w:rPr>
                <w:sz w:val="18"/>
              </w:rPr>
              <w:t>波蘭茲羅提對沖股份類別</w:t>
            </w: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shd w:val="clear" w:color="auto" w:fill="D9D9D9"/>
          </w:tcPr>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shd w:val="clear" w:color="auto" w:fill="D9D9D9"/>
          </w:tcPr>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shd w:val="clear" w:color="auto" w:fill="D9D9D9"/>
          </w:tcPr>
          <w:p w:rsidR="004D6F0E" w:rsidRDefault="00490F21">
            <w:pPr>
              <w:spacing w:after="0" w:line="259" w:lineRule="auto"/>
              <w:ind w:left="0" w:right="178" w:firstLine="0"/>
              <w:jc w:val="right"/>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44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A2</w:t>
            </w:r>
            <w:r>
              <w:rPr>
                <w:sz w:val="18"/>
              </w:rPr>
              <w:t>類</w:t>
            </w:r>
            <w:r>
              <w:rPr>
                <w:rFonts w:ascii="Arial" w:eastAsia="Arial" w:hAnsi="Arial" w:cs="Arial"/>
                <w:sz w:val="18"/>
              </w:rPr>
              <w:t>H</w:t>
            </w:r>
            <w:r>
              <w:rPr>
                <w:sz w:val="18"/>
              </w:rPr>
              <w:t>波蘭茲羅提股份</w:t>
            </w:r>
            <w:r>
              <w:rPr>
                <w:rFonts w:ascii="Arial" w:eastAsia="Arial" w:hAnsi="Arial" w:cs="Arial"/>
                <w:sz w:val="18"/>
              </w:rPr>
              <w:t xml:space="preserve"> </w:t>
            </w:r>
          </w:p>
        </w:tc>
        <w:tc>
          <w:tcPr>
            <w:tcW w:w="1476" w:type="dxa"/>
            <w:tcBorders>
              <w:top w:val="nil"/>
              <w:left w:val="nil"/>
              <w:bottom w:val="nil"/>
              <w:right w:val="nil"/>
            </w:tcBorders>
          </w:tcPr>
          <w:p w:rsidR="004D6F0E" w:rsidRDefault="00490F21">
            <w:pPr>
              <w:spacing w:after="0" w:line="259" w:lineRule="auto"/>
              <w:ind w:left="0" w:firstLine="0"/>
            </w:pPr>
            <w:r>
              <w:rPr>
                <w:sz w:val="18"/>
              </w:rPr>
              <w:t>波蘭茲羅提</w:t>
            </w: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192" w:firstLine="0"/>
            </w:pPr>
            <w:r>
              <w:rPr>
                <w:rFonts w:ascii="Arial" w:eastAsia="Arial" w:hAnsi="Arial" w:cs="Arial"/>
                <w:sz w:val="18"/>
              </w:rPr>
              <w:t xml:space="preserve">7,500 </w:t>
            </w:r>
            <w:r>
              <w:rPr>
                <w:sz w:val="18"/>
              </w:rPr>
              <w:t>波蘭茲羅提</w:t>
            </w:r>
            <w:r>
              <w:rPr>
                <w:rFonts w:ascii="Arial" w:eastAsia="Arial" w:hAnsi="Arial" w:cs="Arial"/>
                <w:sz w:val="18"/>
              </w:rPr>
              <w:t xml:space="preserve"> </w:t>
            </w:r>
          </w:p>
        </w:tc>
        <w:tc>
          <w:tcPr>
            <w:tcW w:w="217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3,000 </w:t>
            </w:r>
            <w:r>
              <w:rPr>
                <w:sz w:val="18"/>
              </w:rPr>
              <w:t>波蘭茲羅提</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2" w:firstLine="0"/>
            </w:pPr>
            <w:r>
              <w:rPr>
                <w:sz w:val="18"/>
              </w:rPr>
              <w:t>無</w:t>
            </w: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643"/>
        </w:trPr>
        <w:tc>
          <w:tcPr>
            <w:tcW w:w="2448" w:type="dxa"/>
            <w:tcBorders>
              <w:top w:val="nil"/>
              <w:left w:val="nil"/>
              <w:bottom w:val="nil"/>
              <w:right w:val="nil"/>
            </w:tcBorders>
            <w:vAlign w:val="bottom"/>
          </w:tcPr>
          <w:p w:rsidR="004D6F0E" w:rsidRDefault="00490F21">
            <w:pPr>
              <w:spacing w:after="0" w:line="259" w:lineRule="auto"/>
              <w:ind w:left="115" w:right="166" w:firstLine="0"/>
              <w:jc w:val="right"/>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vAlign w:val="bottom"/>
          </w:tcPr>
          <w:p w:rsidR="004D6F0E" w:rsidRDefault="00490F21">
            <w:pPr>
              <w:spacing w:after="113" w:line="259" w:lineRule="auto"/>
              <w:ind w:left="0" w:firstLine="0"/>
            </w:pPr>
            <w:r>
              <w:rPr>
                <w:sz w:val="18"/>
              </w:rPr>
              <w:t>波蘭茲羅提</w:t>
            </w:r>
            <w:r>
              <w:rPr>
                <w:rFonts w:ascii="Arial" w:eastAsia="Arial" w:hAnsi="Arial" w:cs="Arial"/>
                <w:sz w:val="18"/>
              </w:rPr>
              <w:t xml:space="preserve"> </w:t>
            </w:r>
          </w:p>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tcPr>
          <w:p w:rsidR="004D6F0E" w:rsidRDefault="00490F21">
            <w:pPr>
              <w:spacing w:after="0" w:line="259" w:lineRule="auto"/>
              <w:ind w:left="487" w:firstLine="0"/>
            </w:pPr>
            <w:r>
              <w:rPr>
                <w:rFonts w:ascii="Arial" w:eastAsia="Arial" w:hAnsi="Arial" w:cs="Arial"/>
                <w:sz w:val="18"/>
              </w:rPr>
              <w:t xml:space="preserve">4,000,000 </w:t>
            </w:r>
          </w:p>
          <w:p w:rsidR="004D6F0E" w:rsidRDefault="00490F21">
            <w:pPr>
              <w:spacing w:after="9" w:line="259" w:lineRule="auto"/>
              <w:ind w:left="334" w:firstLine="0"/>
            </w:pPr>
            <w:r>
              <w:rPr>
                <w:sz w:val="18"/>
              </w:rPr>
              <w:t>波蘭茲羅提</w:t>
            </w:r>
            <w:r>
              <w:rPr>
                <w:rFonts w:ascii="Arial" w:eastAsia="Arial" w:hAnsi="Arial" w:cs="Arial"/>
                <w:sz w:val="18"/>
              </w:rPr>
              <w:t xml:space="preserve">*** </w:t>
            </w:r>
          </w:p>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vAlign w:val="bottom"/>
          </w:tcPr>
          <w:p w:rsidR="004D6F0E" w:rsidRDefault="00490F21">
            <w:pPr>
              <w:spacing w:after="112"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212" w:firstLine="0"/>
              <w:jc w:val="center"/>
            </w:pPr>
            <w:r>
              <w:rPr>
                <w:rFonts w:ascii="Arial" w:eastAsia="Arial" w:hAnsi="Arial" w:cs="Arial"/>
                <w:sz w:val="18"/>
              </w:rPr>
              <w:t xml:space="preserve"> </w:t>
            </w:r>
          </w:p>
        </w:tc>
        <w:tc>
          <w:tcPr>
            <w:tcW w:w="1536" w:type="dxa"/>
            <w:tcBorders>
              <w:top w:val="nil"/>
              <w:left w:val="nil"/>
              <w:bottom w:val="nil"/>
              <w:right w:val="nil"/>
            </w:tcBorders>
            <w:vAlign w:val="bottom"/>
          </w:tcPr>
          <w:p w:rsidR="004D6F0E" w:rsidRDefault="00490F21">
            <w:pPr>
              <w:spacing w:after="112"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448" w:type="dxa"/>
            <w:tcBorders>
              <w:top w:val="nil"/>
              <w:left w:val="nil"/>
              <w:bottom w:val="nil"/>
              <w:right w:val="nil"/>
            </w:tcBorders>
            <w:shd w:val="clear" w:color="auto" w:fill="D9D9D9"/>
          </w:tcPr>
          <w:p w:rsidR="004D6F0E" w:rsidRDefault="00490F21">
            <w:pPr>
              <w:tabs>
                <w:tab w:val="center" w:pos="2232"/>
              </w:tabs>
              <w:spacing w:after="0" w:line="259" w:lineRule="auto"/>
              <w:ind w:left="0" w:firstLine="0"/>
            </w:pPr>
            <w:r>
              <w:rPr>
                <w:rFonts w:ascii="Arial" w:eastAsia="Arial" w:hAnsi="Arial" w:cs="Arial"/>
                <w:sz w:val="2"/>
              </w:rPr>
              <w:t xml:space="preserve">B </w:t>
            </w:r>
            <w:r>
              <w:rPr>
                <w:sz w:val="18"/>
              </w:rPr>
              <w:t>捷克克朗對沖股份類別</w:t>
            </w:r>
            <w:r>
              <w:rPr>
                <w:rFonts w:ascii="Arial" w:eastAsia="Arial" w:hAnsi="Arial" w:cs="Arial"/>
                <w:sz w:val="18"/>
              </w:rPr>
              <w:t xml:space="preserve"> </w:t>
            </w:r>
            <w:r>
              <w:rPr>
                <w:rFonts w:ascii="Arial" w:eastAsia="Arial" w:hAnsi="Arial" w:cs="Arial"/>
                <w:sz w:val="18"/>
              </w:rPr>
              <w:tab/>
              <w:t xml:space="preserve"> </w:t>
            </w:r>
          </w:p>
        </w:tc>
        <w:tc>
          <w:tcPr>
            <w:tcW w:w="1476" w:type="dxa"/>
            <w:tcBorders>
              <w:top w:val="nil"/>
              <w:left w:val="nil"/>
              <w:bottom w:val="nil"/>
              <w:right w:val="nil"/>
            </w:tcBorders>
            <w:shd w:val="clear" w:color="auto" w:fill="D9D9D9"/>
          </w:tcPr>
          <w:p w:rsidR="004D6F0E" w:rsidRDefault="00490F21">
            <w:pPr>
              <w:spacing w:after="0" w:line="259" w:lineRule="auto"/>
              <w:ind w:left="0" w:right="77" w:firstLine="0"/>
              <w:jc w:val="right"/>
            </w:pPr>
            <w:r>
              <w:rPr>
                <w:rFonts w:ascii="Arial" w:eastAsia="Arial" w:hAnsi="Arial" w:cs="Arial"/>
                <w:sz w:val="18"/>
              </w:rPr>
              <w:t xml:space="preserve"> </w:t>
            </w:r>
          </w:p>
        </w:tc>
        <w:tc>
          <w:tcPr>
            <w:tcW w:w="2177" w:type="dxa"/>
            <w:tcBorders>
              <w:top w:val="nil"/>
              <w:left w:val="nil"/>
              <w:bottom w:val="nil"/>
              <w:right w:val="nil"/>
            </w:tcBorders>
            <w:shd w:val="clear" w:color="auto" w:fill="D9D9D9"/>
          </w:tcPr>
          <w:p w:rsidR="004D6F0E" w:rsidRDefault="00490F21">
            <w:pPr>
              <w:spacing w:after="0" w:line="259" w:lineRule="auto"/>
              <w:ind w:left="0" w:right="-9" w:firstLine="0"/>
              <w:jc w:val="right"/>
            </w:pPr>
            <w:r>
              <w:rPr>
                <w:rFonts w:ascii="Arial" w:eastAsia="Arial" w:hAnsi="Arial" w:cs="Arial"/>
                <w:sz w:val="18"/>
              </w:rPr>
              <w:t xml:space="preserve"> </w:t>
            </w:r>
          </w:p>
        </w:tc>
        <w:tc>
          <w:tcPr>
            <w:tcW w:w="2170" w:type="dxa"/>
            <w:tcBorders>
              <w:top w:val="nil"/>
              <w:left w:val="nil"/>
              <w:bottom w:val="nil"/>
              <w:right w:val="nil"/>
            </w:tcBorders>
            <w:shd w:val="clear" w:color="auto" w:fill="D9D9D9"/>
          </w:tcPr>
          <w:p w:rsidR="004D6F0E" w:rsidRDefault="00490F21">
            <w:pPr>
              <w:spacing w:after="0" w:line="259" w:lineRule="auto"/>
              <w:ind w:left="1212"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43" w:firstLine="0"/>
              <w:jc w:val="center"/>
            </w:pPr>
            <w:r>
              <w:rPr>
                <w:rFonts w:ascii="Arial" w:eastAsia="Arial" w:hAnsi="Arial" w:cs="Arial"/>
                <w:sz w:val="18"/>
              </w:rPr>
              <w:t xml:space="preserve"> </w:t>
            </w:r>
          </w:p>
        </w:tc>
        <w:tc>
          <w:tcPr>
            <w:tcW w:w="1251" w:type="dxa"/>
            <w:tcBorders>
              <w:top w:val="nil"/>
              <w:left w:val="nil"/>
              <w:bottom w:val="nil"/>
              <w:right w:val="nil"/>
            </w:tcBorders>
            <w:shd w:val="clear" w:color="auto" w:fill="D9D9D9"/>
          </w:tcPr>
          <w:p w:rsidR="004D6F0E" w:rsidRDefault="004D6F0E">
            <w:pPr>
              <w:spacing w:after="160" w:line="259" w:lineRule="auto"/>
              <w:ind w:left="0" w:firstLine="0"/>
            </w:pPr>
          </w:p>
        </w:tc>
      </w:tr>
    </w:tbl>
    <w:tbl>
      <w:tblPr>
        <w:tblStyle w:val="TableGrid"/>
        <w:tblpPr w:vertAnchor="text" w:tblpX="115" w:tblpY="-455"/>
        <w:tblOverlap w:val="never"/>
        <w:tblW w:w="10252" w:type="dxa"/>
        <w:tblInd w:w="0" w:type="dxa"/>
        <w:tblCellMar>
          <w:top w:w="1" w:type="dxa"/>
          <w:left w:w="0" w:type="dxa"/>
          <w:bottom w:w="0" w:type="dxa"/>
          <w:right w:w="0" w:type="dxa"/>
        </w:tblCellMar>
        <w:tblLook w:val="04A0" w:firstRow="1" w:lastRow="0" w:firstColumn="1" w:lastColumn="0" w:noHBand="0" w:noVBand="1"/>
      </w:tblPr>
      <w:tblGrid>
        <w:gridCol w:w="2424"/>
        <w:gridCol w:w="1577"/>
        <w:gridCol w:w="1944"/>
        <w:gridCol w:w="1982"/>
        <w:gridCol w:w="1764"/>
        <w:gridCol w:w="561"/>
      </w:tblGrid>
      <w:tr w:rsidR="004D6F0E">
        <w:trPr>
          <w:trHeight w:val="214"/>
        </w:trPr>
        <w:tc>
          <w:tcPr>
            <w:tcW w:w="24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tc>
        <w:tc>
          <w:tcPr>
            <w:tcW w:w="1577" w:type="dxa"/>
            <w:tcBorders>
              <w:top w:val="nil"/>
              <w:left w:val="nil"/>
              <w:bottom w:val="nil"/>
              <w:right w:val="nil"/>
            </w:tcBorders>
          </w:tcPr>
          <w:p w:rsidR="004D6F0E" w:rsidRDefault="00490F21">
            <w:pPr>
              <w:spacing w:after="0" w:line="259" w:lineRule="auto"/>
              <w:ind w:left="0" w:firstLine="0"/>
            </w:pPr>
            <w:r>
              <w:rPr>
                <w:sz w:val="18"/>
              </w:rPr>
              <w:t>捷克克朗</w:t>
            </w: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0" w:line="259" w:lineRule="auto"/>
              <w:ind w:left="38" w:firstLine="0"/>
            </w:pPr>
            <w:r>
              <w:rPr>
                <w:rFonts w:ascii="Arial" w:eastAsia="Arial" w:hAnsi="Arial" w:cs="Arial"/>
                <w:sz w:val="18"/>
              </w:rPr>
              <w:t xml:space="preserve">50,000 </w:t>
            </w:r>
            <w:r>
              <w:rPr>
                <w:sz w:val="18"/>
              </w:rPr>
              <w:t>捷克克朗</w:t>
            </w:r>
            <w:r>
              <w:rPr>
                <w:rFonts w:ascii="Arial" w:eastAsia="Arial" w:hAnsi="Arial" w:cs="Arial"/>
                <w:sz w:val="18"/>
              </w:rPr>
              <w:t xml:space="preserve"> </w:t>
            </w:r>
          </w:p>
        </w:tc>
        <w:tc>
          <w:tcPr>
            <w:tcW w:w="1982" w:type="dxa"/>
            <w:tcBorders>
              <w:top w:val="nil"/>
              <w:left w:val="nil"/>
              <w:bottom w:val="nil"/>
              <w:right w:val="nil"/>
            </w:tcBorders>
          </w:tcPr>
          <w:p w:rsidR="004D6F0E" w:rsidRDefault="00490F21">
            <w:pPr>
              <w:spacing w:after="0" w:line="259" w:lineRule="auto"/>
              <w:ind w:left="79" w:firstLine="0"/>
            </w:pPr>
            <w:r>
              <w:rPr>
                <w:rFonts w:ascii="Arial" w:eastAsia="Arial" w:hAnsi="Arial" w:cs="Arial"/>
                <w:sz w:val="18"/>
              </w:rPr>
              <w:t xml:space="preserve">20,000 </w:t>
            </w:r>
            <w:r>
              <w:rPr>
                <w:sz w:val="18"/>
              </w:rPr>
              <w:t>捷克克朗</w:t>
            </w:r>
            <w:r>
              <w:rPr>
                <w:rFonts w:ascii="Arial" w:eastAsia="Arial" w:hAnsi="Arial" w:cs="Arial"/>
                <w:sz w:val="18"/>
              </w:rPr>
              <w:t xml:space="preserve"> </w:t>
            </w:r>
          </w:p>
        </w:tc>
        <w:tc>
          <w:tcPr>
            <w:tcW w:w="1764" w:type="dxa"/>
            <w:tcBorders>
              <w:top w:val="nil"/>
              <w:left w:val="nil"/>
              <w:bottom w:val="nil"/>
              <w:right w:val="nil"/>
            </w:tcBorders>
          </w:tcPr>
          <w:p w:rsidR="004D6F0E" w:rsidRDefault="00490F21">
            <w:pPr>
              <w:spacing w:after="0" w:line="259" w:lineRule="auto"/>
              <w:ind w:left="228"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408"/>
        </w:trPr>
        <w:tc>
          <w:tcPr>
            <w:tcW w:w="242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tc>
        <w:tc>
          <w:tcPr>
            <w:tcW w:w="1577" w:type="dxa"/>
            <w:tcBorders>
              <w:top w:val="nil"/>
              <w:left w:val="nil"/>
              <w:bottom w:val="nil"/>
              <w:right w:val="nil"/>
            </w:tcBorders>
            <w:vAlign w:val="center"/>
          </w:tcPr>
          <w:p w:rsidR="004D6F0E" w:rsidRDefault="00490F21">
            <w:pPr>
              <w:spacing w:after="0" w:line="259" w:lineRule="auto"/>
              <w:ind w:left="0" w:firstLine="0"/>
            </w:pPr>
            <w:r>
              <w:rPr>
                <w:sz w:val="18"/>
              </w:rPr>
              <w:t>捷克克朗</w:t>
            </w: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25,000,000 </w:t>
            </w:r>
          </w:p>
          <w:p w:rsidR="004D6F0E" w:rsidRDefault="00490F21">
            <w:pPr>
              <w:spacing w:after="0" w:line="259" w:lineRule="auto"/>
              <w:ind w:left="230" w:firstLine="0"/>
            </w:pPr>
            <w:r>
              <w:rPr>
                <w:sz w:val="18"/>
              </w:rPr>
              <w:t>捷克克朗</w:t>
            </w:r>
          </w:p>
        </w:tc>
        <w:tc>
          <w:tcPr>
            <w:tcW w:w="1982" w:type="dxa"/>
            <w:tcBorders>
              <w:top w:val="nil"/>
              <w:left w:val="nil"/>
              <w:bottom w:val="nil"/>
              <w:right w:val="nil"/>
            </w:tcBorders>
            <w:vAlign w:val="center"/>
          </w:tcPr>
          <w:p w:rsidR="004D6F0E" w:rsidRDefault="00490F21">
            <w:pPr>
              <w:spacing w:after="0" w:line="259" w:lineRule="auto"/>
              <w:ind w:left="648" w:firstLine="0"/>
            </w:pPr>
            <w:r>
              <w:rPr>
                <w:sz w:val="18"/>
              </w:rPr>
              <w:t>無</w:t>
            </w:r>
            <w:r>
              <w:rPr>
                <w:rFonts w:ascii="Arial" w:eastAsia="Arial" w:hAnsi="Arial" w:cs="Arial"/>
                <w:sz w:val="18"/>
              </w:rPr>
              <w:t xml:space="preserve"> </w:t>
            </w:r>
          </w:p>
        </w:tc>
        <w:tc>
          <w:tcPr>
            <w:tcW w:w="1764" w:type="dxa"/>
            <w:tcBorders>
              <w:top w:val="nil"/>
              <w:left w:val="nil"/>
              <w:bottom w:val="nil"/>
              <w:right w:val="nil"/>
            </w:tcBorders>
            <w:vAlign w:val="center"/>
          </w:tcPr>
          <w:p w:rsidR="004D6F0E" w:rsidRDefault="00490F21">
            <w:pPr>
              <w:spacing w:after="0" w:line="259" w:lineRule="auto"/>
              <w:ind w:left="228"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bl>
    <w:p w:rsidR="004D6F0E" w:rsidRDefault="00490F21">
      <w:pPr>
        <w:spacing w:line="259" w:lineRule="auto"/>
        <w:ind w:left="4437" w:right="5033" w:hanging="10"/>
        <w:jc w:val="center"/>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tabs>
          <w:tab w:val="center" w:pos="5621"/>
        </w:tabs>
        <w:ind w:left="-13" w:firstLine="0"/>
      </w:pPr>
      <w:r>
        <w:rPr>
          <w:rFonts w:ascii="Arial" w:eastAsia="Arial" w:hAnsi="Arial" w:cs="Arial"/>
          <w:sz w:val="16"/>
        </w:rPr>
        <w:t xml:space="preserve">* </w:t>
      </w:r>
      <w:r>
        <w:rPr>
          <w:sz w:val="16"/>
        </w:rPr>
        <w:t>並不表示此等發售貨幣在股份類別級進行對沖。</w:t>
      </w:r>
      <w:r>
        <w:rPr>
          <w:rFonts w:ascii="Arial" w:eastAsia="Arial" w:hAnsi="Arial" w:cs="Arial"/>
          <w:sz w:val="16"/>
        </w:rPr>
        <w:t xml:space="preserve">  </w:t>
      </w:r>
      <w:r>
        <w:rPr>
          <w:rFonts w:ascii="Arial" w:eastAsia="Arial" w:hAnsi="Arial" w:cs="Arial"/>
          <w:sz w:val="16"/>
        </w:rPr>
        <w:tab/>
        <w:t xml:space="preserve">*** </w:t>
      </w:r>
      <w:r>
        <w:rPr>
          <w:sz w:val="16"/>
        </w:rPr>
        <w:t>可由管理公司全權酌情豁免。</w:t>
      </w:r>
      <w:r>
        <w:rPr>
          <w:rFonts w:ascii="Arial" w:eastAsia="Arial" w:hAnsi="Arial" w:cs="Arial"/>
          <w:sz w:val="16"/>
        </w:rPr>
        <w:t xml:space="preserve"> </w:t>
      </w:r>
    </w:p>
    <w:p w:rsidR="004D6F0E" w:rsidRDefault="00490F21">
      <w:pPr>
        <w:tabs>
          <w:tab w:val="center" w:pos="3375"/>
          <w:tab w:val="center" w:pos="3857"/>
          <w:tab w:val="center" w:pos="5700"/>
        </w:tabs>
        <w:ind w:left="-13" w:firstLine="0"/>
      </w:pP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r>
        <w:rPr>
          <w:rFonts w:ascii="Arial" w:eastAsia="Arial" w:hAnsi="Arial" w:cs="Arial"/>
          <w:sz w:val="16"/>
        </w:rPr>
        <w:tab/>
        <w:t xml:space="preserve">**** </w:t>
      </w:r>
      <w:r>
        <w:rPr>
          <w:sz w:val="16"/>
        </w:rPr>
        <w:t>各基金按季繳付的盧森堡年稅。</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6"/>
        </w:rPr>
        <w:t xml:space="preserve"> </w:t>
      </w:r>
      <w:r>
        <w:rPr>
          <w:rFonts w:ascii="Arial" w:eastAsia="Arial" w:hAnsi="Arial" w:cs="Arial"/>
          <w:sz w:val="16"/>
        </w:rPr>
        <w:tab/>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spacing w:after="6806" w:line="259" w:lineRule="auto"/>
        <w:ind w:left="617" w:firstLine="0"/>
        <w:jc w:val="center"/>
      </w:pPr>
      <w:r>
        <w:rPr>
          <w:rFonts w:ascii="Arial" w:eastAsia="Arial" w:hAnsi="Arial" w:cs="Arial"/>
          <w:sz w:val="16"/>
        </w:rPr>
        <w:t xml:space="preserve"> </w:t>
      </w:r>
    </w:p>
    <w:p w:rsidR="004D6F0E" w:rsidRDefault="00490F21">
      <w:pPr>
        <w:spacing w:after="3" w:line="259" w:lineRule="auto"/>
        <w:ind w:right="152" w:hanging="10"/>
        <w:jc w:val="center"/>
      </w:pPr>
      <w:r>
        <w:rPr>
          <w:rFonts w:ascii="Times New Roman" w:eastAsia="Times New Roman" w:hAnsi="Times New Roman" w:cs="Times New Roman"/>
          <w:sz w:val="20"/>
        </w:rPr>
        <w:lastRenderedPageBreak/>
        <w:t xml:space="preserve">I-55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D6F0E">
      <w:pPr>
        <w:sectPr w:rsidR="004D6F0E">
          <w:headerReference w:type="even" r:id="rId161"/>
          <w:headerReference w:type="default" r:id="rId162"/>
          <w:footerReference w:type="even" r:id="rId163"/>
          <w:footerReference w:type="default" r:id="rId164"/>
          <w:headerReference w:type="first" r:id="rId165"/>
          <w:footerReference w:type="first" r:id="rId166"/>
          <w:pgSz w:w="12240" w:h="15840"/>
          <w:pgMar w:top="759" w:right="572" w:bottom="4" w:left="720" w:header="746" w:footer="720" w:gutter="0"/>
          <w:cols w:space="720"/>
          <w:titlePg/>
        </w:sectPr>
      </w:pPr>
    </w:p>
    <w:p w:rsidR="004D6F0E" w:rsidRDefault="00490F21">
      <w:pPr>
        <w:spacing w:after="27" w:line="259" w:lineRule="auto"/>
        <w:ind w:left="19" w:firstLine="0"/>
      </w:pPr>
      <w:r>
        <w:rPr>
          <w:rFonts w:ascii="Times New Roman" w:eastAsia="Times New Roman" w:hAnsi="Times New Roman" w:cs="Times New Roman"/>
        </w:rPr>
        <w:t xml:space="preserve"> </w:t>
      </w:r>
    </w:p>
    <w:p w:rsidR="004D6F0E" w:rsidRDefault="00490F21">
      <w:pPr>
        <w:pStyle w:val="Heading3"/>
        <w:spacing w:after="102"/>
        <w:ind w:left="14"/>
      </w:pPr>
      <w:r>
        <w:t>其他基金資料</w:t>
      </w:r>
      <w:r>
        <w:rPr>
          <w:rFonts w:ascii="Arial" w:eastAsia="Arial" w:hAnsi="Arial" w:cs="Arial"/>
        </w:rPr>
        <w:t xml:space="preserve"> </w:t>
      </w:r>
    </w:p>
    <w:p w:rsidR="004D6F0E" w:rsidRDefault="00490F21">
      <w:pPr>
        <w:spacing w:after="123"/>
        <w:ind w:left="11" w:right="2"/>
      </w:pPr>
      <w:r>
        <w:t>主要投資類別</w:t>
      </w:r>
      <w:r>
        <w:rPr>
          <w:rFonts w:ascii="Arial" w:eastAsia="Arial" w:hAnsi="Arial" w:cs="Arial"/>
          <w:b/>
        </w:rPr>
        <w:t xml:space="preserve"> </w:t>
      </w:r>
    </w:p>
    <w:p w:rsidR="004D6F0E" w:rsidRDefault="00490F21">
      <w:pPr>
        <w:spacing w:after="128"/>
        <w:ind w:left="11" w:right="254"/>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128"/>
        <w:ind w:left="11" w:right="2"/>
      </w:pPr>
      <w:r>
        <w:t>風險資料</w:t>
      </w:r>
      <w:r>
        <w:rPr>
          <w:rFonts w:ascii="Arial" w:eastAsia="Arial" w:hAnsi="Arial" w:cs="Arial"/>
          <w:b/>
        </w:rPr>
        <w:t xml:space="preserve"> </w:t>
      </w:r>
    </w:p>
    <w:p w:rsidR="004D6F0E" w:rsidRDefault="00490F21">
      <w:pPr>
        <w:spacing w:after="70"/>
        <w:ind w:left="11" w:right="2"/>
      </w:pPr>
      <w:r>
        <w:t>本基金擬使用金融衍生工具。第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r>
        <w:rPr>
          <w:rFonts w:ascii="Arial" w:eastAsia="Arial" w:hAnsi="Arial" w:cs="Arial"/>
        </w:rPr>
        <w:t xml:space="preserve">(13) </w:t>
      </w:r>
      <w:r>
        <w:t>項投資限制不適用於本基金。本基金另將使用風險值</w:t>
      </w:r>
      <w:r>
        <w:rPr>
          <w:rFonts w:ascii="Arial" w:eastAsia="Arial" w:hAnsi="Arial" w:cs="Arial"/>
        </w:rPr>
        <w:t>(VaR)</w:t>
      </w:r>
      <w:r>
        <w:t>方法。有關</w:t>
      </w:r>
      <w:r>
        <w:t xml:space="preserve"> </w:t>
      </w:r>
      <w:r>
        <w:rPr>
          <w:rFonts w:ascii="Arial" w:eastAsia="Arial" w:hAnsi="Arial" w:cs="Arial"/>
        </w:rPr>
        <w:t xml:space="preserve">VaR </w:t>
      </w:r>
      <w:r>
        <w:t>方法的進一步詳情，請參閱「附錄</w:t>
      </w:r>
      <w:r>
        <w:t xml:space="preserve"> </w:t>
      </w:r>
      <w:r>
        <w:rPr>
          <w:rFonts w:ascii="Arial" w:eastAsia="Arial" w:hAnsi="Arial" w:cs="Arial"/>
        </w:rPr>
        <w:t>C</w:t>
      </w:r>
      <w:r>
        <w:t>：有關金融衍生工具、金融技術及工具以及抵押品管理的額外資料」。</w:t>
      </w:r>
      <w:r>
        <w:rPr>
          <w:rFonts w:ascii="Arial" w:eastAsia="Arial" w:hAnsi="Arial" w:cs="Arial"/>
          <w:sz w:val="24"/>
        </w:rPr>
        <w:t xml:space="preserve"> </w:t>
      </w:r>
    </w:p>
    <w:p w:rsidR="004D6F0E" w:rsidRDefault="00490F21">
      <w:pPr>
        <w:spacing w:after="122"/>
        <w:ind w:left="11" w:right="2"/>
      </w:pPr>
      <w:r>
        <w:t>本基金將投資的固定收益證券須承受發售此等證券的私營及公營機構的信用風險，且其市場價值會受利率變動影響。由於本基金所投資的固定收益證券可能是低於投資級別的證券，本基金涉及的此類風險高於純粹投資於投資級別或具同等質素固定收益證券的基金。低於投資級別的證券所涉及的本息損失風險亦較大，其流動性普遍較差且價值波動較大。本基金不能保證會作出任何分派，而且本基金並無特定償還期。</w:t>
      </w:r>
      <w:r>
        <w:rPr>
          <w:rFonts w:ascii="Arial" w:eastAsia="Arial" w:hAnsi="Arial" w:cs="Arial"/>
        </w:rPr>
        <w:t xml:space="preserve"> </w:t>
      </w:r>
    </w:p>
    <w:p w:rsidR="004D6F0E" w:rsidRDefault="00490F21">
      <w:pPr>
        <w:ind w:left="11" w:right="2"/>
      </w:pPr>
      <w:r>
        <w:t>本基金須承受市場、利率及貨幣波動及證券投資固有的其他風險。因此，不能保證投資目標將獲達致、投資資本將得以保全或資本得以增值。每月、每季或每年的投資業績均可能出現重大變化。</w:t>
      </w:r>
    </w:p>
    <w:p w:rsidR="004D6F0E" w:rsidRDefault="00490F21">
      <w:pPr>
        <w:spacing w:after="72"/>
        <w:ind w:left="11" w:right="2"/>
      </w:pPr>
      <w:r>
        <w:t>本基金內的投資並非代表完整的投資計劃。</w:t>
      </w:r>
      <w:r>
        <w:rPr>
          <w:rFonts w:ascii="Arial" w:eastAsia="Arial" w:hAnsi="Arial" w:cs="Arial"/>
          <w:sz w:val="24"/>
        </w:rPr>
        <w:t xml:space="preserve"> </w:t>
      </w:r>
    </w:p>
    <w:p w:rsidR="004D6F0E" w:rsidRDefault="00490F21">
      <w:pPr>
        <w:spacing w:after="128"/>
        <w:ind w:left="11" w:right="2"/>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123"/>
        <w:ind w:left="11" w:right="2"/>
      </w:pPr>
      <w:r>
        <w:t>典型投資者的資料</w:t>
      </w:r>
      <w:r>
        <w:rPr>
          <w:rFonts w:ascii="Arial" w:eastAsia="Arial" w:hAnsi="Arial" w:cs="Arial"/>
          <w:b/>
        </w:rPr>
        <w:t xml:space="preserve"> </w:t>
      </w:r>
    </w:p>
    <w:p w:rsidR="004D6F0E" w:rsidRDefault="00490F21">
      <w:pPr>
        <w:spacing w:after="77"/>
        <w:ind w:left="11" w:right="2"/>
      </w:pPr>
      <w:r>
        <w:t>本基金適合尋求固定收益投資潛在收入且能承受較高風險的投資者。有關本基金的股份是否適合其投資需要，投資者敬請諮詢其獨立財務顧問。</w:t>
      </w:r>
      <w:r>
        <w:rPr>
          <w:rFonts w:ascii="Arial" w:eastAsia="Arial" w:hAnsi="Arial" w:cs="Arial"/>
          <w:sz w:val="24"/>
        </w:rPr>
        <w:t xml:space="preserve"> </w:t>
      </w:r>
    </w:p>
    <w:p w:rsidR="004D6F0E" w:rsidRDefault="00490F21">
      <w:pPr>
        <w:spacing w:after="129"/>
        <w:ind w:left="11" w:right="2"/>
      </w:pPr>
      <w:r>
        <w:t>派息</w:t>
      </w:r>
      <w:r>
        <w:rPr>
          <w:rFonts w:ascii="Arial" w:eastAsia="Arial" w:hAnsi="Arial" w:cs="Arial"/>
          <w:b/>
        </w:rPr>
        <w:t xml:space="preserve"> </w:t>
      </w:r>
    </w:p>
    <w:p w:rsidR="004D6F0E" w:rsidRDefault="00490F21">
      <w:pPr>
        <w:spacing w:after="83"/>
        <w:ind w:left="11" w:right="2"/>
      </w:pPr>
      <w:r>
        <w:t>就</w:t>
      </w:r>
      <w:r>
        <w:t xml:space="preserve"> </w:t>
      </w:r>
      <w:r>
        <w:rPr>
          <w:rFonts w:ascii="Arial" w:eastAsia="Arial" w:hAnsi="Arial" w:cs="Arial"/>
        </w:rPr>
        <w:t>A</w:t>
      </w:r>
      <w:r>
        <w:t>、</w:t>
      </w:r>
      <w:r>
        <w:rPr>
          <w:rFonts w:ascii="Arial" w:eastAsia="Arial" w:hAnsi="Arial" w:cs="Arial"/>
        </w:rPr>
        <w:t>B</w:t>
      </w:r>
      <w:r>
        <w:t>、</w:t>
      </w:r>
      <w:r>
        <w:rPr>
          <w:rFonts w:ascii="Arial" w:eastAsia="Arial" w:hAnsi="Arial" w:cs="Arial"/>
        </w:rPr>
        <w:t>C</w:t>
      </w:r>
      <w:r>
        <w:t>、</w:t>
      </w:r>
      <w:r>
        <w:rPr>
          <w:rFonts w:ascii="Arial" w:eastAsia="Arial" w:hAnsi="Arial" w:cs="Arial"/>
        </w:rPr>
        <w:t>I</w:t>
      </w:r>
      <w:r>
        <w:t>、</w:t>
      </w:r>
      <w:r>
        <w:rPr>
          <w:rFonts w:ascii="Arial" w:eastAsia="Arial" w:hAnsi="Arial" w:cs="Arial"/>
        </w:rPr>
        <w:t>JA</w:t>
      </w:r>
      <w:r>
        <w:t>、</w:t>
      </w:r>
      <w:r>
        <w:rPr>
          <w:rFonts w:ascii="Arial" w:eastAsia="Arial" w:hAnsi="Arial" w:cs="Arial"/>
        </w:rPr>
        <w:t xml:space="preserve">J </w:t>
      </w:r>
      <w:r>
        <w:t>及</w:t>
      </w:r>
      <w:r>
        <w:t xml:space="preserve"> </w:t>
      </w:r>
      <w:r>
        <w:rPr>
          <w:rFonts w:ascii="Arial" w:eastAsia="Arial" w:hAnsi="Arial" w:cs="Arial"/>
        </w:rPr>
        <w:t xml:space="preserve">W </w:t>
      </w:r>
      <w:r>
        <w:t>類股份（及相應</w:t>
      </w:r>
      <w:r>
        <w:t xml:space="preserve"> </w:t>
      </w:r>
      <w:r>
        <w:rPr>
          <w:rFonts w:ascii="Arial" w:eastAsia="Arial" w:hAnsi="Arial" w:cs="Arial"/>
        </w:rPr>
        <w:t xml:space="preserve">H </w:t>
      </w:r>
      <w:r>
        <w:t>類股份）而言，管理公司擬按日宣派並按月派付股息，股息數額等於各類股份應佔本基金淨收入的全部或絕大部分。</w:t>
      </w:r>
      <w:r>
        <w:rPr>
          <w:rFonts w:ascii="Arial" w:eastAsia="Arial" w:hAnsi="Arial" w:cs="Arial"/>
          <w:sz w:val="24"/>
        </w:rPr>
        <w:t xml:space="preserve"> </w:t>
      </w:r>
    </w:p>
    <w:p w:rsidR="004D6F0E" w:rsidRDefault="00490F21">
      <w:pPr>
        <w:spacing w:after="76" w:line="273" w:lineRule="auto"/>
        <w:ind w:left="14" w:right="443"/>
        <w:jc w:val="both"/>
      </w:pPr>
      <w:r>
        <w:t>就</w:t>
      </w:r>
      <w:r>
        <w:t xml:space="preserve"> </w:t>
      </w:r>
      <w:r>
        <w:rPr>
          <w:rFonts w:ascii="Arial" w:eastAsia="Arial" w:hAnsi="Arial" w:cs="Arial"/>
        </w:rPr>
        <w:t>AT</w:t>
      </w:r>
      <w:r>
        <w:t>、</w:t>
      </w:r>
      <w:r>
        <w:rPr>
          <w:rFonts w:ascii="Arial" w:eastAsia="Arial" w:hAnsi="Arial" w:cs="Arial"/>
        </w:rPr>
        <w:t>BT</w:t>
      </w:r>
      <w:r>
        <w:t>、</w:t>
      </w:r>
      <w:r>
        <w:rPr>
          <w:rFonts w:ascii="Arial" w:eastAsia="Arial" w:hAnsi="Arial" w:cs="Arial"/>
        </w:rPr>
        <w:t>CT</w:t>
      </w:r>
      <w:r>
        <w:t>、</w:t>
      </w:r>
      <w:r>
        <w:rPr>
          <w:rFonts w:ascii="Arial" w:eastAsia="Arial" w:hAnsi="Arial" w:cs="Arial"/>
        </w:rPr>
        <w:t>IT</w:t>
      </w:r>
      <w:r>
        <w:t>、</w:t>
      </w:r>
      <w:r>
        <w:rPr>
          <w:rFonts w:ascii="Arial" w:eastAsia="Arial" w:hAnsi="Arial" w:cs="Arial"/>
        </w:rPr>
        <w:t>NT</w:t>
      </w:r>
      <w:r>
        <w:t>、</w:t>
      </w:r>
      <w:r>
        <w:rPr>
          <w:rFonts w:ascii="Arial" w:eastAsia="Arial" w:hAnsi="Arial" w:cs="Arial"/>
        </w:rPr>
        <w:t>S1D</w:t>
      </w:r>
      <w:r>
        <w:t>、</w:t>
      </w:r>
      <w:r>
        <w:rPr>
          <w:rFonts w:ascii="Arial" w:eastAsia="Arial" w:hAnsi="Arial" w:cs="Arial"/>
        </w:rPr>
        <w:t xml:space="preserve">S1D2 </w:t>
      </w:r>
      <w:r>
        <w:t>及</w:t>
      </w:r>
      <w:r>
        <w:t xml:space="preserve"> </w:t>
      </w:r>
      <w:r>
        <w:rPr>
          <w:rFonts w:ascii="Arial" w:eastAsia="Arial" w:hAnsi="Arial" w:cs="Arial"/>
        </w:rPr>
        <w:t xml:space="preserve">WT </w:t>
      </w:r>
      <w:r>
        <w:t>類股份（及相應</w:t>
      </w:r>
      <w:r>
        <w:t xml:space="preserve"> </w:t>
      </w:r>
      <w:r>
        <w:rPr>
          <w:rFonts w:ascii="Arial" w:eastAsia="Arial" w:hAnsi="Arial" w:cs="Arial"/>
        </w:rPr>
        <w:t xml:space="preserve">H </w:t>
      </w:r>
      <w:r>
        <w:t>類股份）而言，管理公司擬按月宣派及派付股息，股息數額等於各類股份應佔本基金淨收入的全部或絕大部分。</w:t>
      </w:r>
      <w:r>
        <w:rPr>
          <w:rFonts w:ascii="Arial" w:eastAsia="Arial" w:hAnsi="Arial" w:cs="Arial"/>
          <w:sz w:val="24"/>
        </w:rPr>
        <w:t xml:space="preserve"> </w:t>
      </w:r>
    </w:p>
    <w:p w:rsidR="004D6F0E" w:rsidRDefault="00490F21">
      <w:pPr>
        <w:ind w:left="11" w:right="2"/>
      </w:pPr>
      <w:r>
        <w:t>就</w:t>
      </w:r>
      <w:r>
        <w:t xml:space="preserve"> </w:t>
      </w:r>
      <w:r>
        <w:rPr>
          <w:rFonts w:ascii="Arial" w:eastAsia="Arial" w:hAnsi="Arial" w:cs="Arial"/>
        </w:rPr>
        <w:t xml:space="preserve">IQD </w:t>
      </w:r>
      <w:r>
        <w:t>及</w:t>
      </w:r>
      <w:r>
        <w:t xml:space="preserve"> </w:t>
      </w:r>
      <w:r>
        <w:rPr>
          <w:rFonts w:ascii="Arial" w:eastAsia="Arial" w:hAnsi="Arial" w:cs="Arial"/>
        </w:rPr>
        <w:t xml:space="preserve">S1QD </w:t>
      </w:r>
      <w:r>
        <w:t>類股份而言，管理公司擬按季宣派並派付股息，股息數額等於該類股份應佔本基金淨收入的全部或絕大部分。就</w:t>
      </w:r>
    </w:p>
    <w:p w:rsidR="004D6F0E" w:rsidRDefault="00490F21">
      <w:pPr>
        <w:spacing w:after="134"/>
        <w:ind w:left="11" w:right="2"/>
      </w:pPr>
      <w:r>
        <w:rPr>
          <w:rFonts w:ascii="Arial" w:eastAsia="Arial" w:hAnsi="Arial" w:cs="Arial"/>
        </w:rPr>
        <w:t xml:space="preserve">SK </w:t>
      </w:r>
      <w:r>
        <w:t>類股份而言，由管理公司酌情宣派和派付。</w:t>
      </w:r>
      <w:r>
        <w:rPr>
          <w:rFonts w:ascii="Arial" w:eastAsia="Arial" w:hAnsi="Arial" w:cs="Arial"/>
        </w:rPr>
        <w:t xml:space="preserve"> </w:t>
      </w:r>
    </w:p>
    <w:p w:rsidR="004D6F0E" w:rsidRDefault="00490F21">
      <w:pPr>
        <w:spacing w:after="1355"/>
        <w:ind w:left="11" w:right="2"/>
      </w:pPr>
      <w:r>
        <w:t>就</w:t>
      </w:r>
      <w:r>
        <w:t xml:space="preserve"> </w:t>
      </w:r>
      <w:r>
        <w:rPr>
          <w:rFonts w:ascii="Arial" w:eastAsia="Arial" w:hAnsi="Arial" w:cs="Arial"/>
        </w:rPr>
        <w:t xml:space="preserve">AK </w:t>
      </w:r>
      <w:r>
        <w:t>類及</w:t>
      </w:r>
      <w:r>
        <w:t xml:space="preserve"> </w:t>
      </w:r>
      <w:r>
        <w:rPr>
          <w:rFonts w:ascii="Arial" w:eastAsia="Arial" w:hAnsi="Arial" w:cs="Arial"/>
        </w:rPr>
        <w:t xml:space="preserve">CK </w:t>
      </w:r>
      <w:r>
        <w:t>類</w:t>
      </w:r>
      <w:r>
        <w:t>股份（及相應</w:t>
      </w:r>
      <w:r>
        <w:t xml:space="preserve"> </w:t>
      </w:r>
      <w:r>
        <w:rPr>
          <w:rFonts w:ascii="Arial" w:eastAsia="Arial" w:hAnsi="Arial" w:cs="Arial"/>
        </w:rPr>
        <w:t xml:space="preserve">H </w:t>
      </w:r>
      <w:r>
        <w:t>類股份）而言，管理公司擬每年兩次宣派及派付股息，股息數額等於相關類別股份應佔本基金淨收入的全部或絕大部分。</w:t>
      </w:r>
      <w:r>
        <w:rPr>
          <w:rFonts w:ascii="Arial" w:eastAsia="Arial" w:hAnsi="Arial" w:cs="Arial"/>
        </w:rPr>
        <w:t xml:space="preserve"> </w:t>
      </w:r>
    </w:p>
    <w:p w:rsidR="004D6F0E" w:rsidRDefault="00490F21">
      <w:pPr>
        <w:spacing w:after="0" w:line="259" w:lineRule="auto"/>
        <w:ind w:left="0" w:right="170" w:firstLine="0"/>
        <w:jc w:val="right"/>
      </w:pPr>
      <w:r>
        <w:rPr>
          <w:rFonts w:ascii="Times New Roman" w:eastAsia="Times New Roman" w:hAnsi="Times New Roman" w:cs="Times New Roman"/>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I-56 </w:t>
      </w:r>
    </w:p>
    <w:p w:rsidR="004D6F0E" w:rsidRDefault="00490F21">
      <w:pPr>
        <w:spacing w:after="0" w:line="259" w:lineRule="auto"/>
        <w:ind w:left="19" w:firstLine="0"/>
      </w:pPr>
      <w:r>
        <w:rPr>
          <w:rFonts w:ascii="Arial" w:eastAsia="Arial" w:hAnsi="Arial" w:cs="Arial"/>
          <w:sz w:val="12"/>
        </w:rPr>
        <w:t xml:space="preserve"> </w:t>
      </w:r>
    </w:p>
    <w:p w:rsidR="004D6F0E" w:rsidRDefault="00490F21">
      <w:pPr>
        <w:spacing w:after="0" w:line="259" w:lineRule="auto"/>
        <w:ind w:left="19" w:firstLine="0"/>
      </w:pPr>
      <w:r>
        <w:rPr>
          <w:rFonts w:ascii="Arial" w:eastAsia="Arial" w:hAnsi="Arial" w:cs="Arial"/>
          <w:sz w:val="12"/>
        </w:rPr>
        <w:t xml:space="preserve">   </w:t>
      </w:r>
    </w:p>
    <w:p w:rsidR="004D6F0E" w:rsidRDefault="00490F21">
      <w:pPr>
        <w:spacing w:after="125"/>
        <w:ind w:left="11" w:right="2"/>
      </w:pPr>
      <w:r>
        <w:t>就</w:t>
      </w:r>
      <w:r>
        <w:t xml:space="preserve"> </w:t>
      </w:r>
      <w:r>
        <w:rPr>
          <w:rFonts w:ascii="Arial" w:eastAsia="Arial" w:hAnsi="Arial" w:cs="Arial"/>
        </w:rPr>
        <w:t>AA</w:t>
      </w:r>
      <w:r>
        <w:t>、</w:t>
      </w:r>
      <w:r>
        <w:rPr>
          <w:rFonts w:ascii="Arial" w:eastAsia="Arial" w:hAnsi="Arial" w:cs="Arial"/>
        </w:rPr>
        <w:t>EA</w:t>
      </w:r>
      <w:r>
        <w:t>、</w:t>
      </w:r>
      <w:r>
        <w:rPr>
          <w:rFonts w:ascii="Arial" w:eastAsia="Arial" w:hAnsi="Arial" w:cs="Arial"/>
        </w:rPr>
        <w:t xml:space="preserve">IA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w:t>
      </w:r>
      <w:r>
        <w:rPr>
          <w:rFonts w:ascii="Arial" w:eastAsia="Arial" w:hAnsi="Arial" w:cs="Arial"/>
        </w:rPr>
        <w:t xml:space="preserve"> </w:t>
      </w:r>
    </w:p>
    <w:p w:rsidR="004D6F0E" w:rsidRDefault="00490F21">
      <w:pPr>
        <w:spacing w:after="121"/>
        <w:ind w:left="11" w:right="2"/>
      </w:pPr>
      <w:r>
        <w:t>就</w:t>
      </w:r>
      <w:r>
        <w:t xml:space="preserve"> </w:t>
      </w:r>
      <w:r>
        <w:rPr>
          <w:rFonts w:ascii="Arial" w:eastAsia="Arial" w:hAnsi="Arial" w:cs="Arial"/>
        </w:rPr>
        <w:t xml:space="preserve">AR </w:t>
      </w:r>
      <w:r>
        <w:t>類股份（及相應</w:t>
      </w:r>
      <w:r>
        <w:t xml:space="preserve"> </w:t>
      </w:r>
      <w:r>
        <w:rPr>
          <w:rFonts w:ascii="Arial" w:eastAsia="Arial" w:hAnsi="Arial" w:cs="Arial"/>
        </w:rPr>
        <w:t xml:space="preserve">H </w:t>
      </w:r>
      <w:r>
        <w:t>類股份）而言，管理公司擬按年宣派及派付股息。就</w:t>
      </w:r>
      <w:r>
        <w:t xml:space="preserve"> </w:t>
      </w:r>
      <w:r>
        <w:rPr>
          <w:rFonts w:ascii="Arial" w:eastAsia="Arial" w:hAnsi="Arial" w:cs="Arial"/>
        </w:rPr>
        <w:t xml:space="preserve">SHK </w:t>
      </w:r>
      <w:r>
        <w:t>類股份而言，管理公司擬每日宣派及按月派付股息。派息率將來自未扣除費用及開支前的總收入，派息亦可包括已實現及未實現的收益及有關股份類別應佔的資本。由於費用及開</w:t>
      </w:r>
      <w:r>
        <w:lastRenderedPageBreak/>
        <w:t>支未令派息率降低，故每股有關類別股份的資產淨值將因有關費用及開支</w:t>
      </w:r>
      <w:r>
        <w:rPr>
          <w:sz w:val="18"/>
        </w:rPr>
        <w:t>而降低</w:t>
      </w:r>
      <w:r>
        <w:t>。</w:t>
      </w:r>
      <w:r>
        <w:rPr>
          <w:rFonts w:ascii="Arial" w:eastAsia="Arial" w:hAnsi="Arial" w:cs="Arial"/>
        </w:rPr>
        <w:t xml:space="preserve"> </w:t>
      </w:r>
    </w:p>
    <w:p w:rsidR="004D6F0E" w:rsidRDefault="00490F21">
      <w:pPr>
        <w:spacing w:after="80"/>
        <w:ind w:left="11" w:right="2"/>
      </w:pPr>
      <w:r>
        <w:t>管理公司也可決定支付的股息是否包括或在多大程度上包括已實現資本收益及／或是否或在多大程度上從相關股份類別應佔的資本中支付。倘此等股份應佔的淨收入及淨實現利潤超出應付的已宣派數額，則超出的回報將於此等股份各自的資產淨值中反映。股息可按股東的選擇自動再投資。</w:t>
      </w:r>
      <w:r>
        <w:rPr>
          <w:rFonts w:ascii="Arial" w:eastAsia="Arial" w:hAnsi="Arial" w:cs="Arial"/>
          <w:sz w:val="24"/>
        </w:rPr>
        <w:t xml:space="preserve"> </w:t>
      </w:r>
    </w:p>
    <w:p w:rsidR="004D6F0E" w:rsidRDefault="00490F21">
      <w:pPr>
        <w:spacing w:after="72"/>
        <w:ind w:left="11" w:right="2"/>
      </w:pPr>
      <w:r>
        <w:t>就</w:t>
      </w:r>
      <w:r>
        <w:t xml:space="preserve"> </w:t>
      </w:r>
      <w:r>
        <w:rPr>
          <w:rFonts w:ascii="Arial" w:eastAsia="Arial" w:hAnsi="Arial" w:cs="Arial"/>
        </w:rPr>
        <w:t>A2</w:t>
      </w:r>
      <w:r>
        <w:t>、</w:t>
      </w:r>
      <w:r>
        <w:rPr>
          <w:rFonts w:ascii="Arial" w:eastAsia="Arial" w:hAnsi="Arial" w:cs="Arial"/>
        </w:rPr>
        <w:t>B2</w:t>
      </w:r>
      <w:r>
        <w:t>、</w:t>
      </w:r>
      <w:r>
        <w:rPr>
          <w:rFonts w:ascii="Arial" w:eastAsia="Arial" w:hAnsi="Arial" w:cs="Arial"/>
        </w:rPr>
        <w:t>C2</w:t>
      </w:r>
      <w:r>
        <w:t>、</w:t>
      </w:r>
      <w:r>
        <w:rPr>
          <w:rFonts w:ascii="Arial" w:eastAsia="Arial" w:hAnsi="Arial" w:cs="Arial"/>
        </w:rPr>
        <w:t>I2</w:t>
      </w:r>
      <w:r>
        <w:t>、</w:t>
      </w:r>
      <w:r>
        <w:rPr>
          <w:rFonts w:ascii="Arial" w:eastAsia="Arial" w:hAnsi="Arial" w:cs="Arial"/>
        </w:rPr>
        <w:t>N2</w:t>
      </w:r>
      <w:r>
        <w:t>、</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W2 </w:t>
      </w:r>
      <w:r>
        <w:t>類股份（及相應</w:t>
      </w:r>
      <w:r>
        <w:t xml:space="preserve"> </w:t>
      </w:r>
      <w:r>
        <w:rPr>
          <w:rFonts w:ascii="Arial" w:eastAsia="Arial" w:hAnsi="Arial" w:cs="Arial"/>
        </w:rPr>
        <w:t xml:space="preserve">H </w:t>
      </w:r>
      <w:r>
        <w:t>類股份）而言，管理公司現時無意就此等股份派付股息。因此，股份應佔的任何淨收入及淨實現利潤均將於此等股份各自的資產淨值中反映。</w:t>
      </w:r>
      <w:r>
        <w:rPr>
          <w:rFonts w:ascii="Arial" w:eastAsia="Arial" w:hAnsi="Arial" w:cs="Arial"/>
          <w:sz w:val="24"/>
        </w:rPr>
        <w:t xml:space="preserve"> </w:t>
      </w:r>
    </w:p>
    <w:p w:rsidR="004D6F0E" w:rsidRDefault="00490F21">
      <w:pPr>
        <w:spacing w:after="133"/>
        <w:ind w:left="11" w:right="2"/>
      </w:pPr>
      <w:r>
        <w:t>管理公司、行政管理人、存管人及過戶代理費用</w:t>
      </w:r>
      <w:r>
        <w:rPr>
          <w:rFonts w:ascii="Arial" w:eastAsia="Arial" w:hAnsi="Arial" w:cs="Arial"/>
          <w:b/>
        </w:rPr>
        <w:t xml:space="preserve"> </w:t>
      </w:r>
    </w:p>
    <w:p w:rsidR="004D6F0E" w:rsidRDefault="00490F21">
      <w:pPr>
        <w:spacing w:after="63" w:line="273" w:lineRule="auto"/>
        <w:ind w:left="14" w:right="41"/>
        <w:jc w:val="both"/>
      </w:pPr>
      <w:r>
        <w:t>就除</w:t>
      </w:r>
      <w:r>
        <w:t xml:space="preserve"> </w:t>
      </w:r>
      <w:r>
        <w:rPr>
          <w:rFonts w:ascii="Arial" w:eastAsia="Arial" w:hAnsi="Arial" w:cs="Arial"/>
        </w:rPr>
        <w:t>S</w:t>
      </w:r>
      <w:r>
        <w:t>、</w:t>
      </w:r>
      <w:r>
        <w:rPr>
          <w:rFonts w:ascii="Arial" w:eastAsia="Arial" w:hAnsi="Arial" w:cs="Arial"/>
        </w:rPr>
        <w:t>SK</w:t>
      </w:r>
      <w:r>
        <w:t>、</w:t>
      </w:r>
      <w:r>
        <w:rPr>
          <w:rFonts w:ascii="Arial" w:eastAsia="Arial" w:hAnsi="Arial" w:cs="Arial"/>
        </w:rPr>
        <w:t>SHK</w:t>
      </w:r>
      <w:r>
        <w:t>、</w:t>
      </w:r>
      <w:r>
        <w:rPr>
          <w:rFonts w:ascii="Arial" w:eastAsia="Arial" w:hAnsi="Arial" w:cs="Arial"/>
        </w:rPr>
        <w:t>S1D</w:t>
      </w:r>
      <w:r>
        <w:t>、</w:t>
      </w:r>
      <w:r>
        <w:rPr>
          <w:rFonts w:ascii="Arial" w:eastAsia="Arial" w:hAnsi="Arial" w:cs="Arial"/>
        </w:rPr>
        <w:t>S1D2</w:t>
      </w:r>
      <w:r>
        <w:t>、</w:t>
      </w:r>
      <w:r>
        <w:rPr>
          <w:rFonts w:ascii="Arial" w:eastAsia="Arial" w:hAnsi="Arial" w:cs="Arial"/>
        </w:rPr>
        <w:t>S1QD</w:t>
      </w:r>
      <w:r>
        <w:t>、</w:t>
      </w:r>
      <w:r>
        <w:rPr>
          <w:rFonts w:ascii="Arial" w:eastAsia="Arial" w:hAnsi="Arial" w:cs="Arial"/>
        </w:rPr>
        <w:t xml:space="preserve">S1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0.10%</w:t>
      </w:r>
      <w:r>
        <w:t>。管理公司按</w:t>
      </w:r>
      <w:r>
        <w:t xml:space="preserve"> </w:t>
      </w:r>
      <w:r>
        <w:rPr>
          <w:rFonts w:ascii="Arial" w:eastAsia="Arial" w:hAnsi="Arial" w:cs="Arial"/>
        </w:rPr>
        <w:t>S</w:t>
      </w:r>
      <w:r>
        <w:t>、</w:t>
      </w:r>
      <w:r>
        <w:t xml:space="preserve"> </w:t>
      </w:r>
      <w:r>
        <w:rPr>
          <w:rFonts w:ascii="Arial" w:eastAsia="Arial" w:hAnsi="Arial" w:cs="Arial"/>
        </w:rPr>
        <w:t>SK</w:t>
      </w:r>
      <w:r>
        <w:t>、</w:t>
      </w:r>
      <w:r>
        <w:rPr>
          <w:rFonts w:ascii="Arial" w:eastAsia="Arial" w:hAnsi="Arial" w:cs="Arial"/>
        </w:rPr>
        <w:t>SHK</w:t>
      </w:r>
      <w:r>
        <w:t>、</w:t>
      </w:r>
      <w:r>
        <w:rPr>
          <w:rFonts w:ascii="Arial" w:eastAsia="Arial" w:hAnsi="Arial" w:cs="Arial"/>
        </w:rPr>
        <w:t>S1D</w:t>
      </w:r>
      <w:r>
        <w:t>、</w:t>
      </w:r>
      <w:r>
        <w:rPr>
          <w:rFonts w:ascii="Arial" w:eastAsia="Arial" w:hAnsi="Arial" w:cs="Arial"/>
        </w:rPr>
        <w:t>S1D2</w:t>
      </w:r>
      <w:r>
        <w:t>、</w:t>
      </w:r>
      <w:r>
        <w:rPr>
          <w:rFonts w:ascii="Arial" w:eastAsia="Arial" w:hAnsi="Arial" w:cs="Arial"/>
        </w:rPr>
        <w:t>S1QD</w:t>
      </w:r>
      <w:r>
        <w:t>、</w:t>
      </w:r>
      <w:r>
        <w:rPr>
          <w:rFonts w:ascii="Arial" w:eastAsia="Arial" w:hAnsi="Arial" w:cs="Arial"/>
        </w:rPr>
        <w:t xml:space="preserve">S1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美元或日均資產淨值的</w:t>
      </w:r>
      <w:r>
        <w:t xml:space="preserve"> </w:t>
      </w:r>
      <w:r>
        <w:rPr>
          <w:rFonts w:ascii="Arial" w:eastAsia="Arial" w:hAnsi="Arial" w:cs="Arial"/>
        </w:rPr>
        <w:t>0.01%</w:t>
      </w:r>
      <w:r>
        <w:t>（以較低者為準）。本基金的行政管理人費、存管人費及過戶代理費乃按盧森堡的一般慣例自本基金資產撥付，且不得超過認購章程第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部分「行政管理人、存管人及過戶代理費用」所規定的固定最高金額。此等費用的增減是取決於本基金資產及交易量或其他原因。</w:t>
      </w:r>
      <w:r>
        <w:rPr>
          <w:rFonts w:ascii="Arial" w:eastAsia="Arial" w:hAnsi="Arial" w:cs="Arial"/>
          <w:sz w:val="24"/>
        </w:rPr>
        <w:t xml:space="preserve"> </w:t>
      </w:r>
    </w:p>
    <w:p w:rsidR="004D6F0E" w:rsidRDefault="00490F21">
      <w:pPr>
        <w:spacing w:after="123"/>
        <w:ind w:left="11" w:right="2"/>
      </w:pPr>
      <w:r>
        <w:t>設立開支</w:t>
      </w:r>
      <w:r>
        <w:rPr>
          <w:rFonts w:ascii="Arial" w:eastAsia="Arial" w:hAnsi="Arial" w:cs="Arial"/>
        </w:rPr>
        <w:t xml:space="preserve"> </w:t>
      </w:r>
    </w:p>
    <w:p w:rsidR="004D6F0E" w:rsidRDefault="00490F21">
      <w:pPr>
        <w:spacing w:after="124"/>
        <w:ind w:left="11" w:right="2"/>
      </w:pPr>
      <w:r>
        <w:t>本基金並無未攤銷設立開支。</w:t>
      </w:r>
      <w:r>
        <w:rPr>
          <w:rFonts w:ascii="Arial" w:eastAsia="Arial" w:hAnsi="Arial" w:cs="Arial"/>
        </w:rPr>
        <w:t xml:space="preserve"> </w:t>
      </w:r>
    </w:p>
    <w:p w:rsidR="004D6F0E" w:rsidRDefault="00490F21">
      <w:pPr>
        <w:spacing w:after="123"/>
        <w:ind w:left="11" w:right="2"/>
      </w:pPr>
      <w:r>
        <w:t>過往表現</w:t>
      </w:r>
      <w:r>
        <w:rPr>
          <w:rFonts w:ascii="Arial" w:eastAsia="Arial" w:hAnsi="Arial" w:cs="Arial"/>
          <w:b/>
        </w:rPr>
        <w:t xml:space="preserve"> </w:t>
      </w:r>
    </w:p>
    <w:p w:rsidR="004D6F0E" w:rsidRDefault="00490F21">
      <w:pPr>
        <w:spacing w:after="117"/>
        <w:ind w:left="11" w:right="2"/>
      </w:pPr>
      <w:r>
        <w:t>有</w:t>
      </w:r>
      <w:r>
        <w:t xml:space="preserve"> </w:t>
      </w:r>
      <w:r>
        <w:t>關</w:t>
      </w:r>
      <w:r>
        <w:t xml:space="preserve"> </w:t>
      </w:r>
      <w:r>
        <w:t>本</w:t>
      </w:r>
      <w:r>
        <w:t xml:space="preserve"> </w:t>
      </w:r>
      <w:r>
        <w:t>基</w:t>
      </w:r>
      <w:r>
        <w:t xml:space="preserve"> </w:t>
      </w:r>
      <w:r>
        <w:t>金</w:t>
      </w:r>
      <w:r>
        <w:t xml:space="preserve"> </w:t>
      </w:r>
      <w:r>
        <w:t>過</w:t>
      </w:r>
      <w:r>
        <w:t xml:space="preserve"> </w:t>
      </w:r>
      <w:r>
        <w:t>往</w:t>
      </w:r>
      <w:r>
        <w:t xml:space="preserve"> </w:t>
      </w:r>
      <w:r>
        <w:t>表</w:t>
      </w:r>
      <w:r>
        <w:t xml:space="preserve"> </w:t>
      </w:r>
      <w:r>
        <w:t>現</w:t>
      </w:r>
      <w:r>
        <w:t xml:space="preserve"> </w:t>
      </w:r>
      <w:r>
        <w:t>的</w:t>
      </w:r>
      <w:r>
        <w:t xml:space="preserve"> </w:t>
      </w:r>
      <w:r>
        <w:t>資</w:t>
      </w:r>
      <w:r>
        <w:t xml:space="preserve"> </w:t>
      </w:r>
      <w:r>
        <w:t>料</w:t>
      </w:r>
      <w:r>
        <w:t xml:space="preserve"> </w:t>
      </w:r>
      <w:r>
        <w:t>可</w:t>
      </w:r>
      <w:r>
        <w:t xml:space="preserve"> </w:t>
      </w:r>
      <w:r>
        <w:t>瀏</w:t>
      </w:r>
      <w:r>
        <w:t xml:space="preserve"> </w:t>
      </w:r>
      <w:r>
        <w:t>覽</w:t>
      </w:r>
      <w:r>
        <w:t xml:space="preserve"> </w:t>
      </w:r>
      <w:hyperlink r:id="rId167">
        <w:r>
          <w:rPr>
            <w:rFonts w:ascii="Arial" w:eastAsia="Arial" w:hAnsi="Arial" w:cs="Arial"/>
            <w:color w:val="0000FF"/>
            <w:u w:val="single" w:color="0000FF"/>
          </w:rPr>
          <w:t>www.alliancebernstein.com</w:t>
        </w:r>
      </w:hyperlink>
      <w:hyperlink r:id="rId168">
        <w:r>
          <w:t>。</w:t>
        </w:r>
      </w:hyperlink>
      <w:r>
        <w:rPr>
          <w:rFonts w:ascii="Arial" w:eastAsia="Arial" w:hAnsi="Arial" w:cs="Arial"/>
        </w:rPr>
        <w:t xml:space="preserve"> </w:t>
      </w:r>
    </w:p>
    <w:p w:rsidR="004D6F0E" w:rsidRDefault="00490F21">
      <w:pPr>
        <w:spacing w:after="123"/>
        <w:ind w:left="11" w:right="2"/>
      </w:pPr>
      <w:r>
        <w:t>歷史</w:t>
      </w:r>
      <w:r>
        <w:rPr>
          <w:rFonts w:ascii="Arial" w:eastAsia="Arial" w:hAnsi="Arial" w:cs="Arial"/>
          <w:b/>
        </w:rPr>
        <w:t xml:space="preserve"> </w:t>
      </w:r>
    </w:p>
    <w:p w:rsidR="004D6F0E" w:rsidRDefault="00490F21">
      <w:pPr>
        <w:ind w:left="11" w:right="2"/>
      </w:pPr>
      <w:r>
        <w:t>本基金於一九九七年九月二十二日設立，作為本傘子基金下的基金。</w:t>
      </w:r>
    </w:p>
    <w:p w:rsidR="004D6F0E" w:rsidRDefault="004D6F0E">
      <w:pPr>
        <w:sectPr w:rsidR="004D6F0E">
          <w:type w:val="continuous"/>
          <w:pgSz w:w="12240" w:h="15840"/>
          <w:pgMar w:top="1440" w:right="672" w:bottom="1440" w:left="432" w:header="720" w:footer="720" w:gutter="0"/>
          <w:cols w:num="2" w:space="720" w:equalWidth="0">
            <w:col w:w="5762" w:space="276"/>
            <w:col w:w="5099"/>
          </w:cols>
        </w:sectPr>
      </w:pPr>
    </w:p>
    <w:p w:rsidR="004D6F0E" w:rsidRDefault="00490F21">
      <w:pPr>
        <w:pStyle w:val="Heading2"/>
        <w:spacing w:after="0"/>
        <w:ind w:left="8"/>
      </w:pPr>
      <w:r>
        <w:lastRenderedPageBreak/>
        <w:t>聯博</w:t>
      </w:r>
      <w:r>
        <w:rPr>
          <w:rFonts w:ascii="Arial" w:eastAsia="Arial" w:hAnsi="Arial" w:cs="Arial"/>
        </w:rPr>
        <w:t>—</w:t>
      </w:r>
      <w:r>
        <w:t>美元收益基金</w:t>
      </w:r>
      <w:r>
        <w:rPr>
          <w:rFonts w:ascii="Arial" w:eastAsia="Arial" w:hAnsi="Arial" w:cs="Arial"/>
        </w:rPr>
        <w:t xml:space="preserve"> </w:t>
      </w:r>
    </w:p>
    <w:p w:rsidR="004D6F0E" w:rsidRDefault="00490F21">
      <w:pPr>
        <w:spacing w:after="34" w:line="259" w:lineRule="auto"/>
        <w:ind w:left="0" w:firstLine="0"/>
      </w:pPr>
      <w:r>
        <w:rPr>
          <w:rFonts w:ascii="Arial" w:eastAsia="Arial" w:hAnsi="Arial" w:cs="Arial"/>
          <w:sz w:val="18"/>
        </w:rPr>
        <w:t xml:space="preserve"> </w:t>
      </w:r>
    </w:p>
    <w:p w:rsidR="004D6F0E" w:rsidRDefault="00490F21">
      <w:pPr>
        <w:pStyle w:val="Heading3"/>
        <w:spacing w:after="184"/>
        <w:ind w:left="14"/>
      </w:pPr>
      <w:r>
        <w:t>投資目標及政策</w:t>
      </w:r>
      <w:r>
        <w:rPr>
          <w:rFonts w:ascii="Arial" w:eastAsia="Arial" w:hAnsi="Arial" w:cs="Arial"/>
        </w:rPr>
        <w:t xml:space="preserve"> </w:t>
      </w:r>
    </w:p>
    <w:p w:rsidR="004D6F0E" w:rsidRDefault="00490F21">
      <w:pPr>
        <w:spacing w:after="37"/>
        <w:ind w:left="11" w:right="2"/>
      </w:pPr>
      <w:r>
        <w:t>投資目標本基金的首要投資目標是提</w:t>
      </w:r>
      <w:r>
        <w:t>供與保本相符的高水平當前收入。</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本基金透過投資於多元化固定收益證券基金以實現其投資目標。本基金的次要投資目標為透過增加投資以增加資本，以維持及（如可能）增加各股東投資金額的購買力。</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44"/>
        <w:ind w:left="11" w:right="2"/>
      </w:pPr>
      <w:r>
        <w:t>投資規則和程序</w:t>
      </w:r>
      <w:r>
        <w:rPr>
          <w:rFonts w:ascii="Arial" w:eastAsia="Arial" w:hAnsi="Arial" w:cs="Arial"/>
          <w:b/>
        </w:rPr>
        <w:t xml:space="preserve"> </w:t>
      </w:r>
    </w:p>
    <w:p w:rsidR="004D6F0E" w:rsidRDefault="00490F21">
      <w:pPr>
        <w:spacing w:after="53"/>
        <w:ind w:left="11" w:right="2"/>
      </w:pPr>
      <w:r>
        <w:t>本基金可投資各種美國政府證券，包括由美國政府充分信譽擔保的證券、由美國國庫券借貸權利擔保的證券及由發行機構本身的信譽擔保的證券。本基金亦可投資由美國企業發行的固定收益證券與非美國企業及除美國政府以外的政府（包括但不限於州省市）或其代理及屬下部門（「政府實體」）所發行的以美元計價的固定收益證券及各種按揭抵押證券和零票息證券。此外，本基金可利用金融衍生工具進行對沖、風險管理、有效管理基金及作為直接投資於相關投資的替代性投資。</w:t>
      </w:r>
      <w:r>
        <w:rPr>
          <w:rFonts w:ascii="Arial" w:eastAsia="Arial" w:hAnsi="Arial" w:cs="Arial"/>
          <w:sz w:val="24"/>
        </w:rPr>
        <w:t xml:space="preserve"> </w:t>
      </w:r>
    </w:p>
    <w:p w:rsidR="004D6F0E" w:rsidRDefault="00490F21">
      <w:pPr>
        <w:spacing w:after="51"/>
        <w:ind w:left="11" w:right="153"/>
      </w:pPr>
      <w:r>
        <w:t>本基金將至少維持其</w:t>
      </w:r>
      <w:r>
        <w:t xml:space="preserve"> </w:t>
      </w:r>
      <w:r>
        <w:rPr>
          <w:rFonts w:ascii="Arial" w:eastAsia="Arial" w:hAnsi="Arial" w:cs="Arial"/>
        </w:rPr>
        <w:t>65%</w:t>
      </w:r>
      <w:r>
        <w:t>的總資產投資於美國發行人的證券。投資管理人預期，本基金將至</w:t>
      </w:r>
      <w:r>
        <w:t>少維持其</w:t>
      </w:r>
      <w:r>
        <w:t xml:space="preserve"> </w:t>
      </w:r>
      <w:r>
        <w:rPr>
          <w:rFonts w:ascii="Arial" w:eastAsia="Arial" w:hAnsi="Arial" w:cs="Arial"/>
        </w:rPr>
        <w:t>50%</w:t>
      </w:r>
      <w:r>
        <w:t>的總資產投資於</w:t>
      </w:r>
      <w:r>
        <w:rPr>
          <w:rFonts w:ascii="Arial" w:eastAsia="Arial" w:hAnsi="Arial" w:cs="Arial"/>
        </w:rPr>
        <w:t>(i)</w:t>
      </w:r>
      <w:r>
        <w:t>下述的美國政府證券，及</w:t>
      </w:r>
      <w:r>
        <w:rPr>
          <w:rFonts w:ascii="Arial" w:eastAsia="Arial" w:hAnsi="Arial" w:cs="Arial"/>
        </w:rPr>
        <w:t>(ii)</w:t>
      </w:r>
      <w:r>
        <w:t>本章程所述其他固定收益證券，該等證券於投資時應被視為投資級別證券，或如未獲該評級，則由投資管理人確定具有同等質素。儘管如此，在某些市況下，投資管理人可將本基金</w:t>
      </w:r>
      <w:r>
        <w:t xml:space="preserve"> </w:t>
      </w:r>
      <w:r>
        <w:rPr>
          <w:rFonts w:ascii="Arial" w:eastAsia="Arial" w:hAnsi="Arial" w:cs="Arial"/>
        </w:rPr>
        <w:t>50%</w:t>
      </w:r>
      <w:r>
        <w:t>以上的資產投資於評級低於投資級別的證券，惟投資管理人認為該等投資就當前市況及本基金的投資目標而言乃屬適當。本基金一般不會投資穆迪給予評級低於</w:t>
      </w:r>
      <w:r>
        <w:t xml:space="preserve"> </w:t>
      </w:r>
      <w:r>
        <w:rPr>
          <w:rFonts w:ascii="Arial" w:eastAsia="Arial" w:hAnsi="Arial" w:cs="Arial"/>
        </w:rPr>
        <w:t xml:space="preserve">B </w:t>
      </w:r>
      <w:r>
        <w:t>級（包括</w:t>
      </w:r>
      <w:r>
        <w:t xml:space="preserve"> </w:t>
      </w:r>
      <w:r>
        <w:rPr>
          <w:rFonts w:ascii="Arial" w:eastAsia="Arial" w:hAnsi="Arial" w:cs="Arial"/>
        </w:rPr>
        <w:t>B1</w:t>
      </w:r>
      <w:r>
        <w:t>、</w:t>
      </w:r>
      <w:r>
        <w:t xml:space="preserve"> </w:t>
      </w:r>
      <w:r>
        <w:rPr>
          <w:rFonts w:ascii="Arial" w:eastAsia="Arial" w:hAnsi="Arial" w:cs="Arial"/>
        </w:rPr>
        <w:t xml:space="preserve">B2 </w:t>
      </w:r>
      <w:r>
        <w:t>和</w:t>
      </w:r>
      <w:r>
        <w:t xml:space="preserve"> </w:t>
      </w:r>
      <w:r>
        <w:rPr>
          <w:rFonts w:ascii="Arial" w:eastAsia="Arial" w:hAnsi="Arial" w:cs="Arial"/>
        </w:rPr>
        <w:t>B3</w:t>
      </w:r>
      <w:r>
        <w:t>）的證券，或標普給予評級低於</w:t>
      </w:r>
      <w:r>
        <w:t xml:space="preserve"> </w:t>
      </w:r>
      <w:r>
        <w:rPr>
          <w:rFonts w:ascii="Arial" w:eastAsia="Arial" w:hAnsi="Arial" w:cs="Arial"/>
        </w:rPr>
        <w:t xml:space="preserve">B </w:t>
      </w:r>
      <w:r>
        <w:t>級（包括</w:t>
      </w:r>
      <w:r>
        <w:t xml:space="preserve"> </w:t>
      </w:r>
      <w:r>
        <w:rPr>
          <w:rFonts w:ascii="Arial" w:eastAsia="Arial" w:hAnsi="Arial" w:cs="Arial"/>
        </w:rPr>
        <w:t>B+</w:t>
      </w:r>
      <w:r>
        <w:t>和</w:t>
      </w:r>
      <w:r>
        <w:t xml:space="preserve"> </w:t>
      </w:r>
      <w:r>
        <w:rPr>
          <w:rFonts w:ascii="Arial" w:eastAsia="Arial" w:hAnsi="Arial" w:cs="Arial"/>
        </w:rPr>
        <w:t>B-</w:t>
      </w:r>
      <w:r>
        <w:t>）的證券，或如未獲國際認可統計評級機構評級，則</w:t>
      </w:r>
      <w:r>
        <w:t>為投資管理人認為與該評級具有同等質素的證券。</w:t>
      </w:r>
      <w:r>
        <w:rPr>
          <w:rFonts w:ascii="Arial" w:eastAsia="Arial" w:hAnsi="Arial" w:cs="Arial"/>
          <w:sz w:val="24"/>
        </w:rPr>
        <w:t xml:space="preserve"> </w:t>
      </w:r>
    </w:p>
    <w:p w:rsidR="004D6F0E" w:rsidRDefault="00490F21">
      <w:pPr>
        <w:spacing w:after="47"/>
        <w:ind w:left="11" w:right="242"/>
      </w:pPr>
      <w:r>
        <w:t>評級低於「投資級別」的證券一般稱為「垃圾債券」。見第</w:t>
      </w:r>
      <w:r>
        <w:t xml:space="preserve"> </w:t>
      </w:r>
      <w:r>
        <w:rPr>
          <w:rFonts w:ascii="Arial" w:eastAsia="Arial" w:hAnsi="Arial" w:cs="Arial"/>
        </w:rPr>
        <w:t xml:space="preserve">II </w:t>
      </w:r>
      <w:r>
        <w:t>部分「風險因素－債務證券風險－固定收益證券風險－較低評級及無評級工具」。本基金預期一般不會保留穆迪評級調低至</w:t>
      </w:r>
      <w:r>
        <w:t xml:space="preserve"> </w:t>
      </w:r>
      <w:r>
        <w:rPr>
          <w:rFonts w:ascii="Arial" w:eastAsia="Arial" w:hAnsi="Arial" w:cs="Arial"/>
        </w:rPr>
        <w:t xml:space="preserve">B </w:t>
      </w:r>
      <w:r>
        <w:t>級（包括</w:t>
      </w:r>
      <w:r>
        <w:t xml:space="preserve"> </w:t>
      </w:r>
      <w:r>
        <w:rPr>
          <w:rFonts w:ascii="Arial" w:eastAsia="Arial" w:hAnsi="Arial" w:cs="Arial"/>
        </w:rPr>
        <w:t>B1</w:t>
      </w:r>
      <w:r>
        <w:t>、</w:t>
      </w:r>
      <w:r>
        <w:rPr>
          <w:rFonts w:ascii="Arial" w:eastAsia="Arial" w:hAnsi="Arial" w:cs="Arial"/>
        </w:rPr>
        <w:t xml:space="preserve">B2 </w:t>
      </w:r>
      <w:r>
        <w:t>和</w:t>
      </w:r>
      <w:r>
        <w:t xml:space="preserve"> </w:t>
      </w:r>
      <w:r>
        <w:rPr>
          <w:rFonts w:ascii="Arial" w:eastAsia="Arial" w:hAnsi="Arial" w:cs="Arial"/>
        </w:rPr>
        <w:t>B3</w:t>
      </w:r>
      <w:r>
        <w:t>）的證券，或標普評級調低至</w:t>
      </w:r>
      <w:r>
        <w:t xml:space="preserve"> </w:t>
      </w:r>
      <w:r>
        <w:rPr>
          <w:rFonts w:ascii="Arial" w:eastAsia="Arial" w:hAnsi="Arial" w:cs="Arial"/>
        </w:rPr>
        <w:t xml:space="preserve">B </w:t>
      </w:r>
      <w:r>
        <w:t>級（包括</w:t>
      </w:r>
      <w:r>
        <w:t xml:space="preserve"> </w:t>
      </w:r>
      <w:r>
        <w:rPr>
          <w:rFonts w:ascii="Arial" w:eastAsia="Arial" w:hAnsi="Arial" w:cs="Arial"/>
        </w:rPr>
        <w:t>B+</w:t>
      </w:r>
      <w:r>
        <w:t>和</w:t>
      </w:r>
      <w:r>
        <w:t xml:space="preserve"> </w:t>
      </w:r>
      <w:r>
        <w:rPr>
          <w:rFonts w:ascii="Arial" w:eastAsia="Arial" w:hAnsi="Arial" w:cs="Arial"/>
        </w:rPr>
        <w:t>B-</w:t>
      </w:r>
      <w:r>
        <w:t>）的證券，或如未獲國際認可統計評級機構評級，則為投資管理人確定在購買後具有類似信用質素下跌的證券。</w:t>
      </w:r>
      <w:r>
        <w:rPr>
          <w:rFonts w:ascii="Arial" w:eastAsia="Arial" w:hAnsi="Arial" w:cs="Arial"/>
          <w:sz w:val="24"/>
        </w:rPr>
        <w:t xml:space="preserve"> </w:t>
      </w:r>
    </w:p>
    <w:p w:rsidR="004D6F0E" w:rsidRDefault="00490F21">
      <w:pPr>
        <w:spacing w:after="111"/>
        <w:ind w:left="11" w:right="2"/>
      </w:pPr>
      <w:r>
        <w:t>如本章程所採用，「美國政府證券」包括但不限於下列各項：</w:t>
      </w:r>
      <w:r>
        <w:rPr>
          <w:rFonts w:ascii="Arial" w:eastAsia="Arial" w:hAnsi="Arial" w:cs="Arial"/>
        </w:rPr>
        <w:t xml:space="preserve"> </w:t>
      </w:r>
    </w:p>
    <w:p w:rsidR="004D6F0E" w:rsidRDefault="00490F21">
      <w:pPr>
        <w:numPr>
          <w:ilvl w:val="0"/>
          <w:numId w:val="18"/>
        </w:numPr>
        <w:spacing w:after="60"/>
        <w:ind w:left="349" w:right="2" w:hanging="347"/>
      </w:pPr>
      <w:r>
        <w:rPr>
          <w:sz w:val="20"/>
        </w:rPr>
        <w:t>美國國庫券。</w:t>
      </w:r>
      <w:r>
        <w:t>美國財政部發行到期日為一年或一年以下的直接債務產品。美國國庫券不附息，而是以折讓價發行，到期時以全額面值贖回。該等債券由美國政府的充分信譽擔保。</w:t>
      </w:r>
      <w:r>
        <w:rPr>
          <w:rFonts w:ascii="Arial" w:eastAsia="Arial" w:hAnsi="Arial" w:cs="Arial"/>
          <w:sz w:val="24"/>
        </w:rPr>
        <w:t xml:space="preserve"> </w:t>
      </w:r>
    </w:p>
    <w:p w:rsidR="004D6F0E" w:rsidRDefault="00490F21">
      <w:pPr>
        <w:numPr>
          <w:ilvl w:val="0"/>
          <w:numId w:val="18"/>
        </w:numPr>
        <w:spacing w:after="62"/>
        <w:ind w:left="349" w:right="2" w:hanging="347"/>
      </w:pPr>
      <w:r>
        <w:rPr>
          <w:sz w:val="20"/>
        </w:rPr>
        <w:t>美國國庫票據。</w:t>
      </w:r>
      <w:r>
        <w:t>美國財政部發行到期日介乎一至十年之間的直接債務產品，每六個月支付一次利息。該等債券由美國政府的充分信譽擔保。</w:t>
      </w:r>
      <w:r>
        <w:rPr>
          <w:rFonts w:ascii="Arial" w:eastAsia="Arial" w:hAnsi="Arial" w:cs="Arial"/>
          <w:sz w:val="24"/>
        </w:rPr>
        <w:t xml:space="preserve"> </w:t>
      </w:r>
    </w:p>
    <w:p w:rsidR="004D6F0E" w:rsidRDefault="00490F21">
      <w:pPr>
        <w:numPr>
          <w:ilvl w:val="0"/>
          <w:numId w:val="18"/>
        </w:numPr>
        <w:spacing w:after="60"/>
        <w:ind w:left="349" w:right="2" w:hanging="347"/>
      </w:pPr>
      <w:r>
        <w:rPr>
          <w:sz w:val="20"/>
        </w:rPr>
        <w:t>美國國庫債券。</w:t>
      </w:r>
      <w:r>
        <w:t>美國財政部發行到期日為自發行日期起計十年以上的直接債務產品，每六個月支付一次利息。該等債券由美國政府的充分信譽擔保。</w:t>
      </w:r>
      <w:r>
        <w:rPr>
          <w:rFonts w:ascii="Arial" w:eastAsia="Arial" w:hAnsi="Arial" w:cs="Arial"/>
          <w:sz w:val="24"/>
        </w:rPr>
        <w:t xml:space="preserve"> </w:t>
      </w:r>
    </w:p>
    <w:p w:rsidR="004D6F0E" w:rsidRDefault="00490F21">
      <w:pPr>
        <w:numPr>
          <w:ilvl w:val="0"/>
          <w:numId w:val="18"/>
        </w:numPr>
        <w:spacing w:after="4" w:line="273" w:lineRule="auto"/>
        <w:ind w:left="349" w:right="2" w:hanging="347"/>
      </w:pPr>
      <w:r>
        <w:rPr>
          <w:sz w:val="20"/>
        </w:rPr>
        <w:t>有擔保按揭轉手證券。</w:t>
      </w:r>
      <w:r>
        <w:t>此等證券為按揭</w:t>
      </w:r>
      <w:r>
        <w:t>相關證券，由政府國民按揭協會（「</w:t>
      </w:r>
      <w:r>
        <w:rPr>
          <w:rFonts w:ascii="Arial" w:eastAsia="Arial" w:hAnsi="Arial" w:cs="Arial"/>
        </w:rPr>
        <w:t>Ginnie Mae</w:t>
      </w:r>
      <w:r>
        <w:t>」或「</w:t>
      </w:r>
      <w:r>
        <w:rPr>
          <w:rFonts w:ascii="Arial" w:eastAsia="Arial" w:hAnsi="Arial" w:cs="Arial"/>
        </w:rPr>
        <w:t>GNMA</w:t>
      </w:r>
      <w:r>
        <w:t>」）、聯邦國民按揭協會（「</w:t>
      </w:r>
      <w:r>
        <w:rPr>
          <w:rFonts w:ascii="Arial" w:eastAsia="Arial" w:hAnsi="Arial" w:cs="Arial"/>
        </w:rPr>
        <w:t>Fannie Mae</w:t>
      </w:r>
      <w:r>
        <w:t>」或「</w:t>
      </w:r>
      <w:r>
        <w:rPr>
          <w:rFonts w:ascii="Arial" w:eastAsia="Arial" w:hAnsi="Arial" w:cs="Arial"/>
        </w:rPr>
        <w:t>FNMA</w:t>
      </w:r>
      <w:r>
        <w:t>」）或聯邦住房貸款擔</w:t>
      </w:r>
    </w:p>
    <w:p w:rsidR="004D6F0E" w:rsidRDefault="00490F21">
      <w:pPr>
        <w:spacing w:after="249" w:line="259" w:lineRule="auto"/>
        <w:ind w:right="23" w:hanging="10"/>
        <w:jc w:val="center"/>
      </w:pPr>
      <w:r>
        <w:t>保公司（「</w:t>
      </w:r>
      <w:r>
        <w:rPr>
          <w:rFonts w:ascii="Arial" w:eastAsia="Arial" w:hAnsi="Arial" w:cs="Arial"/>
        </w:rPr>
        <w:t>Freddie Mac</w:t>
      </w:r>
      <w:r>
        <w:t>」或「</w:t>
      </w:r>
      <w:r>
        <w:rPr>
          <w:rFonts w:ascii="Arial" w:eastAsia="Arial" w:hAnsi="Arial" w:cs="Arial"/>
        </w:rPr>
        <w:t>FHLMC</w:t>
      </w:r>
      <w:r>
        <w:t>」）發行或提供擔保。</w:t>
      </w:r>
    </w:p>
    <w:p w:rsidR="004D6F0E" w:rsidRDefault="00490F21">
      <w:pPr>
        <w:spacing w:after="3" w:line="259" w:lineRule="auto"/>
        <w:ind w:right="46" w:hanging="10"/>
        <w:jc w:val="right"/>
      </w:pPr>
      <w:r>
        <w:rPr>
          <w:rFonts w:ascii="Times New Roman" w:eastAsia="Times New Roman" w:hAnsi="Times New Roman" w:cs="Times New Roman"/>
          <w:sz w:val="20"/>
        </w:rPr>
        <w:t xml:space="preserve">I-57 </w:t>
      </w:r>
    </w:p>
    <w:p w:rsidR="004D6F0E" w:rsidRDefault="00490F21">
      <w:pPr>
        <w:spacing w:after="0" w:line="259" w:lineRule="auto"/>
        <w:ind w:left="0" w:right="168" w:firstLine="0"/>
        <w:jc w:val="right"/>
      </w:pPr>
      <w:r>
        <w:rPr>
          <w:rFonts w:ascii="Times New Roman" w:eastAsia="Times New Roman" w:hAnsi="Times New Roman" w:cs="Times New Roman"/>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59"/>
        <w:ind w:left="369" w:right="2"/>
      </w:pPr>
      <w:r>
        <w:rPr>
          <w:rFonts w:ascii="Arial" w:eastAsia="Arial" w:hAnsi="Arial" w:cs="Arial"/>
        </w:rPr>
        <w:t xml:space="preserve">Fannie Mae </w:t>
      </w:r>
      <w:r>
        <w:t>及</w:t>
      </w:r>
      <w:r>
        <w:t xml:space="preserve"> </w:t>
      </w:r>
      <w:r>
        <w:rPr>
          <w:rFonts w:ascii="Arial" w:eastAsia="Arial" w:hAnsi="Arial" w:cs="Arial"/>
        </w:rPr>
        <w:t xml:space="preserve">Freddie Mac </w:t>
      </w:r>
      <w:r>
        <w:t>的證券並非由美國政府的充分信譽擔保。見第</w:t>
      </w:r>
      <w:r>
        <w:t xml:space="preserve"> </w:t>
      </w:r>
      <w:r>
        <w:rPr>
          <w:rFonts w:ascii="Arial" w:eastAsia="Arial" w:hAnsi="Arial" w:cs="Arial"/>
        </w:rPr>
        <w:t xml:space="preserve">II </w:t>
      </w:r>
      <w:r>
        <w:t>部分「投資類別</w:t>
      </w:r>
      <w:r>
        <w:rPr>
          <w:rFonts w:ascii="Arial" w:eastAsia="Arial" w:hAnsi="Arial" w:cs="Arial"/>
        </w:rPr>
        <w:t>—</w:t>
      </w:r>
      <w:r>
        <w:t>債務證券類別</w:t>
      </w:r>
      <w:r>
        <w:rPr>
          <w:rFonts w:ascii="Arial" w:eastAsia="Arial" w:hAnsi="Arial" w:cs="Arial"/>
        </w:rPr>
        <w:t>—</w:t>
      </w:r>
      <w:r>
        <w:t>轉手按揭相關證券」。</w:t>
      </w:r>
      <w:r>
        <w:rPr>
          <w:rFonts w:ascii="Arial" w:eastAsia="Arial" w:hAnsi="Arial" w:cs="Arial"/>
          <w:sz w:val="24"/>
        </w:rPr>
        <w:t xml:space="preserve"> </w:t>
      </w:r>
    </w:p>
    <w:p w:rsidR="004D6F0E" w:rsidRDefault="00490F21">
      <w:pPr>
        <w:numPr>
          <w:ilvl w:val="0"/>
          <w:numId w:val="18"/>
        </w:numPr>
        <w:spacing w:after="48" w:line="273" w:lineRule="auto"/>
        <w:ind w:left="349" w:right="2" w:hanging="347"/>
      </w:pPr>
      <w:r>
        <w:rPr>
          <w:sz w:val="20"/>
        </w:rPr>
        <w:lastRenderedPageBreak/>
        <w:t>政府「抵押按揭債務產品」。</w:t>
      </w:r>
      <w:r>
        <w:t>該等證券由美國政府部門或代理發行，以按揭基金或根據債權證持有的按揭抵押證券擔保。見第</w:t>
      </w:r>
      <w:r>
        <w:t xml:space="preserve"> </w:t>
      </w:r>
      <w:r>
        <w:rPr>
          <w:rFonts w:ascii="Arial" w:eastAsia="Arial" w:hAnsi="Arial" w:cs="Arial"/>
        </w:rPr>
        <w:t xml:space="preserve">II </w:t>
      </w:r>
      <w:r>
        <w:t>部分「投資類別－債務證券類別－抵押按揭債務產品及多類轉手證券」。</w:t>
      </w:r>
      <w:r>
        <w:rPr>
          <w:rFonts w:ascii="Arial" w:eastAsia="Arial" w:hAnsi="Arial" w:cs="Arial"/>
          <w:sz w:val="24"/>
        </w:rPr>
        <w:t xml:space="preserve"> </w:t>
      </w:r>
    </w:p>
    <w:p w:rsidR="004D6F0E" w:rsidRDefault="00490F21">
      <w:pPr>
        <w:ind w:left="11" w:right="2"/>
      </w:pPr>
      <w:r>
        <w:t>金融衍生工具／有效基金管理技術。投資管理人可在實施本基金投資策略時使用衍生產品及策略。此等金融衍生工具可能包括但不限於﹕掉期合約（包括利率掉期合約（「</w:t>
      </w:r>
      <w:r>
        <w:rPr>
          <w:rFonts w:ascii="Arial" w:eastAsia="Arial" w:hAnsi="Arial" w:cs="Arial"/>
        </w:rPr>
        <w:t>IRS</w:t>
      </w:r>
      <w:r>
        <w:t>」）、總回報掉期合約（「</w:t>
      </w:r>
      <w:r>
        <w:rPr>
          <w:rFonts w:ascii="Arial" w:eastAsia="Arial" w:hAnsi="Arial" w:cs="Arial"/>
        </w:rPr>
        <w:t>TRS</w:t>
      </w:r>
      <w:r>
        <w:t>」）和信用違約掉期合約（「</w:t>
      </w:r>
      <w:r>
        <w:rPr>
          <w:rFonts w:ascii="Arial" w:eastAsia="Arial" w:hAnsi="Arial" w:cs="Arial"/>
        </w:rPr>
        <w:t>CDS</w:t>
      </w:r>
      <w:r>
        <w:t>」）</w:t>
      </w:r>
    </w:p>
    <w:p w:rsidR="004D6F0E" w:rsidRDefault="00490F21">
      <w:pPr>
        <w:spacing w:after="50"/>
        <w:ind w:left="11" w:right="2"/>
      </w:pPr>
      <w:r>
        <w:t>）、掉期期權、期權、期貨及貨幣交易（包括遠期貨幣合約）。該等金融衍生工具（包括場外衍生和交易所買賣金融衍生工具）及有效基金管理技</w:t>
      </w:r>
      <w:r>
        <w:t>術可用於以下目的﹕</w:t>
      </w:r>
      <w:r>
        <w:rPr>
          <w:rFonts w:ascii="Arial" w:eastAsia="Arial" w:hAnsi="Arial" w:cs="Arial"/>
        </w:rPr>
        <w:t>(i)</w:t>
      </w:r>
      <w:r>
        <w:t>作為直接投資於相關投資的替代方法，</w:t>
      </w:r>
      <w:r>
        <w:rPr>
          <w:rFonts w:ascii="Arial" w:eastAsia="Arial" w:hAnsi="Arial" w:cs="Arial"/>
        </w:rPr>
        <w:t>(ii)</w:t>
      </w:r>
      <w:r>
        <w:t>管理存續期，</w:t>
      </w:r>
      <w:r>
        <w:rPr>
          <w:rFonts w:ascii="Arial" w:eastAsia="Arial" w:hAnsi="Arial" w:cs="Arial"/>
        </w:rPr>
        <w:t>(iii)</w:t>
      </w:r>
      <w:r>
        <w:t>對沖利率、信貸和貨幣波動及</w:t>
      </w:r>
      <w:r>
        <w:rPr>
          <w:rFonts w:ascii="Arial" w:eastAsia="Arial" w:hAnsi="Arial" w:cs="Arial"/>
        </w:rPr>
        <w:t>(iv)</w:t>
      </w:r>
      <w:r>
        <w:t>有效基金管理用途。就</w:t>
      </w:r>
      <w:r>
        <w:t xml:space="preserve"> </w:t>
      </w:r>
      <w:r>
        <w:rPr>
          <w:rFonts w:ascii="Arial" w:eastAsia="Arial" w:hAnsi="Arial" w:cs="Arial"/>
        </w:rPr>
        <w:t xml:space="preserve">CDS </w:t>
      </w:r>
      <w:r>
        <w:t>而言，本基金既可「賣出」保障性工具，以便增加投資，也可「買進」保障性工具，以便對沖信貸風險。</w:t>
      </w:r>
      <w:r>
        <w:rPr>
          <w:rFonts w:ascii="Arial" w:eastAsia="Arial" w:hAnsi="Arial" w:cs="Arial"/>
          <w:sz w:val="24"/>
        </w:rPr>
        <w:t xml:space="preserve"> </w:t>
      </w:r>
    </w:p>
    <w:p w:rsidR="004D6F0E" w:rsidRDefault="00490F21">
      <w:pPr>
        <w:ind w:left="11" w:right="2"/>
      </w:pPr>
      <w:r>
        <w:t>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tbl>
      <w:tblPr>
        <w:tblStyle w:val="TableGrid"/>
        <w:tblW w:w="5030" w:type="dxa"/>
        <w:tblInd w:w="5"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w:t>
            </w:r>
            <w:r>
              <w:t>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0%-20%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50% </w:t>
            </w:r>
          </w:p>
        </w:tc>
      </w:tr>
      <w:tr w:rsidR="004D6F0E">
        <w:trPr>
          <w:trHeight w:val="624"/>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204" w:line="259" w:lineRule="auto"/>
        <w:ind w:left="0" w:firstLine="0"/>
      </w:pPr>
      <w:r>
        <w:rPr>
          <w:rFonts w:ascii="Arial" w:eastAsia="Arial" w:hAnsi="Arial" w:cs="Arial"/>
          <w:b/>
          <w:sz w:val="10"/>
        </w:rPr>
        <w:t xml:space="preserve"> </w:t>
      </w:r>
    </w:p>
    <w:p w:rsidR="004D6F0E" w:rsidRDefault="00490F21">
      <w:pPr>
        <w:spacing w:after="121"/>
        <w:ind w:left="1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rPr>
          <w:rFonts w:ascii="Arial" w:eastAsia="Arial" w:hAnsi="Arial" w:cs="Arial"/>
        </w:rPr>
        <w:t xml:space="preserve"> </w:t>
      </w:r>
    </w:p>
    <w:p w:rsidR="004D6F0E" w:rsidRDefault="00490F21">
      <w:pPr>
        <w:spacing w:after="44"/>
        <w:ind w:left="11" w:right="2"/>
      </w:pPr>
      <w:r>
        <w:t>其他投資政策</w:t>
      </w:r>
      <w:r>
        <w:rPr>
          <w:rFonts w:ascii="Arial" w:eastAsia="Arial" w:hAnsi="Arial" w:cs="Arial"/>
          <w:b/>
        </w:rPr>
        <w:t xml:space="preserve"> </w:t>
      </w:r>
    </w:p>
    <w:p w:rsidR="004D6F0E" w:rsidRDefault="00490F21">
      <w:pPr>
        <w:ind w:left="11" w:right="2"/>
      </w:pPr>
      <w:r>
        <w:t>除美國政府、其代理或部門發行或擔保的債券產品外，本基金不會對任何一家發行人的證券作出超過本基金總資產的</w:t>
      </w:r>
      <w:r>
        <w:t xml:space="preserve"> </w:t>
      </w:r>
      <w:r>
        <w:rPr>
          <w:rFonts w:ascii="Arial" w:eastAsia="Arial" w:hAnsi="Arial" w:cs="Arial"/>
        </w:rPr>
        <w:t xml:space="preserve">5% </w:t>
      </w:r>
      <w:r>
        <w:t>的投資。此外，本基金擁有任何發行人已發行有投票權證券不得超過</w:t>
      </w:r>
      <w:r>
        <w:t xml:space="preserve"> </w:t>
      </w:r>
      <w:r>
        <w:rPr>
          <w:rFonts w:ascii="Arial" w:eastAsia="Arial" w:hAnsi="Arial" w:cs="Arial"/>
        </w:rPr>
        <w:t>10%</w:t>
      </w:r>
      <w:r>
        <w:t>。本基金就所投資的證券類別和金融衍生工具及相關比例擁有絕對的彈性，且本基金擬分散長期及短期固定收益證券（包括債務證券、可轉換債券、美國政府債務產品）及優先股的持有比例，從而反映對前景週期變動的評估，即使相關措施可能對當前收入有不利影響。然而，本基金中絕大部分投資將產生收入。本基金最高可維持其</w:t>
      </w:r>
      <w:r>
        <w:t xml:space="preserve"> </w:t>
      </w:r>
      <w:r>
        <w:rPr>
          <w:rFonts w:ascii="Arial" w:eastAsia="Arial" w:hAnsi="Arial" w:cs="Arial"/>
        </w:rPr>
        <w:t>35%</w:t>
      </w:r>
      <w:r>
        <w:t>的總資產投資於非美國發行人的證券。購買非美國發行人發行的證券須承擔若干政治及經濟風險，因此在此類別證券中，本基金只可投資於優質的證券。該等債務產</w:t>
      </w:r>
      <w:r>
        <w:t>品的利息及本金的付款亦會受所處國家的政府行動的影響（通稱「主權風險」）。此外，基金證券的所有權證據可能於美國以外地區持有﹐且本基金可能須承受</w:t>
      </w:r>
    </w:p>
    <w:p w:rsidR="004D6F0E" w:rsidRDefault="004D6F0E">
      <w:pPr>
        <w:sectPr w:rsidR="004D6F0E">
          <w:headerReference w:type="even" r:id="rId169"/>
          <w:headerReference w:type="default" r:id="rId170"/>
          <w:footerReference w:type="even" r:id="rId171"/>
          <w:footerReference w:type="default" r:id="rId172"/>
          <w:headerReference w:type="first" r:id="rId173"/>
          <w:footerReference w:type="first" r:id="rId174"/>
          <w:pgSz w:w="12240" w:h="15840"/>
          <w:pgMar w:top="1440" w:right="627" w:bottom="1440" w:left="432" w:header="720" w:footer="720" w:gutter="0"/>
          <w:cols w:num="2" w:space="720" w:equalWidth="0">
            <w:col w:w="5759" w:space="289"/>
            <w:col w:w="5134"/>
          </w:cols>
          <w:titlePg/>
        </w:sectPr>
      </w:pPr>
    </w:p>
    <w:p w:rsidR="004D6F0E" w:rsidRDefault="00490F21">
      <w:pPr>
        <w:spacing w:after="4" w:line="265" w:lineRule="auto"/>
        <w:ind w:hanging="10"/>
        <w:jc w:val="right"/>
      </w:pPr>
      <w:r>
        <w:rPr>
          <w:sz w:val="18"/>
        </w:rPr>
        <w:t>聯博－美元收益基金</w:t>
      </w:r>
      <w:r>
        <w:rPr>
          <w:sz w:val="18"/>
        </w:rPr>
        <w:t xml:space="preserve"> </w:t>
      </w:r>
    </w:p>
    <w:tbl>
      <w:tblPr>
        <w:tblStyle w:val="TableGrid"/>
        <w:tblW w:w="11155" w:type="dxa"/>
        <w:tblInd w:w="-1" w:type="dxa"/>
        <w:tblCellMar>
          <w:top w:w="0" w:type="dxa"/>
          <w:left w:w="0" w:type="dxa"/>
          <w:bottom w:w="0" w:type="dxa"/>
          <w:right w:w="0" w:type="dxa"/>
        </w:tblCellMar>
        <w:tblLook w:val="04A0" w:firstRow="1" w:lastRow="0" w:firstColumn="1" w:lastColumn="0" w:noHBand="0" w:noVBand="1"/>
      </w:tblPr>
      <w:tblGrid>
        <w:gridCol w:w="5667"/>
        <w:gridCol w:w="5667"/>
      </w:tblGrid>
      <w:tr w:rsidR="004D6F0E">
        <w:trPr>
          <w:trHeight w:val="188"/>
        </w:trPr>
        <w:tc>
          <w:tcPr>
            <w:tcW w:w="6048" w:type="dxa"/>
            <w:tcBorders>
              <w:top w:val="nil"/>
              <w:left w:val="nil"/>
              <w:bottom w:val="nil"/>
              <w:right w:val="nil"/>
            </w:tcBorders>
          </w:tcPr>
          <w:p w:rsidR="004D6F0E" w:rsidRDefault="00490F21">
            <w:pPr>
              <w:spacing w:after="0" w:line="259" w:lineRule="auto"/>
              <w:ind w:left="1" w:firstLine="0"/>
            </w:pPr>
            <w:r>
              <w:rPr>
                <w:rFonts w:ascii="Times New Roman" w:eastAsia="Times New Roman" w:hAnsi="Times New Roman" w:cs="Times New Roman"/>
              </w:rPr>
              <w:t xml:space="preserve"> </w:t>
            </w:r>
          </w:p>
        </w:tc>
        <w:tc>
          <w:tcPr>
            <w:tcW w:w="5107" w:type="dxa"/>
            <w:tcBorders>
              <w:top w:val="nil"/>
              <w:left w:val="nil"/>
              <w:bottom w:val="nil"/>
              <w:right w:val="nil"/>
            </w:tcBorders>
          </w:tcPr>
          <w:p w:rsidR="004D6F0E" w:rsidRDefault="004D6F0E">
            <w:pPr>
              <w:spacing w:after="160" w:line="259" w:lineRule="auto"/>
              <w:ind w:left="0" w:firstLine="0"/>
            </w:pPr>
          </w:p>
        </w:tc>
      </w:tr>
      <w:tr w:rsidR="004D6F0E">
        <w:trPr>
          <w:trHeight w:val="13308"/>
        </w:trPr>
        <w:tc>
          <w:tcPr>
            <w:tcW w:w="6048" w:type="dxa"/>
            <w:tcBorders>
              <w:top w:val="nil"/>
              <w:left w:val="nil"/>
              <w:bottom w:val="nil"/>
              <w:right w:val="nil"/>
            </w:tcBorders>
          </w:tcPr>
          <w:p w:rsidR="004D6F0E" w:rsidRDefault="00490F21">
            <w:pPr>
              <w:spacing w:after="89" w:line="235" w:lineRule="auto"/>
              <w:ind w:left="1" w:firstLine="0"/>
            </w:pPr>
            <w:r>
              <w:lastRenderedPageBreak/>
              <w:t>於境外持有該所有權的相關風險。政府行動包括實施貨幣管制、利率限制、沒收資產或宣佈延期付款等。</w:t>
            </w:r>
            <w:r>
              <w:rPr>
                <w:rFonts w:ascii="Arial" w:eastAsia="Arial" w:hAnsi="Arial" w:cs="Arial"/>
                <w:sz w:val="24"/>
              </w:rPr>
              <w:t xml:space="preserve"> </w:t>
            </w:r>
          </w:p>
          <w:p w:rsidR="004D6F0E" w:rsidRDefault="00490F21">
            <w:pPr>
              <w:spacing w:after="110" w:line="273" w:lineRule="auto"/>
              <w:ind w:left="0" w:firstLine="0"/>
            </w:pPr>
            <w:r>
              <w:t>對於未上市證券或由於法律或合約限制而無法隨時轉售或因其他原因不能隨時拋售的證券，或由於其特徵被視作非等同於可轉讓證券並且具有可轉讓性、流動性、能夠在任何營業日準確評估等特點的債務工具，若緊隨有關交易後及因有關交易所致，本基金於所有該等證券的投資總額會超出本基金總淨資產的</w:t>
            </w:r>
            <w:r>
              <w:t xml:space="preserve"> </w:t>
            </w:r>
            <w:r>
              <w:rPr>
                <w:rFonts w:ascii="Arial" w:eastAsia="Arial" w:hAnsi="Arial" w:cs="Arial"/>
              </w:rPr>
              <w:t>10%</w:t>
            </w:r>
            <w:r>
              <w:t>，則不得作出該投資。見第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第</w:t>
            </w:r>
            <w:r>
              <w:rPr>
                <w:rFonts w:ascii="Arial" w:eastAsia="Arial" w:hAnsi="Arial" w:cs="Arial"/>
              </w:rPr>
              <w:t>(5)</w:t>
            </w:r>
            <w:r>
              <w:t>段。本基金投資於第</w:t>
            </w:r>
            <w:r>
              <w:t xml:space="preserve"> </w:t>
            </w:r>
            <w:r>
              <w:rPr>
                <w:rFonts w:ascii="Arial" w:eastAsia="Arial" w:hAnsi="Arial" w:cs="Arial"/>
              </w:rPr>
              <w:t xml:space="preserve">II </w:t>
            </w:r>
            <w:r>
              <w:t>部分「投資類別」所述的若干證券須受前句所述的限制。尤其是，私人按揭轉手證券、私人發行的抵押按揭債務產品、私人發行的多類轉手證券、與證券相關的若干期權及若干</w:t>
            </w:r>
            <w:r>
              <w:t>零票息證券須受上述限制規限，惟於證券交易所或另一受監管市場買賣的相關證券則作別論。此外，其他類別證券須受此</w:t>
            </w:r>
            <w:r>
              <w:t xml:space="preserve"> </w:t>
            </w:r>
            <w:r>
              <w:rPr>
                <w:rFonts w:ascii="Arial" w:eastAsia="Arial" w:hAnsi="Arial" w:cs="Arial"/>
              </w:rPr>
              <w:t>10%</w:t>
            </w:r>
            <w:r>
              <w:t>限制規限。</w:t>
            </w:r>
            <w:r>
              <w:rPr>
                <w:rFonts w:ascii="Arial" w:eastAsia="Arial" w:hAnsi="Arial" w:cs="Arial"/>
              </w:rPr>
              <w:t xml:space="preserve"> </w:t>
            </w:r>
          </w:p>
          <w:p w:rsidR="004D6F0E" w:rsidRDefault="00490F21">
            <w:pPr>
              <w:spacing w:after="51" w:line="267" w:lineRule="auto"/>
              <w:ind w:left="0" w:firstLine="0"/>
            </w:pPr>
            <w:r>
              <w:t>本基金將至少維持其</w:t>
            </w:r>
            <w:r>
              <w:t xml:space="preserve"> </w:t>
            </w:r>
            <w:r>
              <w:rPr>
                <w:rFonts w:ascii="Arial" w:eastAsia="Arial" w:hAnsi="Arial" w:cs="Arial"/>
              </w:rPr>
              <w:t>80%</w:t>
            </w:r>
            <w:r>
              <w:t>的總資產投資於固定收益證券，而在任何情況下，本基金投資於該等證券的總額將不會少於本基金總資產的一半。在任何情況下，本基金投資於美洲發行人發行的證券的金額不得低於本基金總資產的三分之二。就此而言，「美洲發行人」乃指</w:t>
            </w:r>
            <w:r>
              <w:rPr>
                <w:rFonts w:ascii="Arial" w:eastAsia="Arial" w:hAnsi="Arial" w:cs="Arial"/>
              </w:rPr>
              <w:t>(i)</w:t>
            </w:r>
            <w:r>
              <w:t>於北美、中美及南美註冊或成立，或</w:t>
            </w:r>
            <w:r>
              <w:rPr>
                <w:rFonts w:ascii="Arial" w:eastAsia="Arial" w:hAnsi="Arial" w:cs="Arial"/>
              </w:rPr>
              <w:t>(ii)</w:t>
            </w:r>
            <w:r>
              <w:t>於北美、中美及南美設立及開展業務，或</w:t>
            </w:r>
            <w:r>
              <w:rPr>
                <w:rFonts w:ascii="Arial" w:eastAsia="Arial" w:hAnsi="Arial" w:cs="Arial"/>
              </w:rPr>
              <w:t>(iii)</w:t>
            </w:r>
            <w:r>
              <w:t>於北美、南美或中美從事最主要部分經濟活動的政府、政府機構、公司或其他機構。</w:t>
            </w:r>
            <w:r>
              <w:rPr>
                <w:rFonts w:ascii="Arial" w:eastAsia="Arial" w:hAnsi="Arial" w:cs="Arial"/>
                <w:sz w:val="24"/>
              </w:rPr>
              <w:t xml:space="preserve"> </w:t>
            </w:r>
          </w:p>
          <w:p w:rsidR="004D6F0E" w:rsidRDefault="00490F21">
            <w:pPr>
              <w:spacing w:after="49"/>
              <w:ind w:left="0" w:right="719" w:firstLine="0"/>
              <w:jc w:val="both"/>
            </w:pPr>
            <w:r>
              <w:t>槓桿手段。在實施本基金的投資策略時，投資管理人預期不會使用銀行借貸。本基金的預期槓桿水平預計將為其資產淨值的</w:t>
            </w:r>
            <w:r>
              <w:t xml:space="preserve"> </w:t>
            </w:r>
            <w:r>
              <w:rPr>
                <w:rFonts w:ascii="Arial" w:eastAsia="Arial" w:hAnsi="Arial" w:cs="Arial"/>
              </w:rPr>
              <w:t xml:space="preserve">0% </w:t>
            </w:r>
            <w:r>
              <w:t>至</w:t>
            </w:r>
            <w:r>
              <w:t xml:space="preserve"> </w:t>
            </w:r>
            <w:r>
              <w:rPr>
                <w:rFonts w:ascii="Arial" w:eastAsia="Arial" w:hAnsi="Arial" w:cs="Arial"/>
              </w:rPr>
              <w:t>100%</w:t>
            </w:r>
            <w:r>
              <w:t>之</w:t>
            </w:r>
            <w:r>
              <w:t>間。預期槓桿水平乃按本基金所持金融衍生工具的名義金額總值計算。根據日期為二零一一年五月三十日的盧森堡金融業監管委員會（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號公告，此計算方法並不計及特定金融衍生工具增加或減少本基金投資風險的情況，亦不允許以反向持倉對銷金融衍生工具。股東應注意：</w:t>
            </w:r>
            <w:r>
              <w:rPr>
                <w:rFonts w:ascii="Arial" w:eastAsia="Arial" w:hAnsi="Arial" w:cs="Arial"/>
              </w:rPr>
              <w:t>(i)</w:t>
            </w:r>
            <w:r>
              <w:t>預期槓桿水平較高不一定表示投資風險水平較高及</w:t>
            </w:r>
            <w:r>
              <w:rPr>
                <w:rFonts w:ascii="Arial" w:eastAsia="Arial" w:hAnsi="Arial" w:cs="Arial"/>
              </w:rPr>
              <w:t>(ii)</w:t>
            </w:r>
            <w:r>
              <w:t>上述預期槓桿水平主要乃由使用衍生工具作對沖用途或有效基金管理而產生。此外，本基金的實際槓桿可能會偏離上述的預期槓桿水平。</w:t>
            </w:r>
            <w:r>
              <w:rPr>
                <w:rFonts w:ascii="Arial" w:eastAsia="Arial" w:hAnsi="Arial" w:cs="Arial"/>
                <w:b/>
                <w:sz w:val="24"/>
              </w:rPr>
              <w:t xml:space="preserve"> </w:t>
            </w:r>
          </w:p>
          <w:p w:rsidR="004D6F0E" w:rsidRDefault="00490F21">
            <w:pPr>
              <w:spacing w:after="0" w:line="290" w:lineRule="auto"/>
              <w:ind w:left="1" w:firstLine="0"/>
            </w:pPr>
            <w:r>
              <w:lastRenderedPageBreak/>
              <w:t>風險度量。投資管理人將使用風險值（「</w:t>
            </w:r>
            <w:r>
              <w:rPr>
                <w:rFonts w:ascii="Arial" w:eastAsia="Arial" w:hAnsi="Arial" w:cs="Arial"/>
              </w:rPr>
              <w:t>VaR</w:t>
            </w:r>
            <w:r>
              <w:t>」）方法來監測本基金的全</w:t>
            </w:r>
            <w:r>
              <w:t>球風險（市場風險）。本基金的全球風險乃根據絕對</w:t>
            </w:r>
            <w:r>
              <w:t xml:space="preserve"> </w:t>
            </w: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r>
              <w:t xml:space="preserve"> </w:t>
            </w:r>
            <w:r>
              <w:rPr>
                <w:rFonts w:ascii="Arial" w:eastAsia="Arial" w:hAnsi="Arial" w:cs="Arial"/>
              </w:rPr>
              <w:t>20%</w:t>
            </w:r>
            <w:r>
              <w:t>。基準。本基金的基準為彭博美國綜合指數。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w:t>
            </w:r>
            <w:r>
              <w:rPr>
                <w:rFonts w:ascii="Arial" w:eastAsia="Arial" w:hAnsi="Arial" w:cs="Arial"/>
              </w:rPr>
              <w:t xml:space="preserve"> </w:t>
            </w:r>
          </w:p>
          <w:p w:rsidR="004D6F0E" w:rsidRDefault="00490F21">
            <w:pPr>
              <w:spacing w:after="15" w:line="259" w:lineRule="auto"/>
              <w:ind w:left="1" w:firstLine="0"/>
            </w:pPr>
            <w:r>
              <w:rPr>
                <w:rFonts w:ascii="Arial" w:eastAsia="Arial" w:hAnsi="Arial" w:cs="Arial"/>
                <w:sz w:val="18"/>
              </w:rPr>
              <w:t xml:space="preserve"> </w:t>
            </w:r>
          </w:p>
          <w:p w:rsidR="004D6F0E" w:rsidRDefault="00490F21">
            <w:pPr>
              <w:spacing w:after="7" w:line="259" w:lineRule="auto"/>
              <w:ind w:left="1" w:firstLine="0"/>
            </w:pPr>
            <w:r>
              <w:t>部分存續期對沖股份類別</w:t>
            </w:r>
            <w:r>
              <w:rPr>
                <w:rFonts w:ascii="Arial" w:eastAsia="Arial" w:hAnsi="Arial" w:cs="Arial"/>
                <w:sz w:val="24"/>
              </w:rPr>
              <w:t xml:space="preserve"> </w:t>
            </w:r>
          </w:p>
          <w:p w:rsidR="004D6F0E" w:rsidRDefault="00490F21">
            <w:pPr>
              <w:spacing w:after="254"/>
              <w:ind w:left="1" w:firstLine="0"/>
            </w:pPr>
            <w:r>
              <w:t>就以</w:t>
            </w:r>
            <w:r>
              <w:t xml:space="preserve"> </w:t>
            </w:r>
            <w:r>
              <w:rPr>
                <w:rFonts w:ascii="Arial" w:eastAsia="Arial" w:hAnsi="Arial" w:cs="Arial"/>
              </w:rPr>
              <w:t xml:space="preserve">DUR PH </w:t>
            </w:r>
            <w:r>
              <w:t>命名的類別而言，投資管理人擬透過使用金融衍生工具對沖本基金的部</w:t>
            </w:r>
            <w:r>
              <w:t>分利率風險。有關股份類別擬透過</w:t>
            </w:r>
            <w:hyperlink r:id="rId175">
              <w:r>
                <w:t>為</w:t>
              </w:r>
            </w:hyperlink>
            <w:hyperlink r:id="rId176">
              <w:r>
                <w:t>持有部</w:t>
              </w:r>
            </w:hyperlink>
            <w:r>
              <w:t>分存續期對沖股份類別的股東對沖整體基金的部分存續期，而為這些投資者提供對利率波動敏感度較低的回報。部分</w:t>
            </w:r>
            <w:r>
              <w:t>存續期對沖策略旨在降低（但未必消除）部分存續期對沖股份類別整體基金的利率風險。管理部分存續期對沖股份類別的利率風險並不影響本基金所屬資產的投資管理，原因是用於對沖利率風險的金融衍生工具交易將按部分存續期對沖股份類別的資產淨值進行。因進行有關對沖活動而產生的開支將由本基金已發行的所有部分存續期對沖股份類別按比例分擔。</w:t>
            </w:r>
            <w:r>
              <w:rPr>
                <w:rFonts w:ascii="Arial" w:eastAsia="Arial" w:hAnsi="Arial" w:cs="Arial"/>
              </w:rPr>
              <w:t xml:space="preserve"> </w:t>
            </w:r>
          </w:p>
          <w:p w:rsidR="004D6F0E" w:rsidRDefault="00490F21">
            <w:pPr>
              <w:spacing w:after="0" w:line="259" w:lineRule="auto"/>
              <w:ind w:left="1" w:firstLine="0"/>
            </w:pPr>
            <w:r>
              <w:rPr>
                <w:rFonts w:ascii="Arial" w:eastAsia="Arial" w:hAnsi="Arial" w:cs="Arial"/>
                <w:sz w:val="23"/>
              </w:rPr>
              <w:t xml:space="preserve"> </w:t>
            </w:r>
            <w:r>
              <w:rPr>
                <w:rFonts w:ascii="Arial" w:eastAsia="Arial" w:hAnsi="Arial" w:cs="Arial"/>
                <w:sz w:val="23"/>
              </w:rPr>
              <w:tab/>
              <w:t xml:space="preserve"> </w:t>
            </w:r>
          </w:p>
        </w:tc>
        <w:tc>
          <w:tcPr>
            <w:tcW w:w="5107" w:type="dxa"/>
            <w:tcBorders>
              <w:top w:val="nil"/>
              <w:left w:val="nil"/>
              <w:bottom w:val="nil"/>
              <w:right w:val="nil"/>
            </w:tcBorders>
          </w:tcPr>
          <w:p w:rsidR="004D6F0E" w:rsidRDefault="00490F21">
            <w:pPr>
              <w:spacing w:after="188" w:line="237" w:lineRule="auto"/>
              <w:ind w:left="0" w:firstLine="0"/>
            </w:pPr>
            <w:r>
              <w:lastRenderedPageBreak/>
              <w:t>股東應注意，部分存續期對沖股份類別可能仍會對利率變動頗為敏感，進而可能影響部分存續期對沖股份類別的資產淨值。</w:t>
            </w:r>
            <w:r>
              <w:rPr>
                <w:rFonts w:ascii="Arial" w:eastAsia="Arial" w:hAnsi="Arial" w:cs="Arial"/>
                <w:sz w:val="24"/>
              </w:rPr>
              <w:t xml:space="preserve"> </w:t>
            </w:r>
          </w:p>
          <w:p w:rsidR="004D6F0E" w:rsidRDefault="00490F21">
            <w:pPr>
              <w:spacing w:after="216" w:line="276" w:lineRule="auto"/>
              <w:ind w:left="0" w:firstLine="0"/>
            </w:pPr>
            <w:r>
              <w:t>欲進一步了解股份類別對沖詳情，請參閱第</w:t>
            </w:r>
            <w:r>
              <w:t xml:space="preserve"> </w:t>
            </w:r>
            <w:r>
              <w:rPr>
                <w:rFonts w:ascii="Arial" w:eastAsia="Arial" w:hAnsi="Arial" w:cs="Arial"/>
              </w:rPr>
              <w:t xml:space="preserve">II </w:t>
            </w:r>
            <w:r>
              <w:t>部分「如何購買股份－部分存續期對沖股份類別」及「風險因素－部分存續期對沖股份類別風險」。</w:t>
            </w:r>
            <w:r>
              <w:rPr>
                <w:rFonts w:ascii="Arial" w:eastAsia="Arial" w:hAnsi="Arial" w:cs="Arial"/>
              </w:rPr>
              <w:t xml:space="preserve"> </w:t>
            </w:r>
          </w:p>
          <w:p w:rsidR="004D6F0E" w:rsidRDefault="00490F21">
            <w:pPr>
              <w:spacing w:after="2" w:line="259" w:lineRule="auto"/>
              <w:ind w:left="0" w:firstLine="0"/>
            </w:pPr>
            <w:r>
              <w:t>貨幣對沖股份類別</w:t>
            </w:r>
            <w:r>
              <w:rPr>
                <w:rFonts w:ascii="Arial" w:eastAsia="Arial" w:hAnsi="Arial" w:cs="Arial"/>
                <w:b/>
              </w:rPr>
              <w:t xml:space="preserve"> </w:t>
            </w:r>
            <w:r>
              <w:rPr>
                <w:rFonts w:ascii="Arial" w:eastAsia="Arial" w:hAnsi="Arial" w:cs="Arial"/>
                <w:sz w:val="24"/>
              </w:rPr>
              <w:t xml:space="preserve"> </w:t>
            </w:r>
          </w:p>
          <w:p w:rsidR="004D6F0E" w:rsidRDefault="00490F21">
            <w:pPr>
              <w:spacing w:after="151" w:line="265" w:lineRule="auto"/>
              <w:ind w:left="0" w:firstLine="0"/>
            </w:pPr>
            <w:r>
              <w:t>用某種特定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計及交易成本等實際考量因素，為投資者提供與本基金基準貨幣回報率更具相關性的回報率。採用的對沖策略在設計上是爲了降低（但未必消除）本基金基準貨幣和發售貨幣之間的貨幣風險。</w:t>
            </w:r>
            <w:r>
              <w:rPr>
                <w:rFonts w:ascii="Arial" w:eastAsia="Arial" w:hAnsi="Arial" w:cs="Arial"/>
                <w:sz w:val="24"/>
              </w:rPr>
              <w:t xml:space="preserve"> </w:t>
            </w:r>
          </w:p>
          <w:p w:rsidR="004D6F0E" w:rsidRDefault="00490F21">
            <w:pPr>
              <w:spacing w:after="198"/>
              <w:ind w:left="0" w:firstLine="0"/>
            </w:pPr>
            <w:r>
              <w:t>貨幣對沖股份類別並不影響本基金所屬資產的投資管理，因為用發售貨幣對沖的只是貨幣對沖股份類別的資產淨值，而非本基金所屬資產</w:t>
            </w:r>
            <w:r>
              <w:t>。此類對沖活動引起的開支由引起該等開支的貨幣對沖股份類別承擔。</w:t>
            </w:r>
            <w:r>
              <w:rPr>
                <w:rFonts w:ascii="Arial" w:eastAsia="Arial" w:hAnsi="Arial" w:cs="Arial"/>
              </w:rPr>
              <w:t xml:space="preserve"> </w:t>
            </w:r>
          </w:p>
          <w:p w:rsidR="004D6F0E" w:rsidRDefault="00490F21">
            <w:pPr>
              <w:spacing w:after="150" w:line="267" w:lineRule="auto"/>
              <w:ind w:left="0" w:firstLine="0"/>
            </w:pPr>
            <w:r>
              <w:t>與人民幣對沖股份類別掛鈎的風險因素。自二零零五年起，人民幣匯率不再與美元掛鈎。人民幣現已轉為參照一籃子外幣並基於市場供應及需求，採用受管控浮動匯率制度。人民幣於銀行間外匯市場兌其他主要貨幣的每日買賣價可在中國人民銀行公佈的中間價附近窄幅浮動。從離岸人民幣兌換為在岸人民幣的人民幣可兌換性是一個受管控的貨幣流程，須遵守中國政府在與香港金融管理局（香港金管局）的協調下頒佈的外匯管制政策及匯回限制。由於多個因素，離岸人民幣的價值可能會與在岸人民幣的價</w:t>
            </w:r>
            <w:r>
              <w:t>值相異而有關差異可能重大，該等因素包括但不限於中國政府不時實施的外匯管制政策及匯回限制以及其他外部市場力量。</w:t>
            </w:r>
            <w:r>
              <w:rPr>
                <w:rFonts w:ascii="Arial" w:eastAsia="Arial" w:hAnsi="Arial" w:cs="Arial"/>
                <w:sz w:val="24"/>
              </w:rPr>
              <w:t xml:space="preserve"> </w:t>
            </w:r>
          </w:p>
          <w:p w:rsidR="004D6F0E" w:rsidRDefault="00490F21">
            <w:pPr>
              <w:spacing w:after="158" w:line="264" w:lineRule="auto"/>
              <w:ind w:left="0" w:firstLine="0"/>
            </w:pPr>
            <w:r>
              <w:t>自二零零五年起，中國政府實施的外匯管制政策已導致人民幣（包括離岸人民幣及在岸人民幣）整體升值。有關升值情況可能會亦可能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sz w:val="24"/>
              </w:rPr>
              <w:t xml:space="preserve"> </w:t>
            </w:r>
          </w:p>
          <w:p w:rsidR="004D6F0E" w:rsidRDefault="00490F21">
            <w:pPr>
              <w:spacing w:after="101" w:line="277" w:lineRule="auto"/>
              <w:ind w:left="0" w:firstLine="0"/>
            </w:pPr>
            <w:r>
              <w:rPr>
                <w:rFonts w:ascii="Arial" w:eastAsia="Arial" w:hAnsi="Arial" w:cs="Arial"/>
              </w:rPr>
              <w:t xml:space="preserve">H </w:t>
            </w:r>
            <w:r>
              <w:t>人民幣股份參與離岸人民幣市場，允許投資者在中國內地以外與香</w:t>
            </w:r>
            <w:r>
              <w:lastRenderedPageBreak/>
              <w:t>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rPr>
              <w:t xml:space="preserve"> </w:t>
            </w:r>
          </w:p>
          <w:p w:rsidR="004D6F0E" w:rsidRDefault="00490F21">
            <w:pPr>
              <w:spacing w:after="0" w:line="291" w:lineRule="auto"/>
              <w:ind w:left="0" w:right="67" w:firstLine="0"/>
              <w:jc w:val="both"/>
            </w:pPr>
            <w:r>
              <w:t>負責任投資。本基金整合</w:t>
            </w:r>
            <w:r>
              <w:t xml:space="preserve"> </w:t>
            </w:r>
            <w:r>
              <w:rPr>
                <w:rFonts w:ascii="Arial" w:eastAsia="Arial" w:hAnsi="Arial" w:cs="Arial"/>
              </w:rPr>
              <w:t xml:space="preserve">ESG </w:t>
            </w:r>
            <w:r>
              <w:t>考慮因素。本基金應用若干排除</w:t>
            </w:r>
            <w:r>
              <w:t xml:space="preserve"> </w:t>
            </w:r>
            <w:r>
              <w:t>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177">
              <w:r>
                <w:rPr>
                  <w:rFonts w:ascii="Arial" w:eastAsia="Arial" w:hAnsi="Arial" w:cs="Arial"/>
                  <w:color w:val="0000FF"/>
                  <w:u w:val="single" w:color="0000FF"/>
                </w:rPr>
                <w:t xml:space="preserve">www.alliancebernstein.com/ </w:t>
              </w:r>
            </w:hyperlink>
            <w:hyperlink r:id="rId178">
              <w:r>
                <w:rPr>
                  <w:rFonts w:ascii="Arial" w:eastAsia="Arial" w:hAnsi="Arial" w:cs="Arial"/>
                  <w:color w:val="0000FF"/>
                  <w:u w:val="single" w:color="0000FF"/>
                </w:rPr>
                <w:t>go/ABFCPIExclusionChart</w:t>
              </w:r>
            </w:hyperlink>
            <w:hyperlink r:id="rId179">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93" w:line="285" w:lineRule="auto"/>
              <w:ind w:left="0" w:firstLine="0"/>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b/>
              </w:rPr>
              <w:t xml:space="preserve"> </w:t>
            </w:r>
          </w:p>
        </w:tc>
      </w:tr>
    </w:tbl>
    <w:p w:rsidR="004D6F0E" w:rsidRDefault="00490F21">
      <w:pPr>
        <w:spacing w:after="190" w:line="259" w:lineRule="auto"/>
        <w:ind w:right="4" w:hanging="10"/>
        <w:jc w:val="center"/>
      </w:pPr>
      <w:r>
        <w:rPr>
          <w:rFonts w:ascii="Times New Roman" w:eastAsia="Times New Roman" w:hAnsi="Times New Roman" w:cs="Times New Roman"/>
          <w:sz w:val="20"/>
        </w:rPr>
        <w:lastRenderedPageBreak/>
        <w:t xml:space="preserve">I-58 </w:t>
      </w:r>
    </w:p>
    <w:p w:rsidR="004D6F0E" w:rsidRDefault="00490F21">
      <w:pPr>
        <w:spacing w:after="0" w:line="259" w:lineRule="auto"/>
        <w:ind w:left="0" w:firstLine="0"/>
      </w:pPr>
      <w:r>
        <w:rPr>
          <w:rFonts w:ascii="Arial" w:eastAsia="Arial" w:hAnsi="Arial" w:cs="Arial"/>
          <w:sz w:val="12"/>
        </w:rPr>
        <w:t xml:space="preserve">   </w:t>
      </w:r>
    </w:p>
    <w:tbl>
      <w:tblPr>
        <w:tblStyle w:val="TableGrid"/>
        <w:tblpPr w:vertAnchor="text" w:tblpX="108" w:tblpY="797"/>
        <w:tblOverlap w:val="never"/>
        <w:tblW w:w="10891" w:type="dxa"/>
        <w:tblInd w:w="0" w:type="dxa"/>
        <w:tblCellMar>
          <w:top w:w="0" w:type="dxa"/>
          <w:left w:w="0" w:type="dxa"/>
          <w:bottom w:w="0" w:type="dxa"/>
          <w:right w:w="0" w:type="dxa"/>
        </w:tblCellMar>
        <w:tblLook w:val="04A0" w:firstRow="1" w:lastRow="0" w:firstColumn="1" w:lastColumn="0" w:noHBand="0" w:noVBand="1"/>
      </w:tblPr>
      <w:tblGrid>
        <w:gridCol w:w="681"/>
        <w:gridCol w:w="7133"/>
        <w:gridCol w:w="4"/>
        <w:gridCol w:w="3515"/>
      </w:tblGrid>
      <w:tr w:rsidR="004D6F0E">
        <w:trPr>
          <w:trHeight w:val="263"/>
        </w:trPr>
        <w:tc>
          <w:tcPr>
            <w:tcW w:w="1548" w:type="dxa"/>
            <w:vMerge w:val="restart"/>
            <w:tcBorders>
              <w:top w:val="nil"/>
              <w:left w:val="nil"/>
              <w:bottom w:val="nil"/>
              <w:right w:val="nil"/>
            </w:tcBorders>
          </w:tcPr>
          <w:p w:rsidR="004D6F0E" w:rsidRDefault="00490F21">
            <w:pPr>
              <w:spacing w:after="7" w:line="259" w:lineRule="auto"/>
              <w:ind w:left="0" w:firstLine="0"/>
            </w:pPr>
            <w:r>
              <w:rPr>
                <w:sz w:val="18"/>
              </w:rPr>
              <w:t>基金貨幣</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7" w:line="259" w:lineRule="auto"/>
              <w:ind w:left="0" w:firstLine="0"/>
            </w:pPr>
            <w:r>
              <w:rPr>
                <w:sz w:val="18"/>
              </w:rPr>
              <w:t>資產淨值計算</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line="259" w:lineRule="auto"/>
              <w:ind w:left="0" w:firstLine="0"/>
            </w:pPr>
            <w:r>
              <w:rPr>
                <w:sz w:val="18"/>
              </w:rPr>
              <w:t>資產淨值公佈</w:t>
            </w: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line="259" w:lineRule="auto"/>
              <w:ind w:left="0" w:firstLine="0"/>
            </w:pPr>
            <w:r>
              <w:rPr>
                <w:sz w:val="18"/>
              </w:rPr>
              <w:t>股份類別名稱</w:t>
            </w: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tc>
        <w:tc>
          <w:tcPr>
            <w:tcW w:w="4548" w:type="dxa"/>
            <w:vMerge w:val="restart"/>
            <w:tcBorders>
              <w:top w:val="nil"/>
              <w:left w:val="nil"/>
              <w:bottom w:val="nil"/>
              <w:right w:val="nil"/>
            </w:tcBorders>
          </w:tcPr>
          <w:p w:rsidR="004D6F0E" w:rsidRDefault="00490F21">
            <w:pPr>
              <w:tabs>
                <w:tab w:val="center" w:pos="3554"/>
              </w:tabs>
              <w:spacing w:after="13" w:line="259" w:lineRule="auto"/>
              <w:ind w:left="0" w:firstLine="0"/>
            </w:pPr>
            <w:r>
              <w:rPr>
                <w:sz w:val="18"/>
              </w:rPr>
              <w:t>美元</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7" w:line="259" w:lineRule="auto"/>
              <w:ind w:left="12" w:firstLine="0"/>
            </w:pPr>
            <w:r>
              <w:rPr>
                <w:sz w:val="18"/>
              </w:rPr>
              <w:t>每個營業日</w:t>
            </w:r>
            <w:r>
              <w:rPr>
                <w:rFonts w:ascii="Arial" w:eastAsia="Arial" w:hAnsi="Arial" w:cs="Arial"/>
                <w:sz w:val="18"/>
              </w:rPr>
              <w:t xml:space="preserve"> </w:t>
            </w:r>
          </w:p>
          <w:p w:rsidR="004D6F0E" w:rsidRDefault="00490F21">
            <w:pPr>
              <w:spacing w:after="8" w:line="259" w:lineRule="auto"/>
              <w:ind w:left="12" w:firstLine="0"/>
            </w:pPr>
            <w:r>
              <w:rPr>
                <w:rFonts w:ascii="Arial" w:eastAsia="Arial" w:hAnsi="Arial" w:cs="Arial"/>
                <w:sz w:val="18"/>
              </w:rPr>
              <w:t xml:space="preserve"> </w:t>
            </w:r>
          </w:p>
          <w:p w:rsidR="004D6F0E" w:rsidRDefault="00490F21">
            <w:pPr>
              <w:spacing w:after="4" w:line="259" w:lineRule="auto"/>
              <w:ind w:left="12" w:firstLine="0"/>
            </w:pPr>
            <w:r>
              <w:rPr>
                <w:sz w:val="18"/>
              </w:rPr>
              <w:t>可在</w:t>
            </w:r>
            <w:r>
              <w:rPr>
                <w:sz w:val="18"/>
              </w:rPr>
              <w:t xml:space="preserve"> </w:t>
            </w:r>
            <w:hyperlink r:id="rId180">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181">
              <w:r>
                <w:rPr>
                  <w:sz w:val="18"/>
                </w:rPr>
                <w:t>查</w:t>
              </w:r>
            </w:hyperlink>
            <w:r>
              <w:rPr>
                <w:sz w:val="18"/>
              </w:rPr>
              <w:t>閱</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0" w:line="280" w:lineRule="auto"/>
              <w:ind w:left="12" w:firstLine="0"/>
            </w:pPr>
            <w:r>
              <w:rPr>
                <w:rFonts w:ascii="Arial" w:eastAsia="Arial" w:hAnsi="Arial" w:cs="Arial"/>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部分「如何購買股份－貨幣對沖股份類別」及「風險因素</w:t>
            </w:r>
          </w:p>
          <w:p w:rsidR="004D6F0E" w:rsidRDefault="00490F21">
            <w:pPr>
              <w:spacing w:after="7" w:line="259" w:lineRule="auto"/>
              <w:ind w:left="12" w:firstLine="0"/>
            </w:pPr>
            <w:r>
              <w:rPr>
                <w:sz w:val="18"/>
              </w:rPr>
              <w:t>－貨幣對沖股份類別風險」。</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0" w:line="275" w:lineRule="auto"/>
              <w:ind w:left="12" w:right="1209" w:firstLine="0"/>
              <w:jc w:val="both"/>
            </w:pPr>
            <w:r>
              <w:rPr>
                <w:rFonts w:ascii="Arial" w:eastAsia="Arial" w:hAnsi="Arial" w:cs="Arial"/>
                <w:sz w:val="18"/>
              </w:rPr>
              <w:t xml:space="preserve">DUR PH </w:t>
            </w:r>
            <w:r>
              <w:rPr>
                <w:sz w:val="18"/>
              </w:rPr>
              <w:t>代表部分存續期對沖股份類別。欲進一步了解股份類別對沖詳情，請參閱第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部分「如何購買股份－部分存續期對沖股份類別」及「風險因素－部分存續期對沖股份類別風險」。</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tc>
        <w:tc>
          <w:tcPr>
            <w:tcW w:w="4795" w:type="dxa"/>
            <w:gridSpan w:val="2"/>
            <w:tcBorders>
              <w:top w:val="nil"/>
              <w:left w:val="nil"/>
              <w:bottom w:val="nil"/>
              <w:right w:val="nil"/>
            </w:tcBorders>
          </w:tcPr>
          <w:p w:rsidR="004D6F0E" w:rsidRDefault="00490F21">
            <w:pPr>
              <w:tabs>
                <w:tab w:val="center" w:pos="2054"/>
              </w:tabs>
              <w:spacing w:after="0" w:line="259" w:lineRule="auto"/>
              <w:ind w:left="0" w:firstLine="0"/>
            </w:pPr>
            <w:r>
              <w:rPr>
                <w:sz w:val="18"/>
              </w:rPr>
              <w:t>派息</w:t>
            </w:r>
            <w:r>
              <w:rPr>
                <w:rFonts w:ascii="Arial" w:eastAsia="Arial" w:hAnsi="Arial" w:cs="Arial"/>
                <w:sz w:val="18"/>
              </w:rPr>
              <w:t>*</w:t>
            </w:r>
            <w:r>
              <w:rPr>
                <w:rFonts w:ascii="Arial" w:eastAsia="Arial" w:hAnsi="Arial" w:cs="Arial"/>
                <w:sz w:val="24"/>
              </w:rPr>
              <w:t xml:space="preserve"> </w:t>
            </w:r>
            <w:r>
              <w:rPr>
                <w:rFonts w:ascii="Arial" w:eastAsia="Arial" w:hAnsi="Arial" w:cs="Arial"/>
                <w:sz w:val="24"/>
              </w:rPr>
              <w:tab/>
            </w:r>
            <w:r>
              <w:rPr>
                <w:rFonts w:ascii="Arial" w:eastAsia="Arial" w:hAnsi="Arial" w:cs="Arial"/>
                <w:i/>
                <w:sz w:val="18"/>
              </w:rPr>
              <w:t>A</w:t>
            </w:r>
            <w:r>
              <w:t>、</w:t>
            </w:r>
            <w:r>
              <w:rPr>
                <w:rFonts w:ascii="Arial" w:eastAsia="Arial" w:hAnsi="Arial" w:cs="Arial"/>
                <w:i/>
                <w:sz w:val="18"/>
              </w:rPr>
              <w:t>B</w:t>
            </w:r>
            <w:r>
              <w:t>、</w:t>
            </w:r>
            <w:r>
              <w:rPr>
                <w:rFonts w:ascii="Arial" w:eastAsia="Arial" w:hAnsi="Arial" w:cs="Arial"/>
                <w:i/>
                <w:sz w:val="18"/>
              </w:rPr>
              <w:t>C</w:t>
            </w:r>
            <w:r>
              <w:t>、</w:t>
            </w:r>
            <w:r>
              <w:rPr>
                <w:rFonts w:ascii="Arial" w:eastAsia="Arial" w:hAnsi="Arial" w:cs="Arial"/>
                <w:i/>
                <w:sz w:val="18"/>
              </w:rPr>
              <w:t>I</w:t>
            </w:r>
            <w:r>
              <w:t>、</w:t>
            </w:r>
            <w:r>
              <w:rPr>
                <w:rFonts w:ascii="Arial" w:eastAsia="Arial" w:hAnsi="Arial" w:cs="Arial"/>
                <w:i/>
                <w:sz w:val="18"/>
              </w:rPr>
              <w:t>JA</w:t>
            </w:r>
            <w:r>
              <w:t>、</w:t>
            </w:r>
            <w:r>
              <w:rPr>
                <w:rFonts w:ascii="Arial" w:eastAsia="Arial" w:hAnsi="Arial" w:cs="Arial"/>
                <w:i/>
                <w:sz w:val="18"/>
              </w:rPr>
              <w:t>J</w:t>
            </w:r>
            <w:r>
              <w:t>及</w:t>
            </w:r>
            <w:r>
              <w:rPr>
                <w:rFonts w:ascii="Arial" w:eastAsia="Arial" w:hAnsi="Arial" w:cs="Arial"/>
                <w:i/>
                <w:sz w:val="18"/>
              </w:rPr>
              <w:t>W</w:t>
            </w:r>
            <w:r>
              <w:t>類股份</w:t>
            </w:r>
            <w:r>
              <w:rPr>
                <w:rFonts w:ascii="Arial" w:eastAsia="Arial" w:hAnsi="Arial" w:cs="Arial"/>
                <w:i/>
                <w:sz w:val="18"/>
              </w:rPr>
              <w:t xml:space="preserve"> </w:t>
            </w:r>
          </w:p>
        </w:tc>
      </w:tr>
      <w:tr w:rsidR="004D6F0E">
        <w:trPr>
          <w:trHeight w:val="3605"/>
        </w:trPr>
        <w:tc>
          <w:tcPr>
            <w:tcW w:w="0" w:type="auto"/>
            <w:vMerge/>
            <w:tcBorders>
              <w:top w:val="nil"/>
              <w:left w:val="nil"/>
              <w:bottom w:val="nil"/>
              <w:right w:val="nil"/>
            </w:tcBorders>
          </w:tcPr>
          <w:p w:rsidR="004D6F0E" w:rsidRDefault="004D6F0E">
            <w:pPr>
              <w:spacing w:after="160" w:line="259" w:lineRule="auto"/>
              <w:ind w:left="0" w:firstLine="0"/>
            </w:pPr>
          </w:p>
        </w:tc>
        <w:tc>
          <w:tcPr>
            <w:tcW w:w="0" w:type="auto"/>
            <w:vMerge/>
            <w:tcBorders>
              <w:top w:val="nil"/>
              <w:left w:val="nil"/>
              <w:bottom w:val="nil"/>
              <w:right w:val="nil"/>
            </w:tcBorders>
          </w:tcPr>
          <w:p w:rsidR="004D6F0E" w:rsidRDefault="004D6F0E">
            <w:pPr>
              <w:spacing w:after="160" w:line="259" w:lineRule="auto"/>
              <w:ind w:left="0" w:firstLine="0"/>
            </w:pPr>
          </w:p>
        </w:tc>
        <w:tc>
          <w:tcPr>
            <w:tcW w:w="360" w:type="dxa"/>
            <w:tcBorders>
              <w:top w:val="nil"/>
              <w:left w:val="nil"/>
              <w:bottom w:val="nil"/>
              <w:right w:val="nil"/>
            </w:tcBorders>
          </w:tcPr>
          <w:p w:rsidR="004D6F0E" w:rsidRDefault="00490F21">
            <w:pPr>
              <w:spacing w:after="38"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24"/>
              </w:rPr>
              <w:t xml:space="preserve"> </w:t>
            </w:r>
          </w:p>
        </w:tc>
        <w:tc>
          <w:tcPr>
            <w:tcW w:w="4435" w:type="dxa"/>
            <w:tcBorders>
              <w:top w:val="nil"/>
              <w:left w:val="nil"/>
              <w:bottom w:val="nil"/>
              <w:right w:val="nil"/>
            </w:tcBorders>
          </w:tcPr>
          <w:p w:rsidR="004D6F0E" w:rsidRDefault="00490F21">
            <w:pPr>
              <w:spacing w:after="7" w:line="259" w:lineRule="auto"/>
              <w:ind w:left="348" w:firstLine="0"/>
            </w:pPr>
            <w:r>
              <w:rPr>
                <w:sz w:val="18"/>
              </w:rPr>
              <w:t>每日宣派，按月派付</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i/>
                <w:sz w:val="18"/>
              </w:rPr>
              <w:t xml:space="preserve"> </w:t>
            </w:r>
          </w:p>
          <w:p w:rsidR="004D6F0E" w:rsidRDefault="00490F21">
            <w:pPr>
              <w:spacing w:after="9" w:line="259" w:lineRule="auto"/>
              <w:ind w:left="348" w:firstLine="0"/>
            </w:pPr>
            <w:r>
              <w:rPr>
                <w:rFonts w:ascii="Arial" w:eastAsia="Arial" w:hAnsi="Arial" w:cs="Arial"/>
                <w:i/>
                <w:sz w:val="18"/>
              </w:rPr>
              <w:t>AT</w:t>
            </w:r>
            <w:r>
              <w:t>、</w:t>
            </w:r>
            <w:r>
              <w:rPr>
                <w:rFonts w:ascii="Arial" w:eastAsia="Arial" w:hAnsi="Arial" w:cs="Arial"/>
                <w:i/>
                <w:sz w:val="18"/>
              </w:rPr>
              <w:t>BT</w:t>
            </w:r>
            <w:r>
              <w:t>、</w:t>
            </w:r>
            <w:r>
              <w:rPr>
                <w:rFonts w:ascii="Arial" w:eastAsia="Arial" w:hAnsi="Arial" w:cs="Arial"/>
                <w:i/>
                <w:sz w:val="18"/>
              </w:rPr>
              <w:t>CT</w:t>
            </w:r>
            <w:r>
              <w:t>、</w:t>
            </w:r>
            <w:r>
              <w:rPr>
                <w:rFonts w:ascii="Arial" w:eastAsia="Arial" w:hAnsi="Arial" w:cs="Arial"/>
                <w:i/>
                <w:sz w:val="18"/>
              </w:rPr>
              <w:t>IT</w:t>
            </w:r>
            <w:r>
              <w:t>、</w:t>
            </w:r>
            <w:r>
              <w:rPr>
                <w:rFonts w:ascii="Arial" w:eastAsia="Arial" w:hAnsi="Arial" w:cs="Arial"/>
                <w:i/>
                <w:sz w:val="18"/>
              </w:rPr>
              <w:t>LT</w:t>
            </w:r>
            <w:r>
              <w:t>、</w:t>
            </w:r>
            <w:r>
              <w:rPr>
                <w:rFonts w:ascii="Arial" w:eastAsia="Arial" w:hAnsi="Arial" w:cs="Arial"/>
                <w:i/>
                <w:sz w:val="18"/>
              </w:rPr>
              <w:t>NT</w:t>
            </w:r>
            <w:r>
              <w:t>、</w:t>
            </w:r>
            <w:r>
              <w:rPr>
                <w:rFonts w:ascii="Arial" w:eastAsia="Arial" w:hAnsi="Arial" w:cs="Arial"/>
                <w:i/>
                <w:sz w:val="18"/>
              </w:rPr>
              <w:t>S1D</w:t>
            </w:r>
            <w:r>
              <w:t>、</w:t>
            </w:r>
            <w:r>
              <w:rPr>
                <w:rFonts w:ascii="Arial" w:eastAsia="Arial" w:hAnsi="Arial" w:cs="Arial"/>
                <w:i/>
                <w:sz w:val="18"/>
              </w:rPr>
              <w:t>S1D2</w:t>
            </w:r>
            <w:r>
              <w:t>、</w:t>
            </w:r>
            <w:r>
              <w:rPr>
                <w:rFonts w:ascii="Arial" w:eastAsia="Arial" w:hAnsi="Arial" w:cs="Arial"/>
                <w:i/>
                <w:sz w:val="18"/>
              </w:rPr>
              <w:t xml:space="preserve">WT </w:t>
            </w:r>
            <w:r>
              <w:t>及</w:t>
            </w:r>
          </w:p>
          <w:p w:rsidR="004D6F0E" w:rsidRDefault="00490F21">
            <w:pPr>
              <w:spacing w:after="0" w:line="270" w:lineRule="auto"/>
              <w:ind w:left="348" w:right="1973" w:firstLine="0"/>
            </w:pPr>
            <w:r>
              <w:rPr>
                <w:rFonts w:ascii="Arial" w:eastAsia="Arial" w:hAnsi="Arial" w:cs="Arial"/>
                <w:i/>
                <w:sz w:val="18"/>
              </w:rPr>
              <w:t>ZT</w:t>
            </w:r>
            <w:r>
              <w:t>類股份</w:t>
            </w:r>
            <w:r>
              <w:rPr>
                <w:sz w:val="18"/>
              </w:rPr>
              <w:t>按月宣派及派付</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i/>
                <w:sz w:val="18"/>
              </w:rPr>
              <w:t xml:space="preserve"> </w:t>
            </w:r>
          </w:p>
          <w:p w:rsidR="004D6F0E" w:rsidRDefault="00490F21">
            <w:pPr>
              <w:spacing w:after="0" w:line="259" w:lineRule="auto"/>
              <w:ind w:left="348" w:firstLine="0"/>
            </w:pPr>
            <w:r>
              <w:rPr>
                <w:rFonts w:ascii="Arial" w:eastAsia="Arial" w:hAnsi="Arial" w:cs="Arial"/>
                <w:i/>
                <w:sz w:val="18"/>
              </w:rPr>
              <w:t>AA</w:t>
            </w:r>
            <w:r>
              <w:t>、</w:t>
            </w:r>
            <w:r>
              <w:rPr>
                <w:rFonts w:ascii="Arial" w:eastAsia="Arial" w:hAnsi="Arial" w:cs="Arial"/>
                <w:i/>
                <w:sz w:val="18"/>
              </w:rPr>
              <w:t>BA</w:t>
            </w:r>
            <w:r>
              <w:t>、</w:t>
            </w:r>
            <w:r>
              <w:rPr>
                <w:rFonts w:ascii="Arial" w:eastAsia="Arial" w:hAnsi="Arial" w:cs="Arial"/>
                <w:i/>
                <w:sz w:val="18"/>
              </w:rPr>
              <w:t>EA</w:t>
            </w:r>
            <w:r>
              <w:t>、</w:t>
            </w:r>
            <w:r>
              <w:rPr>
                <w:rFonts w:ascii="Arial" w:eastAsia="Arial" w:hAnsi="Arial" w:cs="Arial"/>
                <w:i/>
                <w:sz w:val="18"/>
              </w:rPr>
              <w:t>IA</w:t>
            </w:r>
            <w:r>
              <w:t>及</w:t>
            </w:r>
            <w:r>
              <w:rPr>
                <w:rFonts w:ascii="Arial" w:eastAsia="Arial" w:hAnsi="Arial" w:cs="Arial"/>
                <w:i/>
                <w:sz w:val="18"/>
              </w:rPr>
              <w:t>SA</w:t>
            </w:r>
            <w:r>
              <w:t>類股份</w:t>
            </w:r>
            <w:r>
              <w:rPr>
                <w:rFonts w:ascii="Arial" w:eastAsia="Arial" w:hAnsi="Arial" w:cs="Arial"/>
                <w:i/>
                <w:sz w:val="18"/>
              </w:rPr>
              <w:t xml:space="preserve"> </w:t>
            </w:r>
          </w:p>
          <w:p w:rsidR="004D6F0E" w:rsidRDefault="00490F21">
            <w:pPr>
              <w:spacing w:after="1" w:line="269" w:lineRule="auto"/>
              <w:ind w:left="348" w:firstLine="0"/>
            </w:pPr>
            <w:r>
              <w:rPr>
                <w:sz w:val="18"/>
              </w:rPr>
              <w:t>按月宣派及派付，派息率來自於總收入（扣除費用及開支前）</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i/>
                <w:sz w:val="18"/>
              </w:rPr>
              <w:t>SHK</w:t>
            </w:r>
            <w:r>
              <w:t>類股份</w:t>
            </w:r>
            <w:r>
              <w:rPr>
                <w:rFonts w:ascii="Arial" w:eastAsia="Arial" w:hAnsi="Arial" w:cs="Arial"/>
                <w:i/>
                <w:sz w:val="18"/>
              </w:rPr>
              <w:t xml:space="preserve"> </w:t>
            </w:r>
          </w:p>
          <w:p w:rsidR="004D6F0E" w:rsidRDefault="00490F21">
            <w:pPr>
              <w:spacing w:after="2" w:line="269" w:lineRule="auto"/>
              <w:ind w:left="348" w:firstLine="0"/>
            </w:pPr>
            <w:r>
              <w:rPr>
                <w:sz w:val="18"/>
              </w:rPr>
              <w:t>每日宣派及按月派付，派息率來自於總收入（扣除費用及開支前）</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i/>
                <w:sz w:val="18"/>
              </w:rPr>
              <w:t>AR</w:t>
            </w:r>
            <w:r>
              <w:t>類股份</w:t>
            </w:r>
            <w:r>
              <w:rPr>
                <w:sz w:val="18"/>
              </w:rPr>
              <w:t>按年宣派及派付，派息率來自於總收入（扣除費用及</w:t>
            </w:r>
          </w:p>
        </w:tc>
      </w:tr>
      <w:tr w:rsidR="004D6F0E">
        <w:trPr>
          <w:trHeight w:val="2714"/>
        </w:trPr>
        <w:tc>
          <w:tcPr>
            <w:tcW w:w="1548" w:type="dxa"/>
            <w:tcBorders>
              <w:top w:val="nil"/>
              <w:left w:val="nil"/>
              <w:bottom w:val="nil"/>
              <w:right w:val="nil"/>
            </w:tcBorders>
          </w:tcPr>
          <w:p w:rsidR="004D6F0E" w:rsidRDefault="00490F21">
            <w:pPr>
              <w:spacing w:after="2295" w:line="259" w:lineRule="auto"/>
              <w:ind w:left="0" w:firstLine="0"/>
            </w:pPr>
            <w:r>
              <w:rPr>
                <w:sz w:val="18"/>
              </w:rPr>
              <w:t>指示截止時間</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4548" w:type="dxa"/>
            <w:tcBorders>
              <w:top w:val="nil"/>
              <w:left w:val="nil"/>
              <w:bottom w:val="nil"/>
              <w:right w:val="nil"/>
            </w:tcBorders>
          </w:tcPr>
          <w:p w:rsidR="004D6F0E" w:rsidRDefault="00490F21">
            <w:pPr>
              <w:spacing w:after="9" w:line="254" w:lineRule="auto"/>
              <w:ind w:left="0" w:firstLine="0"/>
            </w:pPr>
            <w:r>
              <w:t>美元計價股份類別、歐元計價股份類別、港元計價股份類別及新加坡元計價股份類別</w:t>
            </w:r>
            <w:r>
              <w:rPr>
                <w:rFonts w:ascii="Arial" w:eastAsia="Arial" w:hAnsi="Arial" w:cs="Arial"/>
                <w:i/>
                <w:sz w:val="18"/>
              </w:rPr>
              <w:t xml:space="preserve"> </w:t>
            </w:r>
          </w:p>
          <w:p w:rsidR="004D6F0E" w:rsidRDefault="00490F21">
            <w:pPr>
              <w:spacing w:after="13" w:line="259" w:lineRule="auto"/>
              <w:ind w:left="12" w:firstLine="0"/>
            </w:pPr>
            <w:r>
              <w:rPr>
                <w:sz w:val="18"/>
              </w:rPr>
              <w:t>美國東部時間各營業日下午</w:t>
            </w:r>
            <w:r>
              <w:rPr>
                <w:sz w:val="18"/>
              </w:rPr>
              <w:t xml:space="preserve"> </w:t>
            </w:r>
            <w:r>
              <w:rPr>
                <w:rFonts w:ascii="Arial" w:eastAsia="Arial" w:hAnsi="Arial" w:cs="Arial"/>
                <w:sz w:val="18"/>
              </w:rPr>
              <w:t xml:space="preserve">4:00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12" w:line="262" w:lineRule="auto"/>
              <w:ind w:left="0" w:right="1159" w:firstLine="0"/>
            </w:pPr>
            <w:r>
              <w:t>日圓計價股份類別、貨幣對沖股份類別（人民幣對沖股份類別除外）及部分存續期對沖股份類別</w:t>
            </w:r>
            <w:r>
              <w:rPr>
                <w:sz w:val="18"/>
              </w:rPr>
              <w:t>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0" w:line="279" w:lineRule="auto"/>
              <w:ind w:left="12" w:right="706" w:hanging="12"/>
            </w:pPr>
            <w:r>
              <w:t>人民幣對沖股份類別</w:t>
            </w:r>
            <w:r>
              <w:rPr>
                <w:sz w:val="18"/>
              </w:rPr>
              <w:t>歐洲中部時間各營業日下午</w:t>
            </w:r>
            <w:r>
              <w:rPr>
                <w:sz w:val="18"/>
              </w:rPr>
              <w:t xml:space="preserve"> </w:t>
            </w:r>
            <w:r>
              <w:rPr>
                <w:rFonts w:ascii="Arial" w:eastAsia="Arial" w:hAnsi="Arial" w:cs="Arial"/>
                <w:sz w:val="18"/>
              </w:rPr>
              <w:t xml:space="preserve">1:00 </w:t>
            </w:r>
          </w:p>
          <w:p w:rsidR="004D6F0E" w:rsidRDefault="00490F21">
            <w:pPr>
              <w:spacing w:after="0" w:line="259" w:lineRule="auto"/>
              <w:ind w:left="12" w:firstLine="0"/>
            </w:pPr>
            <w:r>
              <w:rPr>
                <w:rFonts w:ascii="Arial" w:eastAsia="Arial" w:hAnsi="Arial" w:cs="Arial"/>
                <w:sz w:val="18"/>
              </w:rPr>
              <w:t xml:space="preserve"> </w:t>
            </w:r>
          </w:p>
        </w:tc>
        <w:tc>
          <w:tcPr>
            <w:tcW w:w="360" w:type="dxa"/>
            <w:tcBorders>
              <w:top w:val="nil"/>
              <w:left w:val="nil"/>
              <w:bottom w:val="nil"/>
              <w:right w:val="nil"/>
            </w:tcBorders>
          </w:tcPr>
          <w:p w:rsidR="004D6F0E" w:rsidRDefault="004D6F0E">
            <w:pPr>
              <w:spacing w:after="160" w:line="259" w:lineRule="auto"/>
              <w:ind w:left="0" w:firstLine="0"/>
            </w:pPr>
          </w:p>
        </w:tc>
        <w:tc>
          <w:tcPr>
            <w:tcW w:w="4435" w:type="dxa"/>
            <w:tcBorders>
              <w:top w:val="nil"/>
              <w:left w:val="nil"/>
              <w:bottom w:val="nil"/>
              <w:right w:val="nil"/>
            </w:tcBorders>
          </w:tcPr>
          <w:p w:rsidR="004D6F0E" w:rsidRDefault="00490F21">
            <w:pPr>
              <w:spacing w:after="7" w:line="259" w:lineRule="auto"/>
              <w:ind w:left="348" w:firstLine="0"/>
            </w:pPr>
            <w:r>
              <w:rPr>
                <w:sz w:val="18"/>
              </w:rPr>
              <w:t>開支前）</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i/>
                <w:sz w:val="18"/>
              </w:rPr>
              <w:t xml:space="preserve"> </w:t>
            </w:r>
          </w:p>
          <w:p w:rsidR="004D6F0E" w:rsidRDefault="00490F21">
            <w:pPr>
              <w:spacing w:after="0" w:line="226" w:lineRule="auto"/>
              <w:ind w:left="348" w:firstLine="0"/>
            </w:pPr>
            <w:r>
              <w:rPr>
                <w:rFonts w:ascii="Arial" w:eastAsia="Arial" w:hAnsi="Arial" w:cs="Arial"/>
                <w:i/>
                <w:sz w:val="18"/>
              </w:rPr>
              <w:t>A2</w:t>
            </w:r>
            <w:r>
              <w:t>、</w:t>
            </w:r>
            <w:r>
              <w:rPr>
                <w:rFonts w:ascii="Arial" w:eastAsia="Arial" w:hAnsi="Arial" w:cs="Arial"/>
                <w:i/>
                <w:sz w:val="18"/>
              </w:rPr>
              <w:t>B2</w:t>
            </w:r>
            <w:r>
              <w:t>、</w:t>
            </w:r>
            <w:r>
              <w:rPr>
                <w:rFonts w:ascii="Arial" w:eastAsia="Arial" w:hAnsi="Arial" w:cs="Arial"/>
                <w:i/>
                <w:sz w:val="18"/>
              </w:rPr>
              <w:t>C2</w:t>
            </w:r>
            <w:r>
              <w:t>、</w:t>
            </w:r>
            <w:r>
              <w:rPr>
                <w:rFonts w:ascii="Arial" w:eastAsia="Arial" w:hAnsi="Arial" w:cs="Arial"/>
                <w:i/>
                <w:sz w:val="18"/>
              </w:rPr>
              <w:t>I2</w:t>
            </w:r>
            <w:r>
              <w:t>、</w:t>
            </w:r>
            <w:r>
              <w:rPr>
                <w:rFonts w:ascii="Arial" w:eastAsia="Arial" w:hAnsi="Arial" w:cs="Arial"/>
                <w:i/>
                <w:sz w:val="18"/>
              </w:rPr>
              <w:t>L2</w:t>
            </w:r>
            <w:r>
              <w:t>、</w:t>
            </w:r>
            <w:r>
              <w:rPr>
                <w:rFonts w:ascii="Arial" w:eastAsia="Arial" w:hAnsi="Arial" w:cs="Arial"/>
                <w:i/>
                <w:sz w:val="18"/>
              </w:rPr>
              <w:t>N2</w:t>
            </w:r>
            <w:r>
              <w:t>、</w:t>
            </w:r>
            <w:r>
              <w:rPr>
                <w:rFonts w:ascii="Arial" w:eastAsia="Arial" w:hAnsi="Arial" w:cs="Arial"/>
                <w:i/>
                <w:sz w:val="18"/>
              </w:rPr>
              <w:t>S</w:t>
            </w:r>
            <w:r>
              <w:t>、</w:t>
            </w:r>
            <w:r>
              <w:rPr>
                <w:rFonts w:ascii="Arial" w:eastAsia="Arial" w:hAnsi="Arial" w:cs="Arial"/>
                <w:i/>
                <w:sz w:val="18"/>
              </w:rPr>
              <w:t>S1</w:t>
            </w:r>
            <w:r>
              <w:t>及</w:t>
            </w:r>
            <w:r>
              <w:rPr>
                <w:rFonts w:ascii="Arial" w:eastAsia="Arial" w:hAnsi="Arial" w:cs="Arial"/>
                <w:i/>
                <w:sz w:val="18"/>
              </w:rPr>
              <w:t>W2</w:t>
            </w:r>
            <w:r>
              <w:t>類股份</w:t>
            </w:r>
            <w:r>
              <w:rPr>
                <w:sz w:val="18"/>
              </w:rPr>
              <w:t>無。</w:t>
            </w:r>
            <w:r>
              <w:rPr>
                <w:rFonts w:ascii="Arial" w:eastAsia="Arial" w:hAnsi="Arial" w:cs="Arial"/>
                <w:sz w:val="24"/>
              </w:rPr>
              <w:t xml:space="preserve"> </w:t>
            </w:r>
          </w:p>
          <w:p w:rsidR="004D6F0E" w:rsidRDefault="00490F21">
            <w:pPr>
              <w:spacing w:after="0" w:line="259" w:lineRule="auto"/>
              <w:ind w:left="348" w:firstLine="0"/>
            </w:pP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i/>
                <w:sz w:val="18"/>
              </w:rPr>
              <w:t>AK</w:t>
            </w:r>
            <w:r>
              <w:t>及</w:t>
            </w:r>
            <w:r>
              <w:rPr>
                <w:rFonts w:ascii="Arial" w:eastAsia="Arial" w:hAnsi="Arial" w:cs="Arial"/>
                <w:i/>
                <w:sz w:val="18"/>
              </w:rPr>
              <w:t>CK</w:t>
            </w:r>
            <w:r>
              <w:t>類股份</w:t>
            </w:r>
            <w:r>
              <w:rPr>
                <w:rFonts w:ascii="Arial" w:eastAsia="Arial" w:hAnsi="Arial" w:cs="Arial"/>
                <w:i/>
                <w:sz w:val="18"/>
              </w:rPr>
              <w:t xml:space="preserve"> </w:t>
            </w:r>
          </w:p>
          <w:p w:rsidR="004D6F0E" w:rsidRDefault="00490F21">
            <w:pPr>
              <w:spacing w:after="7" w:line="259" w:lineRule="auto"/>
              <w:ind w:left="348" w:firstLine="0"/>
            </w:pPr>
            <w:r>
              <w:rPr>
                <w:sz w:val="18"/>
              </w:rPr>
              <w:t>每年兩次宣派及派付</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sz w:val="18"/>
              </w:rPr>
              <w:t xml:space="preserve"> </w:t>
            </w:r>
          </w:p>
          <w:p w:rsidR="004D6F0E" w:rsidRDefault="00490F21">
            <w:pPr>
              <w:spacing w:after="0" w:line="270" w:lineRule="auto"/>
              <w:ind w:left="348" w:right="1702" w:firstLine="0"/>
            </w:pPr>
            <w:r>
              <w:rPr>
                <w:rFonts w:ascii="Arial" w:eastAsia="Arial" w:hAnsi="Arial" w:cs="Arial"/>
                <w:i/>
                <w:sz w:val="18"/>
              </w:rPr>
              <w:t>S1QD</w:t>
            </w:r>
            <w:r>
              <w:t>類股份</w:t>
            </w:r>
            <w:r>
              <w:rPr>
                <w:sz w:val="18"/>
              </w:rPr>
              <w:t>按季宣派及派付</w:t>
            </w:r>
            <w:r>
              <w:rPr>
                <w:rFonts w:ascii="Arial" w:eastAsia="Arial" w:hAnsi="Arial" w:cs="Arial"/>
                <w:sz w:val="18"/>
              </w:rPr>
              <w:t xml:space="preserve"> </w:t>
            </w:r>
          </w:p>
          <w:p w:rsidR="004D6F0E" w:rsidRDefault="00490F21">
            <w:pPr>
              <w:spacing w:after="0" w:line="259" w:lineRule="auto"/>
              <w:ind w:left="348" w:firstLine="0"/>
            </w:pPr>
            <w:r>
              <w:rPr>
                <w:rFonts w:ascii="Arial" w:eastAsia="Arial" w:hAnsi="Arial" w:cs="Arial"/>
                <w:sz w:val="18"/>
              </w:rPr>
              <w:t xml:space="preserve"> </w:t>
            </w:r>
          </w:p>
          <w:p w:rsidR="004D6F0E" w:rsidRDefault="00490F21">
            <w:pPr>
              <w:spacing w:after="0" w:line="259" w:lineRule="auto"/>
              <w:ind w:left="348" w:firstLine="0"/>
            </w:pPr>
            <w:r>
              <w:rPr>
                <w:sz w:val="18"/>
              </w:rPr>
              <w:t>見下文「派息」。</w:t>
            </w:r>
            <w:r>
              <w:rPr>
                <w:rFonts w:ascii="Arial" w:eastAsia="Arial" w:hAnsi="Arial" w:cs="Arial"/>
                <w:sz w:val="18"/>
              </w:rPr>
              <w:t xml:space="preserve"> </w:t>
            </w:r>
          </w:p>
        </w:tc>
      </w:tr>
    </w:tbl>
    <w:p w:rsidR="004D6F0E" w:rsidRDefault="00490F21">
      <w:pPr>
        <w:spacing w:after="91" w:line="417" w:lineRule="auto"/>
        <w:ind w:left="110" w:right="9600" w:hanging="108"/>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488941</wp:posOffset>
                </wp:positionV>
                <wp:extent cx="7021069" cy="18288"/>
                <wp:effectExtent l="0" t="0" r="0" b="0"/>
                <wp:wrapSquare wrapText="bothSides"/>
                <wp:docPr id="487264" name="Group 487264"/>
                <wp:cNvGraphicFramePr/>
                <a:graphic xmlns:a="http://schemas.openxmlformats.org/drawingml/2006/main">
                  <a:graphicData uri="http://schemas.microsoft.com/office/word/2010/wordprocessingGroup">
                    <wpg:wgp>
                      <wpg:cNvGrpSpPr/>
                      <wpg:grpSpPr>
                        <a:xfrm>
                          <a:off x="0" y="0"/>
                          <a:ext cx="7021069" cy="18288"/>
                          <a:chOff x="0" y="0"/>
                          <a:chExt cx="7021069" cy="18288"/>
                        </a:xfrm>
                      </wpg:grpSpPr>
                      <wps:wsp>
                        <wps:cNvPr id="658233" name="Shape 658233"/>
                        <wps:cNvSpPr/>
                        <wps:spPr>
                          <a:xfrm>
                            <a:off x="0" y="0"/>
                            <a:ext cx="990600" cy="18288"/>
                          </a:xfrm>
                          <a:custGeom>
                            <a:avLst/>
                            <a:gdLst/>
                            <a:ahLst/>
                            <a:cxnLst/>
                            <a:rect l="0" t="0" r="0" b="0"/>
                            <a:pathLst>
                              <a:path w="990600" h="18288">
                                <a:moveTo>
                                  <a:pt x="0" y="0"/>
                                </a:moveTo>
                                <a:lnTo>
                                  <a:pt x="990600" y="0"/>
                                </a:lnTo>
                                <a:lnTo>
                                  <a:pt x="9906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4" name="Shape 658234"/>
                        <wps:cNvSpPr/>
                        <wps:spPr>
                          <a:xfrm>
                            <a:off x="9906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5" name="Shape 658235"/>
                        <wps:cNvSpPr/>
                        <wps:spPr>
                          <a:xfrm>
                            <a:off x="1008888" y="0"/>
                            <a:ext cx="2231136" cy="18288"/>
                          </a:xfrm>
                          <a:custGeom>
                            <a:avLst/>
                            <a:gdLst/>
                            <a:ahLst/>
                            <a:cxnLst/>
                            <a:rect l="0" t="0" r="0" b="0"/>
                            <a:pathLst>
                              <a:path w="2231136" h="18288">
                                <a:moveTo>
                                  <a:pt x="0" y="0"/>
                                </a:moveTo>
                                <a:lnTo>
                                  <a:pt x="2231136" y="0"/>
                                </a:lnTo>
                                <a:lnTo>
                                  <a:pt x="2231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6" name="Shape 658236"/>
                        <wps:cNvSpPr/>
                        <wps:spPr>
                          <a:xfrm>
                            <a:off x="32400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7" name="Shape 658237"/>
                        <wps:cNvSpPr/>
                        <wps:spPr>
                          <a:xfrm>
                            <a:off x="3258312" y="0"/>
                            <a:ext cx="612648" cy="18288"/>
                          </a:xfrm>
                          <a:custGeom>
                            <a:avLst/>
                            <a:gdLst/>
                            <a:ahLst/>
                            <a:cxnLst/>
                            <a:rect l="0" t="0" r="0" b="0"/>
                            <a:pathLst>
                              <a:path w="612648" h="18288">
                                <a:moveTo>
                                  <a:pt x="0" y="0"/>
                                </a:moveTo>
                                <a:lnTo>
                                  <a:pt x="612648" y="0"/>
                                </a:lnTo>
                                <a:lnTo>
                                  <a:pt x="6126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8" name="Shape 658238"/>
                        <wps:cNvSpPr/>
                        <wps:spPr>
                          <a:xfrm>
                            <a:off x="38709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39" name="Shape 658239"/>
                        <wps:cNvSpPr/>
                        <wps:spPr>
                          <a:xfrm>
                            <a:off x="38801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40" name="Shape 658240"/>
                        <wps:cNvSpPr/>
                        <wps:spPr>
                          <a:xfrm>
                            <a:off x="3898392" y="0"/>
                            <a:ext cx="422148" cy="18288"/>
                          </a:xfrm>
                          <a:custGeom>
                            <a:avLst/>
                            <a:gdLst/>
                            <a:ahLst/>
                            <a:cxnLst/>
                            <a:rect l="0" t="0" r="0" b="0"/>
                            <a:pathLst>
                              <a:path w="422148" h="18288">
                                <a:moveTo>
                                  <a:pt x="0" y="0"/>
                                </a:moveTo>
                                <a:lnTo>
                                  <a:pt x="422148" y="0"/>
                                </a:lnTo>
                                <a:lnTo>
                                  <a:pt x="4221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41" name="Shape 658241"/>
                        <wps:cNvSpPr/>
                        <wps:spPr>
                          <a:xfrm>
                            <a:off x="432054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42" name="Shape 658242"/>
                        <wps:cNvSpPr/>
                        <wps:spPr>
                          <a:xfrm>
                            <a:off x="4338828" y="0"/>
                            <a:ext cx="2682240" cy="18288"/>
                          </a:xfrm>
                          <a:custGeom>
                            <a:avLst/>
                            <a:gdLst/>
                            <a:ahLst/>
                            <a:cxnLst/>
                            <a:rect l="0" t="0" r="0" b="0"/>
                            <a:pathLst>
                              <a:path w="2682240" h="18288">
                                <a:moveTo>
                                  <a:pt x="0" y="0"/>
                                </a:moveTo>
                                <a:lnTo>
                                  <a:pt x="2682240" y="0"/>
                                </a:lnTo>
                                <a:lnTo>
                                  <a:pt x="26822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7264" style="width:552.84pt;height:1.44pt;position:absolute;mso-position-horizontal-relative:text;mso-position-horizontal:absolute;margin-left:0pt;mso-position-vertical-relative:text;margin-top:38.4993pt;" coordsize="70210,182">
                <v:shape id="Shape 658243" style="position:absolute;width:9906;height:182;left:0;top:0;" coordsize="990600,18288" path="m0,0l990600,0l990600,18288l0,18288l0,0">
                  <v:stroke weight="0pt" endcap="flat" joinstyle="miter" miterlimit="10" on="false" color="#000000" opacity="0"/>
                  <v:fill on="true" color="#000000"/>
                </v:shape>
                <v:shape id="Shape 658244" style="position:absolute;width:182;height:182;left:9906;top:0;" coordsize="18288,18288" path="m0,0l18288,0l18288,18288l0,18288l0,0">
                  <v:stroke weight="0pt" endcap="flat" joinstyle="miter" miterlimit="10" on="false" color="#000000" opacity="0"/>
                  <v:fill on="true" color="#000000"/>
                </v:shape>
                <v:shape id="Shape 658245" style="position:absolute;width:22311;height:182;left:10088;top:0;" coordsize="2231136,18288" path="m0,0l2231136,0l2231136,18288l0,18288l0,0">
                  <v:stroke weight="0pt" endcap="flat" joinstyle="miter" miterlimit="10" on="false" color="#000000" opacity="0"/>
                  <v:fill on="true" color="#000000"/>
                </v:shape>
                <v:shape id="Shape 658246" style="position:absolute;width:182;height:182;left:32400;top:0;" coordsize="18288,18288" path="m0,0l18288,0l18288,18288l0,18288l0,0">
                  <v:stroke weight="0pt" endcap="flat" joinstyle="miter" miterlimit="10" on="false" color="#000000" opacity="0"/>
                  <v:fill on="true" color="#000000"/>
                </v:shape>
                <v:shape id="Shape 658247" style="position:absolute;width:6126;height:182;left:32583;top:0;" coordsize="612648,18288" path="m0,0l612648,0l612648,18288l0,18288l0,0">
                  <v:stroke weight="0pt" endcap="flat" joinstyle="miter" miterlimit="10" on="false" color="#000000" opacity="0"/>
                  <v:fill on="true" color="#000000"/>
                </v:shape>
                <v:shape id="Shape 658248" style="position:absolute;width:182;height:182;left:38709;top:0;" coordsize="18288,18288" path="m0,0l18288,0l18288,18288l0,18288l0,0">
                  <v:stroke weight="0pt" endcap="flat" joinstyle="miter" miterlimit="10" on="false" color="#000000" opacity="0"/>
                  <v:fill on="true" color="#000000"/>
                </v:shape>
                <v:shape id="Shape 658249" style="position:absolute;width:182;height:182;left:38801;top:0;" coordsize="18288,18288" path="m0,0l18288,0l18288,18288l0,18288l0,0">
                  <v:stroke weight="0pt" endcap="flat" joinstyle="miter" miterlimit="10" on="false" color="#000000" opacity="0"/>
                  <v:fill on="true" color="#000000"/>
                </v:shape>
                <v:shape id="Shape 658250" style="position:absolute;width:4221;height:182;left:38983;top:0;" coordsize="422148,18288" path="m0,0l422148,0l422148,18288l0,18288l0,0">
                  <v:stroke weight="0pt" endcap="flat" joinstyle="miter" miterlimit="10" on="false" color="#000000" opacity="0"/>
                  <v:fill on="true" color="#000000"/>
                </v:shape>
                <v:shape id="Shape 658251" style="position:absolute;width:182;height:182;left:43205;top:0;" coordsize="18288,18288" path="m0,0l18288,0l18288,18288l0,18288l0,0">
                  <v:stroke weight="0pt" endcap="flat" joinstyle="miter" miterlimit="10" on="false" color="#000000" opacity="0"/>
                  <v:fill on="true" color="#000000"/>
                </v:shape>
                <v:shape id="Shape 658252" style="position:absolute;width:26822;height:182;left:43388;top:0;" coordsize="2682240,18288" path="m0,0l2682240,0l2682240,18288l0,18288l0,0">
                  <v:stroke weight="0pt" endcap="flat" joinstyle="miter" miterlimit="10" on="false" color="#000000" opacity="0"/>
                  <v:fill on="true" color="#000000"/>
                </v:shape>
                <w10:wrap type="square"/>
              </v:group>
            </w:pict>
          </mc:Fallback>
        </mc:AlternateContent>
      </w:r>
      <w:r>
        <w:rPr>
          <w:sz w:val="23"/>
        </w:rPr>
        <w:t>摘要資料</w:t>
      </w:r>
      <w:r>
        <w:t>基金特色</w:t>
      </w:r>
      <w:r>
        <w:rPr>
          <w:rFonts w:ascii="Arial" w:eastAsia="Arial" w:hAnsi="Arial" w:cs="Arial"/>
          <w:sz w:val="24"/>
        </w:rPr>
        <w:t xml:space="preserve"> </w:t>
      </w:r>
    </w:p>
    <w:p w:rsidR="004D6F0E" w:rsidRDefault="00490F21">
      <w:pPr>
        <w:spacing w:before="32" w:after="0" w:line="259" w:lineRule="auto"/>
        <w:ind w:left="2541" w:firstLine="0"/>
        <w:jc w:val="center"/>
      </w:pPr>
      <w:r>
        <w:rPr>
          <w:rFonts w:ascii="Arial" w:eastAsia="Arial" w:hAnsi="Arial" w:cs="Arial"/>
          <w:sz w:val="18"/>
        </w:rPr>
        <w:lastRenderedPageBreak/>
        <w:t xml:space="preserve"> </w:t>
      </w:r>
    </w:p>
    <w:p w:rsidR="004D6F0E" w:rsidRDefault="00490F21">
      <w:pPr>
        <w:spacing w:after="4" w:line="265" w:lineRule="auto"/>
        <w:ind w:right="1471" w:hanging="10"/>
        <w:jc w:val="right"/>
      </w:pPr>
      <w:r>
        <w:rPr>
          <w:rFonts w:ascii="Arial" w:eastAsia="Arial" w:hAnsi="Arial" w:cs="Arial"/>
          <w:sz w:val="18"/>
        </w:rPr>
        <w:t>*</w:t>
      </w:r>
      <w:r>
        <w:rPr>
          <w:sz w:val="18"/>
        </w:rPr>
        <w:t>包括對沖及部分存續期對沖股份類別</w:t>
      </w:r>
      <w:r>
        <w:rPr>
          <w:rFonts w:ascii="Arial" w:eastAsia="Arial" w:hAnsi="Arial" w:cs="Arial"/>
          <w:sz w:val="18"/>
        </w:rPr>
        <w:t xml:space="preserve"> </w:t>
      </w:r>
    </w:p>
    <w:p w:rsidR="004D6F0E" w:rsidRDefault="00490F21">
      <w:pPr>
        <w:spacing w:after="0" w:line="259" w:lineRule="auto"/>
        <w:ind w:left="2541" w:firstLine="0"/>
        <w:jc w:val="center"/>
      </w:pPr>
      <w:r>
        <w:rPr>
          <w:rFonts w:ascii="Arial" w:eastAsia="Arial" w:hAnsi="Arial" w:cs="Arial"/>
          <w:sz w:val="18"/>
        </w:rPr>
        <w:t xml:space="preserve"> </w:t>
      </w:r>
    </w:p>
    <w:p w:rsidR="004D6F0E" w:rsidRDefault="00490F21">
      <w:pPr>
        <w:spacing w:after="9" w:line="259" w:lineRule="auto"/>
        <w:ind w:left="0" w:firstLine="0"/>
      </w:pPr>
      <w:r>
        <w:rPr>
          <w:rFonts w:ascii="Calibri" w:eastAsia="Calibri" w:hAnsi="Calibri" w:cs="Calibri"/>
          <w:noProof/>
          <w:sz w:val="22"/>
        </w:rPr>
        <mc:AlternateContent>
          <mc:Choice Requires="wpg">
            <w:drawing>
              <wp:inline distT="0" distB="0" distL="0" distR="0">
                <wp:extent cx="7021069" cy="373380"/>
                <wp:effectExtent l="0" t="0" r="0" b="0"/>
                <wp:docPr id="487265" name="Group 487265"/>
                <wp:cNvGraphicFramePr/>
                <a:graphic xmlns:a="http://schemas.openxmlformats.org/drawingml/2006/main">
                  <a:graphicData uri="http://schemas.microsoft.com/office/word/2010/wordprocessingGroup">
                    <wpg:wgp>
                      <wpg:cNvGrpSpPr/>
                      <wpg:grpSpPr>
                        <a:xfrm>
                          <a:off x="0" y="0"/>
                          <a:ext cx="7021069" cy="373380"/>
                          <a:chOff x="0" y="0"/>
                          <a:chExt cx="7021069" cy="373380"/>
                        </a:xfrm>
                      </wpg:grpSpPr>
                      <wps:wsp>
                        <wps:cNvPr id="27551" name="Rectangle 27551"/>
                        <wps:cNvSpPr/>
                        <wps:spPr>
                          <a:xfrm>
                            <a:off x="68580" y="34963"/>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27552" name="Rectangle 27552"/>
                        <wps:cNvSpPr/>
                        <wps:spPr>
                          <a:xfrm>
                            <a:off x="1127760" y="32916"/>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27553" name="Rectangle 27553"/>
                        <wps:cNvSpPr/>
                        <wps:spPr>
                          <a:xfrm>
                            <a:off x="1168908" y="15541"/>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255" name="Shape 658255"/>
                        <wps:cNvSpPr/>
                        <wps:spPr>
                          <a:xfrm>
                            <a:off x="0" y="0"/>
                            <a:ext cx="990600" cy="18288"/>
                          </a:xfrm>
                          <a:custGeom>
                            <a:avLst/>
                            <a:gdLst/>
                            <a:ahLst/>
                            <a:cxnLst/>
                            <a:rect l="0" t="0" r="0" b="0"/>
                            <a:pathLst>
                              <a:path w="990600" h="18288">
                                <a:moveTo>
                                  <a:pt x="0" y="0"/>
                                </a:moveTo>
                                <a:lnTo>
                                  <a:pt x="990600" y="0"/>
                                </a:lnTo>
                                <a:lnTo>
                                  <a:pt x="9906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56" name="Shape 658256"/>
                        <wps:cNvSpPr/>
                        <wps:spPr>
                          <a:xfrm>
                            <a:off x="9906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57" name="Shape 658257"/>
                        <wps:cNvSpPr/>
                        <wps:spPr>
                          <a:xfrm>
                            <a:off x="1008888" y="0"/>
                            <a:ext cx="2231136" cy="18288"/>
                          </a:xfrm>
                          <a:custGeom>
                            <a:avLst/>
                            <a:gdLst/>
                            <a:ahLst/>
                            <a:cxnLst/>
                            <a:rect l="0" t="0" r="0" b="0"/>
                            <a:pathLst>
                              <a:path w="2231136" h="18288">
                                <a:moveTo>
                                  <a:pt x="0" y="0"/>
                                </a:moveTo>
                                <a:lnTo>
                                  <a:pt x="2231136" y="0"/>
                                </a:lnTo>
                                <a:lnTo>
                                  <a:pt x="2231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58" name="Shape 658258"/>
                        <wps:cNvSpPr/>
                        <wps:spPr>
                          <a:xfrm>
                            <a:off x="32400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59" name="Shape 658259"/>
                        <wps:cNvSpPr/>
                        <wps:spPr>
                          <a:xfrm>
                            <a:off x="3258312" y="0"/>
                            <a:ext cx="612648" cy="18288"/>
                          </a:xfrm>
                          <a:custGeom>
                            <a:avLst/>
                            <a:gdLst/>
                            <a:ahLst/>
                            <a:cxnLst/>
                            <a:rect l="0" t="0" r="0" b="0"/>
                            <a:pathLst>
                              <a:path w="612648" h="18288">
                                <a:moveTo>
                                  <a:pt x="0" y="0"/>
                                </a:moveTo>
                                <a:lnTo>
                                  <a:pt x="612648" y="0"/>
                                </a:lnTo>
                                <a:lnTo>
                                  <a:pt x="6126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60" name="Shape 658260"/>
                        <wps:cNvSpPr/>
                        <wps:spPr>
                          <a:xfrm>
                            <a:off x="38709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61" name="Shape 658261"/>
                        <wps:cNvSpPr/>
                        <wps:spPr>
                          <a:xfrm>
                            <a:off x="3889248" y="0"/>
                            <a:ext cx="431292" cy="18288"/>
                          </a:xfrm>
                          <a:custGeom>
                            <a:avLst/>
                            <a:gdLst/>
                            <a:ahLst/>
                            <a:cxnLst/>
                            <a:rect l="0" t="0" r="0" b="0"/>
                            <a:pathLst>
                              <a:path w="431292" h="18288">
                                <a:moveTo>
                                  <a:pt x="0" y="0"/>
                                </a:moveTo>
                                <a:lnTo>
                                  <a:pt x="431292" y="0"/>
                                </a:lnTo>
                                <a:lnTo>
                                  <a:pt x="43129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62" name="Shape 658262"/>
                        <wps:cNvSpPr/>
                        <wps:spPr>
                          <a:xfrm>
                            <a:off x="432054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63" name="Shape 658263"/>
                        <wps:cNvSpPr/>
                        <wps:spPr>
                          <a:xfrm>
                            <a:off x="4338828" y="0"/>
                            <a:ext cx="2682240" cy="18288"/>
                          </a:xfrm>
                          <a:custGeom>
                            <a:avLst/>
                            <a:gdLst/>
                            <a:ahLst/>
                            <a:cxnLst/>
                            <a:rect l="0" t="0" r="0" b="0"/>
                            <a:pathLst>
                              <a:path w="2682240" h="18288">
                                <a:moveTo>
                                  <a:pt x="0" y="0"/>
                                </a:moveTo>
                                <a:lnTo>
                                  <a:pt x="2682240" y="0"/>
                                </a:lnTo>
                                <a:lnTo>
                                  <a:pt x="26822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3" name="Rectangle 27563"/>
                        <wps:cNvSpPr/>
                        <wps:spPr>
                          <a:xfrm>
                            <a:off x="68580" y="215795"/>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eaVert" lIns="0" tIns="0" rIns="0" bIns="0" rtlCol="0">
                          <a:noAutofit/>
                        </wps:bodyPr>
                      </wps:wsp>
                      <wps:wsp>
                        <wps:cNvPr id="27564" name="Rectangle 27564"/>
                        <wps:cNvSpPr/>
                        <wps:spPr>
                          <a:xfrm>
                            <a:off x="1883664" y="2239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27565" name="Rectangle 27565"/>
                        <wps:cNvSpPr/>
                        <wps:spPr>
                          <a:xfrm>
                            <a:off x="2485644"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27566" name="Rectangle 27566"/>
                        <wps:cNvSpPr/>
                        <wps:spPr>
                          <a:xfrm>
                            <a:off x="2526792" y="2045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266" name="Shape 658266"/>
                        <wps:cNvSpPr/>
                        <wps:spPr>
                          <a:xfrm>
                            <a:off x="1580388" y="367284"/>
                            <a:ext cx="1249680" cy="9144"/>
                          </a:xfrm>
                          <a:custGeom>
                            <a:avLst/>
                            <a:gdLst/>
                            <a:ahLst/>
                            <a:cxnLst/>
                            <a:rect l="0" t="0" r="0" b="0"/>
                            <a:pathLst>
                              <a:path w="1249680" h="9144">
                                <a:moveTo>
                                  <a:pt x="0" y="0"/>
                                </a:moveTo>
                                <a:lnTo>
                                  <a:pt x="1249680" y="0"/>
                                </a:lnTo>
                                <a:lnTo>
                                  <a:pt x="12496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8" name="Rectangle 27568"/>
                        <wps:cNvSpPr/>
                        <wps:spPr>
                          <a:xfrm>
                            <a:off x="3348228" y="2239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27569" name="Rectangle 27569"/>
                        <wps:cNvSpPr/>
                        <wps:spPr>
                          <a:xfrm>
                            <a:off x="3721608"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27570" name="Rectangle 27570"/>
                        <wps:cNvSpPr/>
                        <wps:spPr>
                          <a:xfrm>
                            <a:off x="3762756" y="232254"/>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8269" name="Shape 658269"/>
                        <wps:cNvSpPr/>
                        <wps:spPr>
                          <a:xfrm>
                            <a:off x="2930652" y="367284"/>
                            <a:ext cx="1249680" cy="9144"/>
                          </a:xfrm>
                          <a:custGeom>
                            <a:avLst/>
                            <a:gdLst/>
                            <a:ahLst/>
                            <a:cxnLst/>
                            <a:rect l="0" t="0" r="0" b="0"/>
                            <a:pathLst>
                              <a:path w="1249680" h="9144">
                                <a:moveTo>
                                  <a:pt x="0" y="0"/>
                                </a:moveTo>
                                <a:lnTo>
                                  <a:pt x="1249680" y="0"/>
                                </a:lnTo>
                                <a:lnTo>
                                  <a:pt x="12496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2" name="Rectangle 27572"/>
                        <wps:cNvSpPr/>
                        <wps:spPr>
                          <a:xfrm>
                            <a:off x="4698492" y="2239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27573" name="Rectangle 27573"/>
                        <wps:cNvSpPr/>
                        <wps:spPr>
                          <a:xfrm>
                            <a:off x="5071872"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27574" name="Rectangle 27574"/>
                        <wps:cNvSpPr/>
                        <wps:spPr>
                          <a:xfrm>
                            <a:off x="5113020" y="2045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272" name="Shape 658272"/>
                        <wps:cNvSpPr/>
                        <wps:spPr>
                          <a:xfrm>
                            <a:off x="4280916" y="367284"/>
                            <a:ext cx="1249693" cy="9144"/>
                          </a:xfrm>
                          <a:custGeom>
                            <a:avLst/>
                            <a:gdLst/>
                            <a:ahLst/>
                            <a:cxnLst/>
                            <a:rect l="0" t="0" r="0" b="0"/>
                            <a:pathLst>
                              <a:path w="1249693" h="9144">
                                <a:moveTo>
                                  <a:pt x="0" y="0"/>
                                </a:moveTo>
                                <a:lnTo>
                                  <a:pt x="1249693" y="0"/>
                                </a:lnTo>
                                <a:lnTo>
                                  <a:pt x="12496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76" name="Rectangle 27576"/>
                        <wps:cNvSpPr/>
                        <wps:spPr>
                          <a:xfrm>
                            <a:off x="5864352" y="223939"/>
                            <a:ext cx="1064133"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27577" name="Rectangle 27577"/>
                        <wps:cNvSpPr/>
                        <wps:spPr>
                          <a:xfrm>
                            <a:off x="6694933" y="2218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27578" name="Rectangle 27578"/>
                        <wps:cNvSpPr/>
                        <wps:spPr>
                          <a:xfrm>
                            <a:off x="6736081" y="2045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275" name="Shape 658275"/>
                        <wps:cNvSpPr/>
                        <wps:spPr>
                          <a:xfrm>
                            <a:off x="5631180" y="367284"/>
                            <a:ext cx="1339596" cy="9144"/>
                          </a:xfrm>
                          <a:custGeom>
                            <a:avLst/>
                            <a:gdLst/>
                            <a:ahLst/>
                            <a:cxnLst/>
                            <a:rect l="0" t="0" r="0" b="0"/>
                            <a:pathLst>
                              <a:path w="1339596" h="9144">
                                <a:moveTo>
                                  <a:pt x="0" y="0"/>
                                </a:moveTo>
                                <a:lnTo>
                                  <a:pt x="1339596" y="0"/>
                                </a:lnTo>
                                <a:lnTo>
                                  <a:pt x="13395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87265" o:spid="_x0000_s1252" style="width:552.85pt;height:29.4pt;mso-position-horizontal-relative:char;mso-position-vertical-relative:line" coordsize="70210,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">
                <v:rect id="Rectangle 27551" o:spid="_x0000_s1253" style="position:absolute;left:685;top:349;width:1370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27552" o:spid="_x0000_s1254" style="position:absolute;left:11277;top:329;width:564;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27553" o:spid="_x0000_s1255" style="position:absolute;left:11689;top:15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255" o:spid="_x0000_s1256" style="position:absolute;width:9906;height:182;visibility:visible;mso-wrap-style:square;v-text-anchor:top" coordsize="9906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" path="m,l990600,r,18288l,18288,,e" fillcolor="black" stroked="f" strokeweight="0">
                  <v:stroke miterlimit="83231f" joinstyle="miter"/>
                  <v:path arrowok="t" textboxrect="0,0,990600,18288"/>
                </v:shape>
                <v:shape id="Shape 658256" o:spid="_x0000_s1257" style="position:absolute;left:9906;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" path="m,l18288,r,18288l,18288,,e" fillcolor="black" stroked="f" strokeweight="0">
                  <v:stroke miterlimit="83231f" joinstyle="miter"/>
                  <v:path arrowok="t" textboxrect="0,0,18288,18288"/>
                </v:shape>
                <v:shape id="Shape 658257" o:spid="_x0000_s1258" style="position:absolute;left:10088;width:22312;height:182;visibility:visible;mso-wrap-style:square;v-text-anchor:top" coordsize="22311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" path="m,l2231136,r,18288l,18288,,e" fillcolor="black" stroked="f" strokeweight="0">
                  <v:stroke miterlimit="83231f" joinstyle="miter"/>
                  <v:path arrowok="t" textboxrect="0,0,2231136,18288"/>
                </v:shape>
                <v:shape id="Shape 658258" o:spid="_x0000_s1259" style="position:absolute;left:3240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" path="m,l18288,r,18288l,18288,,e" fillcolor="black" stroked="f" strokeweight="0">
                  <v:stroke miterlimit="83231f" joinstyle="miter"/>
                  <v:path arrowok="t" textboxrect="0,0,18288,18288"/>
                </v:shape>
                <v:shape id="Shape 658259" o:spid="_x0000_s1260" style="position:absolute;left:32583;width:6126;height:182;visibility:visible;mso-wrap-style:square;v-text-anchor:top" coordsize="6126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" path="m,l612648,r,18288l,18288,,e" fillcolor="black" stroked="f" strokeweight="0">
                  <v:stroke miterlimit="83231f" joinstyle="miter"/>
                  <v:path arrowok="t" textboxrect="0,0,612648,18288"/>
                </v:shape>
                <v:shape id="Shape 658260" o:spid="_x0000_s1261" style="position:absolute;left:3870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" path="m,l18288,r,18288l,18288,,e" fillcolor="black" stroked="f" strokeweight="0">
                  <v:stroke miterlimit="83231f" joinstyle="miter"/>
                  <v:path arrowok="t" textboxrect="0,0,18288,18288"/>
                </v:shape>
                <v:shape id="Shape 658261" o:spid="_x0000_s1262" style="position:absolute;left:38892;width:4313;height:182;visibility:visible;mso-wrap-style:square;v-text-anchor:top" coordsize="43129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" path="m,l431292,r,18288l,18288,,e" fillcolor="black" stroked="f" strokeweight="0">
                  <v:stroke miterlimit="83231f" joinstyle="miter"/>
                  <v:path arrowok="t" textboxrect="0,0,431292,18288"/>
                </v:shape>
                <v:shape id="Shape 658262" o:spid="_x0000_s1263" style="position:absolute;left:4320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" path="m,l18288,r,18288l,18288,,e" fillcolor="black" stroked="f" strokeweight="0">
                  <v:stroke miterlimit="83231f" joinstyle="miter"/>
                  <v:path arrowok="t" textboxrect="0,0,18288,18288"/>
                </v:shape>
                <v:shape id="Shape 658263" o:spid="_x0000_s1264" style="position:absolute;left:43388;width:26822;height:182;visibility:visible;mso-wrap-style:square;v-text-anchor:top" coordsize="26822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" path="m,l2682240,r,18288l,18288,,e" fillcolor="black" stroked="f" strokeweight="0">
                  <v:stroke miterlimit="83231f" joinstyle="miter"/>
                  <v:path arrowok="t" textboxrect="0,0,2682240,18288"/>
                </v:shape>
                <v:rect id="Rectangle 27563" o:spid="_x0000_s1265" style="position:absolute;left:685;top:2157;width:28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" filled="f" stroked="f">
                  <v:textbox style="layout-flow:vertical-ideographic"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rect id="Rectangle 27564" o:spid="_x0000_s1266" style="position:absolute;left:18836;top:2239;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" filled="f" stroked="f">
                  <v:textbox inset="0,0,0,0">
                    <w:txbxContent>
                      <w:p w:rsidR="004D6F0E" w:rsidRDefault="00490F21">
                        <w:pPr>
                          <w:spacing w:after="160" w:line="259" w:lineRule="auto"/>
                          <w:ind w:left="0" w:firstLine="0"/>
                        </w:pPr>
                        <w:r>
                          <w:rPr>
                            <w:sz w:val="18"/>
                          </w:rPr>
                          <w:t>首次銷售費</w:t>
                        </w:r>
                      </w:p>
                    </w:txbxContent>
                  </v:textbox>
                </v:rect>
                <v:rect id="Rectangle 27565" o:spid="_x0000_s1267" style="position:absolute;left:24856;top:2218;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27566" o:spid="_x0000_s1268" style="position:absolute;left:25267;top:204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266" o:spid="_x0000_s1269" style="position:absolute;left:15803;top:3672;width:12497;height:92;visibility:visible;mso-wrap-style:square;v-text-anchor:top" coordsize="1249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" path="m,l1249680,r,9144l,9144,,e" fillcolor="black" stroked="f" strokeweight="0">
                  <v:stroke miterlimit="83231f" joinstyle="miter"/>
                  <v:path arrowok="t" textboxrect="0,0,1249680,9144"/>
                </v:shape>
                <v:rect id="Rectangle 27568" o:spid="_x0000_s1270" style="position:absolute;left:33482;top:2239;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" filled="f" stroked="f">
                  <v:textbox inset="0,0,0,0">
                    <w:txbxContent>
                      <w:p w:rsidR="004D6F0E" w:rsidRDefault="00490F21">
                        <w:pPr>
                          <w:spacing w:after="160" w:line="259" w:lineRule="auto"/>
                          <w:ind w:left="0" w:firstLine="0"/>
                        </w:pPr>
                        <w:r>
                          <w:rPr>
                            <w:sz w:val="18"/>
                          </w:rPr>
                          <w:t>管理費</w:t>
                        </w:r>
                      </w:p>
                    </w:txbxContent>
                  </v:textbox>
                </v:rect>
                <v:rect id="Rectangle 27569" o:spid="_x0000_s1271" style="position:absolute;left:37216;top:2218;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27570" o:spid="_x0000_s1272" style="position:absolute;left:37627;top:2322;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8269" o:spid="_x0000_s1273" style="position:absolute;left:29306;top:3672;width:12497;height:92;visibility:visible;mso-wrap-style:square;v-text-anchor:top" coordsize="12496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" path="m,l1249680,r,9144l,9144,,e" fillcolor="black" stroked="f" strokeweight="0">
                  <v:stroke miterlimit="83231f" joinstyle="miter"/>
                  <v:path arrowok="t" textboxrect="0,0,1249680,9144"/>
                </v:shape>
                <v:rect id="Rectangle 27572" o:spid="_x0000_s1274" style="position:absolute;left:46984;top:2239;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分銷費</w:t>
                        </w:r>
                      </w:p>
                    </w:txbxContent>
                  </v:textbox>
                </v:rect>
                <v:rect id="Rectangle 27573" o:spid="_x0000_s1275" style="position:absolute;left:50718;top:2218;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8R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bzp/kM/u+EKyDXfwAAAP//AwBQSwECLQAUAAYACAAAACEA2+H2y+4AAACFAQAAEwAAAAAA&#10;AAAAAAAAAAAAAAAAW0NvbnRlbnRfVHlwZXNdLnhtbFBLAQItABQABgAIAAAAIQBa9CxbvwAAABUB&#10;AAALAAAAAAAAAAAAAAAAAB8BAABfcmVscy8ucmVsc1BLAQItABQABgAIAAAAIQB5KD8R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27574" o:spid="_x0000_s1276" style="position:absolute;left:51130;top:204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adl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bzp/kM/u+EKyDXfwAAAP//AwBQSwECLQAUAAYACAAAACEA2+H2y+4AAACFAQAAEwAAAAAA&#10;AAAAAAAAAAAAAAAAW0NvbnRlbnRfVHlwZXNdLnhtbFBLAQItABQABgAIAAAAIQBa9CxbvwAAABUB&#10;AAALAAAAAAAAAAAAAAAAAB8BAABfcmVscy8ucmVsc1BLAQItABQABgAIAAAAIQD2wadl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272" o:spid="_x0000_s1277" style="position:absolute;left:42809;top:3672;width:12497;height:92;visibility:visible;mso-wrap-style:square;v-text-anchor:top" coordsize="12496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" path="m,l1249693,r,9144l,9144,,e" fillcolor="black" stroked="f" strokeweight="0">
                  <v:stroke miterlimit="83231f" joinstyle="miter"/>
                  <v:path arrowok="t" textboxrect="0,0,1249693,9144"/>
                </v:shape>
                <v:rect id="Rectangle 27576" o:spid="_x0000_s1278" style="position:absolute;left:58643;top:2239;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" filled="f" stroked="f">
                  <v:textbox inset="0,0,0,0">
                    <w:txbxContent>
                      <w:p w:rsidR="004D6F0E" w:rsidRDefault="00490F21">
                        <w:pPr>
                          <w:spacing w:after="160" w:line="259" w:lineRule="auto"/>
                          <w:ind w:left="0" w:firstLine="0"/>
                        </w:pPr>
                        <w:r>
                          <w:rPr>
                            <w:sz w:val="18"/>
                          </w:rPr>
                          <w:t>或有遞延銷售費</w:t>
                        </w:r>
                      </w:p>
                    </w:txbxContent>
                  </v:textbox>
                </v:rect>
                <v:rect id="Rectangle 27577" o:spid="_x0000_s1279" style="position:absolute;left:66949;top:2218;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27578" o:spid="_x0000_s1280" style="position:absolute;left:67360;top:204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275" o:spid="_x0000_s1281" style="position:absolute;left:56311;top:3672;width:13396;height:92;visibility:visible;mso-wrap-style:square;v-text-anchor:top" coordsize="13395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" path="m,l1339596,r,9144l,9144,,e" fillcolor="black" stroked="f" strokeweight="0">
                  <v:stroke miterlimit="83231f" joinstyle="miter"/>
                  <v:path arrowok="t" textboxrect="0,0,1339596,9144"/>
                </v:shape>
                <w10:anchorlock/>
              </v:group>
            </w:pict>
          </mc:Fallback>
        </mc:AlternateContent>
      </w:r>
    </w:p>
    <w:p w:rsidR="004D6F0E" w:rsidRDefault="00490F21">
      <w:pPr>
        <w:spacing w:after="111" w:line="259" w:lineRule="auto"/>
        <w:ind w:left="108" w:firstLine="0"/>
      </w:pPr>
      <w:r>
        <w:rPr>
          <w:rFonts w:ascii="Arial" w:eastAsia="Arial" w:hAnsi="Arial" w:cs="Arial"/>
          <w:b/>
          <w:sz w:val="6"/>
        </w:rPr>
        <w:t xml:space="preserve"> </w:t>
      </w:r>
    </w:p>
    <w:p w:rsidR="004D6F0E" w:rsidRDefault="00490F21">
      <w:pPr>
        <w:shd w:val="clear" w:color="auto" w:fill="D9D9D9"/>
        <w:spacing w:after="11" w:line="250" w:lineRule="auto"/>
        <w:ind w:left="110" w:right="552" w:hanging="10"/>
      </w:pPr>
      <w:r>
        <w:rPr>
          <w:sz w:val="18"/>
        </w:rPr>
        <w:t>美元計價股份類別</w:t>
      </w:r>
      <w:r>
        <w:rPr>
          <w:rFonts w:ascii="Arial" w:eastAsia="Arial" w:hAnsi="Arial" w:cs="Arial"/>
          <w:sz w:val="18"/>
        </w:rPr>
        <w:t xml:space="preserve"> </w:t>
      </w:r>
    </w:p>
    <w:tbl>
      <w:tblPr>
        <w:tblStyle w:val="TableGrid"/>
        <w:tblW w:w="10586" w:type="dxa"/>
        <w:tblInd w:w="108" w:type="dxa"/>
        <w:tblCellMar>
          <w:top w:w="6" w:type="dxa"/>
          <w:left w:w="0" w:type="dxa"/>
          <w:bottom w:w="0" w:type="dxa"/>
          <w:right w:w="0" w:type="dxa"/>
        </w:tblCellMar>
        <w:tblLook w:val="04A0" w:firstRow="1" w:lastRow="0" w:firstColumn="1" w:lastColumn="0" w:noHBand="0" w:noVBand="1"/>
      </w:tblPr>
      <w:tblGrid>
        <w:gridCol w:w="2818"/>
        <w:gridCol w:w="2347"/>
        <w:gridCol w:w="931"/>
        <w:gridCol w:w="2995"/>
        <w:gridCol w:w="1495"/>
      </w:tblGrid>
      <w:tr w:rsidR="004D6F0E">
        <w:trPr>
          <w:trHeight w:val="212"/>
        </w:trPr>
        <w:tc>
          <w:tcPr>
            <w:tcW w:w="281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b/>
                <w:sz w:val="18"/>
              </w:rPr>
              <w:t xml:space="preserve"> </w:t>
            </w:r>
          </w:p>
        </w:tc>
        <w:tc>
          <w:tcPr>
            <w:tcW w:w="234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931"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1.10% </w:t>
            </w:r>
          </w:p>
        </w:tc>
        <w:tc>
          <w:tcPr>
            <w:tcW w:w="2995" w:type="dxa"/>
            <w:tcBorders>
              <w:top w:val="nil"/>
              <w:left w:val="nil"/>
              <w:bottom w:val="nil"/>
              <w:right w:val="nil"/>
            </w:tcBorders>
          </w:tcPr>
          <w:p w:rsidR="004D6F0E" w:rsidRDefault="00490F21">
            <w:pPr>
              <w:spacing w:after="0" w:line="259" w:lineRule="auto"/>
              <w:ind w:left="46"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trHeight w:val="234"/>
        </w:trPr>
        <w:tc>
          <w:tcPr>
            <w:tcW w:w="281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類股份</w:t>
            </w:r>
            <w:r>
              <w:rPr>
                <w:rFonts w:ascii="Arial" w:eastAsia="Arial" w:hAnsi="Arial" w:cs="Arial"/>
                <w:b/>
                <w:sz w:val="18"/>
              </w:rPr>
              <w:t xml:space="preserve"> </w:t>
            </w:r>
          </w:p>
        </w:tc>
        <w:tc>
          <w:tcPr>
            <w:tcW w:w="234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931"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1.10% </w:t>
            </w:r>
          </w:p>
        </w:tc>
        <w:tc>
          <w:tcPr>
            <w:tcW w:w="2995" w:type="dxa"/>
            <w:tcBorders>
              <w:top w:val="nil"/>
              <w:left w:val="nil"/>
              <w:bottom w:val="nil"/>
              <w:right w:val="nil"/>
            </w:tcBorders>
          </w:tcPr>
          <w:p w:rsidR="004D6F0E" w:rsidRDefault="00490F21">
            <w:pPr>
              <w:spacing w:after="0" w:line="259" w:lineRule="auto"/>
              <w:ind w:left="46"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trHeight w:val="234"/>
        </w:trPr>
        <w:tc>
          <w:tcPr>
            <w:tcW w:w="281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AK </w:t>
            </w:r>
            <w:r>
              <w:rPr>
                <w:sz w:val="18"/>
              </w:rPr>
              <w:t>類股份</w:t>
            </w:r>
            <w:r>
              <w:rPr>
                <w:rFonts w:ascii="Arial" w:eastAsia="Arial" w:hAnsi="Arial" w:cs="Arial"/>
                <w:b/>
                <w:sz w:val="18"/>
              </w:rPr>
              <w:t xml:space="preserve"> </w:t>
            </w:r>
          </w:p>
        </w:tc>
        <w:tc>
          <w:tcPr>
            <w:tcW w:w="234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931"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1.10% </w:t>
            </w:r>
          </w:p>
        </w:tc>
        <w:tc>
          <w:tcPr>
            <w:tcW w:w="2995" w:type="dxa"/>
            <w:tcBorders>
              <w:top w:val="nil"/>
              <w:left w:val="nil"/>
              <w:bottom w:val="nil"/>
              <w:right w:val="nil"/>
            </w:tcBorders>
          </w:tcPr>
          <w:p w:rsidR="004D6F0E" w:rsidRDefault="00490F21">
            <w:pPr>
              <w:spacing w:after="0" w:line="259" w:lineRule="auto"/>
              <w:ind w:left="46"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trHeight w:val="234"/>
        </w:trPr>
        <w:tc>
          <w:tcPr>
            <w:tcW w:w="281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AA </w:t>
            </w:r>
            <w:r>
              <w:rPr>
                <w:sz w:val="18"/>
              </w:rPr>
              <w:t>類股份</w:t>
            </w:r>
            <w:r>
              <w:rPr>
                <w:rFonts w:ascii="Arial" w:eastAsia="Arial" w:hAnsi="Arial" w:cs="Arial"/>
                <w:b/>
                <w:sz w:val="18"/>
              </w:rPr>
              <w:t xml:space="preserve"> </w:t>
            </w:r>
          </w:p>
        </w:tc>
        <w:tc>
          <w:tcPr>
            <w:tcW w:w="234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931"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1.10% </w:t>
            </w:r>
          </w:p>
        </w:tc>
        <w:tc>
          <w:tcPr>
            <w:tcW w:w="2995" w:type="dxa"/>
            <w:tcBorders>
              <w:top w:val="nil"/>
              <w:left w:val="nil"/>
              <w:bottom w:val="nil"/>
              <w:right w:val="nil"/>
            </w:tcBorders>
          </w:tcPr>
          <w:p w:rsidR="004D6F0E" w:rsidRDefault="00490F21">
            <w:pPr>
              <w:spacing w:after="0" w:line="259" w:lineRule="auto"/>
              <w:ind w:left="46"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47" w:firstLine="0"/>
              <w:jc w:val="center"/>
            </w:pPr>
            <w:r>
              <w:rPr>
                <w:sz w:val="18"/>
              </w:rPr>
              <w:t>無</w:t>
            </w:r>
            <w:r>
              <w:rPr>
                <w:rFonts w:ascii="Arial" w:eastAsia="Arial" w:hAnsi="Arial" w:cs="Arial"/>
                <w:sz w:val="18"/>
              </w:rPr>
              <w:t xml:space="preserve"> </w:t>
            </w:r>
          </w:p>
        </w:tc>
      </w:tr>
      <w:tr w:rsidR="004D6F0E">
        <w:trPr>
          <w:trHeight w:val="936"/>
        </w:trPr>
        <w:tc>
          <w:tcPr>
            <w:tcW w:w="281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B </w:t>
            </w:r>
            <w:r>
              <w:rPr>
                <w:sz w:val="18"/>
              </w:rPr>
              <w:t>及</w:t>
            </w:r>
            <w:r>
              <w:rPr>
                <w:sz w:val="18"/>
              </w:rPr>
              <w:t xml:space="preserve"> </w:t>
            </w:r>
            <w:r>
              <w:rPr>
                <w:rFonts w:ascii="Arial" w:eastAsia="Arial" w:hAnsi="Arial" w:cs="Arial"/>
                <w:sz w:val="18"/>
              </w:rPr>
              <w:t xml:space="preserve">B2 </w:t>
            </w:r>
            <w:r>
              <w:rPr>
                <w:sz w:val="18"/>
              </w:rPr>
              <w:t>類股份</w:t>
            </w:r>
            <w:r>
              <w:rPr>
                <w:sz w:val="18"/>
              </w:rPr>
              <w:t xml:space="preserve"> </w:t>
            </w:r>
            <w:r>
              <w:rPr>
                <w:rFonts w:ascii="Arial" w:eastAsia="Arial" w:hAnsi="Arial" w:cs="Arial"/>
                <w:sz w:val="18"/>
                <w:vertAlign w:val="superscript"/>
              </w:rPr>
              <w:t>2**</w:t>
            </w:r>
            <w:r>
              <w:rPr>
                <w:rFonts w:ascii="Arial" w:eastAsia="Arial" w:hAnsi="Arial" w:cs="Arial"/>
                <w:b/>
                <w:sz w:val="18"/>
              </w:rPr>
              <w:t xml:space="preserve"> </w:t>
            </w:r>
          </w:p>
        </w:tc>
        <w:tc>
          <w:tcPr>
            <w:tcW w:w="2347"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31" w:type="dxa"/>
            <w:tcBorders>
              <w:top w:val="nil"/>
              <w:left w:val="nil"/>
              <w:bottom w:val="nil"/>
              <w:right w:val="nil"/>
            </w:tcBorders>
            <w:vAlign w:val="center"/>
          </w:tcPr>
          <w:p w:rsidR="004D6F0E" w:rsidRDefault="00490F21">
            <w:pPr>
              <w:spacing w:after="0" w:line="259" w:lineRule="auto"/>
              <w:ind w:left="70" w:firstLine="0"/>
            </w:pPr>
            <w:r>
              <w:rPr>
                <w:rFonts w:ascii="Arial" w:eastAsia="Arial" w:hAnsi="Arial" w:cs="Arial"/>
                <w:sz w:val="18"/>
              </w:rPr>
              <w:t xml:space="preserve">1.10% </w:t>
            </w:r>
          </w:p>
        </w:tc>
        <w:tc>
          <w:tcPr>
            <w:tcW w:w="2995" w:type="dxa"/>
            <w:tcBorders>
              <w:top w:val="nil"/>
              <w:left w:val="nil"/>
              <w:bottom w:val="nil"/>
              <w:right w:val="nil"/>
            </w:tcBorders>
            <w:vAlign w:val="center"/>
          </w:tcPr>
          <w:p w:rsidR="004D6F0E" w:rsidRDefault="00490F21">
            <w:pPr>
              <w:spacing w:after="0" w:line="259" w:lineRule="auto"/>
              <w:ind w:left="48" w:firstLine="0"/>
              <w:jc w:val="center"/>
            </w:pPr>
            <w:r>
              <w:rPr>
                <w:rFonts w:ascii="Arial" w:eastAsia="Arial" w:hAnsi="Arial" w:cs="Arial"/>
                <w:sz w:val="18"/>
              </w:rPr>
              <w:t xml:space="preserve">0.70% </w:t>
            </w:r>
          </w:p>
        </w:tc>
        <w:tc>
          <w:tcPr>
            <w:tcW w:w="1495" w:type="dxa"/>
            <w:tcBorders>
              <w:top w:val="nil"/>
              <w:left w:val="nil"/>
              <w:bottom w:val="nil"/>
              <w:right w:val="nil"/>
            </w:tcBorders>
          </w:tcPr>
          <w:p w:rsidR="004D6F0E" w:rsidRDefault="00490F21">
            <w:pPr>
              <w:spacing w:after="30"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937"/>
        </w:trPr>
        <w:tc>
          <w:tcPr>
            <w:tcW w:w="281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BT </w:t>
            </w:r>
            <w:r>
              <w:rPr>
                <w:sz w:val="18"/>
              </w:rPr>
              <w:t>類股份</w:t>
            </w:r>
            <w:r>
              <w:rPr>
                <w:sz w:val="18"/>
              </w:rPr>
              <w:t xml:space="preserve"> </w:t>
            </w:r>
            <w:r>
              <w:rPr>
                <w:rFonts w:ascii="Arial" w:eastAsia="Arial" w:hAnsi="Arial" w:cs="Arial"/>
                <w:sz w:val="12"/>
              </w:rPr>
              <w:t>2**</w:t>
            </w:r>
            <w:r>
              <w:rPr>
                <w:rFonts w:ascii="Arial" w:eastAsia="Arial" w:hAnsi="Arial" w:cs="Arial"/>
                <w:b/>
                <w:sz w:val="18"/>
              </w:rPr>
              <w:t xml:space="preserve"> </w:t>
            </w:r>
          </w:p>
        </w:tc>
        <w:tc>
          <w:tcPr>
            <w:tcW w:w="2347"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31" w:type="dxa"/>
            <w:tcBorders>
              <w:top w:val="nil"/>
              <w:left w:val="nil"/>
              <w:bottom w:val="nil"/>
              <w:right w:val="nil"/>
            </w:tcBorders>
            <w:vAlign w:val="center"/>
          </w:tcPr>
          <w:p w:rsidR="004D6F0E" w:rsidRDefault="00490F21">
            <w:pPr>
              <w:spacing w:after="0" w:line="259" w:lineRule="auto"/>
              <w:ind w:left="70" w:firstLine="0"/>
            </w:pPr>
            <w:r>
              <w:rPr>
                <w:rFonts w:ascii="Arial" w:eastAsia="Arial" w:hAnsi="Arial" w:cs="Arial"/>
                <w:sz w:val="18"/>
              </w:rPr>
              <w:t xml:space="preserve">1.10% </w:t>
            </w:r>
          </w:p>
        </w:tc>
        <w:tc>
          <w:tcPr>
            <w:tcW w:w="2995" w:type="dxa"/>
            <w:tcBorders>
              <w:top w:val="nil"/>
              <w:left w:val="nil"/>
              <w:bottom w:val="nil"/>
              <w:right w:val="nil"/>
            </w:tcBorders>
            <w:vAlign w:val="center"/>
          </w:tcPr>
          <w:p w:rsidR="004D6F0E" w:rsidRDefault="00490F21">
            <w:pPr>
              <w:spacing w:after="0" w:line="259" w:lineRule="auto"/>
              <w:ind w:left="48" w:firstLine="0"/>
              <w:jc w:val="center"/>
            </w:pPr>
            <w:r>
              <w:rPr>
                <w:rFonts w:ascii="Arial" w:eastAsia="Arial" w:hAnsi="Arial" w:cs="Arial"/>
                <w:sz w:val="18"/>
              </w:rPr>
              <w:t xml:space="preserve">0.70% </w:t>
            </w:r>
          </w:p>
        </w:tc>
        <w:tc>
          <w:tcPr>
            <w:tcW w:w="1495" w:type="dxa"/>
            <w:tcBorders>
              <w:top w:val="nil"/>
              <w:left w:val="nil"/>
              <w:bottom w:val="nil"/>
              <w:right w:val="nil"/>
            </w:tcBorders>
          </w:tcPr>
          <w:p w:rsidR="004D6F0E" w:rsidRDefault="00490F21">
            <w:pPr>
              <w:spacing w:after="30"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688"/>
        </w:trPr>
        <w:tc>
          <w:tcPr>
            <w:tcW w:w="281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b/>
                <w:sz w:val="18"/>
              </w:rPr>
              <w:t xml:space="preserve"> </w:t>
            </w:r>
          </w:p>
        </w:tc>
        <w:tc>
          <w:tcPr>
            <w:tcW w:w="2347"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31" w:type="dxa"/>
            <w:tcBorders>
              <w:top w:val="nil"/>
              <w:left w:val="nil"/>
              <w:bottom w:val="nil"/>
              <w:right w:val="nil"/>
            </w:tcBorders>
            <w:vAlign w:val="center"/>
          </w:tcPr>
          <w:p w:rsidR="004D6F0E" w:rsidRDefault="00490F21">
            <w:pPr>
              <w:spacing w:after="0" w:line="259" w:lineRule="auto"/>
              <w:ind w:left="69" w:firstLine="0"/>
            </w:pPr>
            <w:r>
              <w:rPr>
                <w:rFonts w:ascii="Arial" w:eastAsia="Arial" w:hAnsi="Arial" w:cs="Arial"/>
                <w:sz w:val="18"/>
              </w:rPr>
              <w:t xml:space="preserve">1.55% </w:t>
            </w:r>
          </w:p>
        </w:tc>
        <w:tc>
          <w:tcPr>
            <w:tcW w:w="2995" w:type="dxa"/>
            <w:tcBorders>
              <w:top w:val="nil"/>
              <w:left w:val="nil"/>
              <w:bottom w:val="nil"/>
              <w:right w:val="nil"/>
            </w:tcBorders>
            <w:vAlign w:val="center"/>
          </w:tcPr>
          <w:p w:rsidR="004D6F0E" w:rsidRDefault="00490F21">
            <w:pPr>
              <w:spacing w:after="0" w:line="259" w:lineRule="auto"/>
              <w:ind w:left="45"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84" w:lineRule="auto"/>
              <w:ind w:left="291" w:hanging="291"/>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p w:rsidR="004D6F0E" w:rsidRDefault="00490F21">
            <w:pPr>
              <w:spacing w:after="0" w:line="259" w:lineRule="auto"/>
              <w:ind w:left="1" w:firstLine="0"/>
              <w:jc w:val="center"/>
            </w:pPr>
            <w:r>
              <w:rPr>
                <w:rFonts w:ascii="Arial" w:eastAsia="Arial" w:hAnsi="Arial" w:cs="Arial"/>
                <w:sz w:val="18"/>
              </w:rPr>
              <w:t xml:space="preserve"> </w:t>
            </w:r>
          </w:p>
        </w:tc>
      </w:tr>
      <w:tr w:rsidR="004D6F0E">
        <w:trPr>
          <w:trHeight w:val="456"/>
        </w:trPr>
        <w:tc>
          <w:tcPr>
            <w:tcW w:w="281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CT </w:t>
            </w:r>
            <w:r>
              <w:rPr>
                <w:sz w:val="18"/>
              </w:rPr>
              <w:t>類股份</w:t>
            </w:r>
            <w:r>
              <w:rPr>
                <w:rFonts w:ascii="Arial" w:eastAsia="Arial" w:hAnsi="Arial" w:cs="Arial"/>
                <w:b/>
                <w:sz w:val="18"/>
              </w:rPr>
              <w:t xml:space="preserve"> </w:t>
            </w:r>
          </w:p>
        </w:tc>
        <w:tc>
          <w:tcPr>
            <w:tcW w:w="2347"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931" w:type="dxa"/>
            <w:tcBorders>
              <w:top w:val="nil"/>
              <w:left w:val="nil"/>
              <w:bottom w:val="nil"/>
              <w:right w:val="nil"/>
            </w:tcBorders>
            <w:vAlign w:val="center"/>
          </w:tcPr>
          <w:p w:rsidR="004D6F0E" w:rsidRDefault="00490F21">
            <w:pPr>
              <w:spacing w:after="0" w:line="259" w:lineRule="auto"/>
              <w:ind w:left="69" w:firstLine="0"/>
            </w:pPr>
            <w:r>
              <w:rPr>
                <w:rFonts w:ascii="Arial" w:eastAsia="Arial" w:hAnsi="Arial" w:cs="Arial"/>
                <w:sz w:val="18"/>
              </w:rPr>
              <w:t xml:space="preserve">1.55% </w:t>
            </w:r>
          </w:p>
        </w:tc>
        <w:tc>
          <w:tcPr>
            <w:tcW w:w="2995" w:type="dxa"/>
            <w:tcBorders>
              <w:top w:val="nil"/>
              <w:left w:val="nil"/>
              <w:bottom w:val="nil"/>
              <w:right w:val="nil"/>
            </w:tcBorders>
            <w:vAlign w:val="center"/>
          </w:tcPr>
          <w:p w:rsidR="004D6F0E" w:rsidRDefault="00490F21">
            <w:pPr>
              <w:spacing w:after="0" w:line="259" w:lineRule="auto"/>
              <w:ind w:left="46"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291" w:hanging="291"/>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trHeight w:val="473"/>
        </w:trPr>
        <w:tc>
          <w:tcPr>
            <w:tcW w:w="281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CK </w:t>
            </w:r>
            <w:r>
              <w:rPr>
                <w:sz w:val="18"/>
              </w:rPr>
              <w:t>類股份</w:t>
            </w:r>
            <w:r>
              <w:rPr>
                <w:rFonts w:ascii="Arial" w:eastAsia="Arial" w:hAnsi="Arial" w:cs="Arial"/>
                <w:b/>
                <w:sz w:val="18"/>
              </w:rPr>
              <w:t xml:space="preserve"> </w:t>
            </w:r>
          </w:p>
        </w:tc>
        <w:tc>
          <w:tcPr>
            <w:tcW w:w="234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b/>
                <w:sz w:val="18"/>
              </w:rPr>
              <w:t xml:space="preserve"> </w:t>
            </w:r>
          </w:p>
        </w:tc>
        <w:tc>
          <w:tcPr>
            <w:tcW w:w="931" w:type="dxa"/>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1.55%</w:t>
            </w:r>
            <w:r>
              <w:rPr>
                <w:rFonts w:ascii="Arial" w:eastAsia="Arial" w:hAnsi="Arial" w:cs="Arial"/>
                <w:b/>
                <w:sz w:val="18"/>
              </w:rPr>
              <w:t xml:space="preserve"> </w:t>
            </w:r>
          </w:p>
        </w:tc>
        <w:tc>
          <w:tcPr>
            <w:tcW w:w="2995" w:type="dxa"/>
            <w:tcBorders>
              <w:top w:val="nil"/>
              <w:left w:val="nil"/>
              <w:bottom w:val="nil"/>
              <w:right w:val="nil"/>
            </w:tcBorders>
          </w:tcPr>
          <w:p w:rsidR="004D6F0E" w:rsidRDefault="00490F21">
            <w:pPr>
              <w:spacing w:after="0" w:line="259" w:lineRule="auto"/>
              <w:ind w:left="46" w:firstLine="0"/>
              <w:jc w:val="center"/>
            </w:pPr>
            <w:r>
              <w:rPr>
                <w:sz w:val="18"/>
              </w:rPr>
              <w:t>無</w:t>
            </w:r>
            <w:r>
              <w:rPr>
                <w:rFonts w:ascii="Arial" w:eastAsia="Arial" w:hAnsi="Arial" w:cs="Arial"/>
                <w:b/>
                <w:sz w:val="18"/>
              </w:rPr>
              <w:t xml:space="preserve"> </w:t>
            </w:r>
          </w:p>
        </w:tc>
        <w:tc>
          <w:tcPr>
            <w:tcW w:w="1495" w:type="dxa"/>
            <w:tcBorders>
              <w:top w:val="nil"/>
              <w:left w:val="nil"/>
              <w:bottom w:val="nil"/>
              <w:right w:val="nil"/>
            </w:tcBorders>
          </w:tcPr>
          <w:p w:rsidR="004D6F0E" w:rsidRDefault="00490F21">
            <w:pPr>
              <w:spacing w:after="0" w:line="259" w:lineRule="auto"/>
              <w:ind w:left="291" w:hanging="29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=1.0%</w:t>
            </w:r>
            <w:r>
              <w:rPr>
                <w:rFonts w:ascii="Arial" w:eastAsia="Arial" w:hAnsi="Arial" w:cs="Arial"/>
                <w:b/>
                <w:sz w:val="18"/>
              </w:rPr>
              <w:t xml:space="preserve"> </w:t>
            </w:r>
            <w:r>
              <w:rPr>
                <w:sz w:val="18"/>
              </w:rPr>
              <w:t>此後</w:t>
            </w:r>
            <w:r>
              <w:rPr>
                <w:rFonts w:ascii="Arial" w:eastAsia="Arial" w:hAnsi="Arial" w:cs="Arial"/>
                <w:sz w:val="18"/>
              </w:rPr>
              <w:t xml:space="preserve"> = 0%</w:t>
            </w:r>
            <w:r>
              <w:rPr>
                <w:rFonts w:ascii="Arial" w:eastAsia="Arial" w:hAnsi="Arial" w:cs="Arial"/>
                <w:b/>
                <w:sz w:val="18"/>
              </w:rPr>
              <w:t xml:space="preserve"> </w:t>
            </w:r>
          </w:p>
        </w:tc>
      </w:tr>
      <w:tr w:rsidR="004D6F0E">
        <w:trPr>
          <w:trHeight w:val="200"/>
        </w:trPr>
        <w:tc>
          <w:tcPr>
            <w:tcW w:w="281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2347"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 </w:t>
            </w:r>
          </w:p>
        </w:tc>
        <w:tc>
          <w:tcPr>
            <w:tcW w:w="931" w:type="dxa"/>
            <w:tcBorders>
              <w:top w:val="nil"/>
              <w:left w:val="nil"/>
              <w:bottom w:val="nil"/>
              <w:right w:val="nil"/>
            </w:tcBorders>
          </w:tcPr>
          <w:p w:rsidR="004D6F0E" w:rsidRDefault="00490F21">
            <w:pPr>
              <w:spacing w:after="0" w:line="259" w:lineRule="auto"/>
              <w:ind w:left="326" w:firstLine="0"/>
            </w:pPr>
            <w:r>
              <w:rPr>
                <w:rFonts w:ascii="Arial" w:eastAsia="Arial" w:hAnsi="Arial" w:cs="Arial"/>
                <w:sz w:val="18"/>
              </w:rPr>
              <w:t xml:space="preserve"> </w:t>
            </w:r>
          </w:p>
        </w:tc>
        <w:tc>
          <w:tcPr>
            <w:tcW w:w="2995" w:type="dxa"/>
            <w:tcBorders>
              <w:top w:val="nil"/>
              <w:left w:val="nil"/>
              <w:bottom w:val="nil"/>
              <w:right w:val="nil"/>
            </w:tcBorders>
          </w:tcPr>
          <w:p w:rsidR="004D6F0E" w:rsidRDefault="00490F21">
            <w:pPr>
              <w:spacing w:after="0" w:line="259" w:lineRule="auto"/>
              <w:ind w:left="99" w:firstLine="0"/>
              <w:jc w:val="center"/>
            </w:pP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1" w:firstLine="0"/>
              <w:jc w:val="center"/>
            </w:pPr>
            <w:r>
              <w:rPr>
                <w:rFonts w:ascii="Arial" w:eastAsia="Arial" w:hAnsi="Arial" w:cs="Arial"/>
                <w:sz w:val="18"/>
              </w:rPr>
              <w:t xml:space="preserve"> </w:t>
            </w:r>
          </w:p>
        </w:tc>
      </w:tr>
    </w:tbl>
    <w:p w:rsidR="004D6F0E" w:rsidRDefault="00490F21">
      <w:pPr>
        <w:spacing w:after="0" w:line="259" w:lineRule="auto"/>
        <w:ind w:left="108" w:firstLine="0"/>
      </w:pP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p w:rsidR="004D6F0E" w:rsidRDefault="004D6F0E">
      <w:pPr>
        <w:sectPr w:rsidR="004D6F0E">
          <w:type w:val="continuous"/>
          <w:pgSz w:w="12240" w:h="15840"/>
          <w:pgMar w:top="746" w:right="475" w:bottom="665" w:left="432" w:header="720" w:footer="720" w:gutter="0"/>
          <w:cols w:space="720"/>
        </w:sectPr>
      </w:pPr>
    </w:p>
    <w:p w:rsidR="004D6F0E" w:rsidRDefault="00490F21">
      <w:pPr>
        <w:spacing w:after="0" w:line="259" w:lineRule="auto"/>
        <w:ind w:right="-15" w:hanging="10"/>
        <w:jc w:val="right"/>
      </w:pPr>
      <w:r>
        <w:rPr>
          <w:sz w:val="18"/>
        </w:rPr>
        <w:lastRenderedPageBreak/>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tbl>
      <w:tblPr>
        <w:tblStyle w:val="TableGrid"/>
        <w:tblW w:w="11057" w:type="dxa"/>
        <w:tblInd w:w="0" w:type="dxa"/>
        <w:tblCellMar>
          <w:top w:w="11" w:type="dxa"/>
          <w:left w:w="0" w:type="dxa"/>
          <w:bottom w:w="0" w:type="dxa"/>
          <w:right w:w="252" w:type="dxa"/>
        </w:tblCellMar>
        <w:tblLook w:val="04A0" w:firstRow="1" w:lastRow="0" w:firstColumn="1" w:lastColumn="0" w:noHBand="0" w:noVBand="1"/>
      </w:tblPr>
      <w:tblGrid>
        <w:gridCol w:w="2798"/>
        <w:gridCol w:w="42"/>
        <w:gridCol w:w="2119"/>
        <w:gridCol w:w="2324"/>
        <w:gridCol w:w="1712"/>
        <w:gridCol w:w="142"/>
        <w:gridCol w:w="722"/>
        <w:gridCol w:w="950"/>
        <w:gridCol w:w="248"/>
      </w:tblGrid>
      <w:tr w:rsidR="004D6F0E">
        <w:trPr>
          <w:gridAfter w:val="1"/>
          <w:wAfter w:w="283" w:type="dxa"/>
          <w:trHeight w:val="67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EA </w:t>
            </w:r>
            <w:r>
              <w:rPr>
                <w:sz w:val="18"/>
              </w:rPr>
              <w:t>類股份</w:t>
            </w:r>
            <w:r>
              <w:rPr>
                <w:sz w:val="18"/>
              </w:rPr>
              <w:t xml:space="preserve"> </w:t>
            </w:r>
            <w:r>
              <w:rPr>
                <w:rFonts w:ascii="Arial" w:eastAsia="Arial" w:hAnsi="Arial" w:cs="Arial"/>
                <w:sz w:val="18"/>
                <w:vertAlign w:val="superscript"/>
              </w:rPr>
              <w:t>11</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0.50% </w:t>
            </w:r>
          </w:p>
        </w:tc>
        <w:tc>
          <w:tcPr>
            <w:tcW w:w="1858" w:type="dxa"/>
            <w:gridSpan w:val="3"/>
            <w:tcBorders>
              <w:top w:val="nil"/>
              <w:left w:val="nil"/>
              <w:bottom w:val="nil"/>
              <w:right w:val="nil"/>
            </w:tcBorders>
          </w:tcPr>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IA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6"/>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JA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936"/>
        </w:trPr>
        <w:tc>
          <w:tcPr>
            <w:tcW w:w="2926" w:type="dxa"/>
            <w:gridSpan w:val="2"/>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J </w:t>
            </w:r>
            <w:r>
              <w:rPr>
                <w:sz w:val="18"/>
              </w:rPr>
              <w:t>類股份</w:t>
            </w:r>
            <w:r>
              <w:rPr>
                <w:sz w:val="18"/>
              </w:rPr>
              <w:t xml:space="preserve"> </w:t>
            </w:r>
            <w:r>
              <w:rPr>
                <w:rFonts w:ascii="Arial" w:eastAsia="Arial" w:hAnsi="Arial" w:cs="Arial"/>
                <w:sz w:val="18"/>
                <w:vertAlign w:val="superscript"/>
              </w:rPr>
              <w:t>2</w:t>
            </w:r>
            <w:r>
              <w:rPr>
                <w:rFonts w:ascii="Arial" w:eastAsia="Arial" w:hAnsi="Arial" w:cs="Arial"/>
                <w:b/>
                <w:sz w:val="18"/>
              </w:rPr>
              <w:t xml:space="preserve"> </w:t>
            </w:r>
          </w:p>
        </w:tc>
        <w:tc>
          <w:tcPr>
            <w:tcW w:w="2126"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vAlign w:val="center"/>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0.70% </w:t>
            </w:r>
          </w:p>
        </w:tc>
        <w:tc>
          <w:tcPr>
            <w:tcW w:w="1858" w:type="dxa"/>
            <w:gridSpan w:val="3"/>
            <w:tcBorders>
              <w:top w:val="nil"/>
              <w:left w:val="nil"/>
              <w:bottom w:val="nil"/>
              <w:right w:val="nil"/>
            </w:tcBorders>
          </w:tcPr>
          <w:p w:rsidR="004D6F0E" w:rsidRDefault="00490F21">
            <w:pPr>
              <w:spacing w:after="28"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L2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6"/>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LT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2"/>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3.00%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1.65%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6"/>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SHK </w:t>
            </w:r>
            <w:r>
              <w:rPr>
                <w:sz w:val="18"/>
              </w:rPr>
              <w:t>類股份</w:t>
            </w:r>
            <w:r>
              <w:rPr>
                <w:sz w:val="18"/>
              </w:rPr>
              <w:t xml:space="preserve"> </w:t>
            </w:r>
            <w:r>
              <w:rPr>
                <w:rFonts w:ascii="Arial" w:eastAsia="Arial" w:hAnsi="Arial" w:cs="Arial"/>
                <w:sz w:val="18"/>
                <w:vertAlign w:val="superscript"/>
              </w:rPr>
              <w:t>9</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2"/>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SA </w:t>
            </w:r>
            <w:r>
              <w:rPr>
                <w:sz w:val="18"/>
              </w:rPr>
              <w:t>類股份</w:t>
            </w:r>
            <w:r>
              <w:rPr>
                <w:sz w:val="18"/>
              </w:rPr>
              <w:t xml:space="preserve"> </w:t>
            </w:r>
            <w:r>
              <w:rPr>
                <w:rFonts w:ascii="Arial" w:eastAsia="Arial" w:hAnsi="Arial" w:cs="Arial"/>
                <w:sz w:val="18"/>
                <w:vertAlign w:val="superscript"/>
              </w:rPr>
              <w:t>7</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7"/>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S1D </w:t>
            </w:r>
            <w:r>
              <w:rPr>
                <w:sz w:val="18"/>
              </w:rPr>
              <w:t>類股份</w:t>
            </w:r>
            <w:r>
              <w:rPr>
                <w:sz w:val="18"/>
              </w:rPr>
              <w:t xml:space="preserve"> </w:t>
            </w:r>
            <w:r>
              <w:rPr>
                <w:rFonts w:ascii="Arial" w:eastAsia="Arial" w:hAnsi="Arial" w:cs="Arial"/>
                <w:sz w:val="18"/>
                <w:vertAlign w:val="superscript"/>
              </w:rPr>
              <w:t>10</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2"/>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S1D2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443"/>
        </w:trPr>
        <w:tc>
          <w:tcPr>
            <w:tcW w:w="2926" w:type="dxa"/>
            <w:gridSpan w:val="2"/>
            <w:tcBorders>
              <w:top w:val="nil"/>
              <w:left w:val="nil"/>
              <w:bottom w:val="nil"/>
              <w:right w:val="nil"/>
            </w:tcBorders>
          </w:tcPr>
          <w:p w:rsidR="004D6F0E" w:rsidRDefault="00490F21">
            <w:pPr>
              <w:spacing w:after="28" w:line="259" w:lineRule="auto"/>
              <w:ind w:left="108" w:firstLine="0"/>
            </w:pPr>
            <w:r>
              <w:rPr>
                <w:rFonts w:ascii="Arial" w:eastAsia="Arial" w:hAnsi="Arial" w:cs="Arial"/>
                <w:b/>
                <w:sz w:val="18"/>
              </w:rPr>
              <w:t xml:space="preserve">ZT </w:t>
            </w:r>
            <w:r>
              <w:rPr>
                <w:sz w:val="18"/>
              </w:rPr>
              <w:t>類股份</w:t>
            </w:r>
            <w:r>
              <w:rPr>
                <w:sz w:val="18"/>
              </w:rPr>
              <w:t xml:space="preserve"> </w:t>
            </w:r>
            <w:r>
              <w:rPr>
                <w:rFonts w:ascii="Arial" w:eastAsia="Arial" w:hAnsi="Arial" w:cs="Arial"/>
                <w:sz w:val="18"/>
                <w:vertAlign w:val="superscript"/>
              </w:rPr>
              <w:t>9</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gridAfter w:val="1"/>
          <w:wAfter w:w="283" w:type="dxa"/>
          <w:trHeight w:val="233"/>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部分存續期對沖股份類別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730" w:type="dxa"/>
            <w:tcBorders>
              <w:top w:val="nil"/>
              <w:left w:val="nil"/>
              <w:bottom w:val="nil"/>
              <w:right w:val="nil"/>
            </w:tcBorders>
            <w:shd w:val="clear" w:color="auto" w:fill="D9D9D9"/>
          </w:tcPr>
          <w:p w:rsidR="004D6F0E" w:rsidRDefault="004D6F0E">
            <w:pPr>
              <w:spacing w:after="160" w:line="259" w:lineRule="auto"/>
              <w:ind w:left="0" w:firstLine="0"/>
            </w:pPr>
          </w:p>
        </w:tc>
        <w:tc>
          <w:tcPr>
            <w:tcW w:w="1858"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rPr>
          <w:gridAfter w:val="1"/>
          <w:wAfter w:w="283" w:type="dxa"/>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466"/>
        </w:trPr>
        <w:tc>
          <w:tcPr>
            <w:tcW w:w="2926" w:type="dxa"/>
            <w:gridSpan w:val="2"/>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w:t>
            </w:r>
            <w:r>
              <w:rPr>
                <w:rFonts w:ascii="Arial" w:eastAsia="Arial" w:hAnsi="Arial" w:cs="Arial"/>
                <w:b/>
                <w:sz w:val="18"/>
              </w:rPr>
              <w:t xml:space="preserve"> </w:t>
            </w:r>
          </w:p>
        </w:tc>
        <w:tc>
          <w:tcPr>
            <w:tcW w:w="2126" w:type="dxa"/>
            <w:tcBorders>
              <w:top w:val="nil"/>
              <w:left w:val="nil"/>
              <w:bottom w:val="nil"/>
              <w:right w:val="nil"/>
            </w:tcBorders>
            <w:vAlign w:val="center"/>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417" w:type="dxa"/>
            <w:tcBorders>
              <w:top w:val="nil"/>
              <w:left w:val="nil"/>
              <w:bottom w:val="nil"/>
              <w:right w:val="nil"/>
            </w:tcBorders>
            <w:vAlign w:val="center"/>
          </w:tcPr>
          <w:p w:rsidR="004D6F0E" w:rsidRDefault="00490F21">
            <w:pPr>
              <w:spacing w:after="0" w:line="259" w:lineRule="auto"/>
              <w:ind w:left="290" w:firstLine="0"/>
            </w:pPr>
            <w:r>
              <w:rPr>
                <w:rFonts w:ascii="Arial" w:eastAsia="Arial" w:hAnsi="Arial" w:cs="Arial"/>
                <w:sz w:val="18"/>
              </w:rPr>
              <w:t xml:space="preserve">1.55% </w:t>
            </w:r>
          </w:p>
        </w:tc>
        <w:tc>
          <w:tcPr>
            <w:tcW w:w="1730"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291" w:hanging="291"/>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gridAfter w:val="1"/>
          <w:wAfter w:w="283" w:type="dxa"/>
          <w:trHeight w:val="443"/>
        </w:trPr>
        <w:tc>
          <w:tcPr>
            <w:tcW w:w="2926" w:type="dxa"/>
            <w:gridSpan w:val="2"/>
            <w:tcBorders>
              <w:top w:val="nil"/>
              <w:left w:val="nil"/>
              <w:bottom w:val="nil"/>
              <w:right w:val="nil"/>
            </w:tcBorders>
          </w:tcPr>
          <w:p w:rsidR="004D6F0E" w:rsidRDefault="00490F21">
            <w:pPr>
              <w:spacing w:after="22" w:line="259" w:lineRule="auto"/>
              <w:ind w:left="108"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DUR PH </w:t>
            </w:r>
            <w:r>
              <w:rPr>
                <w:sz w:val="18"/>
              </w:rPr>
              <w:t>股份</w:t>
            </w:r>
            <w:r>
              <w:rPr>
                <w:sz w:val="18"/>
              </w:rPr>
              <w:t xml:space="preserve"> </w:t>
            </w:r>
            <w:r>
              <w:rPr>
                <w:rFonts w:ascii="Arial" w:eastAsia="Arial" w:hAnsi="Arial" w:cs="Arial"/>
                <w:sz w:val="18"/>
                <w:vertAlign w:val="superscript"/>
              </w:rPr>
              <w:t>8</w:t>
            </w:r>
            <w:r>
              <w:rPr>
                <w:rFonts w:ascii="Arial" w:eastAsia="Arial" w:hAnsi="Arial" w:cs="Arial"/>
                <w:sz w:val="18"/>
              </w:rPr>
              <w:t>†</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10" w:line="259" w:lineRule="auto"/>
              <w:ind w:left="187" w:firstLine="0"/>
            </w:pPr>
            <w:r>
              <w:rPr>
                <w:sz w:val="18"/>
              </w:rPr>
              <w:t>不再發售</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gridAfter w:val="1"/>
          <w:wAfter w:w="283" w:type="dxa"/>
          <w:trHeight w:val="233"/>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日圓計價股份類別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730" w:type="dxa"/>
            <w:tcBorders>
              <w:top w:val="nil"/>
              <w:left w:val="nil"/>
              <w:bottom w:val="nil"/>
              <w:right w:val="nil"/>
            </w:tcBorders>
            <w:shd w:val="clear" w:color="auto" w:fill="D9D9D9"/>
          </w:tcPr>
          <w:p w:rsidR="004D6F0E" w:rsidRDefault="004D6F0E">
            <w:pPr>
              <w:spacing w:after="160" w:line="259" w:lineRule="auto"/>
              <w:ind w:left="0" w:firstLine="0"/>
            </w:pPr>
          </w:p>
        </w:tc>
        <w:tc>
          <w:tcPr>
            <w:tcW w:w="1858"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rPr>
          <w:gridAfter w:val="1"/>
          <w:wAfter w:w="283" w:type="dxa"/>
          <w:trHeight w:val="442"/>
        </w:trPr>
        <w:tc>
          <w:tcPr>
            <w:tcW w:w="2926" w:type="dxa"/>
            <w:gridSpan w:val="2"/>
            <w:tcBorders>
              <w:top w:val="nil"/>
              <w:left w:val="nil"/>
              <w:bottom w:val="nil"/>
              <w:right w:val="nil"/>
            </w:tcBorders>
          </w:tcPr>
          <w:p w:rsidR="004D6F0E" w:rsidRDefault="00490F21">
            <w:pPr>
              <w:spacing w:after="46" w:line="259" w:lineRule="auto"/>
              <w:ind w:left="108"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126"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2" w:line="259" w:lineRule="auto"/>
              <w:ind w:left="290" w:firstLine="0"/>
            </w:pPr>
            <w:r>
              <w:rPr>
                <w:rFonts w:ascii="Arial" w:eastAsia="Arial" w:hAnsi="Arial" w:cs="Arial"/>
                <w:sz w:val="18"/>
              </w:rPr>
              <w:t xml:space="preserve">0.55% </w:t>
            </w:r>
          </w:p>
          <w:p w:rsidR="004D6F0E" w:rsidRDefault="00490F21">
            <w:pPr>
              <w:spacing w:after="0" w:line="259" w:lineRule="auto"/>
              <w:ind w:left="1322" w:firstLine="0"/>
              <w:jc w:val="center"/>
            </w:pP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5"/>
        </w:trPr>
        <w:tc>
          <w:tcPr>
            <w:tcW w:w="2926" w:type="dxa"/>
            <w:gridSpan w:val="2"/>
            <w:tcBorders>
              <w:top w:val="nil"/>
              <w:left w:val="nil"/>
              <w:bottom w:val="nil"/>
              <w:right w:val="nil"/>
            </w:tcBorders>
            <w:shd w:val="clear" w:color="auto" w:fill="D9D9D9"/>
          </w:tcPr>
          <w:p w:rsidR="004D6F0E" w:rsidRDefault="00490F21">
            <w:pPr>
              <w:tabs>
                <w:tab w:val="center" w:pos="2518"/>
              </w:tabs>
              <w:spacing w:after="0" w:line="259" w:lineRule="auto"/>
              <w:ind w:left="0" w:firstLine="0"/>
            </w:pPr>
            <w:r>
              <w:rPr>
                <w:sz w:val="18"/>
              </w:rPr>
              <w:lastRenderedPageBreak/>
              <w:t>歐元計價股份類別</w:t>
            </w:r>
            <w:r>
              <w:rPr>
                <w:rFonts w:ascii="Arial" w:eastAsia="Arial" w:hAnsi="Arial" w:cs="Arial"/>
                <w:sz w:val="18"/>
              </w:rPr>
              <w:t xml:space="preserve"> </w:t>
            </w:r>
            <w:r>
              <w:rPr>
                <w:rFonts w:ascii="Arial" w:eastAsia="Arial" w:hAnsi="Arial" w:cs="Arial"/>
                <w:sz w:val="18"/>
              </w:rPr>
              <w:tab/>
            </w:r>
            <w:r>
              <w:rPr>
                <w:rFonts w:ascii="Arial" w:eastAsia="Arial" w:hAnsi="Arial" w:cs="Arial"/>
                <w:b/>
                <w:sz w:val="18"/>
              </w:rPr>
              <w:t xml:space="preserve"> </w:t>
            </w:r>
          </w:p>
        </w:tc>
        <w:tc>
          <w:tcPr>
            <w:tcW w:w="2126" w:type="dxa"/>
            <w:tcBorders>
              <w:top w:val="nil"/>
              <w:left w:val="nil"/>
              <w:bottom w:val="nil"/>
              <w:right w:val="nil"/>
            </w:tcBorders>
            <w:shd w:val="clear" w:color="auto" w:fill="D9D9D9"/>
          </w:tcPr>
          <w:p w:rsidR="004D6F0E" w:rsidRDefault="00490F21">
            <w:pPr>
              <w:spacing w:after="0" w:line="259" w:lineRule="auto"/>
              <w:ind w:left="1718" w:firstLine="0"/>
            </w:pPr>
            <w:r>
              <w:rPr>
                <w:rFonts w:ascii="Arial" w:eastAsia="Arial" w:hAnsi="Arial" w:cs="Arial"/>
                <w:b/>
                <w:sz w:val="18"/>
              </w:rPr>
              <w:t xml:space="preserve"> </w:t>
            </w:r>
          </w:p>
        </w:tc>
        <w:tc>
          <w:tcPr>
            <w:tcW w:w="2417" w:type="dxa"/>
            <w:tcBorders>
              <w:top w:val="nil"/>
              <w:left w:val="nil"/>
              <w:bottom w:val="nil"/>
              <w:right w:val="nil"/>
            </w:tcBorders>
            <w:shd w:val="clear" w:color="auto" w:fill="D9D9D9"/>
          </w:tcPr>
          <w:p w:rsidR="004D6F0E" w:rsidRDefault="00490F21">
            <w:pPr>
              <w:spacing w:after="0" w:line="259" w:lineRule="auto"/>
              <w:ind w:left="1322" w:firstLine="0"/>
              <w:jc w:val="center"/>
            </w:pPr>
            <w:r>
              <w:rPr>
                <w:rFonts w:ascii="Arial" w:eastAsia="Arial" w:hAnsi="Arial" w:cs="Arial"/>
                <w:b/>
                <w:sz w:val="18"/>
              </w:rPr>
              <w:t xml:space="preserve"> </w:t>
            </w:r>
          </w:p>
        </w:tc>
        <w:tc>
          <w:tcPr>
            <w:tcW w:w="1730"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58"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rPr>
          <w:gridAfter w:val="1"/>
          <w:wAfter w:w="283" w:type="dxa"/>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AR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40"/>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3"/>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AK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460"/>
        </w:trPr>
        <w:tc>
          <w:tcPr>
            <w:tcW w:w="2926" w:type="dxa"/>
            <w:gridSpan w:val="2"/>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b/>
                <w:sz w:val="18"/>
              </w:rPr>
              <w:t xml:space="preserve"> </w:t>
            </w:r>
          </w:p>
        </w:tc>
        <w:tc>
          <w:tcPr>
            <w:tcW w:w="2126"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b/>
                <w:sz w:val="18"/>
              </w:rPr>
              <w:t xml:space="preserve"> </w:t>
            </w:r>
          </w:p>
        </w:tc>
        <w:tc>
          <w:tcPr>
            <w:tcW w:w="2417" w:type="dxa"/>
            <w:tcBorders>
              <w:top w:val="nil"/>
              <w:left w:val="nil"/>
              <w:bottom w:val="nil"/>
              <w:right w:val="nil"/>
            </w:tcBorders>
            <w:vAlign w:val="center"/>
          </w:tcPr>
          <w:p w:rsidR="004D6F0E" w:rsidRDefault="00490F21">
            <w:pPr>
              <w:spacing w:after="0" w:line="259" w:lineRule="auto"/>
              <w:ind w:left="290" w:firstLine="0"/>
            </w:pPr>
            <w:r>
              <w:rPr>
                <w:rFonts w:ascii="Arial" w:eastAsia="Arial" w:hAnsi="Arial" w:cs="Arial"/>
                <w:sz w:val="18"/>
              </w:rPr>
              <w:t>1.55%</w:t>
            </w:r>
            <w:r>
              <w:rPr>
                <w:rFonts w:ascii="Arial" w:eastAsia="Arial" w:hAnsi="Arial" w:cs="Arial"/>
                <w:b/>
                <w:sz w:val="18"/>
              </w:rPr>
              <w:t xml:space="preserve"> </w:t>
            </w:r>
          </w:p>
        </w:tc>
        <w:tc>
          <w:tcPr>
            <w:tcW w:w="1730"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b/>
                <w:sz w:val="18"/>
              </w:rPr>
              <w:t xml:space="preserve"> </w:t>
            </w:r>
          </w:p>
        </w:tc>
        <w:tc>
          <w:tcPr>
            <w:tcW w:w="1858" w:type="dxa"/>
            <w:gridSpan w:val="3"/>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=1.0%</w:t>
            </w:r>
            <w:r>
              <w:rPr>
                <w:rFonts w:ascii="Arial" w:eastAsia="Arial" w:hAnsi="Arial" w:cs="Arial"/>
                <w:b/>
                <w:sz w:val="18"/>
              </w:rPr>
              <w:t xml:space="preserve"> </w:t>
            </w:r>
            <w:r>
              <w:rPr>
                <w:sz w:val="18"/>
              </w:rPr>
              <w:t>此後</w:t>
            </w:r>
            <w:r>
              <w:rPr>
                <w:rFonts w:ascii="Arial" w:eastAsia="Arial" w:hAnsi="Arial" w:cs="Arial"/>
                <w:sz w:val="18"/>
              </w:rPr>
              <w:t>=0%</w:t>
            </w:r>
            <w:r>
              <w:rPr>
                <w:rFonts w:ascii="Arial" w:eastAsia="Arial" w:hAnsi="Arial" w:cs="Arial"/>
                <w:b/>
                <w:sz w:val="18"/>
              </w:rPr>
              <w:t xml:space="preserve"> </w:t>
            </w:r>
          </w:p>
        </w:tc>
      </w:tr>
      <w:tr w:rsidR="004D6F0E">
        <w:trPr>
          <w:gridAfter w:val="1"/>
          <w:wAfter w:w="283" w:type="dxa"/>
          <w:trHeight w:val="243"/>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gridAfter w:val="1"/>
          <w:wAfter w:w="283" w:type="dxa"/>
          <w:trHeight w:val="433"/>
        </w:trPr>
        <w:tc>
          <w:tcPr>
            <w:tcW w:w="2926" w:type="dxa"/>
            <w:gridSpan w:val="2"/>
            <w:tcBorders>
              <w:top w:val="nil"/>
              <w:left w:val="nil"/>
              <w:bottom w:val="nil"/>
              <w:right w:val="nil"/>
            </w:tcBorders>
          </w:tcPr>
          <w:p w:rsidR="004D6F0E" w:rsidRDefault="00490F21">
            <w:pPr>
              <w:spacing w:after="7" w:line="259" w:lineRule="auto"/>
              <w:ind w:left="108" w:firstLine="0"/>
            </w:pPr>
            <w:r>
              <w:rPr>
                <w:rFonts w:ascii="Arial" w:eastAsia="Arial" w:hAnsi="Arial" w:cs="Arial"/>
                <w:sz w:val="18"/>
              </w:rPr>
              <w:t xml:space="preserve">S1 </w:t>
            </w:r>
            <w:r>
              <w:rPr>
                <w:sz w:val="18"/>
              </w:rPr>
              <w:t>類股份</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0.50% </w:t>
            </w:r>
          </w:p>
          <w:p w:rsidR="004D6F0E" w:rsidRDefault="00490F21">
            <w:pPr>
              <w:spacing w:after="0" w:line="259" w:lineRule="auto"/>
              <w:ind w:left="547" w:firstLine="0"/>
            </w:pP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58" w:type="dxa"/>
            <w:gridSpan w:val="3"/>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gridAfter w:val="1"/>
          <w:wAfter w:w="283" w:type="dxa"/>
          <w:trHeight w:val="235"/>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港元計價股份類別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1730"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58" w:type="dxa"/>
            <w:gridSpan w:val="3"/>
            <w:tcBorders>
              <w:top w:val="nil"/>
              <w:left w:val="nil"/>
              <w:bottom w:val="nil"/>
              <w:right w:val="nil"/>
            </w:tcBorders>
            <w:shd w:val="clear" w:color="auto" w:fill="D9D9D9"/>
          </w:tcPr>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15"/>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類股份</w:t>
            </w: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46"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34"/>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類股份</w:t>
            </w: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46"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35"/>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類股份</w:t>
            </w: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46"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33"/>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46"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35"/>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46"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33"/>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502"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1730"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28"/>
        </w:trPr>
        <w:tc>
          <w:tcPr>
            <w:tcW w:w="2880" w:type="dxa"/>
            <w:tcBorders>
              <w:top w:val="nil"/>
              <w:left w:val="nil"/>
              <w:bottom w:val="nil"/>
              <w:right w:val="nil"/>
            </w:tcBorders>
          </w:tcPr>
          <w:p w:rsidR="004D6F0E" w:rsidRDefault="00490F21">
            <w:pPr>
              <w:spacing w:after="0" w:line="259" w:lineRule="auto"/>
              <w:ind w:left="108" w:firstLine="0"/>
            </w:pPr>
            <w:r>
              <w:rPr>
                <w:rFonts w:ascii="Arial" w:eastAsia="Arial" w:hAnsi="Arial" w:cs="Arial"/>
                <w:b/>
                <w:sz w:val="18"/>
              </w:rPr>
              <w:t xml:space="preserve"> </w:t>
            </w:r>
          </w:p>
        </w:tc>
        <w:tc>
          <w:tcPr>
            <w:tcW w:w="2172" w:type="dxa"/>
            <w:gridSpan w:val="2"/>
            <w:tcBorders>
              <w:top w:val="nil"/>
              <w:left w:val="nil"/>
              <w:bottom w:val="nil"/>
              <w:right w:val="nil"/>
            </w:tcBorders>
          </w:tcPr>
          <w:p w:rsidR="004D6F0E" w:rsidRDefault="00490F21">
            <w:pPr>
              <w:spacing w:after="0" w:line="259" w:lineRule="auto"/>
              <w:ind w:left="593"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 </w:t>
            </w:r>
          </w:p>
        </w:tc>
        <w:tc>
          <w:tcPr>
            <w:tcW w:w="1730" w:type="dxa"/>
            <w:tcBorders>
              <w:top w:val="nil"/>
              <w:left w:val="nil"/>
              <w:bottom w:val="nil"/>
              <w:right w:val="nil"/>
            </w:tcBorders>
          </w:tcPr>
          <w:p w:rsidR="004D6F0E" w:rsidRDefault="00490F21">
            <w:pPr>
              <w:spacing w:after="0" w:line="259" w:lineRule="auto"/>
              <w:ind w:left="257" w:firstLine="0"/>
            </w:pPr>
            <w:r>
              <w:rPr>
                <w:rFonts w:ascii="Arial" w:eastAsia="Arial" w:hAnsi="Arial" w:cs="Arial"/>
                <w:sz w:val="18"/>
              </w:rPr>
              <w:t xml:space="preserve"> </w:t>
            </w:r>
          </w:p>
        </w:tc>
        <w:tc>
          <w:tcPr>
            <w:tcW w:w="864" w:type="dxa"/>
            <w:gridSpan w:val="2"/>
            <w:tcBorders>
              <w:top w:val="nil"/>
              <w:left w:val="nil"/>
              <w:bottom w:val="nil"/>
              <w:right w:val="nil"/>
            </w:tcBorders>
          </w:tcPr>
          <w:p w:rsidR="004D6F0E" w:rsidRDefault="00490F21">
            <w:pPr>
              <w:spacing w:after="0" w:line="259" w:lineRule="auto"/>
              <w:ind w:left="0" w:right="91" w:firstLine="0"/>
              <w:jc w:val="right"/>
            </w:pPr>
            <w:r>
              <w:rPr>
                <w:rFonts w:ascii="Arial" w:eastAsia="Arial" w:hAnsi="Arial" w:cs="Arial"/>
                <w:sz w:val="18"/>
              </w:rPr>
              <w:t xml:space="preserve"> </w:t>
            </w:r>
          </w:p>
        </w:tc>
      </w:tr>
      <w:tr w:rsidR="004D6F0E">
        <w:tblPrEx>
          <w:tblCellMar>
            <w:top w:w="6" w:type="dxa"/>
            <w:right w:w="0" w:type="dxa"/>
          </w:tblCellMar>
        </w:tblPrEx>
        <w:trPr>
          <w:gridAfter w:val="2"/>
          <w:wAfter w:w="1277" w:type="dxa"/>
          <w:trHeight w:val="244"/>
        </w:trPr>
        <w:tc>
          <w:tcPr>
            <w:tcW w:w="2880" w:type="dxa"/>
            <w:tcBorders>
              <w:top w:val="nil"/>
              <w:left w:val="nil"/>
              <w:bottom w:val="nil"/>
              <w:right w:val="nil"/>
            </w:tcBorders>
          </w:tcPr>
          <w:p w:rsidR="004D6F0E" w:rsidRDefault="00490F21">
            <w:pPr>
              <w:spacing w:after="0" w:line="259" w:lineRule="auto"/>
              <w:ind w:left="0" w:firstLine="0"/>
            </w:pPr>
            <w:r>
              <w:rPr>
                <w:rFonts w:ascii="Times New Roman" w:eastAsia="Times New Roman" w:hAnsi="Times New Roman" w:cs="Times New Roman"/>
                <w:b/>
                <w:sz w:val="24"/>
              </w:rPr>
              <w:t xml:space="preserve"> </w:t>
            </w:r>
          </w:p>
        </w:tc>
        <w:tc>
          <w:tcPr>
            <w:tcW w:w="2172" w:type="dxa"/>
            <w:gridSpan w:val="2"/>
            <w:tcBorders>
              <w:top w:val="nil"/>
              <w:left w:val="nil"/>
              <w:bottom w:val="nil"/>
              <w:right w:val="nil"/>
            </w:tcBorders>
          </w:tcPr>
          <w:p w:rsidR="004D6F0E" w:rsidRDefault="00490F21">
            <w:pPr>
              <w:spacing w:after="0" w:line="259" w:lineRule="auto"/>
              <w:ind w:left="0" w:firstLine="0"/>
            </w:pPr>
            <w:r>
              <w:rPr>
                <w:rFonts w:ascii="Times New Roman" w:eastAsia="Times New Roman" w:hAnsi="Times New Roman" w:cs="Times New Roman"/>
                <w:sz w:val="24"/>
              </w:rPr>
              <w:t xml:space="preserve"> </w:t>
            </w:r>
          </w:p>
        </w:tc>
        <w:tc>
          <w:tcPr>
            <w:tcW w:w="2417" w:type="dxa"/>
            <w:tcBorders>
              <w:top w:val="nil"/>
              <w:left w:val="nil"/>
              <w:bottom w:val="nil"/>
              <w:right w:val="nil"/>
            </w:tcBorders>
          </w:tcPr>
          <w:p w:rsidR="004D6F0E" w:rsidRDefault="004D6F0E">
            <w:pPr>
              <w:spacing w:after="160" w:line="259" w:lineRule="auto"/>
              <w:ind w:left="0" w:firstLine="0"/>
            </w:pPr>
          </w:p>
        </w:tc>
        <w:tc>
          <w:tcPr>
            <w:tcW w:w="1730" w:type="dxa"/>
            <w:tcBorders>
              <w:top w:val="nil"/>
              <w:left w:val="nil"/>
              <w:bottom w:val="nil"/>
              <w:right w:val="nil"/>
            </w:tcBorders>
          </w:tcPr>
          <w:p w:rsidR="004D6F0E" w:rsidRDefault="004D6F0E">
            <w:pPr>
              <w:spacing w:after="160" w:line="259" w:lineRule="auto"/>
              <w:ind w:left="0" w:firstLine="0"/>
            </w:pPr>
          </w:p>
        </w:tc>
        <w:tc>
          <w:tcPr>
            <w:tcW w:w="864" w:type="dxa"/>
            <w:gridSpan w:val="2"/>
            <w:tcBorders>
              <w:top w:val="nil"/>
              <w:left w:val="nil"/>
              <w:bottom w:val="nil"/>
              <w:right w:val="nil"/>
            </w:tcBorders>
          </w:tcPr>
          <w:p w:rsidR="004D6F0E" w:rsidRDefault="004D6F0E">
            <w:pPr>
              <w:spacing w:after="160" w:line="259" w:lineRule="auto"/>
              <w:ind w:left="0" w:firstLine="0"/>
            </w:pPr>
          </w:p>
        </w:tc>
      </w:tr>
      <w:tr w:rsidR="004D6F0E">
        <w:tblPrEx>
          <w:tblCellMar>
            <w:top w:w="23" w:type="dxa"/>
            <w:right w:w="358" w:type="dxa"/>
          </w:tblCellMar>
        </w:tblPrEx>
        <w:trPr>
          <w:trHeight w:val="235"/>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新加坡元計價股份類別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58" w:type="dxa"/>
          </w:tblCellMar>
        </w:tblPrEx>
        <w:trPr>
          <w:trHeight w:val="241"/>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1"/>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435"/>
        </w:trPr>
        <w:tc>
          <w:tcPr>
            <w:tcW w:w="2926" w:type="dxa"/>
            <w:gridSpan w:val="2"/>
            <w:tcBorders>
              <w:top w:val="nil"/>
              <w:left w:val="nil"/>
              <w:bottom w:val="nil"/>
              <w:right w:val="nil"/>
            </w:tcBorders>
          </w:tcPr>
          <w:p w:rsidR="004D6F0E" w:rsidRDefault="00490F21">
            <w:pPr>
              <w:spacing w:after="23" w:line="259" w:lineRule="auto"/>
              <w:ind w:left="108"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1872" w:type="dxa"/>
            <w:gridSpan w:val="2"/>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7"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58" w:type="dxa"/>
          </w:tblCellMar>
        </w:tblPrEx>
        <w:trPr>
          <w:trHeight w:val="235"/>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澳元對沖股份類別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936"/>
        </w:trPr>
        <w:tc>
          <w:tcPr>
            <w:tcW w:w="2926" w:type="dxa"/>
            <w:gridSpan w:val="2"/>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11</w:t>
            </w:r>
            <w:r>
              <w:rPr>
                <w:rFonts w:ascii="Arial" w:eastAsia="Arial" w:hAnsi="Arial" w:cs="Arial"/>
                <w:b/>
                <w:sz w:val="18"/>
              </w:rPr>
              <w:t xml:space="preserve"> </w:t>
            </w:r>
          </w:p>
        </w:tc>
        <w:tc>
          <w:tcPr>
            <w:tcW w:w="2126"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vAlign w:val="center"/>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1999" w:type="dxa"/>
            <w:gridSpan w:val="3"/>
            <w:tcBorders>
              <w:top w:val="nil"/>
              <w:left w:val="nil"/>
              <w:bottom w:val="nil"/>
              <w:right w:val="nil"/>
            </w:tcBorders>
          </w:tcPr>
          <w:p w:rsidR="004D6F0E" w:rsidRDefault="00490F21">
            <w:pPr>
              <w:spacing w:after="30"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23"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23"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blPrEx>
          <w:tblCellMar>
            <w:top w:w="23" w:type="dxa"/>
            <w:right w:w="358" w:type="dxa"/>
          </w:tblCellMar>
        </w:tblPrEx>
        <w:trPr>
          <w:trHeight w:val="466"/>
        </w:trPr>
        <w:tc>
          <w:tcPr>
            <w:tcW w:w="2926" w:type="dxa"/>
            <w:gridSpan w:val="2"/>
            <w:tcBorders>
              <w:top w:val="nil"/>
              <w:left w:val="nil"/>
              <w:bottom w:val="nil"/>
              <w:right w:val="nil"/>
            </w:tcBorders>
          </w:tcPr>
          <w:p w:rsidR="004D6F0E" w:rsidRDefault="00490F21">
            <w:pPr>
              <w:spacing w:after="18" w:line="259" w:lineRule="auto"/>
              <w:ind w:left="108"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澳元和</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vAlign w:val="center"/>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vAlign w:val="center"/>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L2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lastRenderedPageBreak/>
              <w:t xml:space="preserve">LT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442"/>
        </w:trPr>
        <w:tc>
          <w:tcPr>
            <w:tcW w:w="2926" w:type="dxa"/>
            <w:gridSpan w:val="2"/>
            <w:tcBorders>
              <w:top w:val="nil"/>
              <w:left w:val="nil"/>
              <w:bottom w:val="nil"/>
              <w:right w:val="nil"/>
            </w:tcBorders>
          </w:tcPr>
          <w:p w:rsidR="004D6F0E" w:rsidRDefault="00490F21">
            <w:pPr>
              <w:spacing w:after="24" w:line="259" w:lineRule="auto"/>
              <w:ind w:left="108"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1872" w:type="dxa"/>
            <w:gridSpan w:val="2"/>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58" w:type="dxa"/>
          </w:tblCellMar>
        </w:tblPrEx>
        <w:trPr>
          <w:trHeight w:val="233"/>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歐元對沖股份類別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468"/>
        </w:trPr>
        <w:tc>
          <w:tcPr>
            <w:tcW w:w="2926" w:type="dxa"/>
            <w:gridSpan w:val="2"/>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290" w:hanging="29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blPrEx>
          <w:tblCellMar>
            <w:top w:w="23" w:type="dxa"/>
            <w:right w:w="358" w:type="dxa"/>
          </w:tblCellMar>
        </w:tblPrEx>
        <w:trPr>
          <w:trHeight w:val="468"/>
        </w:trPr>
        <w:tc>
          <w:tcPr>
            <w:tcW w:w="2926" w:type="dxa"/>
            <w:gridSpan w:val="2"/>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vAlign w:val="center"/>
          </w:tcPr>
          <w:p w:rsidR="004D6F0E" w:rsidRDefault="00490F21">
            <w:pPr>
              <w:spacing w:after="0" w:line="259" w:lineRule="auto"/>
              <w:ind w:left="290" w:firstLine="0"/>
            </w:pPr>
            <w:r>
              <w:rPr>
                <w:rFonts w:ascii="Arial" w:eastAsia="Arial" w:hAnsi="Arial" w:cs="Arial"/>
                <w:sz w:val="18"/>
              </w:rPr>
              <w:t xml:space="preserve">1.55% </w:t>
            </w:r>
          </w:p>
        </w:tc>
        <w:tc>
          <w:tcPr>
            <w:tcW w:w="1872" w:type="dxa"/>
            <w:gridSpan w:val="2"/>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291" w:hanging="291"/>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6"/>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2"/>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S1QD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443"/>
        </w:trPr>
        <w:tc>
          <w:tcPr>
            <w:tcW w:w="2926" w:type="dxa"/>
            <w:gridSpan w:val="2"/>
            <w:tcBorders>
              <w:top w:val="nil"/>
              <w:left w:val="nil"/>
              <w:bottom w:val="nil"/>
              <w:right w:val="nil"/>
            </w:tcBorders>
          </w:tcPr>
          <w:p w:rsidR="004D6F0E" w:rsidRDefault="00490F21">
            <w:pPr>
              <w:spacing w:after="37" w:line="259" w:lineRule="auto"/>
              <w:ind w:left="108"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126"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1428" w:firstLine="0"/>
              <w:jc w:val="center"/>
            </w:pPr>
            <w:r>
              <w:rPr>
                <w:rFonts w:ascii="Arial" w:eastAsia="Arial" w:hAnsi="Arial" w:cs="Arial"/>
                <w:sz w:val="18"/>
              </w:rPr>
              <w:t xml:space="preserve"> </w:t>
            </w:r>
          </w:p>
        </w:tc>
        <w:tc>
          <w:tcPr>
            <w:tcW w:w="1872" w:type="dxa"/>
            <w:gridSpan w:val="2"/>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392" w:firstLine="0"/>
              <w:jc w:val="center"/>
            </w:pP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3"/>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新加坡元對沖股份類別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2"/>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L2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LT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443"/>
        </w:trPr>
        <w:tc>
          <w:tcPr>
            <w:tcW w:w="2926" w:type="dxa"/>
            <w:gridSpan w:val="2"/>
            <w:tcBorders>
              <w:top w:val="nil"/>
              <w:left w:val="nil"/>
              <w:bottom w:val="nil"/>
              <w:right w:val="nil"/>
            </w:tcBorders>
          </w:tcPr>
          <w:p w:rsidR="004D6F0E" w:rsidRDefault="00490F21">
            <w:pPr>
              <w:spacing w:after="39" w:line="259" w:lineRule="auto"/>
              <w:ind w:left="108"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126"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1428" w:firstLine="0"/>
              <w:jc w:val="center"/>
            </w:pPr>
            <w:r>
              <w:rPr>
                <w:rFonts w:ascii="Arial" w:eastAsia="Arial" w:hAnsi="Arial" w:cs="Arial"/>
                <w:sz w:val="18"/>
              </w:rPr>
              <w:t xml:space="preserve"> </w:t>
            </w:r>
          </w:p>
        </w:tc>
        <w:tc>
          <w:tcPr>
            <w:tcW w:w="1872" w:type="dxa"/>
            <w:gridSpan w:val="2"/>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392" w:firstLine="0"/>
              <w:jc w:val="center"/>
            </w:pP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3"/>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t>加元對沖股份類別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gridSpan w:val="3"/>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2"/>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4"/>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加元股份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5"/>
        </w:trPr>
        <w:tc>
          <w:tcPr>
            <w:tcW w:w="2926" w:type="dxa"/>
            <w:gridSpan w:val="2"/>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L2 </w:t>
            </w:r>
            <w:r>
              <w:rPr>
                <w:sz w:val="18"/>
              </w:rPr>
              <w:t>類</w:t>
            </w:r>
            <w:r>
              <w:rPr>
                <w:sz w:val="18"/>
              </w:rPr>
              <w:t xml:space="preserve"> </w:t>
            </w:r>
            <w:r>
              <w:rPr>
                <w:rFonts w:ascii="Arial" w:eastAsia="Arial" w:hAnsi="Arial" w:cs="Arial"/>
                <w:sz w:val="18"/>
              </w:rPr>
              <w:t xml:space="preserve">H </w:t>
            </w:r>
            <w:r>
              <w:rPr>
                <w:sz w:val="18"/>
              </w:rPr>
              <w:t>加元股份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0.90% </w:t>
            </w:r>
          </w:p>
        </w:tc>
        <w:tc>
          <w:tcPr>
            <w:tcW w:w="1872"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441"/>
        </w:trPr>
        <w:tc>
          <w:tcPr>
            <w:tcW w:w="2926" w:type="dxa"/>
            <w:gridSpan w:val="2"/>
            <w:tcBorders>
              <w:top w:val="nil"/>
              <w:left w:val="nil"/>
              <w:bottom w:val="nil"/>
              <w:right w:val="nil"/>
            </w:tcBorders>
          </w:tcPr>
          <w:p w:rsidR="004D6F0E" w:rsidRDefault="00490F21">
            <w:pPr>
              <w:spacing w:after="37" w:line="259" w:lineRule="auto"/>
              <w:ind w:left="108" w:firstLine="0"/>
            </w:pPr>
            <w:r>
              <w:rPr>
                <w:rFonts w:ascii="Arial" w:eastAsia="Arial" w:hAnsi="Arial" w:cs="Arial"/>
                <w:sz w:val="18"/>
              </w:rPr>
              <w:t xml:space="preserve">LT </w:t>
            </w:r>
            <w:r>
              <w:rPr>
                <w:sz w:val="18"/>
              </w:rPr>
              <w:t>類</w:t>
            </w:r>
            <w:r>
              <w:rPr>
                <w:sz w:val="18"/>
              </w:rPr>
              <w:t xml:space="preserve"> </w:t>
            </w:r>
            <w:r>
              <w:rPr>
                <w:rFonts w:ascii="Arial" w:eastAsia="Arial" w:hAnsi="Arial" w:cs="Arial"/>
                <w:sz w:val="18"/>
              </w:rPr>
              <w:t xml:space="preserve">H </w:t>
            </w:r>
            <w:r>
              <w:rPr>
                <w:sz w:val="18"/>
              </w:rPr>
              <w:t>加元股份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9" w:line="259" w:lineRule="auto"/>
              <w:ind w:left="290" w:firstLine="0"/>
            </w:pPr>
            <w:r>
              <w:rPr>
                <w:rFonts w:ascii="Arial" w:eastAsia="Arial" w:hAnsi="Arial" w:cs="Arial"/>
                <w:sz w:val="18"/>
              </w:rPr>
              <w:t xml:space="preserve">0.90% </w:t>
            </w:r>
          </w:p>
          <w:p w:rsidR="004D6F0E" w:rsidRDefault="00490F21">
            <w:pPr>
              <w:spacing w:after="0" w:line="259" w:lineRule="auto"/>
              <w:ind w:left="1428" w:firstLine="0"/>
              <w:jc w:val="center"/>
            </w:pPr>
            <w:r>
              <w:rPr>
                <w:rFonts w:ascii="Arial" w:eastAsia="Arial" w:hAnsi="Arial" w:cs="Arial"/>
                <w:sz w:val="18"/>
              </w:rPr>
              <w:t xml:space="preserve"> </w:t>
            </w:r>
          </w:p>
        </w:tc>
        <w:tc>
          <w:tcPr>
            <w:tcW w:w="1872" w:type="dxa"/>
            <w:gridSpan w:val="2"/>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392" w:firstLine="0"/>
              <w:jc w:val="center"/>
            </w:pPr>
            <w:r>
              <w:rPr>
                <w:rFonts w:ascii="Arial" w:eastAsia="Arial" w:hAnsi="Arial" w:cs="Arial"/>
                <w:sz w:val="18"/>
              </w:rPr>
              <w:t xml:space="preserve"> </w:t>
            </w:r>
          </w:p>
        </w:tc>
        <w:tc>
          <w:tcPr>
            <w:tcW w:w="1999" w:type="dxa"/>
            <w:gridSpan w:val="3"/>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blPrEx>
          <w:tblCellMar>
            <w:top w:w="23" w:type="dxa"/>
            <w:right w:w="358" w:type="dxa"/>
          </w:tblCellMar>
        </w:tblPrEx>
        <w:trPr>
          <w:trHeight w:val="235"/>
        </w:trPr>
        <w:tc>
          <w:tcPr>
            <w:tcW w:w="2926" w:type="dxa"/>
            <w:gridSpan w:val="2"/>
            <w:tcBorders>
              <w:top w:val="nil"/>
              <w:left w:val="nil"/>
              <w:bottom w:val="nil"/>
              <w:right w:val="nil"/>
            </w:tcBorders>
            <w:shd w:val="clear" w:color="auto" w:fill="D9D9D9"/>
          </w:tcPr>
          <w:p w:rsidR="004D6F0E" w:rsidRDefault="00490F21">
            <w:pPr>
              <w:spacing w:after="0" w:line="259" w:lineRule="auto"/>
              <w:ind w:left="108" w:firstLine="0"/>
            </w:pPr>
            <w:r>
              <w:rPr>
                <w:sz w:val="18"/>
              </w:rPr>
              <w:lastRenderedPageBreak/>
              <w:t>英鎊對沖股份類別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gridSpan w:val="3"/>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474"/>
          <w:tab w:val="center" w:pos="5599"/>
          <w:tab w:val="center" w:pos="7724"/>
          <w:tab w:val="center" w:pos="10064"/>
        </w:tabs>
        <w:spacing w:after="20"/>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r>
        <w:rPr>
          <w:rFonts w:ascii="Arial" w:eastAsia="Arial" w:hAnsi="Arial" w:cs="Arial"/>
          <w:b/>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1.10%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spacing w:after="20"/>
        <w:ind w:left="110" w:right="491" w:hanging="10"/>
        <w:jc w:val="both"/>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r>
        <w:rPr>
          <w:sz w:val="18"/>
        </w:rPr>
        <w:t>最高為</w:t>
      </w:r>
      <w:r>
        <w:rPr>
          <w:sz w:val="18"/>
        </w:rPr>
        <w:t xml:space="preserve"> </w:t>
      </w:r>
      <w:r>
        <w:rPr>
          <w:rFonts w:ascii="Arial" w:eastAsia="Arial" w:hAnsi="Arial" w:cs="Arial"/>
          <w:sz w:val="18"/>
        </w:rPr>
        <w:t xml:space="preserve">5.00% 1.10%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IT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r>
        <w:rPr>
          <w:sz w:val="18"/>
        </w:rPr>
        <w:t>最高為</w:t>
      </w:r>
      <w:r>
        <w:rPr>
          <w:sz w:val="18"/>
        </w:rPr>
        <w:t xml:space="preserve"> </w:t>
      </w:r>
      <w:r>
        <w:rPr>
          <w:rFonts w:ascii="Arial" w:eastAsia="Arial" w:hAnsi="Arial" w:cs="Arial"/>
          <w:sz w:val="18"/>
        </w:rPr>
        <w:t xml:space="preserve">1.50% 0.55%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r>
        <w:rPr>
          <w:sz w:val="18"/>
        </w:rPr>
        <w:t>無</w:t>
      </w:r>
      <w:r>
        <w:rPr>
          <w:rFonts w:ascii="Arial" w:eastAsia="Arial" w:hAnsi="Arial" w:cs="Arial"/>
          <w:sz w:val="18"/>
        </w:rPr>
        <w:t xml:space="preserve"> </w:t>
      </w:r>
      <w:r>
        <w:rPr>
          <w:sz w:val="18"/>
        </w:rPr>
        <w:t>最高為</w:t>
      </w:r>
      <w:r>
        <w:rPr>
          <w:sz w:val="18"/>
        </w:rPr>
        <w:t xml:space="preserve"> </w:t>
      </w:r>
      <w:r>
        <w:rPr>
          <w:rFonts w:ascii="Arial" w:eastAsia="Arial" w:hAnsi="Arial" w:cs="Arial"/>
          <w:sz w:val="18"/>
        </w:rPr>
        <w:t xml:space="preserve">0.55% </w:t>
      </w:r>
      <w:r>
        <w:rPr>
          <w:sz w:val="18"/>
        </w:rPr>
        <w:t>無</w:t>
      </w:r>
      <w:r>
        <w:rPr>
          <w:rFonts w:ascii="Arial" w:eastAsia="Arial" w:hAnsi="Arial" w:cs="Arial"/>
          <w:sz w:val="18"/>
        </w:rPr>
        <w:t xml:space="preserve"> </w:t>
      </w:r>
      <w:r>
        <w:rPr>
          <w:sz w:val="18"/>
        </w:rPr>
        <w:t>無</w:t>
      </w:r>
      <w:r>
        <w:rPr>
          <w:rFonts w:ascii="Arial" w:eastAsia="Arial" w:hAnsi="Arial" w:cs="Arial"/>
          <w:sz w:val="18"/>
        </w:rPr>
        <w:t xml:space="preserve"> </w:t>
      </w:r>
    </w:p>
    <w:p w:rsidR="004D6F0E" w:rsidRDefault="00490F21">
      <w:pPr>
        <w:spacing w:after="0" w:line="248" w:lineRule="auto"/>
        <w:ind w:left="0" w:right="1699" w:firstLine="0"/>
        <w:jc w:val="both"/>
      </w:pPr>
      <w:r>
        <w:rPr>
          <w:rFonts w:ascii="Arial" w:eastAsia="Arial" w:hAnsi="Arial" w:cs="Arial"/>
          <w:b/>
          <w:sz w:val="18"/>
        </w:rPr>
        <w:t xml:space="preserve"> </w:t>
      </w:r>
      <w:r>
        <w:rPr>
          <w:rFonts w:ascii="Arial" w:eastAsia="Arial" w:hAnsi="Arial" w:cs="Arial"/>
          <w:sz w:val="18"/>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rsidR="004D6F0E" w:rsidRDefault="004D6F0E">
      <w:pPr>
        <w:sectPr w:rsidR="004D6F0E">
          <w:headerReference w:type="even" r:id="rId182"/>
          <w:headerReference w:type="default" r:id="rId183"/>
          <w:footerReference w:type="even" r:id="rId184"/>
          <w:footerReference w:type="default" r:id="rId185"/>
          <w:headerReference w:type="first" r:id="rId186"/>
          <w:footerReference w:type="first" r:id="rId187"/>
          <w:pgSz w:w="12240" w:h="15840"/>
          <w:pgMar w:top="1183" w:right="1162" w:bottom="738" w:left="432" w:header="746" w:footer="406" w:gutter="0"/>
          <w:cols w:space="720"/>
        </w:sectPr>
      </w:pPr>
    </w:p>
    <w:tbl>
      <w:tblPr>
        <w:tblStyle w:val="TableGrid"/>
        <w:tblpPr w:vertAnchor="text" w:horzAnchor="margin" w:tblpX="1"/>
        <w:tblOverlap w:val="never"/>
        <w:tblW w:w="11340" w:type="dxa"/>
        <w:tblInd w:w="0" w:type="dxa"/>
        <w:tblCellMar>
          <w:top w:w="27" w:type="dxa"/>
          <w:left w:w="0" w:type="dxa"/>
          <w:bottom w:w="0" w:type="dxa"/>
          <w:right w:w="115" w:type="dxa"/>
        </w:tblCellMar>
        <w:tblLook w:val="04A0" w:firstRow="1" w:lastRow="0" w:firstColumn="1" w:lastColumn="0" w:noHBand="0" w:noVBand="1"/>
      </w:tblPr>
      <w:tblGrid>
        <w:gridCol w:w="2926"/>
        <w:gridCol w:w="2126"/>
        <w:gridCol w:w="2417"/>
        <w:gridCol w:w="1872"/>
        <w:gridCol w:w="1999"/>
      </w:tblGrid>
      <w:tr w:rsidR="004D6F0E">
        <w:trPr>
          <w:trHeight w:val="235"/>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lastRenderedPageBreak/>
              <w:t>人民幣</w:t>
            </w:r>
            <w:r>
              <w:rPr>
                <w:rFonts w:ascii="Arial" w:eastAsia="Arial" w:hAnsi="Arial" w:cs="Arial"/>
                <w:b/>
                <w:sz w:val="18"/>
                <w:vertAlign w:val="superscript"/>
              </w:rPr>
              <w:t>*</w:t>
            </w:r>
            <w:r>
              <w:rPr>
                <w:sz w:val="18"/>
              </w:rPr>
              <w:t>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2"/>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2"/>
        </w:trPr>
        <w:tc>
          <w:tcPr>
            <w:tcW w:w="2926" w:type="dxa"/>
            <w:tcBorders>
              <w:top w:val="nil"/>
              <w:left w:val="nil"/>
              <w:bottom w:val="nil"/>
              <w:right w:val="nil"/>
            </w:tcBorders>
          </w:tcPr>
          <w:p w:rsidR="004D6F0E" w:rsidRDefault="00490F21">
            <w:pPr>
              <w:spacing w:after="4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人民幣股份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126"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2" w:line="259" w:lineRule="auto"/>
              <w:ind w:left="290" w:firstLine="0"/>
            </w:pPr>
            <w:r>
              <w:rPr>
                <w:rFonts w:ascii="Arial" w:eastAsia="Arial" w:hAnsi="Arial" w:cs="Arial"/>
                <w:sz w:val="18"/>
              </w:rPr>
              <w:t xml:space="preserve">0.55% </w:t>
            </w:r>
          </w:p>
          <w:p w:rsidR="004D6F0E" w:rsidRDefault="00490F21">
            <w:pPr>
              <w:spacing w:after="0" w:line="259" w:lineRule="auto"/>
              <w:ind w:left="1185" w:firstLine="0"/>
              <w:jc w:val="center"/>
            </w:pPr>
            <w:r>
              <w:rPr>
                <w:rFonts w:ascii="Arial" w:eastAsia="Arial" w:hAnsi="Arial" w:cs="Arial"/>
                <w:sz w:val="18"/>
              </w:rPr>
              <w:t xml:space="preserve"> </w:t>
            </w:r>
          </w:p>
        </w:tc>
        <w:tc>
          <w:tcPr>
            <w:tcW w:w="1872"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149" w:firstLine="0"/>
              <w:jc w:val="center"/>
            </w:pP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t>紐西蘭元對沖股份類別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4"/>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307"/>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紐西蘭元股份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t>瑞士法郎對沖股份類別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2"/>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4"/>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3"/>
        </w:trPr>
        <w:tc>
          <w:tcPr>
            <w:tcW w:w="2926" w:type="dxa"/>
            <w:tcBorders>
              <w:top w:val="nil"/>
              <w:left w:val="nil"/>
              <w:bottom w:val="nil"/>
              <w:right w:val="nil"/>
            </w:tcBorders>
          </w:tcPr>
          <w:p w:rsidR="004D6F0E" w:rsidRDefault="00490F21">
            <w:pPr>
              <w:spacing w:after="36" w:line="259" w:lineRule="auto"/>
              <w:ind w:left="108"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126" w:type="dxa"/>
            <w:tcBorders>
              <w:top w:val="nil"/>
              <w:left w:val="nil"/>
              <w:bottom w:val="nil"/>
              <w:right w:val="nil"/>
            </w:tcBorders>
          </w:tcPr>
          <w:p w:rsidR="004D6F0E" w:rsidRDefault="00490F21">
            <w:pPr>
              <w:spacing w:after="7" w:line="259" w:lineRule="auto"/>
              <w:ind w:left="403" w:firstLine="0"/>
            </w:pPr>
            <w:r>
              <w:rPr>
                <w:sz w:val="18"/>
              </w:rPr>
              <w:t>無</w:t>
            </w:r>
            <w:r>
              <w:rPr>
                <w:rFonts w:ascii="Arial" w:eastAsia="Arial" w:hAnsi="Arial" w:cs="Arial"/>
                <w:sz w:val="18"/>
              </w:rPr>
              <w:t xml:space="preserve">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1185" w:firstLine="0"/>
              <w:jc w:val="center"/>
            </w:pPr>
            <w:r>
              <w:rPr>
                <w:rFonts w:ascii="Arial" w:eastAsia="Arial" w:hAnsi="Arial" w:cs="Arial"/>
                <w:sz w:val="18"/>
              </w:rPr>
              <w:t xml:space="preserve"> </w:t>
            </w:r>
          </w:p>
        </w:tc>
        <w:tc>
          <w:tcPr>
            <w:tcW w:w="1872"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149" w:firstLine="0"/>
              <w:jc w:val="center"/>
            </w:pP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3"/>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t>日圓對沖股份類別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926" w:type="dxa"/>
            <w:tcBorders>
              <w:top w:val="nil"/>
              <w:left w:val="nil"/>
              <w:bottom w:val="nil"/>
              <w:right w:val="nil"/>
            </w:tcBorders>
          </w:tcPr>
          <w:p w:rsidR="004D6F0E" w:rsidRDefault="00490F21">
            <w:pPr>
              <w:spacing w:after="20" w:line="259" w:lineRule="auto"/>
              <w:ind w:left="108"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日圓股份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12" w:line="259" w:lineRule="auto"/>
              <w:ind w:left="290" w:firstLine="0"/>
            </w:pP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1872"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9" w:line="259" w:lineRule="auto"/>
              <w:ind w:left="634" w:firstLine="0"/>
            </w:pPr>
            <w:r>
              <w:rPr>
                <w:sz w:val="18"/>
              </w:rPr>
              <w:t>無</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3"/>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t>南非蘭特對沖股份類別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1143"/>
        </w:trPr>
        <w:tc>
          <w:tcPr>
            <w:tcW w:w="2926" w:type="dxa"/>
            <w:tcBorders>
              <w:top w:val="nil"/>
              <w:left w:val="nil"/>
              <w:bottom w:val="nil"/>
              <w:right w:val="nil"/>
            </w:tcBorders>
            <w:vAlign w:val="bottom"/>
          </w:tcPr>
          <w:p w:rsidR="004D6F0E" w:rsidRDefault="00490F21">
            <w:pPr>
              <w:spacing w:after="372" w:line="259" w:lineRule="auto"/>
              <w:ind w:left="108"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sz w:val="18"/>
              </w:rPr>
              <w:t xml:space="preserve"> </w:t>
            </w:r>
            <w:r>
              <w:rPr>
                <w:rFonts w:ascii="Arial" w:eastAsia="Arial" w:hAnsi="Arial" w:cs="Arial"/>
                <w:sz w:val="18"/>
                <w:vertAlign w:val="superscript"/>
              </w:rPr>
              <w:t>11</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b/>
                <w:sz w:val="18"/>
              </w:rPr>
              <w:t xml:space="preserve"> </w:t>
            </w:r>
          </w:p>
        </w:tc>
        <w:tc>
          <w:tcPr>
            <w:tcW w:w="2126" w:type="dxa"/>
            <w:tcBorders>
              <w:top w:val="nil"/>
              <w:left w:val="nil"/>
              <w:bottom w:val="nil"/>
              <w:right w:val="nil"/>
            </w:tcBorders>
            <w:vAlign w:val="bottom"/>
          </w:tcPr>
          <w:p w:rsidR="004D6F0E" w:rsidRDefault="00490F21">
            <w:pPr>
              <w:spacing w:after="360"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417" w:type="dxa"/>
            <w:tcBorders>
              <w:top w:val="nil"/>
              <w:left w:val="nil"/>
              <w:bottom w:val="nil"/>
              <w:right w:val="nil"/>
            </w:tcBorders>
            <w:vAlign w:val="bottom"/>
          </w:tcPr>
          <w:p w:rsidR="004D6F0E" w:rsidRDefault="00490F21">
            <w:pPr>
              <w:spacing w:after="348" w:line="259" w:lineRule="auto"/>
              <w:ind w:left="290" w:firstLine="0"/>
            </w:pPr>
            <w:r>
              <w:rPr>
                <w:rFonts w:ascii="Arial" w:eastAsia="Arial" w:hAnsi="Arial" w:cs="Arial"/>
                <w:sz w:val="18"/>
              </w:rPr>
              <w:t xml:space="preserve">1.10% </w:t>
            </w:r>
          </w:p>
          <w:p w:rsidR="004D6F0E" w:rsidRDefault="00490F21">
            <w:pPr>
              <w:spacing w:after="0" w:line="259" w:lineRule="auto"/>
              <w:ind w:left="547" w:firstLine="0"/>
            </w:pPr>
            <w:r>
              <w:rPr>
                <w:rFonts w:ascii="Arial" w:eastAsia="Arial" w:hAnsi="Arial" w:cs="Arial"/>
                <w:sz w:val="18"/>
              </w:rPr>
              <w:t xml:space="preserve"> </w:t>
            </w:r>
          </w:p>
        </w:tc>
        <w:tc>
          <w:tcPr>
            <w:tcW w:w="1872" w:type="dxa"/>
            <w:tcBorders>
              <w:top w:val="nil"/>
              <w:left w:val="nil"/>
              <w:bottom w:val="nil"/>
              <w:right w:val="nil"/>
            </w:tcBorders>
            <w:vAlign w:val="bottom"/>
          </w:tcPr>
          <w:p w:rsidR="004D6F0E" w:rsidRDefault="00490F21">
            <w:pPr>
              <w:spacing w:after="348" w:line="259" w:lineRule="auto"/>
              <w:ind w:left="0" w:firstLine="0"/>
            </w:pPr>
            <w:r>
              <w:rPr>
                <w:rFonts w:ascii="Arial" w:eastAsia="Arial" w:hAnsi="Arial" w:cs="Arial"/>
                <w:sz w:val="18"/>
              </w:rPr>
              <w:t xml:space="preserve">0.50% </w:t>
            </w:r>
          </w:p>
          <w:p w:rsidR="004D6F0E" w:rsidRDefault="00490F21">
            <w:pPr>
              <w:spacing w:after="0" w:line="259" w:lineRule="auto"/>
              <w:ind w:left="257" w:firstLine="0"/>
            </w:pP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30"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23"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23"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12"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p w:rsidR="004D6F0E" w:rsidRDefault="00490F21">
            <w:pPr>
              <w:spacing w:after="0" w:line="259" w:lineRule="auto"/>
              <w:ind w:left="722" w:firstLine="0"/>
            </w:pPr>
            <w:r>
              <w:rPr>
                <w:rFonts w:ascii="Arial" w:eastAsia="Arial" w:hAnsi="Arial" w:cs="Arial"/>
                <w:sz w:val="18"/>
              </w:rPr>
              <w:t xml:space="preserve"> </w:t>
            </w:r>
          </w:p>
        </w:tc>
      </w:tr>
      <w:tr w:rsidR="004D6F0E">
        <w:trPr>
          <w:trHeight w:val="235"/>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t>波蘭茲羅提對沖股份類別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3"/>
        </w:trPr>
        <w:tc>
          <w:tcPr>
            <w:tcW w:w="2926"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b/>
                <w:sz w:val="18"/>
              </w:rPr>
              <w:t xml:space="preserve"> </w:t>
            </w:r>
          </w:p>
        </w:tc>
        <w:tc>
          <w:tcPr>
            <w:tcW w:w="2126"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17"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872"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441"/>
        </w:trPr>
        <w:tc>
          <w:tcPr>
            <w:tcW w:w="2926" w:type="dxa"/>
            <w:tcBorders>
              <w:top w:val="nil"/>
              <w:left w:val="nil"/>
              <w:bottom w:val="nil"/>
              <w:right w:val="nil"/>
            </w:tcBorders>
          </w:tcPr>
          <w:p w:rsidR="004D6F0E" w:rsidRDefault="00490F21">
            <w:pPr>
              <w:spacing w:after="37" w:line="259" w:lineRule="auto"/>
              <w:ind w:left="108"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波蘭茲羅提股份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126" w:type="dxa"/>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718" w:firstLine="0"/>
            </w:pPr>
            <w:r>
              <w:rPr>
                <w:rFonts w:ascii="Arial" w:eastAsia="Arial" w:hAnsi="Arial" w:cs="Arial"/>
                <w:sz w:val="18"/>
              </w:rPr>
              <w:t xml:space="preserve"> </w:t>
            </w:r>
          </w:p>
        </w:tc>
        <w:tc>
          <w:tcPr>
            <w:tcW w:w="2417" w:type="dxa"/>
            <w:tcBorders>
              <w:top w:val="nil"/>
              <w:left w:val="nil"/>
              <w:bottom w:val="nil"/>
              <w:right w:val="nil"/>
            </w:tcBorders>
          </w:tcPr>
          <w:p w:rsidR="004D6F0E" w:rsidRDefault="00490F21">
            <w:pPr>
              <w:spacing w:after="9" w:line="259" w:lineRule="auto"/>
              <w:ind w:left="290" w:firstLine="0"/>
            </w:pPr>
            <w:r>
              <w:rPr>
                <w:rFonts w:ascii="Arial" w:eastAsia="Arial" w:hAnsi="Arial" w:cs="Arial"/>
                <w:sz w:val="18"/>
              </w:rPr>
              <w:t xml:space="preserve">0.55% </w:t>
            </w:r>
          </w:p>
          <w:p w:rsidR="004D6F0E" w:rsidRDefault="00490F21">
            <w:pPr>
              <w:spacing w:after="0" w:line="259" w:lineRule="auto"/>
              <w:ind w:left="1185" w:firstLine="0"/>
              <w:jc w:val="center"/>
            </w:pPr>
            <w:r>
              <w:rPr>
                <w:rFonts w:ascii="Arial" w:eastAsia="Arial" w:hAnsi="Arial" w:cs="Arial"/>
                <w:sz w:val="18"/>
              </w:rPr>
              <w:t xml:space="preserve"> </w:t>
            </w:r>
          </w:p>
        </w:tc>
        <w:tc>
          <w:tcPr>
            <w:tcW w:w="1872"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149" w:firstLine="0"/>
              <w:jc w:val="center"/>
            </w:pPr>
            <w:r>
              <w:rPr>
                <w:rFonts w:ascii="Arial" w:eastAsia="Arial" w:hAnsi="Arial" w:cs="Arial"/>
                <w:sz w:val="18"/>
              </w:rPr>
              <w:t xml:space="preserve"> </w:t>
            </w:r>
          </w:p>
        </w:tc>
        <w:tc>
          <w:tcPr>
            <w:tcW w:w="1999" w:type="dxa"/>
            <w:tcBorders>
              <w:top w:val="nil"/>
              <w:left w:val="nil"/>
              <w:bottom w:val="nil"/>
              <w:right w:val="nil"/>
            </w:tcBorders>
          </w:tcPr>
          <w:p w:rsidR="004D6F0E" w:rsidRDefault="00490F21">
            <w:pPr>
              <w:spacing w:after="0" w:line="259" w:lineRule="auto"/>
              <w:ind w:left="634" w:firstLine="0"/>
            </w:pPr>
            <w:r>
              <w:rPr>
                <w:sz w:val="18"/>
              </w:rPr>
              <w:t>無</w:t>
            </w:r>
            <w:r>
              <w:rPr>
                <w:rFonts w:ascii="Arial" w:eastAsia="Arial" w:hAnsi="Arial" w:cs="Arial"/>
                <w:sz w:val="18"/>
              </w:rPr>
              <w:t xml:space="preserve"> </w:t>
            </w:r>
          </w:p>
        </w:tc>
      </w:tr>
      <w:tr w:rsidR="004D6F0E">
        <w:trPr>
          <w:trHeight w:val="235"/>
        </w:trPr>
        <w:tc>
          <w:tcPr>
            <w:tcW w:w="2926" w:type="dxa"/>
            <w:tcBorders>
              <w:top w:val="nil"/>
              <w:left w:val="nil"/>
              <w:bottom w:val="nil"/>
              <w:right w:val="nil"/>
            </w:tcBorders>
            <w:shd w:val="clear" w:color="auto" w:fill="D9D9D9"/>
          </w:tcPr>
          <w:p w:rsidR="004D6F0E" w:rsidRDefault="00490F21">
            <w:pPr>
              <w:spacing w:after="0" w:line="259" w:lineRule="auto"/>
              <w:ind w:left="108" w:firstLine="0"/>
            </w:pPr>
            <w:r>
              <w:rPr>
                <w:sz w:val="18"/>
              </w:rPr>
              <w:t>捷克克朗對沖股份類別</w:t>
            </w:r>
            <w:r>
              <w:rPr>
                <w:rFonts w:ascii="Arial" w:eastAsia="Arial" w:hAnsi="Arial" w:cs="Arial"/>
                <w:sz w:val="18"/>
              </w:rPr>
              <w:t xml:space="preserve"> </w:t>
            </w:r>
          </w:p>
        </w:tc>
        <w:tc>
          <w:tcPr>
            <w:tcW w:w="2126" w:type="dxa"/>
            <w:tcBorders>
              <w:top w:val="nil"/>
              <w:left w:val="nil"/>
              <w:bottom w:val="nil"/>
              <w:right w:val="nil"/>
            </w:tcBorders>
            <w:shd w:val="clear" w:color="auto" w:fill="D9D9D9"/>
          </w:tcPr>
          <w:p w:rsidR="004D6F0E" w:rsidRDefault="004D6F0E">
            <w:pPr>
              <w:spacing w:after="160" w:line="259" w:lineRule="auto"/>
              <w:ind w:left="0" w:firstLine="0"/>
            </w:pPr>
          </w:p>
        </w:tc>
        <w:tc>
          <w:tcPr>
            <w:tcW w:w="2417" w:type="dxa"/>
            <w:tcBorders>
              <w:top w:val="nil"/>
              <w:left w:val="nil"/>
              <w:bottom w:val="nil"/>
              <w:right w:val="nil"/>
            </w:tcBorders>
            <w:shd w:val="clear" w:color="auto" w:fill="D9D9D9"/>
          </w:tcPr>
          <w:p w:rsidR="004D6F0E" w:rsidRDefault="004D6F0E">
            <w:pPr>
              <w:spacing w:after="160" w:line="259" w:lineRule="auto"/>
              <w:ind w:left="0" w:firstLine="0"/>
            </w:pPr>
          </w:p>
        </w:tc>
        <w:tc>
          <w:tcPr>
            <w:tcW w:w="1872" w:type="dxa"/>
            <w:tcBorders>
              <w:top w:val="nil"/>
              <w:left w:val="nil"/>
              <w:bottom w:val="nil"/>
              <w:right w:val="nil"/>
            </w:tcBorders>
            <w:shd w:val="clear" w:color="auto" w:fill="D9D9D9"/>
          </w:tcPr>
          <w:p w:rsidR="004D6F0E" w:rsidRDefault="004D6F0E">
            <w:pPr>
              <w:spacing w:after="160" w:line="259" w:lineRule="auto"/>
              <w:ind w:left="0" w:firstLine="0"/>
            </w:pPr>
          </w:p>
        </w:tc>
        <w:tc>
          <w:tcPr>
            <w:tcW w:w="1999" w:type="dxa"/>
            <w:tcBorders>
              <w:top w:val="nil"/>
              <w:left w:val="nil"/>
              <w:bottom w:val="nil"/>
              <w:right w:val="nil"/>
            </w:tcBorders>
            <w:shd w:val="clear" w:color="auto" w:fill="D9D9D9"/>
          </w:tcPr>
          <w:p w:rsidR="004D6F0E" w:rsidRDefault="004D6F0E">
            <w:pPr>
              <w:spacing w:after="160" w:line="259" w:lineRule="auto"/>
              <w:ind w:left="0" w:firstLine="0"/>
            </w:pPr>
          </w:p>
        </w:tc>
      </w:tr>
    </w:tbl>
    <w:tbl>
      <w:tblPr>
        <w:tblStyle w:val="TableGrid"/>
        <w:tblpPr w:vertAnchor="text" w:horzAnchor="margin" w:tblpX="109"/>
        <w:tblOverlap w:val="never"/>
        <w:tblW w:w="10096" w:type="dxa"/>
        <w:tblInd w:w="0" w:type="dxa"/>
        <w:tblCellMar>
          <w:top w:w="3" w:type="dxa"/>
          <w:left w:w="0" w:type="dxa"/>
          <w:bottom w:w="0" w:type="dxa"/>
          <w:right w:w="0" w:type="dxa"/>
        </w:tblCellMar>
        <w:tblLook w:val="04A0" w:firstRow="1" w:lastRow="0" w:firstColumn="1" w:lastColumn="0" w:noHBand="0" w:noVBand="1"/>
      </w:tblPr>
      <w:tblGrid>
        <w:gridCol w:w="2409"/>
        <w:gridCol w:w="408"/>
        <w:gridCol w:w="1718"/>
        <w:gridCol w:w="408"/>
        <w:gridCol w:w="1356"/>
        <w:gridCol w:w="1061"/>
        <w:gridCol w:w="1428"/>
        <w:gridCol w:w="444"/>
        <w:gridCol w:w="864"/>
      </w:tblGrid>
      <w:tr w:rsidR="004D6F0E">
        <w:trPr>
          <w:trHeight w:val="207"/>
        </w:trPr>
        <w:tc>
          <w:tcPr>
            <w:tcW w:w="241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b/>
                <w:sz w:val="18"/>
              </w:rPr>
              <w:t xml:space="preserve"> </w:t>
            </w:r>
          </w:p>
        </w:tc>
        <w:tc>
          <w:tcPr>
            <w:tcW w:w="408" w:type="dxa"/>
            <w:tcBorders>
              <w:top w:val="nil"/>
              <w:left w:val="nil"/>
              <w:bottom w:val="nil"/>
              <w:right w:val="nil"/>
            </w:tcBorders>
          </w:tcPr>
          <w:p w:rsidR="004D6F0E" w:rsidRDefault="004D6F0E">
            <w:pPr>
              <w:spacing w:after="160" w:line="259" w:lineRule="auto"/>
              <w:ind w:left="0" w:firstLine="0"/>
            </w:pPr>
          </w:p>
        </w:tc>
        <w:tc>
          <w:tcPr>
            <w:tcW w:w="171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408" w:type="dxa"/>
            <w:tcBorders>
              <w:top w:val="nil"/>
              <w:left w:val="nil"/>
              <w:bottom w:val="nil"/>
              <w:right w:val="nil"/>
            </w:tcBorders>
          </w:tcPr>
          <w:p w:rsidR="004D6F0E" w:rsidRDefault="004D6F0E">
            <w:pPr>
              <w:spacing w:after="160" w:line="259" w:lineRule="auto"/>
              <w:ind w:left="0" w:firstLine="0"/>
            </w:pPr>
          </w:p>
        </w:tc>
        <w:tc>
          <w:tcPr>
            <w:tcW w:w="1356"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1.10% </w:t>
            </w:r>
          </w:p>
        </w:tc>
        <w:tc>
          <w:tcPr>
            <w:tcW w:w="1061" w:type="dxa"/>
            <w:tcBorders>
              <w:top w:val="nil"/>
              <w:left w:val="nil"/>
              <w:bottom w:val="nil"/>
              <w:right w:val="nil"/>
            </w:tcBorders>
          </w:tcPr>
          <w:p w:rsidR="004D6F0E" w:rsidRDefault="004D6F0E">
            <w:pPr>
              <w:spacing w:after="160" w:line="259" w:lineRule="auto"/>
              <w:ind w:left="0" w:firstLine="0"/>
            </w:pPr>
          </w:p>
        </w:tc>
        <w:tc>
          <w:tcPr>
            <w:tcW w:w="142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444" w:type="dxa"/>
            <w:tcBorders>
              <w:top w:val="nil"/>
              <w:left w:val="nil"/>
              <w:bottom w:val="nil"/>
              <w:right w:val="nil"/>
            </w:tcBorders>
          </w:tcPr>
          <w:p w:rsidR="004D6F0E" w:rsidRDefault="004D6F0E">
            <w:pPr>
              <w:spacing w:after="160" w:line="259" w:lineRule="auto"/>
              <w:ind w:left="0" w:firstLine="0"/>
            </w:pPr>
          </w:p>
        </w:tc>
        <w:tc>
          <w:tcPr>
            <w:tcW w:w="864" w:type="dxa"/>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rPr>
          <w:trHeight w:val="241"/>
        </w:trPr>
        <w:tc>
          <w:tcPr>
            <w:tcW w:w="241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捷克克朗股份</w:t>
            </w:r>
            <w:r>
              <w:rPr>
                <w:sz w:val="18"/>
              </w:rPr>
              <w:t xml:space="preserve"> </w:t>
            </w:r>
            <w:r>
              <w:rPr>
                <w:rFonts w:ascii="Arial" w:eastAsia="Arial" w:hAnsi="Arial" w:cs="Arial"/>
                <w:sz w:val="18"/>
                <w:vertAlign w:val="superscript"/>
              </w:rPr>
              <w:t>8</w:t>
            </w:r>
            <w:r>
              <w:rPr>
                <w:rFonts w:ascii="Arial" w:eastAsia="Arial" w:hAnsi="Arial" w:cs="Arial"/>
                <w:b/>
                <w:sz w:val="18"/>
              </w:rPr>
              <w:t xml:space="preserve"> </w:t>
            </w:r>
          </w:p>
        </w:tc>
        <w:tc>
          <w:tcPr>
            <w:tcW w:w="408" w:type="dxa"/>
            <w:tcBorders>
              <w:top w:val="nil"/>
              <w:left w:val="nil"/>
              <w:bottom w:val="nil"/>
              <w:right w:val="nil"/>
            </w:tcBorders>
          </w:tcPr>
          <w:p w:rsidR="004D6F0E" w:rsidRDefault="004D6F0E">
            <w:pPr>
              <w:spacing w:after="160" w:line="259" w:lineRule="auto"/>
              <w:ind w:left="0" w:firstLine="0"/>
            </w:pPr>
          </w:p>
        </w:tc>
        <w:tc>
          <w:tcPr>
            <w:tcW w:w="1718"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408" w:type="dxa"/>
            <w:tcBorders>
              <w:top w:val="nil"/>
              <w:left w:val="nil"/>
              <w:bottom w:val="nil"/>
              <w:right w:val="nil"/>
            </w:tcBorders>
          </w:tcPr>
          <w:p w:rsidR="004D6F0E" w:rsidRDefault="004D6F0E">
            <w:pPr>
              <w:spacing w:after="160" w:line="259" w:lineRule="auto"/>
              <w:ind w:left="0" w:firstLine="0"/>
            </w:pPr>
          </w:p>
        </w:tc>
        <w:tc>
          <w:tcPr>
            <w:tcW w:w="1356" w:type="dxa"/>
            <w:tcBorders>
              <w:top w:val="nil"/>
              <w:left w:val="nil"/>
              <w:bottom w:val="nil"/>
              <w:right w:val="nil"/>
            </w:tcBorders>
          </w:tcPr>
          <w:p w:rsidR="004D6F0E" w:rsidRDefault="00490F21">
            <w:pPr>
              <w:spacing w:after="0" w:line="259" w:lineRule="auto"/>
              <w:ind w:left="290" w:firstLine="0"/>
            </w:pPr>
            <w:r>
              <w:rPr>
                <w:rFonts w:ascii="Arial" w:eastAsia="Arial" w:hAnsi="Arial" w:cs="Arial"/>
                <w:sz w:val="18"/>
              </w:rPr>
              <w:t xml:space="preserve">0.55% </w:t>
            </w:r>
          </w:p>
        </w:tc>
        <w:tc>
          <w:tcPr>
            <w:tcW w:w="1061" w:type="dxa"/>
            <w:tcBorders>
              <w:top w:val="nil"/>
              <w:left w:val="nil"/>
              <w:bottom w:val="nil"/>
              <w:right w:val="nil"/>
            </w:tcBorders>
          </w:tcPr>
          <w:p w:rsidR="004D6F0E" w:rsidRDefault="004D6F0E">
            <w:pPr>
              <w:spacing w:after="160" w:line="259" w:lineRule="auto"/>
              <w:ind w:left="0" w:firstLine="0"/>
            </w:pPr>
          </w:p>
        </w:tc>
        <w:tc>
          <w:tcPr>
            <w:tcW w:w="1428"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444" w:type="dxa"/>
            <w:tcBorders>
              <w:top w:val="nil"/>
              <w:left w:val="nil"/>
              <w:bottom w:val="nil"/>
              <w:right w:val="nil"/>
            </w:tcBorders>
          </w:tcPr>
          <w:p w:rsidR="004D6F0E" w:rsidRDefault="004D6F0E">
            <w:pPr>
              <w:spacing w:after="160" w:line="259" w:lineRule="auto"/>
              <w:ind w:left="0" w:firstLine="0"/>
            </w:pPr>
          </w:p>
        </w:tc>
        <w:tc>
          <w:tcPr>
            <w:tcW w:w="864" w:type="dxa"/>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rPr>
          <w:trHeight w:val="200"/>
        </w:trPr>
        <w:tc>
          <w:tcPr>
            <w:tcW w:w="241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40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718" w:type="dxa"/>
            <w:tcBorders>
              <w:top w:val="nil"/>
              <w:left w:val="nil"/>
              <w:bottom w:val="nil"/>
              <w:right w:val="nil"/>
            </w:tcBorders>
          </w:tcPr>
          <w:p w:rsidR="004D6F0E" w:rsidRDefault="004D6F0E">
            <w:pPr>
              <w:spacing w:after="160" w:line="259" w:lineRule="auto"/>
              <w:ind w:left="0" w:firstLine="0"/>
            </w:pPr>
          </w:p>
        </w:tc>
        <w:tc>
          <w:tcPr>
            <w:tcW w:w="40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356" w:type="dxa"/>
            <w:tcBorders>
              <w:top w:val="nil"/>
              <w:left w:val="nil"/>
              <w:bottom w:val="nil"/>
              <w:right w:val="nil"/>
            </w:tcBorders>
          </w:tcPr>
          <w:p w:rsidR="004D6F0E" w:rsidRDefault="004D6F0E">
            <w:pPr>
              <w:spacing w:after="160" w:line="259" w:lineRule="auto"/>
              <w:ind w:left="0" w:firstLine="0"/>
            </w:pPr>
          </w:p>
        </w:tc>
        <w:tc>
          <w:tcPr>
            <w:tcW w:w="1061" w:type="dxa"/>
            <w:tcBorders>
              <w:top w:val="nil"/>
              <w:left w:val="nil"/>
              <w:bottom w:val="nil"/>
              <w:right w:val="nil"/>
            </w:tcBorders>
          </w:tcPr>
          <w:p w:rsidR="004D6F0E" w:rsidRDefault="00490F21">
            <w:pPr>
              <w:spacing w:after="0" w:line="259" w:lineRule="auto"/>
              <w:ind w:left="362" w:firstLine="0"/>
            </w:pPr>
            <w:r>
              <w:rPr>
                <w:rFonts w:ascii="Arial" w:eastAsia="Arial" w:hAnsi="Arial" w:cs="Arial"/>
                <w:sz w:val="18"/>
              </w:rPr>
              <w:t xml:space="preserve"> </w:t>
            </w:r>
          </w:p>
        </w:tc>
        <w:tc>
          <w:tcPr>
            <w:tcW w:w="1428" w:type="dxa"/>
            <w:tcBorders>
              <w:top w:val="nil"/>
              <w:left w:val="nil"/>
              <w:bottom w:val="nil"/>
              <w:right w:val="nil"/>
            </w:tcBorders>
          </w:tcPr>
          <w:p w:rsidR="004D6F0E" w:rsidRDefault="004D6F0E">
            <w:pPr>
              <w:spacing w:after="160" w:line="259" w:lineRule="auto"/>
              <w:ind w:left="0" w:firstLine="0"/>
            </w:pPr>
          </w:p>
        </w:tc>
        <w:tc>
          <w:tcPr>
            <w:tcW w:w="44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864" w:type="dxa"/>
            <w:tcBorders>
              <w:top w:val="nil"/>
              <w:left w:val="nil"/>
              <w:bottom w:val="nil"/>
              <w:right w:val="nil"/>
            </w:tcBorders>
          </w:tcPr>
          <w:p w:rsidR="004D6F0E" w:rsidRDefault="004D6F0E">
            <w:pPr>
              <w:spacing w:after="160" w:line="259" w:lineRule="auto"/>
              <w:ind w:left="0" w:firstLine="0"/>
            </w:pPr>
          </w:p>
        </w:tc>
      </w:tr>
    </w:tbl>
    <w:p w:rsidR="004D6F0E" w:rsidRDefault="00490F21">
      <w:pPr>
        <w:numPr>
          <w:ilvl w:val="0"/>
          <w:numId w:val="19"/>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w:t>
      </w:r>
      <w:r>
        <w:rPr>
          <w:sz w:val="16"/>
        </w:rPr>
        <w:lastRenderedPageBreak/>
        <w:t>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w:t>
      </w:r>
      <w:r>
        <w:rPr>
          <w:sz w:val="17"/>
        </w:rPr>
        <w:t>年稅</w:t>
      </w:r>
      <w:r>
        <w:rPr>
          <w:sz w:val="16"/>
        </w:rPr>
        <w:t>，但不包括某些其他稅項、經紀佣金（如適用）和借款利息）超出本基金以下股份類別（及相應</w:t>
      </w:r>
      <w:r>
        <w:rPr>
          <w:sz w:val="16"/>
        </w:rPr>
        <w:t xml:space="preserve"> </w:t>
      </w:r>
      <w:r>
        <w:rPr>
          <w:rFonts w:ascii="Arial" w:eastAsia="Arial" w:hAnsi="Arial" w:cs="Arial"/>
          <w:sz w:val="16"/>
        </w:rPr>
        <w:t xml:space="preserve">H </w:t>
      </w:r>
      <w:r>
        <w:rPr>
          <w:sz w:val="16"/>
        </w:rPr>
        <w:t>及</w:t>
      </w:r>
      <w:r>
        <w:rPr>
          <w:sz w:val="16"/>
        </w:rPr>
        <w:t xml:space="preserve"> </w:t>
      </w:r>
      <w:r>
        <w:rPr>
          <w:rFonts w:ascii="Arial" w:eastAsia="Arial" w:hAnsi="Arial" w:cs="Arial"/>
          <w:sz w:val="16"/>
        </w:rPr>
        <w:t xml:space="preserve">DUR PH </w:t>
      </w:r>
      <w:r>
        <w:rPr>
          <w:sz w:val="16"/>
        </w:rPr>
        <w:t>類股份）應佔本基金該財政年度平均資產淨值的以下百分比：</w:t>
      </w:r>
      <w:r>
        <w:rPr>
          <w:rFonts w:ascii="Arial" w:eastAsia="Arial" w:hAnsi="Arial" w:cs="Arial"/>
          <w:sz w:val="16"/>
        </w:rPr>
        <w:t>A(1.50%)</w:t>
      </w:r>
      <w:r>
        <w:rPr>
          <w:sz w:val="16"/>
        </w:rPr>
        <w:t>、</w:t>
      </w:r>
      <w:r>
        <w:rPr>
          <w:rFonts w:ascii="Arial" w:eastAsia="Arial" w:hAnsi="Arial" w:cs="Arial"/>
          <w:sz w:val="16"/>
        </w:rPr>
        <w:t>AT(1.50%)</w:t>
      </w:r>
      <w:r>
        <w:rPr>
          <w:sz w:val="16"/>
        </w:rPr>
        <w:t>、</w:t>
      </w:r>
      <w:r>
        <w:rPr>
          <w:rFonts w:ascii="Arial" w:eastAsia="Arial" w:hAnsi="Arial" w:cs="Arial"/>
          <w:sz w:val="16"/>
        </w:rPr>
        <w:t>A2(1.50%)</w:t>
      </w:r>
      <w:r>
        <w:rPr>
          <w:sz w:val="16"/>
        </w:rPr>
        <w:t>、</w:t>
      </w:r>
      <w:r>
        <w:rPr>
          <w:sz w:val="16"/>
        </w:rPr>
        <w:t xml:space="preserve"> </w:t>
      </w:r>
      <w:r>
        <w:rPr>
          <w:rFonts w:ascii="Arial" w:eastAsia="Arial" w:hAnsi="Arial" w:cs="Arial"/>
          <w:sz w:val="16"/>
        </w:rPr>
        <w:t xml:space="preserve">AK(1.50%) </w:t>
      </w:r>
      <w:r>
        <w:rPr>
          <w:sz w:val="16"/>
        </w:rPr>
        <w:t>、</w:t>
      </w:r>
      <w:r>
        <w:rPr>
          <w:sz w:val="16"/>
        </w:rPr>
        <w:t xml:space="preserve"> </w:t>
      </w:r>
      <w:r>
        <w:rPr>
          <w:rFonts w:ascii="Arial" w:eastAsia="Arial" w:hAnsi="Arial" w:cs="Arial"/>
          <w:sz w:val="16"/>
        </w:rPr>
        <w:t xml:space="preserve">AA(1.50%) </w:t>
      </w:r>
      <w:r>
        <w:rPr>
          <w:sz w:val="16"/>
        </w:rPr>
        <w:t>、</w:t>
      </w:r>
      <w:r>
        <w:rPr>
          <w:sz w:val="16"/>
        </w:rPr>
        <w:t xml:space="preserve"> </w:t>
      </w:r>
      <w:r>
        <w:rPr>
          <w:rFonts w:ascii="Arial" w:eastAsia="Arial" w:hAnsi="Arial" w:cs="Arial"/>
          <w:sz w:val="16"/>
        </w:rPr>
        <w:t xml:space="preserve">AR(1.50%) </w:t>
      </w:r>
      <w:r>
        <w:rPr>
          <w:sz w:val="16"/>
        </w:rPr>
        <w:t>、</w:t>
      </w:r>
      <w:r>
        <w:rPr>
          <w:sz w:val="16"/>
        </w:rPr>
        <w:t xml:space="preserve"> </w:t>
      </w:r>
      <w:r>
        <w:rPr>
          <w:rFonts w:ascii="Arial" w:eastAsia="Arial" w:hAnsi="Arial" w:cs="Arial"/>
          <w:sz w:val="16"/>
        </w:rPr>
        <w:t xml:space="preserve">B(2.20%) </w:t>
      </w:r>
      <w:r>
        <w:rPr>
          <w:sz w:val="16"/>
        </w:rPr>
        <w:t>、</w:t>
      </w:r>
      <w:r>
        <w:rPr>
          <w:sz w:val="16"/>
        </w:rPr>
        <w:t xml:space="preserve"> </w:t>
      </w:r>
      <w:r>
        <w:rPr>
          <w:rFonts w:ascii="Arial" w:eastAsia="Arial" w:hAnsi="Arial" w:cs="Arial"/>
          <w:sz w:val="16"/>
        </w:rPr>
        <w:t xml:space="preserve">BT(2.20%) </w:t>
      </w:r>
      <w:r>
        <w:rPr>
          <w:sz w:val="16"/>
        </w:rPr>
        <w:t>、</w:t>
      </w:r>
      <w:r>
        <w:rPr>
          <w:sz w:val="16"/>
        </w:rPr>
        <w:t xml:space="preserve"> </w:t>
      </w:r>
      <w:r>
        <w:rPr>
          <w:rFonts w:ascii="Arial" w:eastAsia="Arial" w:hAnsi="Arial" w:cs="Arial"/>
          <w:sz w:val="16"/>
        </w:rPr>
        <w:t>B2(2.20%)</w:t>
      </w:r>
      <w:r>
        <w:rPr>
          <w:sz w:val="16"/>
        </w:rPr>
        <w:t>、</w:t>
      </w:r>
      <w:r>
        <w:rPr>
          <w:rFonts w:ascii="Arial" w:eastAsia="Arial" w:hAnsi="Arial" w:cs="Arial"/>
          <w:sz w:val="16"/>
        </w:rPr>
        <w:t>C(1.95%)</w:t>
      </w:r>
      <w:r>
        <w:rPr>
          <w:sz w:val="16"/>
        </w:rPr>
        <w:t>、</w:t>
      </w:r>
      <w:r>
        <w:rPr>
          <w:rFonts w:ascii="Arial" w:eastAsia="Arial" w:hAnsi="Arial" w:cs="Arial"/>
          <w:sz w:val="16"/>
        </w:rPr>
        <w:t>C2(1.95%)</w:t>
      </w:r>
      <w:r>
        <w:rPr>
          <w:sz w:val="16"/>
        </w:rPr>
        <w:t>、</w:t>
      </w:r>
      <w:r>
        <w:rPr>
          <w:rFonts w:ascii="Arial" w:eastAsia="Arial" w:hAnsi="Arial" w:cs="Arial"/>
          <w:sz w:val="16"/>
        </w:rPr>
        <w:t>CT(1.95%)</w:t>
      </w:r>
      <w:r>
        <w:rPr>
          <w:sz w:val="16"/>
        </w:rPr>
        <w:t>、</w:t>
      </w:r>
      <w:r>
        <w:rPr>
          <w:rFonts w:ascii="Arial" w:eastAsia="Arial" w:hAnsi="Arial" w:cs="Arial"/>
          <w:sz w:val="16"/>
        </w:rPr>
        <w:t>CK(1.95%)</w:t>
      </w:r>
      <w:r>
        <w:rPr>
          <w:sz w:val="16"/>
        </w:rPr>
        <w:t>、</w:t>
      </w:r>
      <w:r>
        <w:rPr>
          <w:rFonts w:ascii="Arial" w:eastAsia="Arial" w:hAnsi="Arial" w:cs="Arial"/>
          <w:sz w:val="16"/>
        </w:rPr>
        <w:t xml:space="preserve"> EA </w:t>
      </w:r>
    </w:p>
    <w:p w:rsidR="004D6F0E" w:rsidRDefault="00490F21">
      <w:pPr>
        <w:spacing w:after="9" w:line="269" w:lineRule="auto"/>
        <w:ind w:left="354"/>
        <w:jc w:val="both"/>
      </w:pPr>
      <w:r>
        <w:rPr>
          <w:rFonts w:ascii="Arial" w:eastAsia="Arial" w:hAnsi="Arial" w:cs="Arial"/>
          <w:sz w:val="16"/>
        </w:rPr>
        <w:t>(2.00%)</w:t>
      </w:r>
      <w:r>
        <w:rPr>
          <w:sz w:val="16"/>
        </w:rPr>
        <w:t>、</w:t>
      </w:r>
      <w:r>
        <w:rPr>
          <w:rFonts w:ascii="Arial" w:eastAsia="Arial" w:hAnsi="Arial" w:cs="Arial"/>
          <w:sz w:val="16"/>
        </w:rPr>
        <w:t>I(0.95%)</w:t>
      </w:r>
      <w:r>
        <w:rPr>
          <w:sz w:val="16"/>
        </w:rPr>
        <w:t>、</w:t>
      </w:r>
      <w:r>
        <w:rPr>
          <w:rFonts w:ascii="Arial" w:eastAsia="Arial" w:hAnsi="Arial" w:cs="Arial"/>
          <w:sz w:val="16"/>
        </w:rPr>
        <w:t>I2(0.95%)</w:t>
      </w:r>
      <w:r>
        <w:rPr>
          <w:sz w:val="16"/>
        </w:rPr>
        <w:t>、</w:t>
      </w:r>
      <w:r>
        <w:rPr>
          <w:rFonts w:ascii="Arial" w:eastAsia="Arial" w:hAnsi="Arial" w:cs="Arial"/>
          <w:sz w:val="16"/>
        </w:rPr>
        <w:t>IT(0.95%)</w:t>
      </w:r>
      <w:r>
        <w:rPr>
          <w:sz w:val="16"/>
        </w:rPr>
        <w:t>、</w:t>
      </w:r>
      <w:r>
        <w:rPr>
          <w:rFonts w:ascii="Arial" w:eastAsia="Arial" w:hAnsi="Arial" w:cs="Arial"/>
          <w:sz w:val="16"/>
        </w:rPr>
        <w:t>IA(0.95%)</w:t>
      </w:r>
      <w:r>
        <w:rPr>
          <w:sz w:val="16"/>
        </w:rPr>
        <w:t>、</w:t>
      </w:r>
      <w:r>
        <w:rPr>
          <w:rFonts w:ascii="Arial" w:eastAsia="Arial" w:hAnsi="Arial" w:cs="Arial"/>
          <w:sz w:val="16"/>
        </w:rPr>
        <w:t>L2 (1.05%)</w:t>
      </w:r>
      <w:r>
        <w:rPr>
          <w:sz w:val="16"/>
        </w:rPr>
        <w:t>、</w:t>
      </w:r>
      <w:r>
        <w:rPr>
          <w:sz w:val="16"/>
        </w:rPr>
        <w:t xml:space="preserve"> </w:t>
      </w:r>
      <w:r>
        <w:rPr>
          <w:rFonts w:ascii="Arial" w:eastAsia="Arial" w:hAnsi="Arial" w:cs="Arial"/>
          <w:sz w:val="16"/>
        </w:rPr>
        <w:t>LT (1.05%)</w:t>
      </w:r>
      <w:r>
        <w:rPr>
          <w:sz w:val="16"/>
        </w:rPr>
        <w:t>、</w:t>
      </w:r>
      <w:r>
        <w:rPr>
          <w:rFonts w:ascii="Arial" w:eastAsia="Arial" w:hAnsi="Arial" w:cs="Arial"/>
          <w:sz w:val="16"/>
        </w:rPr>
        <w:t>NT(2.05%)</w:t>
      </w:r>
      <w:r>
        <w:rPr>
          <w:sz w:val="16"/>
        </w:rPr>
        <w:t>、</w:t>
      </w:r>
      <w:r>
        <w:rPr>
          <w:rFonts w:ascii="Arial" w:eastAsia="Arial" w:hAnsi="Arial" w:cs="Arial"/>
          <w:sz w:val="16"/>
        </w:rPr>
        <w:t>N2(2.05%)</w:t>
      </w:r>
      <w:r>
        <w:rPr>
          <w:sz w:val="16"/>
        </w:rPr>
        <w:t>、</w:t>
      </w:r>
      <w:r>
        <w:rPr>
          <w:rFonts w:ascii="Arial" w:eastAsia="Arial" w:hAnsi="Arial" w:cs="Arial"/>
          <w:sz w:val="16"/>
        </w:rPr>
        <w:t>S(0.15%)</w:t>
      </w:r>
      <w:r>
        <w:rPr>
          <w:sz w:val="16"/>
        </w:rPr>
        <w:t>、</w:t>
      </w:r>
      <w:r>
        <w:rPr>
          <w:rFonts w:ascii="Arial" w:eastAsia="Arial" w:hAnsi="Arial" w:cs="Arial"/>
          <w:sz w:val="16"/>
        </w:rPr>
        <w:t>SHK (0.15%)</w:t>
      </w:r>
      <w:r>
        <w:rPr>
          <w:sz w:val="16"/>
        </w:rPr>
        <w:t>、</w:t>
      </w:r>
      <w:r>
        <w:rPr>
          <w:sz w:val="16"/>
        </w:rPr>
        <w:t xml:space="preserve"> </w:t>
      </w:r>
      <w:r>
        <w:rPr>
          <w:rFonts w:ascii="Arial" w:eastAsia="Arial" w:hAnsi="Arial" w:cs="Arial"/>
          <w:sz w:val="16"/>
        </w:rPr>
        <w:t>S1(0.65%)</w:t>
      </w:r>
      <w:r>
        <w:rPr>
          <w:sz w:val="16"/>
        </w:rPr>
        <w:t>、</w:t>
      </w:r>
      <w:r>
        <w:rPr>
          <w:rFonts w:ascii="Arial" w:eastAsia="Arial" w:hAnsi="Arial" w:cs="Arial"/>
          <w:sz w:val="16"/>
        </w:rPr>
        <w:t>SA(0.15%)</w:t>
      </w:r>
      <w:r>
        <w:rPr>
          <w:sz w:val="16"/>
        </w:rPr>
        <w:t>、</w:t>
      </w:r>
      <w:r>
        <w:rPr>
          <w:rFonts w:ascii="Arial" w:eastAsia="Arial" w:hAnsi="Arial" w:cs="Arial"/>
          <w:sz w:val="16"/>
        </w:rPr>
        <w:t>S1D(0.65%)</w:t>
      </w:r>
      <w:r>
        <w:rPr>
          <w:sz w:val="16"/>
        </w:rPr>
        <w:t>、</w:t>
      </w:r>
      <w:r>
        <w:rPr>
          <w:rFonts w:ascii="Arial" w:eastAsia="Arial" w:hAnsi="Arial" w:cs="Arial"/>
          <w:sz w:val="16"/>
        </w:rPr>
        <w:t>S1D2(0.65%)</w:t>
      </w:r>
      <w:r>
        <w:rPr>
          <w:sz w:val="16"/>
        </w:rPr>
        <w:t>、</w:t>
      </w:r>
      <w:r>
        <w:rPr>
          <w:rFonts w:ascii="Arial" w:eastAsia="Arial" w:hAnsi="Arial" w:cs="Arial"/>
          <w:sz w:val="16"/>
        </w:rPr>
        <w:t xml:space="preserve">S1QD(0.65%) </w:t>
      </w:r>
      <w:r>
        <w:rPr>
          <w:sz w:val="16"/>
        </w:rPr>
        <w:t>、</w:t>
      </w:r>
      <w:r>
        <w:rPr>
          <w:rFonts w:ascii="Arial" w:eastAsia="Arial" w:hAnsi="Arial" w:cs="Arial"/>
          <w:sz w:val="16"/>
        </w:rPr>
        <w:t>W(0.95%)</w:t>
      </w:r>
      <w:r>
        <w:rPr>
          <w:sz w:val="16"/>
        </w:rPr>
        <w:t>、</w:t>
      </w:r>
      <w:r>
        <w:rPr>
          <w:rFonts w:ascii="Arial" w:eastAsia="Arial" w:hAnsi="Arial" w:cs="Arial"/>
          <w:sz w:val="16"/>
        </w:rPr>
        <w:t>WT(0.95%)</w:t>
      </w:r>
      <w:r>
        <w:rPr>
          <w:sz w:val="16"/>
        </w:rPr>
        <w:t>、</w:t>
      </w:r>
      <w:r>
        <w:rPr>
          <w:rFonts w:ascii="Arial" w:eastAsia="Arial" w:hAnsi="Arial" w:cs="Arial"/>
          <w:sz w:val="16"/>
        </w:rPr>
        <w:t>W2(0.95%)</w:t>
      </w:r>
      <w:r>
        <w:rPr>
          <w:sz w:val="16"/>
        </w:rPr>
        <w:t>及</w:t>
      </w:r>
      <w:r>
        <w:rPr>
          <w:sz w:val="16"/>
        </w:rPr>
        <w:t xml:space="preserve"> </w:t>
      </w:r>
      <w:r>
        <w:rPr>
          <w:rFonts w:ascii="Arial" w:eastAsia="Arial" w:hAnsi="Arial" w:cs="Arial"/>
          <w:sz w:val="16"/>
        </w:rPr>
        <w:t>ZT (0.05%)</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19"/>
        </w:numPr>
        <w:ind w:right="13" w:hanging="360"/>
        <w:jc w:val="both"/>
      </w:pPr>
      <w:r>
        <w:rPr>
          <w:rFonts w:ascii="Arial" w:eastAsia="Arial" w:hAnsi="Arial" w:cs="Arial"/>
          <w:sz w:val="16"/>
        </w:rPr>
        <w:t xml:space="preserve">B </w:t>
      </w:r>
      <w:r>
        <w:rPr>
          <w:sz w:val="16"/>
        </w:rPr>
        <w:t>類股份、</w:t>
      </w:r>
      <w:r>
        <w:rPr>
          <w:rFonts w:ascii="Arial" w:eastAsia="Arial" w:hAnsi="Arial" w:cs="Arial"/>
          <w:sz w:val="16"/>
        </w:rPr>
        <w:t xml:space="preserve">B2 </w:t>
      </w:r>
      <w:r>
        <w:rPr>
          <w:sz w:val="16"/>
        </w:rPr>
        <w:t>類股份、</w:t>
      </w:r>
      <w:r>
        <w:rPr>
          <w:rFonts w:ascii="Arial" w:eastAsia="Arial" w:hAnsi="Arial" w:cs="Arial"/>
          <w:sz w:val="16"/>
        </w:rPr>
        <w:t xml:space="preserve">BT </w:t>
      </w:r>
      <w:r>
        <w:rPr>
          <w:sz w:val="16"/>
        </w:rPr>
        <w:t>類股份和</w:t>
      </w:r>
      <w:r>
        <w:rPr>
          <w:sz w:val="16"/>
        </w:rPr>
        <w:t xml:space="preserve"> </w:t>
      </w:r>
      <w:r>
        <w:rPr>
          <w:rFonts w:ascii="Arial" w:eastAsia="Arial" w:hAnsi="Arial" w:cs="Arial"/>
          <w:sz w:val="16"/>
        </w:rPr>
        <w:t xml:space="preserve">J </w:t>
      </w:r>
      <w:r>
        <w:rPr>
          <w:sz w:val="16"/>
        </w:rPr>
        <w:t>類股份自認購日起六年後合資格分別轉入</w:t>
      </w:r>
      <w:r>
        <w:rPr>
          <w:sz w:val="16"/>
        </w:rPr>
        <w:t xml:space="preserve"> </w:t>
      </w:r>
      <w:r>
        <w:rPr>
          <w:rFonts w:ascii="Arial" w:eastAsia="Arial" w:hAnsi="Arial" w:cs="Arial"/>
          <w:sz w:val="16"/>
        </w:rPr>
        <w:t xml:space="preserve">A </w:t>
      </w:r>
      <w:r>
        <w:rPr>
          <w:sz w:val="16"/>
        </w:rPr>
        <w:t>類股份、</w:t>
      </w:r>
      <w:r>
        <w:rPr>
          <w:rFonts w:ascii="Arial" w:eastAsia="Arial" w:hAnsi="Arial" w:cs="Arial"/>
          <w:sz w:val="16"/>
        </w:rPr>
        <w:t xml:space="preserve">A2 </w:t>
      </w:r>
      <w:r>
        <w:rPr>
          <w:sz w:val="16"/>
        </w:rPr>
        <w:t>類股份、</w:t>
      </w:r>
      <w:r>
        <w:rPr>
          <w:rFonts w:ascii="Arial" w:eastAsia="Arial" w:hAnsi="Arial" w:cs="Arial"/>
          <w:sz w:val="16"/>
        </w:rPr>
        <w:t xml:space="preserve">AT </w:t>
      </w:r>
      <w:r>
        <w:rPr>
          <w:sz w:val="16"/>
        </w:rPr>
        <w:t>類股份和</w:t>
      </w:r>
      <w:r>
        <w:rPr>
          <w:sz w:val="16"/>
        </w:rPr>
        <w:t xml:space="preserve"> </w:t>
      </w:r>
      <w:r>
        <w:rPr>
          <w:rFonts w:ascii="Arial" w:eastAsia="Arial" w:hAnsi="Arial" w:cs="Arial"/>
          <w:sz w:val="16"/>
        </w:rPr>
        <w:t xml:space="preserve">JA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19"/>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19"/>
        </w:numPr>
        <w:ind w:right="13" w:hanging="360"/>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18"/>
        </w:rPr>
        <w:t xml:space="preserve"> </w:t>
      </w:r>
    </w:p>
    <w:p w:rsidR="004D6F0E" w:rsidRDefault="00490F21">
      <w:pPr>
        <w:spacing w:after="0" w:line="259" w:lineRule="auto"/>
        <w:ind w:left="1"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numPr>
          <w:ilvl w:val="0"/>
          <w:numId w:val="19"/>
        </w:numPr>
        <w:ind w:right="13" w:hanging="360"/>
        <w:jc w:val="both"/>
      </w:pPr>
      <w:r>
        <w:rPr>
          <w:sz w:val="16"/>
        </w:rPr>
        <w:t>佔每日平均資產淨值的年百分比。</w:t>
      </w:r>
      <w:r>
        <w:rPr>
          <w:rFonts w:ascii="Arial" w:eastAsia="Arial" w:hAnsi="Arial" w:cs="Arial"/>
          <w:sz w:val="16"/>
        </w:rPr>
        <w:t xml:space="preserve">   </w:t>
      </w:r>
    </w:p>
    <w:p w:rsidR="004D6F0E" w:rsidRDefault="00490F21">
      <w:pPr>
        <w:numPr>
          <w:ilvl w:val="0"/>
          <w:numId w:val="19"/>
        </w:numPr>
        <w:ind w:right="13" w:hanging="360"/>
        <w:jc w:val="both"/>
      </w:pPr>
      <w:r>
        <w:rPr>
          <w:sz w:val="16"/>
        </w:rPr>
        <w:t>佔所贖回</w:t>
      </w:r>
      <w:r>
        <w:rPr>
          <w:sz w:val="16"/>
        </w:rPr>
        <w:t xml:space="preserve"> </w:t>
      </w:r>
      <w:r>
        <w:rPr>
          <w:rFonts w:ascii="Arial" w:eastAsia="Arial" w:hAnsi="Arial" w:cs="Arial"/>
          <w:sz w:val="16"/>
        </w:rPr>
        <w:t>B</w:t>
      </w:r>
      <w:r>
        <w:rPr>
          <w:sz w:val="16"/>
        </w:rPr>
        <w:t>、</w:t>
      </w:r>
      <w:r>
        <w:rPr>
          <w:rFonts w:ascii="Arial" w:eastAsia="Arial" w:hAnsi="Arial" w:cs="Arial"/>
          <w:sz w:val="16"/>
        </w:rPr>
        <w:t xml:space="preserve">B2 </w:t>
      </w:r>
      <w:r>
        <w:rPr>
          <w:sz w:val="16"/>
        </w:rPr>
        <w:t>及</w:t>
      </w:r>
      <w:r>
        <w:rPr>
          <w:sz w:val="16"/>
        </w:rPr>
        <w:t xml:space="preserve"> </w:t>
      </w:r>
      <w:r>
        <w:rPr>
          <w:rFonts w:ascii="Arial" w:eastAsia="Arial" w:hAnsi="Arial" w:cs="Arial"/>
          <w:sz w:val="16"/>
        </w:rPr>
        <w:t xml:space="preserve">BT </w:t>
      </w:r>
      <w:r>
        <w:rPr>
          <w:sz w:val="16"/>
        </w:rPr>
        <w:t>類股份的現行資產淨值及原始成本此兩個數字中較低者的有關百分率，並視乎該等股份的持有時間而定。就</w:t>
      </w:r>
      <w:r>
        <w:rPr>
          <w:sz w:val="16"/>
        </w:rPr>
        <w:t xml:space="preserve"> </w:t>
      </w:r>
      <w:r>
        <w:rPr>
          <w:rFonts w:ascii="Arial" w:eastAsia="Arial" w:hAnsi="Arial" w:cs="Arial"/>
          <w:sz w:val="16"/>
        </w:rPr>
        <w:t xml:space="preserve">J </w:t>
      </w:r>
      <w:r>
        <w:rPr>
          <w:sz w:val="16"/>
        </w:rPr>
        <w:t>類股份而言，佔所贖回股份現行資產淨值的百分比。</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w:t>
      </w:r>
      <w:r>
        <w:rPr>
          <w:rFonts w:ascii="Arial" w:eastAsia="Arial" w:hAnsi="Arial" w:cs="Arial"/>
          <w:sz w:val="16"/>
        </w:rPr>
        <w:t xml:space="preserve">C2 </w:t>
      </w:r>
      <w:r>
        <w:rPr>
          <w:sz w:val="16"/>
        </w:rPr>
        <w:t>類股份、</w:t>
      </w:r>
      <w:r>
        <w:rPr>
          <w:sz w:val="16"/>
        </w:rPr>
        <w:t xml:space="preserve"> </w:t>
      </w:r>
      <w:r>
        <w:rPr>
          <w:rFonts w:ascii="Arial" w:eastAsia="Arial" w:hAnsi="Arial" w:cs="Arial"/>
          <w:sz w:val="16"/>
        </w:rPr>
        <w:t xml:space="preserve">CK </w:t>
      </w:r>
      <w:r>
        <w:rPr>
          <w:sz w:val="16"/>
        </w:rPr>
        <w:t>類股份和</w:t>
      </w:r>
      <w:r>
        <w:rPr>
          <w:sz w:val="16"/>
        </w:rPr>
        <w:t xml:space="preserve"> </w:t>
      </w:r>
      <w:r>
        <w:rPr>
          <w:rFonts w:ascii="Arial" w:eastAsia="Arial" w:hAnsi="Arial" w:cs="Arial"/>
          <w:sz w:val="16"/>
        </w:rPr>
        <w:t xml:space="preserve">CT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類股份）而言，交易商可在某些情況下選擇減免或有遞延銷售費。</w:t>
      </w:r>
      <w:r>
        <w:rPr>
          <w:rFonts w:ascii="Arial" w:eastAsia="Arial" w:hAnsi="Arial" w:cs="Arial"/>
          <w:sz w:val="16"/>
        </w:rPr>
        <w:t xml:space="preserve"> </w:t>
      </w:r>
    </w:p>
    <w:p w:rsidR="004D6F0E" w:rsidRDefault="00490F21">
      <w:pPr>
        <w:numPr>
          <w:ilvl w:val="0"/>
          <w:numId w:val="19"/>
        </w:numPr>
        <w:ind w:right="13" w:hanging="360"/>
        <w:jc w:val="both"/>
      </w:pPr>
      <w:r>
        <w:rPr>
          <w:rFonts w:ascii="Arial" w:eastAsia="Arial" w:hAnsi="Arial" w:cs="Arial"/>
          <w:sz w:val="16"/>
        </w:rPr>
        <w:t xml:space="preserve">S </w:t>
      </w:r>
      <w:r>
        <w:rPr>
          <w:sz w:val="16"/>
        </w:rPr>
        <w:t>及</w:t>
      </w:r>
      <w:r>
        <w:rPr>
          <w:sz w:val="16"/>
        </w:rPr>
        <w:t xml:space="preserve"> </w:t>
      </w:r>
      <w:r>
        <w:rPr>
          <w:rFonts w:ascii="Arial" w:eastAsia="Arial" w:hAnsi="Arial" w:cs="Arial"/>
          <w:sz w:val="16"/>
        </w:rPr>
        <w:t xml:space="preserve">SA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19"/>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numPr>
          <w:ilvl w:val="0"/>
          <w:numId w:val="19"/>
        </w:numPr>
        <w:ind w:right="13" w:hanging="360"/>
        <w:jc w:val="both"/>
      </w:pPr>
      <w:r>
        <w:rPr>
          <w:rFonts w:ascii="Arial" w:eastAsia="Arial" w:hAnsi="Arial" w:cs="Arial"/>
          <w:sz w:val="16"/>
        </w:rPr>
        <w:t xml:space="preserve">SHK </w:t>
      </w:r>
      <w:r>
        <w:rPr>
          <w:sz w:val="16"/>
        </w:rPr>
        <w:t>及</w:t>
      </w:r>
      <w:r>
        <w:rPr>
          <w:sz w:val="16"/>
        </w:rPr>
        <w:t xml:space="preserve"> </w:t>
      </w:r>
      <w:r>
        <w:rPr>
          <w:rFonts w:ascii="Arial" w:eastAsia="Arial" w:hAnsi="Arial" w:cs="Arial"/>
          <w:sz w:val="16"/>
        </w:rPr>
        <w:t xml:space="preserve">ZT </w:t>
      </w:r>
      <w:r>
        <w:rPr>
          <w:sz w:val="16"/>
        </w:rPr>
        <w:t>類股份僅供聯博基金投資。</w:t>
      </w:r>
      <w:r>
        <w:rPr>
          <w:rFonts w:ascii="Arial" w:eastAsia="Arial" w:hAnsi="Arial" w:cs="Arial"/>
          <w:sz w:val="16"/>
        </w:rPr>
        <w:t xml:space="preserve"> </w:t>
      </w:r>
    </w:p>
    <w:p w:rsidR="004D6F0E" w:rsidRDefault="00490F21">
      <w:pPr>
        <w:numPr>
          <w:ilvl w:val="0"/>
          <w:numId w:val="19"/>
        </w:numPr>
        <w:ind w:right="13" w:hanging="360"/>
        <w:jc w:val="both"/>
      </w:pPr>
      <w:r>
        <w:rPr>
          <w:rFonts w:ascii="Arial" w:eastAsia="Arial" w:hAnsi="Arial" w:cs="Arial"/>
          <w:sz w:val="16"/>
        </w:rPr>
        <w:t xml:space="preserve">S1D </w:t>
      </w:r>
      <w:r>
        <w:rPr>
          <w:sz w:val="16"/>
        </w:rPr>
        <w:t>類股份僅開放予此股份類別的現有股東作新購入。</w:t>
      </w:r>
      <w:r>
        <w:rPr>
          <w:rFonts w:ascii="Arial" w:eastAsia="Arial" w:hAnsi="Arial" w:cs="Arial"/>
          <w:sz w:val="16"/>
        </w:rPr>
        <w:t xml:space="preserve"> </w:t>
      </w:r>
    </w:p>
    <w:p w:rsidR="004D6F0E" w:rsidRDefault="00490F21">
      <w:pPr>
        <w:numPr>
          <w:ilvl w:val="0"/>
          <w:numId w:val="19"/>
        </w:numPr>
        <w:ind w:right="13" w:hanging="360"/>
        <w:jc w:val="both"/>
      </w:pPr>
      <w:r>
        <w:rPr>
          <w:rFonts w:ascii="Arial" w:eastAsia="Arial" w:hAnsi="Arial" w:cs="Arial"/>
          <w:sz w:val="16"/>
        </w:rPr>
        <w:t xml:space="preserve">EA </w:t>
      </w:r>
      <w:r>
        <w:rPr>
          <w:sz w:val="16"/>
        </w:rPr>
        <w:t>類股份（及相應</w:t>
      </w:r>
      <w:r>
        <w:rPr>
          <w:sz w:val="16"/>
        </w:rPr>
        <w:t xml:space="preserve"> </w:t>
      </w:r>
      <w:r>
        <w:rPr>
          <w:rFonts w:ascii="Arial" w:eastAsia="Arial" w:hAnsi="Arial" w:cs="Arial"/>
          <w:sz w:val="16"/>
        </w:rPr>
        <w:t xml:space="preserve">H </w:t>
      </w:r>
      <w:r>
        <w:rPr>
          <w:sz w:val="16"/>
        </w:rPr>
        <w:t>類股份）自認購日起三年後將轉入</w:t>
      </w:r>
      <w:r>
        <w:rPr>
          <w:sz w:val="16"/>
        </w:rPr>
        <w:t xml:space="preserve"> </w:t>
      </w:r>
      <w:r>
        <w:rPr>
          <w:rFonts w:ascii="Arial" w:eastAsia="Arial" w:hAnsi="Arial" w:cs="Arial"/>
          <w:sz w:val="16"/>
        </w:rPr>
        <w:t xml:space="preserve">AA </w:t>
      </w:r>
      <w:r>
        <w:rPr>
          <w:sz w:val="16"/>
        </w:rPr>
        <w:t>類股份</w:t>
      </w:r>
    </w:p>
    <w:p w:rsidR="004D6F0E" w:rsidRDefault="00490F21">
      <w:pPr>
        <w:ind w:left="368" w:right="13" w:hanging="10"/>
        <w:jc w:val="both"/>
      </w:pPr>
      <w:r>
        <w:rPr>
          <w:sz w:val="16"/>
        </w:rPr>
        <w:t>（及相應</w:t>
      </w:r>
      <w:r>
        <w:rPr>
          <w:sz w:val="16"/>
        </w:rPr>
        <w:t xml:space="preserve"> </w:t>
      </w:r>
      <w:r>
        <w:rPr>
          <w:rFonts w:ascii="Arial" w:eastAsia="Arial" w:hAnsi="Arial" w:cs="Arial"/>
          <w:sz w:val="16"/>
        </w:rPr>
        <w:t xml:space="preserve">H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16"/>
        </w:rPr>
        <w:t xml:space="preserve"> </w:t>
      </w:r>
    </w:p>
    <w:p w:rsidR="004D6F0E" w:rsidRDefault="00490F21">
      <w:pPr>
        <w:tabs>
          <w:tab w:val="right" w:pos="5082"/>
        </w:tabs>
        <w:spacing w:after="9" w:line="269" w:lineRule="auto"/>
        <w:ind w:left="0" w:firstLine="0"/>
      </w:pPr>
      <w:r>
        <w:rPr>
          <w:rFonts w:ascii="Arial" w:eastAsia="Arial" w:hAnsi="Arial" w:cs="Arial"/>
          <w:sz w:val="16"/>
        </w:rPr>
        <w:t xml:space="preserve">† </w:t>
      </w:r>
      <w:r>
        <w:rPr>
          <w:rFonts w:ascii="Arial" w:eastAsia="Arial" w:hAnsi="Arial" w:cs="Arial"/>
          <w:sz w:val="16"/>
        </w:rPr>
        <w:tab/>
        <w:t xml:space="preserve">AT </w:t>
      </w:r>
      <w:r>
        <w:rPr>
          <w:sz w:val="16"/>
        </w:rPr>
        <w:t>類</w:t>
      </w:r>
      <w:r>
        <w:rPr>
          <w:sz w:val="16"/>
        </w:rPr>
        <w:t xml:space="preserve"> </w:t>
      </w:r>
      <w:r>
        <w:rPr>
          <w:rFonts w:ascii="Arial" w:eastAsia="Arial" w:hAnsi="Arial" w:cs="Arial"/>
          <w:sz w:val="16"/>
        </w:rPr>
        <w:t xml:space="preserve">DUR PH </w:t>
      </w:r>
      <w:r>
        <w:rPr>
          <w:sz w:val="16"/>
        </w:rPr>
        <w:t>股份、</w:t>
      </w:r>
      <w:r>
        <w:rPr>
          <w:rFonts w:ascii="Arial" w:eastAsia="Arial" w:hAnsi="Arial" w:cs="Arial"/>
          <w:sz w:val="16"/>
        </w:rPr>
        <w:t xml:space="preserve">AA </w:t>
      </w:r>
      <w:r>
        <w:rPr>
          <w:sz w:val="16"/>
        </w:rPr>
        <w:t>類</w:t>
      </w:r>
      <w:r>
        <w:rPr>
          <w:sz w:val="16"/>
        </w:rPr>
        <w:t xml:space="preserve"> </w:t>
      </w:r>
      <w:r>
        <w:rPr>
          <w:rFonts w:ascii="Arial" w:eastAsia="Arial" w:hAnsi="Arial" w:cs="Arial"/>
          <w:sz w:val="16"/>
        </w:rPr>
        <w:t xml:space="preserve">DUR PH </w:t>
      </w:r>
      <w:r>
        <w:rPr>
          <w:sz w:val="16"/>
        </w:rPr>
        <w:t>股份、</w:t>
      </w:r>
      <w:r>
        <w:rPr>
          <w:rFonts w:ascii="Arial" w:eastAsia="Arial" w:hAnsi="Arial" w:cs="Arial"/>
          <w:sz w:val="16"/>
        </w:rPr>
        <w:t xml:space="preserve">A2 </w:t>
      </w:r>
      <w:r>
        <w:rPr>
          <w:sz w:val="16"/>
        </w:rPr>
        <w:t>類</w:t>
      </w:r>
      <w:r>
        <w:rPr>
          <w:sz w:val="16"/>
        </w:rPr>
        <w:t xml:space="preserve"> </w:t>
      </w:r>
      <w:r>
        <w:rPr>
          <w:rFonts w:ascii="Arial" w:eastAsia="Arial" w:hAnsi="Arial" w:cs="Arial"/>
          <w:sz w:val="16"/>
        </w:rPr>
        <w:t xml:space="preserve">DUR PH </w:t>
      </w:r>
      <w:r>
        <w:rPr>
          <w:sz w:val="16"/>
        </w:rPr>
        <w:t>股份、</w:t>
      </w:r>
    </w:p>
    <w:p w:rsidR="004D6F0E" w:rsidRDefault="00490F21">
      <w:pPr>
        <w:spacing w:line="259" w:lineRule="auto"/>
        <w:ind w:left="54" w:hanging="10"/>
        <w:jc w:val="center"/>
      </w:pPr>
      <w:r>
        <w:rPr>
          <w:rFonts w:ascii="Arial" w:eastAsia="Arial" w:hAnsi="Arial" w:cs="Arial"/>
          <w:sz w:val="16"/>
        </w:rPr>
        <w:t xml:space="preserve">C2 </w:t>
      </w:r>
      <w:r>
        <w:rPr>
          <w:sz w:val="16"/>
        </w:rPr>
        <w:t>類</w:t>
      </w:r>
      <w:r>
        <w:rPr>
          <w:sz w:val="16"/>
        </w:rPr>
        <w:t xml:space="preserve"> </w:t>
      </w:r>
      <w:r>
        <w:rPr>
          <w:rFonts w:ascii="Arial" w:eastAsia="Arial" w:hAnsi="Arial" w:cs="Arial"/>
          <w:sz w:val="16"/>
        </w:rPr>
        <w:t xml:space="preserve">DUR PH </w:t>
      </w:r>
      <w:r>
        <w:rPr>
          <w:sz w:val="16"/>
        </w:rPr>
        <w:t>股份及</w:t>
      </w:r>
      <w:r>
        <w:rPr>
          <w:sz w:val="16"/>
        </w:rPr>
        <w:t xml:space="preserve"> </w:t>
      </w:r>
      <w:r>
        <w:rPr>
          <w:rFonts w:ascii="Arial" w:eastAsia="Arial" w:hAnsi="Arial" w:cs="Arial"/>
          <w:sz w:val="16"/>
        </w:rPr>
        <w:t xml:space="preserve">I2 </w:t>
      </w:r>
      <w:r>
        <w:rPr>
          <w:sz w:val="16"/>
        </w:rPr>
        <w:t>類</w:t>
      </w:r>
      <w:r>
        <w:rPr>
          <w:sz w:val="16"/>
        </w:rPr>
        <w:t xml:space="preserve"> </w:t>
      </w:r>
      <w:r>
        <w:rPr>
          <w:rFonts w:ascii="Arial" w:eastAsia="Arial" w:hAnsi="Arial" w:cs="Arial"/>
          <w:sz w:val="16"/>
        </w:rPr>
        <w:t xml:space="preserve">DUR PH </w:t>
      </w:r>
      <w:r>
        <w:rPr>
          <w:sz w:val="16"/>
        </w:rPr>
        <w:t>股份已終止，不再發售。</w:t>
      </w:r>
      <w:r>
        <w:rPr>
          <w:rFonts w:ascii="Arial" w:eastAsia="Arial" w:hAnsi="Arial" w:cs="Arial"/>
          <w:sz w:val="16"/>
        </w:rPr>
        <w:t xml:space="preserve"> </w:t>
      </w:r>
    </w:p>
    <w:p w:rsidR="004D6F0E" w:rsidRDefault="00490F21">
      <w:pPr>
        <w:ind w:left="345" w:right="13" w:hanging="358"/>
        <w:jc w:val="both"/>
      </w:pP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」），而非稱為</w:t>
      </w:r>
      <w:r>
        <w:rPr>
          <w:sz w:val="16"/>
        </w:rPr>
        <w:t xml:space="preserve"> </w:t>
      </w:r>
      <w:r>
        <w:rPr>
          <w:rFonts w:ascii="Arial" w:eastAsia="Arial" w:hAnsi="Arial" w:cs="Arial"/>
          <w:sz w:val="16"/>
        </w:rPr>
        <w:t xml:space="preserve">CNY </w:t>
      </w:r>
      <w:r>
        <w:rPr>
          <w:sz w:val="16"/>
        </w:rPr>
        <w:t>的在岸人民幣。</w:t>
      </w:r>
      <w:r>
        <w:rPr>
          <w:rFonts w:ascii="Arial" w:eastAsia="Arial" w:hAnsi="Arial" w:cs="Arial"/>
          <w:sz w:val="16"/>
        </w:rPr>
        <w:t xml:space="preserve"> </w:t>
      </w:r>
    </w:p>
    <w:p w:rsidR="004D6F0E" w:rsidRDefault="00490F21">
      <w:pPr>
        <w:spacing w:after="4" w:line="275" w:lineRule="auto"/>
        <w:ind w:left="352" w:hanging="366"/>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p>
    <w:p w:rsidR="004D6F0E" w:rsidRDefault="004D6F0E">
      <w:pPr>
        <w:sectPr w:rsidR="004D6F0E">
          <w:type w:val="continuous"/>
          <w:pgSz w:w="12240" w:h="15840"/>
          <w:pgMar w:top="1183" w:right="678" w:bottom="1440" w:left="431" w:header="720" w:footer="720" w:gutter="0"/>
          <w:cols w:num="2" w:space="720" w:equalWidth="0">
            <w:col w:w="5374" w:space="675"/>
            <w:col w:w="5082"/>
          </w:cols>
        </w:sectPr>
      </w:pPr>
    </w:p>
    <w:p w:rsidR="004D6F0E" w:rsidRDefault="00490F21">
      <w:pPr>
        <w:spacing w:after="0" w:line="259" w:lineRule="auto"/>
        <w:ind w:left="0" w:firstLine="0"/>
      </w:pPr>
      <w:r>
        <w:rPr>
          <w:rFonts w:ascii="Arial" w:eastAsia="Arial" w:hAnsi="Arial" w:cs="Arial"/>
          <w:sz w:val="18"/>
        </w:rPr>
        <w:lastRenderedPageBreak/>
        <w:t xml:space="preserve"> </w:t>
      </w:r>
    </w:p>
    <w:p w:rsidR="004D6F0E" w:rsidRDefault="00490F21">
      <w:pPr>
        <w:spacing w:after="25" w:line="259" w:lineRule="auto"/>
        <w:ind w:left="0" w:right="-170" w:firstLine="0"/>
      </w:pPr>
      <w:r>
        <w:rPr>
          <w:rFonts w:ascii="Calibri" w:eastAsia="Calibri" w:hAnsi="Calibri" w:cs="Calibri"/>
          <w:noProof/>
          <w:sz w:val="22"/>
        </w:rPr>
        <mc:AlternateContent>
          <mc:Choice Requires="wpg">
            <w:drawing>
              <wp:inline distT="0" distB="0" distL="0" distR="0">
                <wp:extent cx="7110984" cy="18288"/>
                <wp:effectExtent l="0" t="0" r="0" b="0"/>
                <wp:docPr id="531403" name="Group 531403"/>
                <wp:cNvGraphicFramePr/>
                <a:graphic xmlns:a="http://schemas.openxmlformats.org/drawingml/2006/main">
                  <a:graphicData uri="http://schemas.microsoft.com/office/word/2010/wordprocessingGroup">
                    <wpg:wgp>
                      <wpg:cNvGrpSpPr/>
                      <wpg:grpSpPr>
                        <a:xfrm>
                          <a:off x="0" y="0"/>
                          <a:ext cx="7110984" cy="18288"/>
                          <a:chOff x="0" y="0"/>
                          <a:chExt cx="7110984" cy="18288"/>
                        </a:xfrm>
                      </wpg:grpSpPr>
                      <wps:wsp>
                        <wps:cNvPr id="658299" name="Shape 658299"/>
                        <wps:cNvSpPr/>
                        <wps:spPr>
                          <a:xfrm>
                            <a:off x="0" y="0"/>
                            <a:ext cx="7110984" cy="18288"/>
                          </a:xfrm>
                          <a:custGeom>
                            <a:avLst/>
                            <a:gdLst/>
                            <a:ahLst/>
                            <a:cxnLst/>
                            <a:rect l="0" t="0" r="0" b="0"/>
                            <a:pathLst>
                              <a:path w="7110984" h="18288">
                                <a:moveTo>
                                  <a:pt x="0" y="0"/>
                                </a:moveTo>
                                <a:lnTo>
                                  <a:pt x="7110984" y="0"/>
                                </a:lnTo>
                                <a:lnTo>
                                  <a:pt x="71109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1403" style="width:559.92pt;height:1.44pt;mso-position-horizontal-relative:char;mso-position-vertical-relative:line" coordsize="71109,182">
                <v:shape id="Shape 658300" style="position:absolute;width:71109;height:182;left:0;top:0;" coordsize="7110984,18288" path="m0,0l7110984,0l7110984,18288l0,18288l0,0">
                  <v:stroke weight="0pt" endcap="flat" joinstyle="miter" miterlimit="10" on="false" color="#000000" opacity="0"/>
                  <v:fill on="true" color="#000000"/>
                </v:shape>
              </v:group>
            </w:pict>
          </mc:Fallback>
        </mc:AlternateContent>
      </w:r>
    </w:p>
    <w:p w:rsidR="004D6F0E" w:rsidRDefault="00490F21">
      <w:pPr>
        <w:ind w:left="124" w:right="2"/>
      </w:pPr>
      <w:r>
        <w:t>其他股份類別特色</w:t>
      </w:r>
      <w:r>
        <w:rPr>
          <w:rFonts w:ascii="Arial" w:eastAsia="Arial" w:hAnsi="Arial" w:cs="Arial"/>
          <w:sz w:val="24"/>
        </w:rPr>
        <w:t xml:space="preserve"> </w:t>
      </w:r>
    </w:p>
    <w:p w:rsidR="004D6F0E" w:rsidRDefault="00490F21">
      <w:pPr>
        <w:spacing w:after="92"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tabs>
          <w:tab w:val="center" w:pos="2976"/>
          <w:tab w:val="center" w:pos="4891"/>
          <w:tab w:val="center" w:pos="6735"/>
          <w:tab w:val="center" w:pos="8363"/>
          <w:tab w:val="right" w:pos="11029"/>
        </w:tabs>
        <w:ind w:left="0" w:firstLine="0"/>
      </w:pPr>
      <w:r>
        <w:rPr>
          <w:rFonts w:ascii="Arial" w:eastAsia="Arial" w:hAnsi="Arial" w:cs="Arial"/>
          <w:b/>
          <w:sz w:val="29"/>
          <w:vertAlign w:val="superscript"/>
        </w:rPr>
        <w:t xml:space="preserve"> </w:t>
      </w:r>
      <w:r>
        <w:rPr>
          <w:rFonts w:ascii="Arial" w:eastAsia="Arial" w:hAnsi="Arial" w:cs="Arial"/>
          <w:b/>
          <w:sz w:val="29"/>
          <w:vertAlign w:val="superscript"/>
        </w:rPr>
        <w:tab/>
      </w:r>
      <w:r>
        <w:rPr>
          <w:sz w:val="18"/>
        </w:rPr>
        <w:t>發售貨幣</w:t>
      </w:r>
      <w:r>
        <w:rPr>
          <w:rFonts w:ascii="Arial" w:eastAsia="Arial" w:hAnsi="Arial" w:cs="Arial"/>
          <w:sz w:val="24"/>
        </w:rPr>
        <w:t xml:space="preserve"> </w:t>
      </w:r>
      <w:r>
        <w:rPr>
          <w:rFonts w:ascii="Arial" w:eastAsia="Arial" w:hAnsi="Arial" w:cs="Arial"/>
          <w:sz w:val="24"/>
        </w:rPr>
        <w:tab/>
      </w:r>
      <w:r>
        <w:rPr>
          <w:sz w:val="18"/>
        </w:rPr>
        <w:t>最低首次投資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最低後續投資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最高投資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24"/>
        </w:rPr>
        <w:t xml:space="preserve"> </w:t>
      </w:r>
    </w:p>
    <w:p w:rsidR="004D6F0E" w:rsidRDefault="00490F21">
      <w:pPr>
        <w:spacing w:after="12" w:line="259" w:lineRule="auto"/>
        <w:ind w:left="2213" w:right="-83" w:firstLine="0"/>
      </w:pPr>
      <w:r>
        <w:rPr>
          <w:rFonts w:ascii="Calibri" w:eastAsia="Calibri" w:hAnsi="Calibri" w:cs="Calibri"/>
          <w:noProof/>
          <w:sz w:val="22"/>
        </w:rPr>
        <mc:AlternateContent>
          <mc:Choice Requires="wpg">
            <w:drawing>
              <wp:inline distT="0" distB="0" distL="0" distR="0">
                <wp:extent cx="5650979" cy="6109"/>
                <wp:effectExtent l="0" t="0" r="0" b="0"/>
                <wp:docPr id="531404" name="Group 531404"/>
                <wp:cNvGraphicFramePr/>
                <a:graphic xmlns:a="http://schemas.openxmlformats.org/drawingml/2006/main">
                  <a:graphicData uri="http://schemas.microsoft.com/office/word/2010/wordprocessingGroup">
                    <wpg:wgp>
                      <wpg:cNvGrpSpPr/>
                      <wpg:grpSpPr>
                        <a:xfrm>
                          <a:off x="0" y="0"/>
                          <a:ext cx="5650979" cy="6109"/>
                          <a:chOff x="0" y="0"/>
                          <a:chExt cx="5650979" cy="6109"/>
                        </a:xfrm>
                      </wpg:grpSpPr>
                      <wps:wsp>
                        <wps:cNvPr id="658301" name="Shape 658301"/>
                        <wps:cNvSpPr/>
                        <wps:spPr>
                          <a:xfrm>
                            <a:off x="0"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02" name="Shape 658302"/>
                        <wps:cNvSpPr/>
                        <wps:spPr>
                          <a:xfrm>
                            <a:off x="1080516" y="0"/>
                            <a:ext cx="1240536" cy="9144"/>
                          </a:xfrm>
                          <a:custGeom>
                            <a:avLst/>
                            <a:gdLst/>
                            <a:ahLst/>
                            <a:cxnLst/>
                            <a:rect l="0" t="0" r="0" b="0"/>
                            <a:pathLst>
                              <a:path w="1240536" h="9144">
                                <a:moveTo>
                                  <a:pt x="0" y="0"/>
                                </a:moveTo>
                                <a:lnTo>
                                  <a:pt x="1240536" y="0"/>
                                </a:lnTo>
                                <a:lnTo>
                                  <a:pt x="1240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03" name="Shape 658303"/>
                        <wps:cNvSpPr/>
                        <wps:spPr>
                          <a:xfrm>
                            <a:off x="2430780" y="0"/>
                            <a:ext cx="880872" cy="9144"/>
                          </a:xfrm>
                          <a:custGeom>
                            <a:avLst/>
                            <a:gdLst/>
                            <a:ahLst/>
                            <a:cxnLst/>
                            <a:rect l="0" t="0" r="0" b="0"/>
                            <a:pathLst>
                              <a:path w="880872" h="9144">
                                <a:moveTo>
                                  <a:pt x="0" y="0"/>
                                </a:moveTo>
                                <a:lnTo>
                                  <a:pt x="880872" y="0"/>
                                </a:lnTo>
                                <a:lnTo>
                                  <a:pt x="8808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04" name="Shape 658304"/>
                        <wps:cNvSpPr/>
                        <wps:spPr>
                          <a:xfrm>
                            <a:off x="3419856"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05" name="Shape 658305"/>
                        <wps:cNvSpPr/>
                        <wps:spPr>
                          <a:xfrm>
                            <a:off x="4500372" y="0"/>
                            <a:ext cx="1150607" cy="9144"/>
                          </a:xfrm>
                          <a:custGeom>
                            <a:avLst/>
                            <a:gdLst/>
                            <a:ahLst/>
                            <a:cxnLst/>
                            <a:rect l="0" t="0" r="0" b="0"/>
                            <a:pathLst>
                              <a:path w="1150607" h="9144">
                                <a:moveTo>
                                  <a:pt x="0" y="0"/>
                                </a:moveTo>
                                <a:lnTo>
                                  <a:pt x="1150607" y="0"/>
                                </a:lnTo>
                                <a:lnTo>
                                  <a:pt x="11506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1404" style="width:444.959pt;height:0.481018pt;mso-position-horizontal-relative:char;mso-position-vertical-relative:line" coordsize="56509,61">
                <v:shape id="Shape 658306" style="position:absolute;width:9708;height:91;left:0;top:0;" coordsize="970801,9144" path="m0,0l970801,0l970801,9144l0,9144l0,0">
                  <v:stroke weight="0pt" endcap="flat" joinstyle="miter" miterlimit="10" on="false" color="#000000" opacity="0"/>
                  <v:fill on="true" color="#000000"/>
                </v:shape>
                <v:shape id="Shape 658307" style="position:absolute;width:12405;height:91;left:10805;top:0;" coordsize="1240536,9144" path="m0,0l1240536,0l1240536,9144l0,9144l0,0">
                  <v:stroke weight="0pt" endcap="flat" joinstyle="miter" miterlimit="10" on="false" color="#000000" opacity="0"/>
                  <v:fill on="true" color="#000000"/>
                </v:shape>
                <v:shape id="Shape 658308" style="position:absolute;width:8808;height:91;left:24307;top:0;" coordsize="880872,9144" path="m0,0l880872,0l880872,9144l0,9144l0,0">
                  <v:stroke weight="0pt" endcap="flat" joinstyle="miter" miterlimit="10" on="false" color="#000000" opacity="0"/>
                  <v:fill on="true" color="#000000"/>
                </v:shape>
                <v:shape id="Shape 658309" style="position:absolute;width:9708;height:91;left:34198;top:0;" coordsize="970801,9144" path="m0,0l970801,0l970801,9144l0,9144l0,0">
                  <v:stroke weight="0pt" endcap="flat" joinstyle="miter" miterlimit="10" on="false" color="#000000" opacity="0"/>
                  <v:fill on="true" color="#000000"/>
                </v:shape>
                <v:shape id="Shape 658310" style="position:absolute;width:11506;height:91;left:45003;top:0;" coordsize="1150607,9144" path="m0,0l1150607,0l1150607,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p>
    <w:tbl>
      <w:tblPr>
        <w:tblStyle w:val="TableGrid"/>
        <w:tblW w:w="11198" w:type="dxa"/>
        <w:tblInd w:w="0" w:type="dxa"/>
        <w:tblCellMar>
          <w:top w:w="21" w:type="dxa"/>
          <w:left w:w="0" w:type="dxa"/>
          <w:bottom w:w="0" w:type="dxa"/>
          <w:right w:w="87" w:type="dxa"/>
        </w:tblCellMar>
        <w:tblLook w:val="04A0" w:firstRow="1" w:lastRow="0" w:firstColumn="1" w:lastColumn="0" w:noHBand="0" w:noVBand="1"/>
      </w:tblPr>
      <w:tblGrid>
        <w:gridCol w:w="116"/>
        <w:gridCol w:w="2501"/>
        <w:gridCol w:w="180"/>
        <w:gridCol w:w="1147"/>
        <w:gridCol w:w="137"/>
        <w:gridCol w:w="2294"/>
        <w:gridCol w:w="1531"/>
        <w:gridCol w:w="2114"/>
        <w:gridCol w:w="561"/>
        <w:gridCol w:w="617"/>
      </w:tblGrid>
      <w:tr w:rsidR="004D6F0E">
        <w:trPr>
          <w:trHeight w:val="233"/>
        </w:trPr>
        <w:tc>
          <w:tcPr>
            <w:tcW w:w="279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28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4" w:type="dxa"/>
            <w:tcBorders>
              <w:top w:val="nil"/>
              <w:left w:val="nil"/>
              <w:bottom w:val="nil"/>
              <w:right w:val="nil"/>
            </w:tcBorders>
            <w:shd w:val="clear" w:color="auto" w:fill="D9D9D9"/>
          </w:tcPr>
          <w:p w:rsidR="004D6F0E" w:rsidRDefault="004D6F0E">
            <w:pPr>
              <w:spacing w:after="160" w:line="259" w:lineRule="auto"/>
              <w:ind w:left="0" w:firstLine="0"/>
            </w:pPr>
          </w:p>
        </w:tc>
        <w:tc>
          <w:tcPr>
            <w:tcW w:w="1531" w:type="dxa"/>
            <w:tcBorders>
              <w:top w:val="nil"/>
              <w:left w:val="nil"/>
              <w:bottom w:val="nil"/>
              <w:right w:val="nil"/>
            </w:tcBorders>
            <w:shd w:val="clear" w:color="auto" w:fill="D9D9D9"/>
          </w:tcPr>
          <w:p w:rsidR="004D6F0E" w:rsidRDefault="004D6F0E">
            <w:pPr>
              <w:spacing w:after="160" w:line="259" w:lineRule="auto"/>
              <w:ind w:left="0" w:firstLine="0"/>
            </w:pPr>
          </w:p>
        </w:tc>
        <w:tc>
          <w:tcPr>
            <w:tcW w:w="2114" w:type="dxa"/>
            <w:tcBorders>
              <w:top w:val="nil"/>
              <w:left w:val="nil"/>
              <w:bottom w:val="nil"/>
              <w:right w:val="nil"/>
            </w:tcBorders>
            <w:shd w:val="clear" w:color="auto" w:fill="D9D9D9"/>
          </w:tcPr>
          <w:p w:rsidR="004D6F0E" w:rsidRDefault="004D6F0E">
            <w:pPr>
              <w:spacing w:after="160" w:line="259" w:lineRule="auto"/>
              <w:ind w:left="0" w:firstLine="0"/>
            </w:pPr>
          </w:p>
        </w:tc>
        <w:tc>
          <w:tcPr>
            <w:tcW w:w="117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 </w:t>
            </w:r>
            <w:r>
              <w:rPr>
                <w:sz w:val="18"/>
              </w:rPr>
              <w:t>及</w:t>
            </w:r>
            <w:r>
              <w:rPr>
                <w:sz w:val="18"/>
              </w:rPr>
              <w:t xml:space="preserve"> </w:t>
            </w:r>
            <w:r>
              <w:rPr>
                <w:rFonts w:ascii="Arial" w:eastAsia="Arial" w:hAnsi="Arial" w:cs="Arial"/>
                <w:sz w:val="18"/>
              </w:rPr>
              <w:t xml:space="preserve">B2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CK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JA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300 </w:t>
            </w:r>
            <w:r>
              <w:rPr>
                <w:sz w:val="18"/>
              </w:rPr>
              <w:t>股</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J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300 </w:t>
            </w:r>
            <w:r>
              <w:rPr>
                <w:sz w:val="18"/>
              </w:rPr>
              <w:t>股</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L2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214" w:firstLine="0"/>
            </w:pPr>
            <w:r>
              <w:rPr>
                <w:rFonts w:ascii="Arial" w:eastAsia="Arial" w:hAnsi="Arial" w:cs="Arial"/>
                <w:sz w:val="18"/>
              </w:rPr>
              <w:t xml:space="preserve">500,000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LT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214" w:firstLine="0"/>
            </w:pPr>
            <w:r>
              <w:rPr>
                <w:rFonts w:ascii="Arial" w:eastAsia="Arial" w:hAnsi="Arial" w:cs="Arial"/>
                <w:sz w:val="18"/>
              </w:rPr>
              <w:t xml:space="preserve">500,000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28"/>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384"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0"/>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4"/>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SHK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4"/>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S1D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S1D2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WT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W2 </w:t>
            </w:r>
            <w:r>
              <w:rPr>
                <w:sz w:val="18"/>
              </w:rPr>
              <w:t>類股份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96" w:type="dxa"/>
            <w:gridSpan w:val="3"/>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ZT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284" w:type="dxa"/>
            <w:gridSpan w:val="2"/>
            <w:tcBorders>
              <w:top w:val="nil"/>
              <w:left w:val="nil"/>
              <w:bottom w:val="nil"/>
              <w:right w:val="nil"/>
            </w:tcBorders>
          </w:tcPr>
          <w:p w:rsidR="004D6F0E" w:rsidRDefault="00490F21">
            <w:pPr>
              <w:spacing w:after="10"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14"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p w:rsidR="004D6F0E" w:rsidRDefault="00490F21">
            <w:pPr>
              <w:spacing w:after="0" w:line="259" w:lineRule="auto"/>
              <w:ind w:left="0" w:right="168" w:firstLine="0"/>
              <w:jc w:val="right"/>
            </w:pP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9" w:line="259" w:lineRule="auto"/>
              <w:ind w:left="269" w:firstLine="0"/>
            </w:pPr>
            <w:r>
              <w:rPr>
                <w:sz w:val="18"/>
              </w:rPr>
              <w:t>無</w:t>
            </w:r>
            <w:r>
              <w:rPr>
                <w:rFonts w:ascii="Arial" w:eastAsia="Arial" w:hAnsi="Arial" w:cs="Arial"/>
                <w:sz w:val="18"/>
              </w:rPr>
              <w:t xml:space="preserve"> </w:t>
            </w:r>
          </w:p>
          <w:p w:rsidR="004D6F0E" w:rsidRDefault="00490F21">
            <w:pPr>
              <w:spacing w:after="0" w:line="259" w:lineRule="auto"/>
              <w:ind w:left="0" w:right="142" w:firstLine="0"/>
              <w:jc w:val="right"/>
            </w:pP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9" w:line="259" w:lineRule="auto"/>
              <w:ind w:left="437" w:firstLine="0"/>
            </w:pPr>
            <w:r>
              <w:rPr>
                <w:sz w:val="18"/>
              </w:rPr>
              <w:t>無</w:t>
            </w:r>
            <w:r>
              <w:rPr>
                <w:rFonts w:ascii="Arial" w:eastAsia="Arial" w:hAnsi="Arial" w:cs="Arial"/>
                <w:sz w:val="18"/>
              </w:rPr>
              <w:t xml:space="preserve"> </w:t>
            </w:r>
          </w:p>
          <w:p w:rsidR="004D6F0E" w:rsidRDefault="00490F21">
            <w:pPr>
              <w:spacing w:after="0" w:line="259" w:lineRule="auto"/>
              <w:ind w:left="1152" w:firstLine="0"/>
              <w:jc w:val="center"/>
            </w:pP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9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部分存續期對沖股份類別</w:t>
            </w:r>
            <w:r>
              <w:rPr>
                <w:rFonts w:ascii="Arial" w:eastAsia="Arial" w:hAnsi="Arial" w:cs="Arial"/>
                <w:sz w:val="18"/>
              </w:rPr>
              <w:t xml:space="preserve"> </w:t>
            </w:r>
          </w:p>
        </w:tc>
        <w:tc>
          <w:tcPr>
            <w:tcW w:w="128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4" w:type="dxa"/>
            <w:tcBorders>
              <w:top w:val="nil"/>
              <w:left w:val="nil"/>
              <w:bottom w:val="nil"/>
              <w:right w:val="nil"/>
            </w:tcBorders>
            <w:shd w:val="clear" w:color="auto" w:fill="D9D9D9"/>
          </w:tcPr>
          <w:p w:rsidR="004D6F0E" w:rsidRDefault="004D6F0E">
            <w:pPr>
              <w:spacing w:after="160" w:line="259" w:lineRule="auto"/>
              <w:ind w:left="0" w:firstLine="0"/>
            </w:pPr>
          </w:p>
        </w:tc>
        <w:tc>
          <w:tcPr>
            <w:tcW w:w="1531" w:type="dxa"/>
            <w:tcBorders>
              <w:top w:val="nil"/>
              <w:left w:val="nil"/>
              <w:bottom w:val="nil"/>
              <w:right w:val="nil"/>
            </w:tcBorders>
            <w:shd w:val="clear" w:color="auto" w:fill="D9D9D9"/>
          </w:tcPr>
          <w:p w:rsidR="004D6F0E" w:rsidRDefault="004D6F0E">
            <w:pPr>
              <w:spacing w:after="160" w:line="259" w:lineRule="auto"/>
              <w:ind w:left="0" w:firstLine="0"/>
            </w:pPr>
          </w:p>
        </w:tc>
        <w:tc>
          <w:tcPr>
            <w:tcW w:w="2114" w:type="dxa"/>
            <w:tcBorders>
              <w:top w:val="nil"/>
              <w:left w:val="nil"/>
              <w:bottom w:val="nil"/>
              <w:right w:val="nil"/>
            </w:tcBorders>
            <w:shd w:val="clear" w:color="auto" w:fill="D9D9D9"/>
          </w:tcPr>
          <w:p w:rsidR="004D6F0E" w:rsidRDefault="004D6F0E">
            <w:pPr>
              <w:spacing w:after="160" w:line="259" w:lineRule="auto"/>
              <w:ind w:left="0" w:firstLine="0"/>
            </w:pPr>
          </w:p>
        </w:tc>
        <w:tc>
          <w:tcPr>
            <w:tcW w:w="117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451" w:firstLine="0"/>
            </w:pPr>
            <w:r>
              <w:rPr>
                <w:sz w:val="18"/>
              </w:rPr>
              <w:t>不再發售</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451" w:firstLine="0"/>
            </w:pPr>
            <w:r>
              <w:rPr>
                <w:sz w:val="18"/>
              </w:rPr>
              <w:t>不再發售</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451" w:firstLine="0"/>
            </w:pPr>
            <w:r>
              <w:rPr>
                <w:sz w:val="18"/>
              </w:rPr>
              <w:t>不再發售</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6"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0" w:line="259" w:lineRule="auto"/>
              <w:ind w:left="451" w:firstLine="0"/>
            </w:pPr>
            <w:r>
              <w:rPr>
                <w:sz w:val="18"/>
              </w:rPr>
              <w:t>不再發售</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96" w:type="dxa"/>
            <w:gridSpan w:val="3"/>
            <w:tcBorders>
              <w:top w:val="nil"/>
              <w:left w:val="nil"/>
              <w:bottom w:val="nil"/>
              <w:right w:val="nil"/>
            </w:tcBorders>
          </w:tcPr>
          <w:p w:rsidR="004D6F0E" w:rsidRDefault="00490F21">
            <w:pPr>
              <w:spacing w:after="27"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DUR PH </w:t>
            </w:r>
            <w:r>
              <w:rPr>
                <w:sz w:val="18"/>
              </w:rPr>
              <w:t>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284" w:type="dxa"/>
            <w:gridSpan w:val="2"/>
            <w:tcBorders>
              <w:top w:val="nil"/>
              <w:left w:val="nil"/>
              <w:bottom w:val="nil"/>
              <w:right w:val="nil"/>
            </w:tcBorders>
          </w:tcPr>
          <w:p w:rsidR="004D6F0E" w:rsidRDefault="00490F21">
            <w:pPr>
              <w:spacing w:after="7"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7" w:line="259" w:lineRule="auto"/>
              <w:ind w:left="451" w:firstLine="0"/>
            </w:pPr>
            <w:r>
              <w:rPr>
                <w:sz w:val="18"/>
              </w:rPr>
              <w:t>不再發售</w:t>
            </w:r>
            <w:r>
              <w:rPr>
                <w:rFonts w:ascii="Arial" w:eastAsia="Arial" w:hAnsi="Arial" w:cs="Arial"/>
                <w:sz w:val="18"/>
              </w:rPr>
              <w:t xml:space="preserve"> </w:t>
            </w:r>
          </w:p>
          <w:p w:rsidR="004D6F0E" w:rsidRDefault="00490F21">
            <w:pPr>
              <w:spacing w:after="0" w:line="259" w:lineRule="auto"/>
              <w:ind w:left="0" w:right="168" w:firstLine="0"/>
              <w:jc w:val="right"/>
            </w:pP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7" w:line="259" w:lineRule="auto"/>
              <w:ind w:left="269" w:firstLine="0"/>
            </w:pPr>
            <w:r>
              <w:rPr>
                <w:sz w:val="18"/>
              </w:rPr>
              <w:t>無</w:t>
            </w:r>
            <w:r>
              <w:rPr>
                <w:rFonts w:ascii="Arial" w:eastAsia="Arial" w:hAnsi="Arial" w:cs="Arial"/>
                <w:sz w:val="18"/>
              </w:rPr>
              <w:t xml:space="preserve"> </w:t>
            </w:r>
          </w:p>
          <w:p w:rsidR="004D6F0E" w:rsidRDefault="00490F21">
            <w:pPr>
              <w:spacing w:after="0" w:line="259" w:lineRule="auto"/>
              <w:ind w:left="0" w:right="142" w:firstLine="0"/>
              <w:jc w:val="right"/>
            </w:pP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7" w:line="259" w:lineRule="auto"/>
              <w:ind w:left="437" w:firstLine="0"/>
            </w:pPr>
            <w:r>
              <w:rPr>
                <w:sz w:val="18"/>
              </w:rPr>
              <w:t>無</w:t>
            </w:r>
            <w:r>
              <w:rPr>
                <w:rFonts w:ascii="Arial" w:eastAsia="Arial" w:hAnsi="Arial" w:cs="Arial"/>
                <w:sz w:val="18"/>
              </w:rPr>
              <w:t xml:space="preserve"> </w:t>
            </w:r>
          </w:p>
          <w:p w:rsidR="004D6F0E" w:rsidRDefault="00490F21">
            <w:pPr>
              <w:spacing w:after="0" w:line="259" w:lineRule="auto"/>
              <w:ind w:left="1152" w:firstLine="0"/>
              <w:jc w:val="center"/>
            </w:pP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6"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日圓計價股份類別</w:t>
            </w:r>
            <w:r>
              <w:rPr>
                <w:rFonts w:ascii="Arial" w:eastAsia="Arial" w:hAnsi="Arial" w:cs="Arial"/>
                <w:sz w:val="18"/>
              </w:rPr>
              <w:t xml:space="preserve"> </w:t>
            </w:r>
          </w:p>
        </w:tc>
        <w:tc>
          <w:tcPr>
            <w:tcW w:w="128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4" w:type="dxa"/>
            <w:tcBorders>
              <w:top w:val="nil"/>
              <w:left w:val="nil"/>
              <w:bottom w:val="nil"/>
              <w:right w:val="nil"/>
            </w:tcBorders>
            <w:shd w:val="clear" w:color="auto" w:fill="D9D9D9"/>
          </w:tcPr>
          <w:p w:rsidR="004D6F0E" w:rsidRDefault="004D6F0E">
            <w:pPr>
              <w:spacing w:after="160" w:line="259" w:lineRule="auto"/>
              <w:ind w:left="0" w:firstLine="0"/>
            </w:pPr>
          </w:p>
        </w:tc>
        <w:tc>
          <w:tcPr>
            <w:tcW w:w="1531" w:type="dxa"/>
            <w:tcBorders>
              <w:top w:val="nil"/>
              <w:left w:val="nil"/>
              <w:bottom w:val="nil"/>
              <w:right w:val="nil"/>
            </w:tcBorders>
            <w:shd w:val="clear" w:color="auto" w:fill="D9D9D9"/>
          </w:tcPr>
          <w:p w:rsidR="004D6F0E" w:rsidRDefault="004D6F0E">
            <w:pPr>
              <w:spacing w:after="160" w:line="259" w:lineRule="auto"/>
              <w:ind w:left="0" w:firstLine="0"/>
            </w:pPr>
          </w:p>
        </w:tc>
        <w:tc>
          <w:tcPr>
            <w:tcW w:w="2114" w:type="dxa"/>
            <w:tcBorders>
              <w:top w:val="nil"/>
              <w:left w:val="nil"/>
              <w:bottom w:val="nil"/>
              <w:right w:val="nil"/>
            </w:tcBorders>
            <w:shd w:val="clear" w:color="auto" w:fill="D9D9D9"/>
          </w:tcPr>
          <w:p w:rsidR="004D6F0E" w:rsidRDefault="004D6F0E">
            <w:pPr>
              <w:spacing w:after="160" w:line="259" w:lineRule="auto"/>
              <w:ind w:left="0" w:firstLine="0"/>
            </w:pPr>
          </w:p>
        </w:tc>
        <w:tc>
          <w:tcPr>
            <w:tcW w:w="117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796" w:type="dxa"/>
            <w:gridSpan w:val="3"/>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84" w:type="dxa"/>
            <w:gridSpan w:val="2"/>
            <w:tcBorders>
              <w:top w:val="nil"/>
              <w:left w:val="nil"/>
              <w:bottom w:val="nil"/>
              <w:right w:val="nil"/>
            </w:tcBorders>
          </w:tcPr>
          <w:p w:rsidR="004D6F0E" w:rsidRDefault="00490F21">
            <w:pPr>
              <w:spacing w:after="10" w:line="259" w:lineRule="auto"/>
              <w:ind w:left="0" w:firstLine="0"/>
            </w:pPr>
            <w:r>
              <w:rPr>
                <w:sz w:val="18"/>
              </w:rPr>
              <w:t>日圓</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294" w:type="dxa"/>
            <w:tcBorders>
              <w:top w:val="nil"/>
              <w:left w:val="nil"/>
              <w:bottom w:val="nil"/>
              <w:right w:val="nil"/>
            </w:tcBorders>
          </w:tcPr>
          <w:p w:rsidR="004D6F0E" w:rsidRDefault="00490F21">
            <w:pPr>
              <w:spacing w:after="14" w:line="259" w:lineRule="auto"/>
              <w:ind w:left="38" w:firstLine="0"/>
            </w:pPr>
            <w:r>
              <w:rPr>
                <w:rFonts w:ascii="Arial" w:eastAsia="Arial" w:hAnsi="Arial" w:cs="Arial"/>
                <w:sz w:val="18"/>
              </w:rPr>
              <w:t xml:space="preserve">100,000,000 </w:t>
            </w:r>
            <w:r>
              <w:rPr>
                <w:sz w:val="18"/>
              </w:rPr>
              <w:t>日圓</w:t>
            </w:r>
            <w:r>
              <w:rPr>
                <w:rFonts w:ascii="Arial" w:eastAsia="Arial" w:hAnsi="Arial" w:cs="Arial"/>
                <w:sz w:val="18"/>
              </w:rPr>
              <w:t xml:space="preserve">** </w:t>
            </w:r>
          </w:p>
          <w:p w:rsidR="004D6F0E" w:rsidRDefault="00490F21">
            <w:pPr>
              <w:spacing w:after="0" w:line="259" w:lineRule="auto"/>
              <w:ind w:left="811" w:firstLine="0"/>
            </w:pP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9" w:line="259" w:lineRule="auto"/>
              <w:ind w:left="269"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9" w:line="259" w:lineRule="auto"/>
              <w:ind w:left="437"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17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796" w:type="dxa"/>
            <w:gridSpan w:val="3"/>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歐元計價股份類別</w:t>
            </w:r>
            <w:r>
              <w:rPr>
                <w:rFonts w:ascii="Arial" w:eastAsia="Arial" w:hAnsi="Arial" w:cs="Arial"/>
                <w:sz w:val="18"/>
              </w:rPr>
              <w:t xml:space="preserve"> </w:t>
            </w:r>
            <w:r>
              <w:rPr>
                <w:rFonts w:ascii="Arial" w:eastAsia="Arial" w:hAnsi="Arial" w:cs="Arial"/>
                <w:sz w:val="18"/>
              </w:rPr>
              <w:tab/>
              <w:t xml:space="preserve"> </w:t>
            </w:r>
          </w:p>
        </w:tc>
        <w:tc>
          <w:tcPr>
            <w:tcW w:w="1284" w:type="dxa"/>
            <w:gridSpan w:val="2"/>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294" w:type="dxa"/>
            <w:tcBorders>
              <w:top w:val="nil"/>
              <w:left w:val="nil"/>
              <w:bottom w:val="nil"/>
              <w:right w:val="nil"/>
            </w:tcBorders>
            <w:shd w:val="clear" w:color="auto" w:fill="D9D9D9"/>
          </w:tcPr>
          <w:p w:rsidR="004D6F0E" w:rsidRDefault="00490F21">
            <w:pPr>
              <w:spacing w:after="0" w:line="259" w:lineRule="auto"/>
              <w:ind w:left="0" w:right="168" w:firstLine="0"/>
              <w:jc w:val="right"/>
            </w:pPr>
            <w:r>
              <w:rPr>
                <w:rFonts w:ascii="Arial" w:eastAsia="Arial" w:hAnsi="Arial" w:cs="Arial"/>
                <w:sz w:val="18"/>
              </w:rPr>
              <w:t xml:space="preserve"> </w:t>
            </w:r>
          </w:p>
        </w:tc>
        <w:tc>
          <w:tcPr>
            <w:tcW w:w="1531" w:type="dxa"/>
            <w:tcBorders>
              <w:top w:val="nil"/>
              <w:left w:val="nil"/>
              <w:bottom w:val="nil"/>
              <w:right w:val="nil"/>
            </w:tcBorders>
            <w:shd w:val="clear" w:color="auto" w:fill="D9D9D9"/>
          </w:tcPr>
          <w:p w:rsidR="004D6F0E" w:rsidRDefault="00490F21">
            <w:pPr>
              <w:spacing w:after="0" w:line="259" w:lineRule="auto"/>
              <w:ind w:left="0" w:right="142" w:firstLine="0"/>
              <w:jc w:val="right"/>
            </w:pPr>
            <w:r>
              <w:rPr>
                <w:rFonts w:ascii="Arial" w:eastAsia="Arial" w:hAnsi="Arial" w:cs="Arial"/>
                <w:sz w:val="18"/>
              </w:rPr>
              <w:t xml:space="preserve"> </w:t>
            </w:r>
          </w:p>
        </w:tc>
        <w:tc>
          <w:tcPr>
            <w:tcW w:w="2114" w:type="dxa"/>
            <w:tcBorders>
              <w:top w:val="nil"/>
              <w:left w:val="nil"/>
              <w:bottom w:val="nil"/>
              <w:right w:val="nil"/>
            </w:tcBorders>
            <w:shd w:val="clear" w:color="auto" w:fill="D9D9D9"/>
          </w:tcPr>
          <w:p w:rsidR="004D6F0E" w:rsidRDefault="00490F21">
            <w:pPr>
              <w:spacing w:after="0" w:line="259" w:lineRule="auto"/>
              <w:ind w:left="1152" w:firstLine="0"/>
              <w:jc w:val="center"/>
            </w:pPr>
            <w:r>
              <w:rPr>
                <w:rFonts w:ascii="Arial" w:eastAsia="Arial" w:hAnsi="Arial" w:cs="Arial"/>
                <w:sz w:val="18"/>
              </w:rPr>
              <w:t xml:space="preserve"> </w:t>
            </w:r>
          </w:p>
        </w:tc>
        <w:tc>
          <w:tcPr>
            <w:tcW w:w="117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Before w:val="1"/>
          <w:gridAfter w:val="1"/>
          <w:wBefore w:w="115" w:type="dxa"/>
          <w:wAfter w:w="617" w:type="dxa"/>
          <w:trHeight w:val="212"/>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AR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17" w:type="dxa"/>
          <w:trHeight w:val="235"/>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17" w:type="dxa"/>
          <w:trHeight w:val="233"/>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17" w:type="dxa"/>
          <w:trHeight w:val="235"/>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17" w:type="dxa"/>
          <w:trHeight w:val="234"/>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17" w:type="dxa"/>
          <w:trHeight w:val="234"/>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274"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617" w:type="dxa"/>
          <w:trHeight w:val="241"/>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269" w:firstLine="0"/>
            </w:pPr>
            <w:r>
              <w:rPr>
                <w:sz w:val="18"/>
              </w:rPr>
              <w:t>無</w:t>
            </w: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0.01% </w:t>
            </w:r>
          </w:p>
        </w:tc>
      </w:tr>
      <w:tr w:rsidR="004D6F0E">
        <w:tblPrEx>
          <w:tblCellMar>
            <w:top w:w="2" w:type="dxa"/>
            <w:right w:w="0" w:type="dxa"/>
          </w:tblCellMar>
        </w:tblPrEx>
        <w:trPr>
          <w:gridBefore w:val="1"/>
          <w:gridAfter w:val="1"/>
          <w:wBefore w:w="115" w:type="dxa"/>
          <w:wAfter w:w="617" w:type="dxa"/>
          <w:trHeight w:val="195"/>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327" w:type="dxa"/>
            <w:gridSpan w:val="2"/>
            <w:tcBorders>
              <w:top w:val="nil"/>
              <w:left w:val="nil"/>
              <w:bottom w:val="nil"/>
              <w:right w:val="nil"/>
            </w:tcBorders>
          </w:tcPr>
          <w:p w:rsidR="004D6F0E" w:rsidRDefault="00490F21">
            <w:pPr>
              <w:spacing w:after="0" w:line="259" w:lineRule="auto"/>
              <w:ind w:left="360" w:firstLine="0"/>
            </w:pPr>
            <w:r>
              <w:rPr>
                <w:rFonts w:ascii="Arial" w:eastAsia="Arial" w:hAnsi="Arial" w:cs="Arial"/>
                <w:sz w:val="18"/>
              </w:rPr>
              <w:t xml:space="preserve"> </w:t>
            </w:r>
          </w:p>
        </w:tc>
        <w:tc>
          <w:tcPr>
            <w:tcW w:w="2431" w:type="dxa"/>
            <w:gridSpan w:val="2"/>
            <w:tcBorders>
              <w:top w:val="nil"/>
              <w:left w:val="nil"/>
              <w:bottom w:val="nil"/>
              <w:right w:val="nil"/>
            </w:tcBorders>
          </w:tcPr>
          <w:p w:rsidR="004D6F0E" w:rsidRDefault="00490F21">
            <w:pPr>
              <w:spacing w:after="0" w:line="259" w:lineRule="auto"/>
              <w:ind w:left="948" w:firstLine="0"/>
            </w:pPr>
            <w:r>
              <w:rPr>
                <w:rFonts w:ascii="Arial" w:eastAsia="Arial" w:hAnsi="Arial" w:cs="Arial"/>
                <w:sz w:val="18"/>
              </w:rPr>
              <w:t xml:space="preserve"> </w:t>
            </w:r>
          </w:p>
        </w:tc>
        <w:tc>
          <w:tcPr>
            <w:tcW w:w="1531" w:type="dxa"/>
            <w:tcBorders>
              <w:top w:val="nil"/>
              <w:left w:val="nil"/>
              <w:bottom w:val="nil"/>
              <w:right w:val="nil"/>
            </w:tcBorders>
          </w:tcPr>
          <w:p w:rsidR="004D6F0E" w:rsidRDefault="00490F21">
            <w:pPr>
              <w:spacing w:after="0" w:line="259" w:lineRule="auto"/>
              <w:ind w:left="360" w:firstLine="0"/>
            </w:pPr>
            <w:r>
              <w:rPr>
                <w:rFonts w:ascii="Arial" w:eastAsia="Arial" w:hAnsi="Arial" w:cs="Arial"/>
                <w:sz w:val="18"/>
              </w:rPr>
              <w:t xml:space="preserve"> </w:t>
            </w:r>
          </w:p>
        </w:tc>
        <w:tc>
          <w:tcPr>
            <w:tcW w:w="2114" w:type="dxa"/>
            <w:tcBorders>
              <w:top w:val="nil"/>
              <w:left w:val="nil"/>
              <w:bottom w:val="nil"/>
              <w:right w:val="nil"/>
            </w:tcBorders>
          </w:tcPr>
          <w:p w:rsidR="004D6F0E" w:rsidRDefault="00490F21">
            <w:pPr>
              <w:spacing w:after="0" w:line="259" w:lineRule="auto"/>
              <w:ind w:left="528" w:firstLine="0"/>
            </w:pP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2" w:firstLine="0"/>
              <w:jc w:val="center"/>
            </w:pPr>
            <w:r>
              <w:rPr>
                <w:rFonts w:ascii="Arial" w:eastAsia="Arial" w:hAnsi="Arial" w:cs="Arial"/>
                <w:sz w:val="18"/>
              </w:rPr>
              <w:t xml:space="preserve"> </w:t>
            </w:r>
          </w:p>
        </w:tc>
      </w:tr>
    </w:tbl>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bl>
      <w:tblPr>
        <w:tblStyle w:val="TableGrid"/>
        <w:tblW w:w="11198" w:type="dxa"/>
        <w:tblInd w:w="0" w:type="dxa"/>
        <w:tblCellMar>
          <w:top w:w="20" w:type="dxa"/>
          <w:left w:w="0" w:type="dxa"/>
          <w:bottom w:w="0" w:type="dxa"/>
          <w:right w:w="44" w:type="dxa"/>
        </w:tblCellMar>
        <w:tblLook w:val="04A0" w:firstRow="1" w:lastRow="0" w:firstColumn="1" w:lastColumn="0" w:noHBand="0" w:noVBand="1"/>
      </w:tblPr>
      <w:tblGrid>
        <w:gridCol w:w="114"/>
        <w:gridCol w:w="2501"/>
        <w:gridCol w:w="1327"/>
        <w:gridCol w:w="94"/>
        <w:gridCol w:w="2032"/>
        <w:gridCol w:w="128"/>
        <w:gridCol w:w="2289"/>
        <w:gridCol w:w="1606"/>
        <w:gridCol w:w="561"/>
        <w:gridCol w:w="546"/>
      </w:tblGrid>
      <w:tr w:rsidR="004D6F0E">
        <w:trPr>
          <w:trHeight w:val="233"/>
        </w:trPr>
        <w:tc>
          <w:tcPr>
            <w:tcW w:w="2616"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421"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2160" w:type="dxa"/>
            <w:gridSpan w:val="2"/>
            <w:tcBorders>
              <w:top w:val="nil"/>
              <w:left w:val="nil"/>
              <w:bottom w:val="nil"/>
              <w:right w:val="nil"/>
            </w:tcBorders>
            <w:shd w:val="clear" w:color="auto" w:fill="D9D9D9"/>
          </w:tcPr>
          <w:p w:rsidR="004D6F0E" w:rsidRDefault="00490F21">
            <w:pPr>
              <w:spacing w:after="0" w:line="259" w:lineRule="auto"/>
              <w:ind w:left="854" w:firstLine="0"/>
            </w:pPr>
            <w:r>
              <w:rPr>
                <w:rFonts w:ascii="Arial" w:eastAsia="Arial" w:hAnsi="Arial" w:cs="Arial"/>
                <w:sz w:val="18"/>
              </w:rPr>
              <w:t xml:space="preserve"> </w:t>
            </w:r>
          </w:p>
        </w:tc>
        <w:tc>
          <w:tcPr>
            <w:tcW w:w="2290" w:type="dxa"/>
            <w:tcBorders>
              <w:top w:val="nil"/>
              <w:left w:val="nil"/>
              <w:bottom w:val="nil"/>
              <w:right w:val="nil"/>
            </w:tcBorders>
            <w:shd w:val="clear" w:color="auto" w:fill="D9D9D9"/>
          </w:tcPr>
          <w:p w:rsidR="004D6F0E" w:rsidRDefault="00490F21">
            <w:pPr>
              <w:spacing w:after="0" w:line="259" w:lineRule="auto"/>
              <w:ind w:left="607" w:firstLine="0"/>
            </w:pPr>
            <w:r>
              <w:rPr>
                <w:rFonts w:ascii="Arial" w:eastAsia="Arial" w:hAnsi="Arial" w:cs="Arial"/>
                <w:sz w:val="18"/>
              </w:rPr>
              <w:t xml:space="preserve"> </w:t>
            </w:r>
          </w:p>
        </w:tc>
        <w:tc>
          <w:tcPr>
            <w:tcW w:w="1606" w:type="dxa"/>
            <w:tcBorders>
              <w:top w:val="nil"/>
              <w:left w:val="nil"/>
              <w:bottom w:val="nil"/>
              <w:right w:val="nil"/>
            </w:tcBorders>
            <w:shd w:val="clear" w:color="auto" w:fill="D9D9D9"/>
          </w:tcPr>
          <w:p w:rsidR="004D6F0E" w:rsidRDefault="00490F21">
            <w:pPr>
              <w:spacing w:after="0" w:line="259" w:lineRule="auto"/>
              <w:ind w:left="91" w:firstLine="0"/>
            </w:pPr>
            <w:r>
              <w:rPr>
                <w:rFonts w:ascii="Arial" w:eastAsia="Arial" w:hAnsi="Arial" w:cs="Arial"/>
                <w:sz w:val="18"/>
              </w:rPr>
              <w:t xml:space="preserve"> </w:t>
            </w:r>
          </w:p>
        </w:tc>
        <w:tc>
          <w:tcPr>
            <w:tcW w:w="1106"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41"/>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377"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377"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377"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8,000,000 </w:t>
            </w:r>
            <w:r>
              <w:rPr>
                <w:sz w:val="18"/>
              </w:rPr>
              <w:t>港元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IT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8,000,000 </w:t>
            </w:r>
            <w:r>
              <w:rPr>
                <w:sz w:val="18"/>
              </w:rPr>
              <w:t>港元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6"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WT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9" w:line="259" w:lineRule="auto"/>
              <w:ind w:left="180" w:firstLine="0"/>
            </w:pPr>
            <w:r>
              <w:rPr>
                <w:sz w:val="18"/>
              </w:rPr>
              <w:t>港元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t xml:space="preserve">8,000,000 </w:t>
            </w:r>
            <w:r>
              <w:rPr>
                <w:sz w:val="18"/>
              </w:rPr>
              <w:t>港元</w:t>
            </w:r>
            <w:r>
              <w:rPr>
                <w:rFonts w:ascii="Arial" w:eastAsia="Arial" w:hAnsi="Arial" w:cs="Arial"/>
                <w:sz w:val="18"/>
              </w:rPr>
              <w:t xml:space="preserve">** </w:t>
            </w:r>
          </w:p>
          <w:p w:rsidR="004D6F0E" w:rsidRDefault="00490F21">
            <w:pPr>
              <w:spacing w:after="0" w:line="259" w:lineRule="auto"/>
              <w:ind w:left="854" w:firstLine="0"/>
            </w:pP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616"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1421" w:type="dxa"/>
            <w:gridSpan w:val="2"/>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2160" w:type="dxa"/>
            <w:gridSpan w:val="2"/>
            <w:tcBorders>
              <w:top w:val="nil"/>
              <w:left w:val="nil"/>
              <w:bottom w:val="nil"/>
              <w:right w:val="nil"/>
            </w:tcBorders>
            <w:shd w:val="clear" w:color="auto" w:fill="D9D9D9"/>
          </w:tcPr>
          <w:p w:rsidR="004D6F0E" w:rsidRDefault="00490F21">
            <w:pPr>
              <w:spacing w:after="0" w:line="259" w:lineRule="auto"/>
              <w:ind w:left="854" w:firstLine="0"/>
            </w:pPr>
            <w:r>
              <w:rPr>
                <w:rFonts w:ascii="Arial" w:eastAsia="Arial" w:hAnsi="Arial" w:cs="Arial"/>
                <w:sz w:val="18"/>
              </w:rPr>
              <w:t xml:space="preserve"> </w:t>
            </w:r>
          </w:p>
        </w:tc>
        <w:tc>
          <w:tcPr>
            <w:tcW w:w="2290" w:type="dxa"/>
            <w:tcBorders>
              <w:top w:val="nil"/>
              <w:left w:val="nil"/>
              <w:bottom w:val="nil"/>
              <w:right w:val="nil"/>
            </w:tcBorders>
            <w:shd w:val="clear" w:color="auto" w:fill="D9D9D9"/>
          </w:tcPr>
          <w:p w:rsidR="004D6F0E" w:rsidRDefault="00490F21">
            <w:pPr>
              <w:spacing w:after="0" w:line="259" w:lineRule="auto"/>
              <w:ind w:left="607" w:firstLine="0"/>
            </w:pPr>
            <w:r>
              <w:rPr>
                <w:rFonts w:ascii="Arial" w:eastAsia="Arial" w:hAnsi="Arial" w:cs="Arial"/>
                <w:sz w:val="18"/>
              </w:rPr>
              <w:t xml:space="preserve"> </w:t>
            </w:r>
          </w:p>
        </w:tc>
        <w:tc>
          <w:tcPr>
            <w:tcW w:w="1606" w:type="dxa"/>
            <w:tcBorders>
              <w:top w:val="nil"/>
              <w:left w:val="nil"/>
              <w:bottom w:val="nil"/>
              <w:right w:val="nil"/>
            </w:tcBorders>
            <w:shd w:val="clear" w:color="auto" w:fill="D9D9D9"/>
          </w:tcPr>
          <w:p w:rsidR="004D6F0E" w:rsidRDefault="00490F21">
            <w:pPr>
              <w:spacing w:after="0" w:line="259" w:lineRule="auto"/>
              <w:ind w:left="91" w:firstLine="0"/>
            </w:pPr>
            <w:r>
              <w:rPr>
                <w:rFonts w:ascii="Arial" w:eastAsia="Arial" w:hAnsi="Arial" w:cs="Arial"/>
                <w:sz w:val="18"/>
              </w:rPr>
              <w:t xml:space="preserve"> </w:t>
            </w:r>
          </w:p>
        </w:tc>
        <w:tc>
          <w:tcPr>
            <w:tcW w:w="1106"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9"/>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6" w:type="dxa"/>
            <w:gridSpan w:val="2"/>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gridSpan w:val="2"/>
            <w:tcBorders>
              <w:top w:val="nil"/>
              <w:left w:val="nil"/>
              <w:bottom w:val="nil"/>
              <w:right w:val="nil"/>
            </w:tcBorders>
          </w:tcPr>
          <w:p w:rsidR="004D6F0E" w:rsidRDefault="00490F21">
            <w:pPr>
              <w:spacing w:after="10"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0" w:right="34" w:firstLine="0"/>
              <w:jc w:val="right"/>
            </w:pP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953" w:firstLine="0"/>
              <w:jc w:val="center"/>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739" w:firstLine="0"/>
              <w:jc w:val="center"/>
            </w:pP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sz w:val="18"/>
              </w:rPr>
              <w:t xml:space="preserve"> </w:t>
            </w:r>
          </w:p>
        </w:tc>
        <w:tc>
          <w:tcPr>
            <w:tcW w:w="142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0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63"/>
        </w:trPr>
        <w:tc>
          <w:tcPr>
            <w:tcW w:w="2616" w:type="dxa"/>
            <w:gridSpan w:val="2"/>
            <w:tcBorders>
              <w:top w:val="nil"/>
              <w:left w:val="nil"/>
              <w:bottom w:val="nil"/>
              <w:right w:val="nil"/>
            </w:tcBorders>
          </w:tcPr>
          <w:p w:rsidR="004D6F0E" w:rsidRDefault="00490F21">
            <w:pPr>
              <w:spacing w:after="23"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澳元和</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vAlign w:val="center"/>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vAlign w:val="center"/>
          </w:tcPr>
          <w:p w:rsidR="004D6F0E" w:rsidRDefault="00490F21">
            <w:pPr>
              <w:spacing w:after="0"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2290" w:type="dxa"/>
            <w:tcBorders>
              <w:top w:val="nil"/>
              <w:left w:val="nil"/>
              <w:bottom w:val="nil"/>
              <w:right w:val="nil"/>
            </w:tcBorders>
            <w:vAlign w:val="center"/>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0"/>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L2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57" w:firstLine="0"/>
            </w:pPr>
            <w:r>
              <w:rPr>
                <w:rFonts w:ascii="Arial" w:eastAsia="Arial" w:hAnsi="Arial" w:cs="Arial"/>
                <w:sz w:val="18"/>
              </w:rPr>
              <w:t xml:space="preserve">500,000 </w:t>
            </w:r>
            <w:r>
              <w:rPr>
                <w:sz w:val="18"/>
              </w:rPr>
              <w:t>澳元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LT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57" w:firstLine="0"/>
            </w:pPr>
            <w:r>
              <w:rPr>
                <w:rFonts w:ascii="Arial" w:eastAsia="Arial" w:hAnsi="Arial" w:cs="Arial"/>
                <w:sz w:val="18"/>
              </w:rPr>
              <w:t xml:space="preserve">500,000 </w:t>
            </w:r>
            <w:r>
              <w:rPr>
                <w:sz w:val="18"/>
              </w:rPr>
              <w:t>澳元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6" w:type="dxa"/>
            <w:gridSpan w:val="2"/>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gridSpan w:val="2"/>
            <w:tcBorders>
              <w:top w:val="nil"/>
              <w:left w:val="nil"/>
              <w:bottom w:val="nil"/>
              <w:right w:val="nil"/>
            </w:tcBorders>
          </w:tcPr>
          <w:p w:rsidR="004D6F0E" w:rsidRDefault="00490F21">
            <w:pPr>
              <w:spacing w:after="10" w:line="259" w:lineRule="auto"/>
              <w:ind w:left="180" w:firstLine="0"/>
            </w:pPr>
            <w:r>
              <w:rPr>
                <w:sz w:val="18"/>
              </w:rPr>
              <w:t>澳元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p w:rsidR="004D6F0E" w:rsidRDefault="00490F21">
            <w:pPr>
              <w:spacing w:after="0" w:line="259" w:lineRule="auto"/>
              <w:ind w:left="0" w:right="34" w:firstLine="0"/>
              <w:jc w:val="right"/>
            </w:pP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953" w:firstLine="0"/>
              <w:jc w:val="center"/>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739" w:firstLine="0"/>
              <w:jc w:val="center"/>
            </w:pP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歐元對沖股份類別</w:t>
            </w:r>
            <w:r>
              <w:rPr>
                <w:rFonts w:ascii="Arial" w:eastAsia="Arial" w:hAnsi="Arial" w:cs="Arial"/>
                <w:sz w:val="18"/>
              </w:rPr>
              <w:t xml:space="preserve"> </w:t>
            </w:r>
          </w:p>
        </w:tc>
        <w:tc>
          <w:tcPr>
            <w:tcW w:w="142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0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CK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427"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6"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lastRenderedPageBreak/>
              <w:t xml:space="preserve"> </w:t>
            </w:r>
          </w:p>
        </w:tc>
        <w:tc>
          <w:tcPr>
            <w:tcW w:w="1421" w:type="dxa"/>
            <w:gridSpan w:val="2"/>
            <w:tcBorders>
              <w:top w:val="nil"/>
              <w:left w:val="nil"/>
              <w:bottom w:val="nil"/>
              <w:right w:val="nil"/>
            </w:tcBorders>
          </w:tcPr>
          <w:p w:rsidR="004D6F0E" w:rsidRDefault="00490F21">
            <w:pPr>
              <w:spacing w:after="10" w:line="259" w:lineRule="auto"/>
              <w:ind w:left="180" w:firstLine="0"/>
            </w:pPr>
            <w:r>
              <w:rPr>
                <w:sz w:val="18"/>
              </w:rPr>
              <w:lastRenderedPageBreak/>
              <w:t>歐元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lastRenderedPageBreak/>
              <w:t xml:space="preserve"> </w:t>
            </w:r>
          </w:p>
        </w:tc>
        <w:tc>
          <w:tcPr>
            <w:tcW w:w="2160" w:type="dxa"/>
            <w:gridSpan w:val="2"/>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lastRenderedPageBreak/>
              <w:t xml:space="preserve">1,000,000 </w:t>
            </w:r>
            <w:r>
              <w:rPr>
                <w:sz w:val="18"/>
              </w:rPr>
              <w:t>歐元</w:t>
            </w:r>
            <w:r>
              <w:rPr>
                <w:rFonts w:ascii="Arial" w:eastAsia="Arial" w:hAnsi="Arial" w:cs="Arial"/>
                <w:sz w:val="18"/>
              </w:rPr>
              <w:t xml:space="preserve">** </w:t>
            </w:r>
          </w:p>
          <w:p w:rsidR="004D6F0E" w:rsidRDefault="00490F21">
            <w:pPr>
              <w:spacing w:after="0" w:line="259" w:lineRule="auto"/>
              <w:ind w:left="854" w:firstLine="0"/>
            </w:pPr>
            <w:r>
              <w:rPr>
                <w:rFonts w:ascii="Arial" w:eastAsia="Arial" w:hAnsi="Arial" w:cs="Arial"/>
                <w:sz w:val="18"/>
              </w:rPr>
              <w:lastRenderedPageBreak/>
              <w:t xml:space="preserve"> </w:t>
            </w:r>
          </w:p>
        </w:tc>
        <w:tc>
          <w:tcPr>
            <w:tcW w:w="2290" w:type="dxa"/>
            <w:tcBorders>
              <w:top w:val="nil"/>
              <w:left w:val="nil"/>
              <w:bottom w:val="nil"/>
              <w:right w:val="nil"/>
            </w:tcBorders>
          </w:tcPr>
          <w:p w:rsidR="004D6F0E" w:rsidRDefault="00490F21">
            <w:pPr>
              <w:spacing w:after="9" w:line="259" w:lineRule="auto"/>
              <w:ind w:left="518"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lastRenderedPageBreak/>
              <w:t xml:space="preserve"> </w:t>
            </w:r>
          </w:p>
        </w:tc>
        <w:tc>
          <w:tcPr>
            <w:tcW w:w="1606" w:type="dxa"/>
            <w:tcBorders>
              <w:top w:val="nil"/>
              <w:left w:val="nil"/>
              <w:bottom w:val="nil"/>
              <w:right w:val="nil"/>
            </w:tcBorders>
          </w:tcPr>
          <w:p w:rsidR="004D6F0E" w:rsidRDefault="00490F21">
            <w:pPr>
              <w:spacing w:after="9" w:line="259" w:lineRule="auto"/>
              <w:ind w:left="0"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lastRenderedPageBreak/>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616"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新加坡元對沖股份類別</w:t>
            </w:r>
            <w:r>
              <w:rPr>
                <w:rFonts w:ascii="Arial" w:eastAsia="Arial" w:hAnsi="Arial" w:cs="Arial"/>
                <w:sz w:val="18"/>
              </w:rPr>
              <w:t xml:space="preserve"> </w:t>
            </w:r>
          </w:p>
        </w:tc>
        <w:tc>
          <w:tcPr>
            <w:tcW w:w="142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0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40"/>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247"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L2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46" w:firstLine="0"/>
            </w:pPr>
            <w:r>
              <w:rPr>
                <w:rFonts w:ascii="Arial" w:eastAsia="Arial" w:hAnsi="Arial" w:cs="Arial"/>
                <w:sz w:val="18"/>
              </w:rPr>
              <w:t xml:space="preserve">750,000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6"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LT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0" w:line="259" w:lineRule="auto"/>
              <w:ind w:left="146" w:firstLine="0"/>
            </w:pPr>
            <w:r>
              <w:rPr>
                <w:rFonts w:ascii="Arial" w:eastAsia="Arial" w:hAnsi="Arial" w:cs="Arial"/>
                <w:sz w:val="18"/>
              </w:rPr>
              <w:t xml:space="preserve">750,000 </w:t>
            </w:r>
            <w:r>
              <w:rPr>
                <w:sz w:val="18"/>
              </w:rPr>
              <w:t>新加坡元</w:t>
            </w: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6" w:type="dxa"/>
            <w:gridSpan w:val="2"/>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21" w:type="dxa"/>
            <w:gridSpan w:val="2"/>
            <w:tcBorders>
              <w:top w:val="nil"/>
              <w:left w:val="nil"/>
              <w:bottom w:val="nil"/>
              <w:right w:val="nil"/>
            </w:tcBorders>
          </w:tcPr>
          <w:p w:rsidR="004D6F0E" w:rsidRDefault="00490F21">
            <w:pPr>
              <w:spacing w:after="10"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60" w:type="dxa"/>
            <w:gridSpan w:val="2"/>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854" w:firstLine="0"/>
            </w:pPr>
            <w:r>
              <w:rPr>
                <w:rFonts w:ascii="Arial" w:eastAsia="Arial" w:hAnsi="Arial" w:cs="Arial"/>
                <w:sz w:val="18"/>
              </w:rPr>
              <w:t xml:space="preserve"> </w:t>
            </w:r>
          </w:p>
        </w:tc>
        <w:tc>
          <w:tcPr>
            <w:tcW w:w="2290" w:type="dxa"/>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616" w:type="dxa"/>
            <w:gridSpan w:val="2"/>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sz w:val="18"/>
              </w:rPr>
              <w:t xml:space="preserve"> </w:t>
            </w:r>
          </w:p>
        </w:tc>
        <w:tc>
          <w:tcPr>
            <w:tcW w:w="1421"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9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0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Before w:val="1"/>
          <w:gridAfter w:val="1"/>
          <w:wBefore w:w="115" w:type="dxa"/>
          <w:wAfter w:w="546" w:type="dxa"/>
          <w:trHeight w:val="212"/>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327"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26"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2417" w:type="dxa"/>
            <w:gridSpan w:val="2"/>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546" w:type="dxa"/>
          <w:trHeight w:val="235"/>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327"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26" w:type="dxa"/>
            <w:gridSpan w:val="2"/>
            <w:tcBorders>
              <w:top w:val="nil"/>
              <w:left w:val="nil"/>
              <w:bottom w:val="nil"/>
              <w:right w:val="nil"/>
            </w:tcBorders>
          </w:tcPr>
          <w:p w:rsidR="004D6F0E" w:rsidRDefault="00490F21">
            <w:pPr>
              <w:spacing w:after="0" w:line="259" w:lineRule="auto"/>
              <w:ind w:left="521"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2417" w:type="dxa"/>
            <w:gridSpan w:val="2"/>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546" w:type="dxa"/>
          <w:trHeight w:val="233"/>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327"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26" w:type="dxa"/>
            <w:gridSpan w:val="2"/>
            <w:tcBorders>
              <w:top w:val="nil"/>
              <w:left w:val="nil"/>
              <w:bottom w:val="nil"/>
              <w:right w:val="nil"/>
            </w:tcBorders>
          </w:tcPr>
          <w:p w:rsidR="004D6F0E" w:rsidRDefault="00490F21">
            <w:pPr>
              <w:spacing w:after="0" w:line="259" w:lineRule="auto"/>
              <w:ind w:left="274" w:firstLine="0"/>
            </w:pPr>
            <w:r>
              <w:rPr>
                <w:rFonts w:ascii="Arial" w:eastAsia="Arial" w:hAnsi="Arial" w:cs="Arial"/>
                <w:sz w:val="18"/>
              </w:rPr>
              <w:t xml:space="preserve">1,000,000 </w:t>
            </w:r>
            <w:r>
              <w:rPr>
                <w:sz w:val="18"/>
              </w:rPr>
              <w:t>加元</w:t>
            </w:r>
            <w:r>
              <w:rPr>
                <w:rFonts w:ascii="Arial" w:eastAsia="Arial" w:hAnsi="Arial" w:cs="Arial"/>
                <w:sz w:val="18"/>
              </w:rPr>
              <w:t xml:space="preserve">** </w:t>
            </w:r>
          </w:p>
        </w:tc>
        <w:tc>
          <w:tcPr>
            <w:tcW w:w="2417"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546" w:type="dxa"/>
          <w:trHeight w:val="235"/>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L2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327"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26" w:type="dxa"/>
            <w:gridSpan w:val="2"/>
            <w:tcBorders>
              <w:top w:val="nil"/>
              <w:left w:val="nil"/>
              <w:bottom w:val="nil"/>
              <w:right w:val="nil"/>
            </w:tcBorders>
          </w:tcPr>
          <w:p w:rsidR="004D6F0E" w:rsidRDefault="00490F21">
            <w:pPr>
              <w:spacing w:after="0" w:line="259" w:lineRule="auto"/>
              <w:ind w:left="350" w:firstLine="0"/>
            </w:pPr>
            <w:r>
              <w:rPr>
                <w:rFonts w:ascii="Arial" w:eastAsia="Arial" w:hAnsi="Arial" w:cs="Arial"/>
                <w:sz w:val="18"/>
              </w:rPr>
              <w:t xml:space="preserve">500,000 </w:t>
            </w:r>
            <w:r>
              <w:rPr>
                <w:sz w:val="18"/>
              </w:rPr>
              <w:t>加元</w:t>
            </w:r>
            <w:r>
              <w:rPr>
                <w:rFonts w:ascii="Arial" w:eastAsia="Arial" w:hAnsi="Arial" w:cs="Arial"/>
                <w:sz w:val="18"/>
              </w:rPr>
              <w:t xml:space="preserve">** </w:t>
            </w:r>
          </w:p>
        </w:tc>
        <w:tc>
          <w:tcPr>
            <w:tcW w:w="2417"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546" w:type="dxa"/>
          <w:trHeight w:val="239"/>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LT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327"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26" w:type="dxa"/>
            <w:gridSpan w:val="2"/>
            <w:tcBorders>
              <w:top w:val="nil"/>
              <w:left w:val="nil"/>
              <w:bottom w:val="nil"/>
              <w:right w:val="nil"/>
            </w:tcBorders>
          </w:tcPr>
          <w:p w:rsidR="004D6F0E" w:rsidRDefault="00490F21">
            <w:pPr>
              <w:spacing w:after="0" w:line="259" w:lineRule="auto"/>
              <w:ind w:left="350" w:firstLine="0"/>
            </w:pPr>
            <w:r>
              <w:rPr>
                <w:rFonts w:ascii="Arial" w:eastAsia="Arial" w:hAnsi="Arial" w:cs="Arial"/>
                <w:sz w:val="18"/>
              </w:rPr>
              <w:t xml:space="preserve">500,000 </w:t>
            </w:r>
            <w:r>
              <w:rPr>
                <w:sz w:val="18"/>
              </w:rPr>
              <w:t>加元</w:t>
            </w:r>
            <w:r>
              <w:rPr>
                <w:rFonts w:ascii="Arial" w:eastAsia="Arial" w:hAnsi="Arial" w:cs="Arial"/>
                <w:sz w:val="18"/>
              </w:rPr>
              <w:t xml:space="preserve">** </w:t>
            </w:r>
          </w:p>
        </w:tc>
        <w:tc>
          <w:tcPr>
            <w:tcW w:w="2417"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546" w:type="dxa"/>
          <w:trHeight w:val="208"/>
        </w:trPr>
        <w:tc>
          <w:tcPr>
            <w:tcW w:w="250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327" w:type="dxa"/>
            <w:tcBorders>
              <w:top w:val="nil"/>
              <w:left w:val="nil"/>
              <w:bottom w:val="nil"/>
              <w:right w:val="nil"/>
            </w:tcBorders>
          </w:tcPr>
          <w:p w:rsidR="004D6F0E" w:rsidRDefault="00490F21">
            <w:pPr>
              <w:spacing w:after="0" w:line="259" w:lineRule="auto"/>
              <w:ind w:left="360" w:firstLine="0"/>
            </w:pPr>
            <w:r>
              <w:rPr>
                <w:rFonts w:ascii="Arial" w:eastAsia="Arial" w:hAnsi="Arial" w:cs="Arial"/>
                <w:sz w:val="18"/>
              </w:rPr>
              <w:t xml:space="preserve"> </w:t>
            </w:r>
          </w:p>
        </w:tc>
        <w:tc>
          <w:tcPr>
            <w:tcW w:w="2126" w:type="dxa"/>
            <w:gridSpan w:val="2"/>
            <w:tcBorders>
              <w:top w:val="nil"/>
              <w:left w:val="nil"/>
              <w:bottom w:val="nil"/>
              <w:right w:val="nil"/>
            </w:tcBorders>
          </w:tcPr>
          <w:p w:rsidR="004D6F0E" w:rsidRDefault="00490F21">
            <w:pPr>
              <w:spacing w:after="0" w:line="259" w:lineRule="auto"/>
              <w:ind w:left="0" w:right="180" w:firstLine="0"/>
              <w:jc w:val="center"/>
            </w:pPr>
            <w:r>
              <w:rPr>
                <w:rFonts w:ascii="Arial" w:eastAsia="Arial" w:hAnsi="Arial" w:cs="Arial"/>
                <w:sz w:val="18"/>
              </w:rPr>
              <w:t xml:space="preserve"> </w:t>
            </w:r>
          </w:p>
        </w:tc>
        <w:tc>
          <w:tcPr>
            <w:tcW w:w="2417" w:type="dxa"/>
            <w:gridSpan w:val="2"/>
            <w:tcBorders>
              <w:top w:val="nil"/>
              <w:left w:val="nil"/>
              <w:bottom w:val="nil"/>
              <w:right w:val="nil"/>
            </w:tcBorders>
          </w:tcPr>
          <w:p w:rsidR="004D6F0E" w:rsidRDefault="00490F21">
            <w:pPr>
              <w:spacing w:after="0" w:line="259" w:lineRule="auto"/>
              <w:ind w:left="734" w:firstLine="0"/>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91" w:firstLine="0"/>
            </w:pP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0" w:line="259" w:lineRule="auto"/>
              <w:ind w:left="0" w:right="2" w:firstLine="0"/>
              <w:jc w:val="center"/>
            </w:pPr>
            <w:r>
              <w:rPr>
                <w:rFonts w:ascii="Arial" w:eastAsia="Arial" w:hAnsi="Arial" w:cs="Arial"/>
                <w:sz w:val="18"/>
              </w:rPr>
              <w:t xml:space="preserve"> </w:t>
            </w:r>
          </w:p>
        </w:tc>
      </w:tr>
    </w:tbl>
    <w:p w:rsidR="004D6F0E" w:rsidRDefault="00490F21">
      <w:pPr>
        <w:spacing w:after="0" w:line="259" w:lineRule="auto"/>
        <w:ind w:left="115" w:firstLine="0"/>
      </w:pPr>
      <w:r>
        <w:rPr>
          <w:rFonts w:ascii="Arial" w:eastAsia="Arial" w:hAnsi="Arial" w:cs="Arial"/>
          <w:sz w:val="18"/>
        </w:rPr>
        <w:t xml:space="preserve"> </w:t>
      </w:r>
    </w:p>
    <w:tbl>
      <w:tblPr>
        <w:tblStyle w:val="TableGrid"/>
        <w:tblW w:w="11198" w:type="dxa"/>
        <w:tblInd w:w="0" w:type="dxa"/>
        <w:tblCellMar>
          <w:top w:w="22" w:type="dxa"/>
          <w:left w:w="0" w:type="dxa"/>
          <w:bottom w:w="0" w:type="dxa"/>
          <w:right w:w="0" w:type="dxa"/>
        </w:tblCellMar>
        <w:tblLook w:val="04A0" w:firstRow="1" w:lastRow="0" w:firstColumn="1" w:lastColumn="0" w:noHBand="0" w:noVBand="1"/>
      </w:tblPr>
      <w:tblGrid>
        <w:gridCol w:w="2598"/>
        <w:gridCol w:w="1258"/>
        <w:gridCol w:w="91"/>
        <w:gridCol w:w="2160"/>
        <w:gridCol w:w="2350"/>
        <w:gridCol w:w="1606"/>
        <w:gridCol w:w="590"/>
        <w:gridCol w:w="545"/>
      </w:tblGrid>
      <w:tr w:rsidR="004D6F0E">
        <w:trPr>
          <w:trHeight w:val="233"/>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b/>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97" w:firstLine="0"/>
            </w:pPr>
            <w:r>
              <w:rPr>
                <w:sz w:val="18"/>
              </w:rPr>
              <w:t>英鎊</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516" w:firstLine="0"/>
            </w:pPr>
            <w:r>
              <w:rPr>
                <w:rFonts w:ascii="Arial" w:eastAsia="Arial" w:hAnsi="Arial" w:cs="Arial"/>
                <w:sz w:val="18"/>
              </w:rPr>
              <w:t xml:space="preserve">2,000 </w:t>
            </w:r>
            <w:r>
              <w:rPr>
                <w:sz w:val="18"/>
              </w:rPr>
              <w:t>英鎊</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343" w:firstLine="0"/>
            </w:pPr>
            <w:r>
              <w:rPr>
                <w:rFonts w:ascii="Arial" w:eastAsia="Arial" w:hAnsi="Arial" w:cs="Arial"/>
                <w:sz w:val="18"/>
              </w:rPr>
              <w:t xml:space="preserve">750 </w:t>
            </w:r>
            <w:r>
              <w:rPr>
                <w:sz w:val="18"/>
              </w:rPr>
              <w:t>英鎊</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3"/>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97" w:firstLine="0"/>
            </w:pPr>
            <w:r>
              <w:rPr>
                <w:sz w:val="18"/>
              </w:rPr>
              <w:t>英鎊</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516" w:firstLine="0"/>
            </w:pPr>
            <w:r>
              <w:rPr>
                <w:rFonts w:ascii="Arial" w:eastAsia="Arial" w:hAnsi="Arial" w:cs="Arial"/>
                <w:sz w:val="18"/>
              </w:rPr>
              <w:t xml:space="preserve">2,000 </w:t>
            </w:r>
            <w:r>
              <w:rPr>
                <w:sz w:val="18"/>
              </w:rPr>
              <w:t>英鎊</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343" w:firstLine="0"/>
            </w:pPr>
            <w:r>
              <w:rPr>
                <w:rFonts w:ascii="Arial" w:eastAsia="Arial" w:hAnsi="Arial" w:cs="Arial"/>
                <w:sz w:val="18"/>
              </w:rPr>
              <w:t xml:space="preserve">750 </w:t>
            </w:r>
            <w:r>
              <w:rPr>
                <w:sz w:val="18"/>
              </w:rPr>
              <w:t>英鎊</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97" w:firstLine="0"/>
            </w:pPr>
            <w:r>
              <w:rPr>
                <w:sz w:val="18"/>
              </w:rPr>
              <w:t>英鎊</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346" w:firstLine="0"/>
            </w:pPr>
            <w:r>
              <w:rPr>
                <w:rFonts w:ascii="Arial" w:eastAsia="Arial" w:hAnsi="Arial" w:cs="Arial"/>
                <w:sz w:val="18"/>
              </w:rPr>
              <w:t xml:space="preserve">500,000 </w:t>
            </w:r>
            <w:r>
              <w:rPr>
                <w:sz w:val="18"/>
              </w:rPr>
              <w:t>英鎊</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462"/>
        </w:trPr>
        <w:tc>
          <w:tcPr>
            <w:tcW w:w="2599" w:type="dxa"/>
            <w:tcBorders>
              <w:top w:val="nil"/>
              <w:left w:val="nil"/>
              <w:bottom w:val="nil"/>
              <w:right w:val="nil"/>
            </w:tcBorders>
          </w:tcPr>
          <w:p w:rsidR="004D6F0E" w:rsidRDefault="00490F21">
            <w:pPr>
              <w:spacing w:after="30"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349" w:type="dxa"/>
            <w:gridSpan w:val="2"/>
            <w:tcBorders>
              <w:top w:val="nil"/>
              <w:left w:val="nil"/>
              <w:bottom w:val="nil"/>
              <w:right w:val="nil"/>
            </w:tcBorders>
          </w:tcPr>
          <w:p w:rsidR="004D6F0E" w:rsidRDefault="00490F21">
            <w:pPr>
              <w:spacing w:after="0" w:line="259" w:lineRule="auto"/>
              <w:ind w:left="197" w:firstLine="0"/>
            </w:pPr>
            <w:r>
              <w:rPr>
                <w:sz w:val="18"/>
              </w:rPr>
              <w:t>英鎊</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42" w:line="259" w:lineRule="auto"/>
              <w:ind w:left="346" w:firstLine="0"/>
            </w:pPr>
            <w:r>
              <w:rPr>
                <w:rFonts w:ascii="Arial" w:eastAsia="Arial" w:hAnsi="Arial" w:cs="Arial"/>
                <w:sz w:val="18"/>
              </w:rPr>
              <w:t xml:space="preserve">500,000 </w:t>
            </w:r>
            <w:r>
              <w:rPr>
                <w:sz w:val="18"/>
              </w:rPr>
              <w:t>英鎊</w:t>
            </w:r>
            <w:r>
              <w:rPr>
                <w:rFonts w:ascii="Arial" w:eastAsia="Arial" w:hAnsi="Arial" w:cs="Arial"/>
                <w:sz w:val="18"/>
              </w:rPr>
              <w:t xml:space="preserve">** </w:t>
            </w:r>
          </w:p>
          <w:p w:rsidR="004D6F0E" w:rsidRDefault="00490F21">
            <w:pPr>
              <w:spacing w:after="0" w:line="259" w:lineRule="auto"/>
              <w:ind w:left="-5" w:right="-12" w:firstLine="0"/>
              <w:jc w:val="both"/>
            </w:pPr>
            <w:r>
              <w:rPr>
                <w:rFonts w:ascii="Arial" w:eastAsia="Arial" w:hAnsi="Arial" w:cs="Arial"/>
                <w:sz w:val="18"/>
              </w:rPr>
              <w:t xml:space="preserve"> </w:t>
            </w:r>
            <w:r>
              <w:rPr>
                <w:rFonts w:ascii="Arial" w:eastAsia="Arial" w:hAnsi="Arial" w:cs="Arial"/>
                <w:sz w:val="18"/>
              </w:rPr>
              <w:tab/>
              <w:t xml:space="preserve"> </w:t>
            </w:r>
          </w:p>
        </w:tc>
        <w:tc>
          <w:tcPr>
            <w:tcW w:w="2350" w:type="dxa"/>
            <w:tcBorders>
              <w:top w:val="nil"/>
              <w:left w:val="nil"/>
              <w:bottom w:val="nil"/>
              <w:right w:val="nil"/>
            </w:tcBorders>
          </w:tcPr>
          <w:p w:rsidR="004D6F0E" w:rsidRDefault="00490F21">
            <w:pPr>
              <w:spacing w:after="21"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027" w:firstLine="0"/>
              <w:jc w:val="center"/>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21" w:line="259" w:lineRule="auto"/>
              <w:ind w:left="29" w:firstLine="0"/>
            </w:pPr>
            <w:r>
              <w:rPr>
                <w:sz w:val="18"/>
              </w:rPr>
              <w:t>無</w:t>
            </w:r>
            <w:r>
              <w:rPr>
                <w:rFonts w:ascii="Arial" w:eastAsia="Arial" w:hAnsi="Arial" w:cs="Arial"/>
                <w:sz w:val="18"/>
              </w:rPr>
              <w:t xml:space="preserve"> </w:t>
            </w:r>
          </w:p>
          <w:p w:rsidR="004D6F0E" w:rsidRDefault="00490F21">
            <w:pPr>
              <w:spacing w:after="0" w:line="259" w:lineRule="auto"/>
              <w:ind w:left="753" w:firstLine="0"/>
              <w:jc w:val="center"/>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3"/>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人民幣對沖股份類別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08" w:firstLine="0"/>
            </w:pPr>
            <w:r>
              <w:rPr>
                <w:sz w:val="18"/>
              </w:rPr>
              <w:t>人民幣</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262"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67"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08" w:firstLine="0"/>
            </w:pPr>
            <w:r>
              <w:rPr>
                <w:sz w:val="18"/>
              </w:rPr>
              <w:t>人民幣</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262"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67"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9"/>
        </w:trPr>
        <w:tc>
          <w:tcPr>
            <w:tcW w:w="2599"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7" w:line="259" w:lineRule="auto"/>
              <w:ind w:left="108" w:firstLine="0"/>
            </w:pPr>
            <w:r>
              <w:rPr>
                <w:sz w:val="18"/>
              </w:rPr>
              <w:t>人民幣</w:t>
            </w:r>
            <w:r>
              <w:rPr>
                <w:rFonts w:ascii="Arial" w:eastAsia="Arial" w:hAnsi="Arial" w:cs="Arial"/>
                <w:sz w:val="18"/>
              </w:rPr>
              <w:t xml:space="preserve"> </w:t>
            </w:r>
          </w:p>
          <w:p w:rsidR="004D6F0E" w:rsidRDefault="00490F21">
            <w:pPr>
              <w:spacing w:after="0" w:line="259" w:lineRule="auto"/>
              <w:ind w:left="377" w:firstLine="0"/>
            </w:pP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12" w:line="259" w:lineRule="auto"/>
              <w:ind w:left="67" w:firstLine="0"/>
            </w:pPr>
            <w:r>
              <w:rPr>
                <w:sz w:val="18"/>
              </w:rPr>
              <w:t>人民幣</w:t>
            </w:r>
            <w:r>
              <w:rPr>
                <w:sz w:val="18"/>
              </w:rPr>
              <w:t xml:space="preserve"> </w:t>
            </w:r>
            <w:r>
              <w:rPr>
                <w:rFonts w:ascii="Arial" w:eastAsia="Arial" w:hAnsi="Arial" w:cs="Arial"/>
                <w:sz w:val="18"/>
              </w:rPr>
              <w:t xml:space="preserve">5,000,000 </w:t>
            </w:r>
            <w:r>
              <w:rPr>
                <w:sz w:val="18"/>
              </w:rPr>
              <w:t>元</w:t>
            </w:r>
            <w:r>
              <w:rPr>
                <w:rFonts w:ascii="Arial" w:eastAsia="Arial" w:hAnsi="Arial" w:cs="Arial"/>
                <w:sz w:val="18"/>
              </w:rPr>
              <w:t xml:space="preserve">** </w:t>
            </w:r>
          </w:p>
          <w:p w:rsidR="004D6F0E" w:rsidRDefault="00490F21">
            <w:pPr>
              <w:spacing w:after="0" w:line="259" w:lineRule="auto"/>
              <w:ind w:left="0" w:right="224" w:firstLine="0"/>
              <w:jc w:val="center"/>
            </w:pP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7"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696" w:firstLine="0"/>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9" w:line="259" w:lineRule="auto"/>
              <w:ind w:left="0" w:firstLine="0"/>
            </w:pPr>
            <w:r>
              <w:rPr>
                <w:rFonts w:ascii="Arial" w:eastAsia="Arial" w:hAnsi="Arial" w:cs="Arial"/>
                <w:sz w:val="18"/>
              </w:rPr>
              <w:t xml:space="preserve">0.05% </w:t>
            </w:r>
          </w:p>
          <w:p w:rsidR="004D6F0E" w:rsidRDefault="00490F21">
            <w:pPr>
              <w:spacing w:after="0" w:line="259" w:lineRule="auto"/>
              <w:ind w:left="257" w:firstLine="0"/>
            </w:pPr>
            <w:r>
              <w:rPr>
                <w:rFonts w:ascii="Arial" w:eastAsia="Arial" w:hAnsi="Arial" w:cs="Arial"/>
                <w:sz w:val="18"/>
              </w:rPr>
              <w:t xml:space="preserve"> </w:t>
            </w:r>
          </w:p>
        </w:tc>
      </w:tr>
      <w:tr w:rsidR="004D6F0E">
        <w:trPr>
          <w:trHeight w:val="235"/>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4"/>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紐西蘭元</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336"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4"/>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紐西蘭元</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336"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442"/>
        </w:trPr>
        <w:tc>
          <w:tcPr>
            <w:tcW w:w="2599"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紐西蘭元</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30" w:line="259" w:lineRule="auto"/>
              <w:ind w:left="89" w:firstLine="0"/>
            </w:pPr>
            <w:r>
              <w:rPr>
                <w:rFonts w:ascii="Arial" w:eastAsia="Arial" w:hAnsi="Arial" w:cs="Arial"/>
                <w:sz w:val="18"/>
              </w:rPr>
              <w:t xml:space="preserve">1,500,000 </w:t>
            </w:r>
            <w:r>
              <w:rPr>
                <w:sz w:val="18"/>
              </w:rPr>
              <w:t>紐西蘭元</w:t>
            </w:r>
            <w:r>
              <w:rPr>
                <w:rFonts w:ascii="Arial" w:eastAsia="Arial" w:hAnsi="Arial" w:cs="Arial"/>
                <w:sz w:val="18"/>
              </w:rPr>
              <w:t xml:space="preserve">** </w:t>
            </w:r>
          </w:p>
          <w:p w:rsidR="004D6F0E" w:rsidRDefault="00490F21">
            <w:pPr>
              <w:spacing w:after="0" w:line="259" w:lineRule="auto"/>
              <w:ind w:left="-5" w:right="-12" w:firstLine="0"/>
              <w:jc w:val="both"/>
            </w:pPr>
            <w:r>
              <w:rPr>
                <w:rFonts w:ascii="Arial" w:eastAsia="Arial" w:hAnsi="Arial" w:cs="Arial"/>
                <w:sz w:val="18"/>
              </w:rPr>
              <w:t xml:space="preserve"> </w:t>
            </w:r>
            <w:r>
              <w:rPr>
                <w:rFonts w:ascii="Arial" w:eastAsia="Arial" w:hAnsi="Arial" w:cs="Arial"/>
                <w:sz w:val="18"/>
              </w:rPr>
              <w:tab/>
              <w:t xml:space="preserve"> </w:t>
            </w:r>
          </w:p>
        </w:tc>
        <w:tc>
          <w:tcPr>
            <w:tcW w:w="2350" w:type="dxa"/>
            <w:tcBorders>
              <w:top w:val="nil"/>
              <w:left w:val="nil"/>
              <w:bottom w:val="nil"/>
              <w:right w:val="nil"/>
            </w:tcBorders>
          </w:tcPr>
          <w:p w:rsidR="004D6F0E" w:rsidRDefault="00490F21">
            <w:pPr>
              <w:spacing w:after="9"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027" w:firstLine="0"/>
              <w:jc w:val="center"/>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9" w:line="259" w:lineRule="auto"/>
              <w:ind w:left="29" w:firstLine="0"/>
            </w:pPr>
            <w:r>
              <w:rPr>
                <w:sz w:val="18"/>
              </w:rPr>
              <w:t>無</w:t>
            </w:r>
            <w:r>
              <w:rPr>
                <w:rFonts w:ascii="Arial" w:eastAsia="Arial" w:hAnsi="Arial" w:cs="Arial"/>
                <w:sz w:val="18"/>
              </w:rPr>
              <w:t xml:space="preserve"> </w:t>
            </w:r>
          </w:p>
          <w:p w:rsidR="004D6F0E" w:rsidRDefault="00490F21">
            <w:pPr>
              <w:spacing w:after="0" w:line="259" w:lineRule="auto"/>
              <w:ind w:left="753" w:firstLine="0"/>
              <w:jc w:val="center"/>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3"/>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瑞士法郎對沖股份類別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b/>
                <w:sz w:val="18"/>
              </w:rPr>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瑞士法郎</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336" w:firstLine="0"/>
            </w:pPr>
            <w:r>
              <w:rPr>
                <w:rFonts w:ascii="Arial" w:eastAsia="Arial" w:hAnsi="Arial" w:cs="Arial"/>
                <w:sz w:val="18"/>
              </w:rPr>
              <w:t xml:space="preserve">2,000 </w:t>
            </w:r>
            <w:r>
              <w:rPr>
                <w:sz w:val="18"/>
              </w:rPr>
              <w:t>瑞士法郎</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163" w:firstLine="0"/>
            </w:pPr>
            <w:r>
              <w:rPr>
                <w:rFonts w:ascii="Arial" w:eastAsia="Arial" w:hAnsi="Arial" w:cs="Arial"/>
                <w:sz w:val="18"/>
              </w:rPr>
              <w:t xml:space="preserve">750 </w:t>
            </w:r>
            <w:r>
              <w:rPr>
                <w:sz w:val="18"/>
              </w:rPr>
              <w:t>瑞士法郎</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瑞士法郎</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1,000,000 </w:t>
            </w:r>
            <w:r>
              <w:rPr>
                <w:sz w:val="18"/>
              </w:rPr>
              <w:t>瑞士法郎</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607" w:firstLine="0"/>
            </w:pP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439"/>
        </w:trPr>
        <w:tc>
          <w:tcPr>
            <w:tcW w:w="2599" w:type="dxa"/>
            <w:tcBorders>
              <w:top w:val="nil"/>
              <w:left w:val="nil"/>
              <w:bottom w:val="nil"/>
              <w:right w:val="nil"/>
            </w:tcBorders>
          </w:tcPr>
          <w:p w:rsidR="004D6F0E" w:rsidRDefault="00490F21">
            <w:pPr>
              <w:spacing w:after="0" w:line="259" w:lineRule="auto"/>
              <w:ind w:left="115" w:right="308" w:firstLine="0"/>
              <w:jc w:val="right"/>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r>
              <w:rPr>
                <w:rFonts w:ascii="Arial" w:eastAsia="Arial" w:hAnsi="Arial" w:cs="Arial"/>
                <w:sz w:val="18"/>
              </w:rPr>
              <w:tab/>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瑞士法郎</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28" w:line="259" w:lineRule="auto"/>
              <w:ind w:left="89" w:firstLine="0"/>
            </w:pPr>
            <w:r>
              <w:rPr>
                <w:rFonts w:ascii="Arial" w:eastAsia="Arial" w:hAnsi="Arial" w:cs="Arial"/>
                <w:sz w:val="18"/>
              </w:rPr>
              <w:t xml:space="preserve">1,000,000 </w:t>
            </w:r>
            <w:r>
              <w:rPr>
                <w:sz w:val="18"/>
              </w:rPr>
              <w:t>瑞士法郎</w:t>
            </w:r>
            <w:r>
              <w:rPr>
                <w:rFonts w:ascii="Arial" w:eastAsia="Arial" w:hAnsi="Arial" w:cs="Arial"/>
                <w:sz w:val="18"/>
              </w:rPr>
              <w:t xml:space="preserve">** </w:t>
            </w:r>
          </w:p>
          <w:p w:rsidR="004D6F0E" w:rsidRDefault="00490F21">
            <w:pPr>
              <w:spacing w:after="0" w:line="259" w:lineRule="auto"/>
              <w:ind w:left="-5" w:right="-12" w:firstLine="0"/>
              <w:jc w:val="both"/>
            </w:pPr>
            <w:r>
              <w:rPr>
                <w:rFonts w:ascii="Arial" w:eastAsia="Arial" w:hAnsi="Arial" w:cs="Arial"/>
                <w:sz w:val="18"/>
              </w:rPr>
              <w:t xml:space="preserve"> </w:t>
            </w:r>
            <w:r>
              <w:rPr>
                <w:rFonts w:ascii="Arial" w:eastAsia="Arial" w:hAnsi="Arial" w:cs="Arial"/>
                <w:sz w:val="18"/>
              </w:rPr>
              <w:tab/>
              <w:t xml:space="preserve"> </w:t>
            </w:r>
          </w:p>
        </w:tc>
        <w:tc>
          <w:tcPr>
            <w:tcW w:w="2350" w:type="dxa"/>
            <w:tcBorders>
              <w:top w:val="nil"/>
              <w:left w:val="nil"/>
              <w:bottom w:val="nil"/>
              <w:right w:val="nil"/>
            </w:tcBorders>
          </w:tcPr>
          <w:p w:rsidR="004D6F0E" w:rsidRDefault="00490F21">
            <w:pPr>
              <w:spacing w:after="7"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027" w:firstLine="0"/>
              <w:jc w:val="center"/>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7" w:line="259" w:lineRule="auto"/>
              <w:ind w:left="29" w:firstLine="0"/>
            </w:pPr>
            <w:r>
              <w:rPr>
                <w:sz w:val="18"/>
              </w:rPr>
              <w:t>無</w:t>
            </w:r>
            <w:r>
              <w:rPr>
                <w:rFonts w:ascii="Arial" w:eastAsia="Arial" w:hAnsi="Arial" w:cs="Arial"/>
                <w:sz w:val="18"/>
              </w:rPr>
              <w:t xml:space="preserve"> </w:t>
            </w:r>
          </w:p>
          <w:p w:rsidR="004D6F0E" w:rsidRDefault="00490F21">
            <w:pPr>
              <w:spacing w:after="0" w:line="259" w:lineRule="auto"/>
              <w:ind w:left="753" w:firstLine="0"/>
              <w:jc w:val="center"/>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5"/>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日圓對沖股份類別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599"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日圓股份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7" w:line="259" w:lineRule="auto"/>
              <w:ind w:left="197" w:firstLine="0"/>
            </w:pPr>
            <w:r>
              <w:rPr>
                <w:sz w:val="18"/>
              </w:rPr>
              <w:t>日圓</w:t>
            </w:r>
            <w:r>
              <w:rPr>
                <w:rFonts w:ascii="Arial" w:eastAsia="Arial" w:hAnsi="Arial" w:cs="Arial"/>
                <w:sz w:val="18"/>
              </w:rPr>
              <w:t xml:space="preserve"> </w:t>
            </w:r>
          </w:p>
          <w:p w:rsidR="004D6F0E" w:rsidRDefault="00490F21">
            <w:pPr>
              <w:spacing w:after="0" w:line="259" w:lineRule="auto"/>
              <w:ind w:left="377" w:firstLine="0"/>
            </w:pP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11" w:line="259" w:lineRule="auto"/>
              <w:ind w:left="170" w:firstLine="0"/>
            </w:pPr>
            <w:r>
              <w:rPr>
                <w:rFonts w:ascii="Arial" w:eastAsia="Arial" w:hAnsi="Arial" w:cs="Arial"/>
                <w:sz w:val="18"/>
              </w:rPr>
              <w:t xml:space="preserve">100,000,000 </w:t>
            </w:r>
            <w:r>
              <w:rPr>
                <w:sz w:val="18"/>
              </w:rPr>
              <w:t>日圓</w:t>
            </w:r>
            <w:r>
              <w:rPr>
                <w:rFonts w:ascii="Arial" w:eastAsia="Arial" w:hAnsi="Arial" w:cs="Arial"/>
                <w:sz w:val="18"/>
              </w:rPr>
              <w:t xml:space="preserve">** </w:t>
            </w:r>
          </w:p>
          <w:p w:rsidR="004D6F0E" w:rsidRDefault="00490F21">
            <w:pPr>
              <w:spacing w:after="0" w:line="259" w:lineRule="auto"/>
              <w:ind w:left="0" w:right="224" w:firstLine="0"/>
              <w:jc w:val="center"/>
            </w:pP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7"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696" w:firstLine="0"/>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7" w:line="259" w:lineRule="auto"/>
              <w:ind w:left="29" w:firstLine="0"/>
            </w:pPr>
            <w:r>
              <w:rPr>
                <w:sz w:val="18"/>
              </w:rPr>
              <w:t>無</w:t>
            </w:r>
            <w:r>
              <w:rPr>
                <w:rFonts w:ascii="Arial" w:eastAsia="Arial" w:hAnsi="Arial" w:cs="Arial"/>
                <w:sz w:val="18"/>
              </w:rPr>
              <w:t xml:space="preserve"> </w:t>
            </w:r>
          </w:p>
          <w:p w:rsidR="004D6F0E" w:rsidRDefault="00490F21">
            <w:pPr>
              <w:spacing w:after="0" w:line="259" w:lineRule="auto"/>
              <w:ind w:left="120" w:firstLine="0"/>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9" w:line="259" w:lineRule="auto"/>
              <w:ind w:left="29" w:firstLine="0"/>
            </w:pPr>
            <w:r>
              <w:rPr>
                <w:rFonts w:ascii="Arial" w:eastAsia="Arial" w:hAnsi="Arial" w:cs="Arial"/>
                <w:sz w:val="18"/>
              </w:rPr>
              <w:t xml:space="preserve">0.05% </w:t>
            </w:r>
          </w:p>
          <w:p w:rsidR="004D6F0E" w:rsidRDefault="00490F21">
            <w:pPr>
              <w:spacing w:after="0" w:line="259" w:lineRule="auto"/>
              <w:ind w:left="283" w:firstLine="0"/>
            </w:pPr>
            <w:r>
              <w:rPr>
                <w:rFonts w:ascii="Arial" w:eastAsia="Arial" w:hAnsi="Arial" w:cs="Arial"/>
                <w:sz w:val="18"/>
              </w:rPr>
              <w:t xml:space="preserve"> </w:t>
            </w:r>
          </w:p>
        </w:tc>
      </w:tr>
      <w:tr w:rsidR="004D6F0E">
        <w:trPr>
          <w:trHeight w:val="233"/>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17" w:firstLine="0"/>
            </w:pPr>
            <w:r>
              <w:rPr>
                <w:sz w:val="18"/>
              </w:rPr>
              <w:t>南非蘭特</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286"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89"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442"/>
        </w:trPr>
        <w:tc>
          <w:tcPr>
            <w:tcW w:w="2599"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7" w:line="259" w:lineRule="auto"/>
              <w:ind w:left="17" w:firstLine="0"/>
            </w:pPr>
            <w:r>
              <w:rPr>
                <w:sz w:val="18"/>
              </w:rPr>
              <w:t>南非蘭特</w:t>
            </w:r>
            <w:r>
              <w:rPr>
                <w:rFonts w:ascii="Arial" w:eastAsia="Arial" w:hAnsi="Arial" w:cs="Arial"/>
                <w:sz w:val="18"/>
              </w:rPr>
              <w:t xml:space="preserve"> </w:t>
            </w:r>
          </w:p>
          <w:p w:rsidR="004D6F0E" w:rsidRDefault="00490F21">
            <w:pPr>
              <w:spacing w:after="0" w:line="259" w:lineRule="auto"/>
              <w:ind w:left="377" w:firstLine="0"/>
            </w:pP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12" w:line="259" w:lineRule="auto"/>
              <w:ind w:left="286"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p w:rsidR="004D6F0E" w:rsidRDefault="00490F21">
            <w:pPr>
              <w:spacing w:after="0" w:line="259" w:lineRule="auto"/>
              <w:ind w:left="0" w:right="224" w:firstLine="0"/>
              <w:jc w:val="center"/>
            </w:pP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12" w:line="259" w:lineRule="auto"/>
              <w:ind w:left="89"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p w:rsidR="004D6F0E" w:rsidRDefault="00490F21">
            <w:pPr>
              <w:spacing w:after="0" w:line="259" w:lineRule="auto"/>
              <w:ind w:left="696" w:firstLine="0"/>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7" w:line="259" w:lineRule="auto"/>
              <w:ind w:left="29" w:firstLine="0"/>
            </w:pPr>
            <w:r>
              <w:rPr>
                <w:sz w:val="18"/>
              </w:rPr>
              <w:t>無</w:t>
            </w:r>
            <w:r>
              <w:rPr>
                <w:rFonts w:ascii="Arial" w:eastAsia="Arial" w:hAnsi="Arial" w:cs="Arial"/>
                <w:sz w:val="18"/>
              </w:rPr>
              <w:t xml:space="preserve"> </w:t>
            </w:r>
          </w:p>
          <w:p w:rsidR="004D6F0E" w:rsidRDefault="00490F21">
            <w:pPr>
              <w:spacing w:after="0" w:line="259" w:lineRule="auto"/>
              <w:ind w:left="120" w:firstLine="0"/>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9" w:line="259" w:lineRule="auto"/>
              <w:ind w:left="29" w:firstLine="0"/>
            </w:pPr>
            <w:r>
              <w:rPr>
                <w:rFonts w:ascii="Arial" w:eastAsia="Arial" w:hAnsi="Arial" w:cs="Arial"/>
                <w:sz w:val="18"/>
              </w:rPr>
              <w:t xml:space="preserve">0.05% </w:t>
            </w:r>
          </w:p>
          <w:p w:rsidR="004D6F0E" w:rsidRDefault="00490F21">
            <w:pPr>
              <w:spacing w:after="0" w:line="259" w:lineRule="auto"/>
              <w:ind w:left="283" w:firstLine="0"/>
            </w:pPr>
            <w:r>
              <w:rPr>
                <w:rFonts w:ascii="Arial" w:eastAsia="Arial" w:hAnsi="Arial" w:cs="Arial"/>
                <w:sz w:val="18"/>
              </w:rPr>
              <w:t xml:space="preserve"> </w:t>
            </w:r>
          </w:p>
        </w:tc>
      </w:tr>
      <w:tr w:rsidR="004D6F0E">
        <w:trPr>
          <w:trHeight w:val="233"/>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5"/>
        </w:trPr>
        <w:tc>
          <w:tcPr>
            <w:tcW w:w="2599"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p>
        </w:tc>
        <w:tc>
          <w:tcPr>
            <w:tcW w:w="1349" w:type="dxa"/>
            <w:gridSpan w:val="2"/>
            <w:tcBorders>
              <w:top w:val="nil"/>
              <w:left w:val="nil"/>
              <w:bottom w:val="nil"/>
              <w:right w:val="nil"/>
            </w:tcBorders>
          </w:tcPr>
          <w:p w:rsidR="004D6F0E" w:rsidRDefault="00490F21">
            <w:pPr>
              <w:spacing w:after="0" w:line="259" w:lineRule="auto"/>
              <w:ind w:left="0" w:firstLine="0"/>
            </w:pPr>
            <w:r>
              <w:rPr>
                <w:sz w:val="18"/>
              </w:rPr>
              <w:t>波蘭茲羅提</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7,500 </w:t>
            </w:r>
            <w:r>
              <w:rPr>
                <w:sz w:val="18"/>
              </w:rPr>
              <w:t>波蘭茲羅提</w:t>
            </w:r>
            <w:r>
              <w:rPr>
                <w:rFonts w:ascii="Arial" w:eastAsia="Arial" w:hAnsi="Arial" w:cs="Arial"/>
                <w:sz w:val="18"/>
              </w:rPr>
              <w:t xml:space="preserve"> </w:t>
            </w:r>
          </w:p>
        </w:tc>
        <w:tc>
          <w:tcPr>
            <w:tcW w:w="235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3,000 </w:t>
            </w:r>
            <w:r>
              <w:rPr>
                <w:sz w:val="18"/>
              </w:rPr>
              <w:t>波蘭茲羅提</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442"/>
        </w:trPr>
        <w:tc>
          <w:tcPr>
            <w:tcW w:w="2599"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349" w:type="dxa"/>
            <w:gridSpan w:val="2"/>
            <w:tcBorders>
              <w:top w:val="nil"/>
              <w:left w:val="nil"/>
              <w:bottom w:val="nil"/>
              <w:right w:val="nil"/>
            </w:tcBorders>
          </w:tcPr>
          <w:p w:rsidR="004D6F0E" w:rsidRDefault="00490F21">
            <w:pPr>
              <w:spacing w:after="0" w:line="259" w:lineRule="auto"/>
              <w:ind w:left="0" w:firstLine="0"/>
            </w:pPr>
            <w:r>
              <w:rPr>
                <w:sz w:val="18"/>
              </w:rPr>
              <w:t>波蘭茲羅提</w:t>
            </w:r>
            <w:r>
              <w:rPr>
                <w:rFonts w:ascii="Arial" w:eastAsia="Arial" w:hAnsi="Arial" w:cs="Arial"/>
                <w:sz w:val="18"/>
              </w:rPr>
              <w:t xml:space="preserve"> </w:t>
            </w:r>
          </w:p>
        </w:tc>
        <w:tc>
          <w:tcPr>
            <w:tcW w:w="2160" w:type="dxa"/>
            <w:tcBorders>
              <w:top w:val="nil"/>
              <w:left w:val="nil"/>
              <w:bottom w:val="nil"/>
              <w:right w:val="nil"/>
            </w:tcBorders>
          </w:tcPr>
          <w:p w:rsidR="004D6F0E" w:rsidRDefault="00490F21">
            <w:pPr>
              <w:spacing w:after="28" w:line="259" w:lineRule="auto"/>
              <w:ind w:left="0" w:firstLine="0"/>
            </w:pPr>
            <w:r>
              <w:rPr>
                <w:rFonts w:ascii="Arial" w:eastAsia="Arial" w:hAnsi="Arial" w:cs="Arial"/>
                <w:sz w:val="18"/>
              </w:rPr>
              <w:t xml:space="preserve">4,000,000 </w:t>
            </w:r>
            <w:r>
              <w:rPr>
                <w:sz w:val="18"/>
              </w:rPr>
              <w:t>波蘭茲羅提</w:t>
            </w:r>
            <w:r>
              <w:rPr>
                <w:rFonts w:ascii="Arial" w:eastAsia="Arial" w:hAnsi="Arial" w:cs="Arial"/>
                <w:sz w:val="18"/>
              </w:rPr>
              <w:t xml:space="preserve">** </w:t>
            </w:r>
          </w:p>
          <w:p w:rsidR="004D6F0E" w:rsidRDefault="00490F21">
            <w:pPr>
              <w:spacing w:after="0" w:line="259" w:lineRule="auto"/>
              <w:ind w:left="-5" w:right="-12" w:firstLine="0"/>
              <w:jc w:val="both"/>
            </w:pPr>
            <w:r>
              <w:rPr>
                <w:rFonts w:ascii="Arial" w:eastAsia="Arial" w:hAnsi="Arial" w:cs="Arial"/>
                <w:sz w:val="18"/>
              </w:rPr>
              <w:t xml:space="preserve"> </w:t>
            </w:r>
            <w:r>
              <w:rPr>
                <w:rFonts w:ascii="Arial" w:eastAsia="Arial" w:hAnsi="Arial" w:cs="Arial"/>
                <w:sz w:val="18"/>
              </w:rPr>
              <w:tab/>
              <w:t xml:space="preserve"> </w:t>
            </w:r>
          </w:p>
        </w:tc>
        <w:tc>
          <w:tcPr>
            <w:tcW w:w="2350" w:type="dxa"/>
            <w:tcBorders>
              <w:top w:val="nil"/>
              <w:left w:val="nil"/>
              <w:bottom w:val="nil"/>
              <w:right w:val="nil"/>
            </w:tcBorders>
          </w:tcPr>
          <w:p w:rsidR="004D6F0E" w:rsidRDefault="00490F21">
            <w:pPr>
              <w:spacing w:after="7" w:line="259" w:lineRule="auto"/>
              <w:ind w:left="607" w:firstLine="0"/>
            </w:pPr>
            <w:r>
              <w:rPr>
                <w:sz w:val="18"/>
              </w:rPr>
              <w:t>無</w:t>
            </w:r>
            <w:r>
              <w:rPr>
                <w:rFonts w:ascii="Arial" w:eastAsia="Arial" w:hAnsi="Arial" w:cs="Arial"/>
                <w:sz w:val="18"/>
              </w:rPr>
              <w:t xml:space="preserve"> </w:t>
            </w:r>
          </w:p>
          <w:p w:rsidR="004D6F0E" w:rsidRDefault="00490F21">
            <w:pPr>
              <w:spacing w:after="0" w:line="259" w:lineRule="auto"/>
              <w:ind w:left="1027" w:firstLine="0"/>
              <w:jc w:val="center"/>
            </w:pP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7" w:line="259" w:lineRule="auto"/>
              <w:ind w:left="29" w:firstLine="0"/>
            </w:pPr>
            <w:r>
              <w:rPr>
                <w:sz w:val="18"/>
              </w:rPr>
              <w:t>無</w:t>
            </w:r>
            <w:r>
              <w:rPr>
                <w:rFonts w:ascii="Arial" w:eastAsia="Arial" w:hAnsi="Arial" w:cs="Arial"/>
                <w:sz w:val="18"/>
              </w:rPr>
              <w:t xml:space="preserve"> </w:t>
            </w:r>
          </w:p>
          <w:p w:rsidR="004D6F0E" w:rsidRDefault="00490F21">
            <w:pPr>
              <w:spacing w:after="0" w:line="259" w:lineRule="auto"/>
              <w:ind w:left="753" w:firstLine="0"/>
              <w:jc w:val="center"/>
            </w:pPr>
            <w:r>
              <w:rPr>
                <w:rFonts w:ascii="Arial" w:eastAsia="Arial" w:hAnsi="Arial" w:cs="Arial"/>
                <w:sz w:val="18"/>
              </w:rPr>
              <w:t xml:space="preserve"> </w:t>
            </w:r>
          </w:p>
        </w:tc>
        <w:tc>
          <w:tcPr>
            <w:tcW w:w="1135" w:type="dxa"/>
            <w:gridSpan w:val="2"/>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0.05% </w:t>
            </w:r>
          </w:p>
        </w:tc>
      </w:tr>
      <w:tr w:rsidR="004D6F0E">
        <w:trPr>
          <w:trHeight w:val="233"/>
        </w:trPr>
        <w:tc>
          <w:tcPr>
            <w:tcW w:w="2599" w:type="dxa"/>
            <w:tcBorders>
              <w:top w:val="nil"/>
              <w:left w:val="nil"/>
              <w:bottom w:val="nil"/>
              <w:right w:val="nil"/>
            </w:tcBorders>
            <w:shd w:val="clear" w:color="auto" w:fill="D9D9D9"/>
          </w:tcPr>
          <w:p w:rsidR="004D6F0E" w:rsidRDefault="00490F21">
            <w:pPr>
              <w:spacing w:after="0" w:line="259" w:lineRule="auto"/>
              <w:ind w:left="115" w:firstLine="0"/>
            </w:pPr>
            <w:r>
              <w:rPr>
                <w:sz w:val="18"/>
              </w:rPr>
              <w:t>捷克克朗對沖股份類別</w:t>
            </w:r>
            <w:r>
              <w:rPr>
                <w:rFonts w:ascii="Arial" w:eastAsia="Arial" w:hAnsi="Arial" w:cs="Arial"/>
                <w:sz w:val="18"/>
              </w:rPr>
              <w:t xml:space="preserve"> </w:t>
            </w:r>
          </w:p>
        </w:tc>
        <w:tc>
          <w:tcPr>
            <w:tcW w:w="1349"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60" w:type="dxa"/>
            <w:tcBorders>
              <w:top w:val="nil"/>
              <w:left w:val="nil"/>
              <w:bottom w:val="nil"/>
              <w:right w:val="nil"/>
            </w:tcBorders>
            <w:shd w:val="clear" w:color="auto" w:fill="D9D9D9"/>
          </w:tcPr>
          <w:p w:rsidR="004D6F0E" w:rsidRDefault="004D6F0E">
            <w:pPr>
              <w:spacing w:after="160" w:line="259" w:lineRule="auto"/>
              <w:ind w:left="0" w:firstLine="0"/>
            </w:pPr>
          </w:p>
        </w:tc>
        <w:tc>
          <w:tcPr>
            <w:tcW w:w="2350" w:type="dxa"/>
            <w:tcBorders>
              <w:top w:val="nil"/>
              <w:left w:val="nil"/>
              <w:bottom w:val="nil"/>
              <w:right w:val="nil"/>
            </w:tcBorders>
            <w:shd w:val="clear" w:color="auto" w:fill="D9D9D9"/>
          </w:tcPr>
          <w:p w:rsidR="004D6F0E" w:rsidRDefault="004D6F0E">
            <w:pPr>
              <w:spacing w:after="160" w:line="259" w:lineRule="auto"/>
              <w:ind w:left="0" w:firstLine="0"/>
            </w:pPr>
          </w:p>
        </w:tc>
        <w:tc>
          <w:tcPr>
            <w:tcW w:w="1606" w:type="dxa"/>
            <w:tcBorders>
              <w:top w:val="nil"/>
              <w:left w:val="nil"/>
              <w:bottom w:val="nil"/>
              <w:right w:val="nil"/>
            </w:tcBorders>
            <w:shd w:val="clear" w:color="auto" w:fill="D9D9D9"/>
          </w:tcPr>
          <w:p w:rsidR="004D6F0E" w:rsidRDefault="004D6F0E">
            <w:pPr>
              <w:spacing w:after="160" w:line="259" w:lineRule="auto"/>
              <w:ind w:left="0" w:firstLine="0"/>
            </w:pPr>
          </w:p>
        </w:tc>
        <w:tc>
          <w:tcPr>
            <w:tcW w:w="11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tblCellMar>
        </w:tblPrEx>
        <w:trPr>
          <w:gridAfter w:val="1"/>
          <w:wAfter w:w="545" w:type="dxa"/>
          <w:trHeight w:val="209"/>
        </w:trPr>
        <w:tc>
          <w:tcPr>
            <w:tcW w:w="3857" w:type="dxa"/>
            <w:gridSpan w:val="2"/>
            <w:tcBorders>
              <w:top w:val="nil"/>
              <w:left w:val="nil"/>
              <w:bottom w:val="nil"/>
              <w:right w:val="nil"/>
            </w:tcBorders>
          </w:tcPr>
          <w:p w:rsidR="004D6F0E" w:rsidRDefault="00490F21">
            <w:pPr>
              <w:tabs>
                <w:tab w:val="center" w:pos="2976"/>
              </w:tabs>
              <w:spacing w:after="0" w:line="259" w:lineRule="auto"/>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r>
              <w:rPr>
                <w:rFonts w:ascii="Arial" w:eastAsia="Arial" w:hAnsi="Arial" w:cs="Arial"/>
                <w:sz w:val="18"/>
              </w:rPr>
              <w:tab/>
            </w:r>
            <w:r>
              <w:rPr>
                <w:sz w:val="18"/>
              </w:rPr>
              <w:t>捷克克朗</w:t>
            </w:r>
            <w:r>
              <w:rPr>
                <w:rFonts w:ascii="Arial" w:eastAsia="Arial" w:hAnsi="Arial" w:cs="Arial"/>
                <w:sz w:val="18"/>
              </w:rPr>
              <w:t xml:space="preserve"> </w:t>
            </w:r>
          </w:p>
        </w:tc>
        <w:tc>
          <w:tcPr>
            <w:tcW w:w="4601" w:type="dxa"/>
            <w:gridSpan w:val="3"/>
            <w:tcBorders>
              <w:top w:val="nil"/>
              <w:left w:val="nil"/>
              <w:bottom w:val="nil"/>
              <w:right w:val="nil"/>
            </w:tcBorders>
          </w:tcPr>
          <w:p w:rsidR="004D6F0E" w:rsidRDefault="00490F21">
            <w:pPr>
              <w:tabs>
                <w:tab w:val="center" w:pos="1036"/>
                <w:tab w:val="center" w:pos="2948"/>
              </w:tabs>
              <w:spacing w:after="0" w:line="259" w:lineRule="auto"/>
              <w:ind w:left="0" w:firstLine="0"/>
            </w:pPr>
            <w:r>
              <w:rPr>
                <w:rFonts w:ascii="Calibri" w:eastAsia="Calibri" w:hAnsi="Calibri" w:cs="Calibri"/>
                <w:sz w:val="22"/>
              </w:rPr>
              <w:tab/>
            </w:r>
            <w:r>
              <w:rPr>
                <w:rFonts w:ascii="Arial" w:eastAsia="Arial" w:hAnsi="Arial" w:cs="Arial"/>
                <w:sz w:val="18"/>
              </w:rPr>
              <w:t xml:space="preserve">50,000 </w:t>
            </w:r>
            <w:r>
              <w:rPr>
                <w:sz w:val="18"/>
              </w:rPr>
              <w:t>捷克克朗</w:t>
            </w:r>
            <w:r>
              <w:rPr>
                <w:rFonts w:ascii="Arial" w:eastAsia="Arial" w:hAnsi="Arial" w:cs="Arial"/>
                <w:sz w:val="18"/>
              </w:rPr>
              <w:t xml:space="preserve"> </w:t>
            </w:r>
            <w:r>
              <w:rPr>
                <w:rFonts w:ascii="Arial" w:eastAsia="Arial" w:hAnsi="Arial" w:cs="Arial"/>
                <w:sz w:val="18"/>
              </w:rPr>
              <w:tab/>
              <w:t xml:space="preserve">20,000 </w:t>
            </w:r>
            <w:r>
              <w:rPr>
                <w:sz w:val="18"/>
              </w:rPr>
              <w:t>捷克克朗</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590" w:type="dxa"/>
            <w:tcBorders>
              <w:top w:val="nil"/>
              <w:left w:val="nil"/>
              <w:bottom w:val="nil"/>
              <w:right w:val="nil"/>
            </w:tcBorders>
          </w:tcPr>
          <w:p w:rsidR="004D6F0E" w:rsidRDefault="00490F21">
            <w:pPr>
              <w:spacing w:after="0" w:line="259" w:lineRule="auto"/>
              <w:ind w:left="29" w:firstLine="0"/>
              <w:jc w:val="both"/>
            </w:pPr>
            <w:r>
              <w:rPr>
                <w:rFonts w:ascii="Arial" w:eastAsia="Arial" w:hAnsi="Arial" w:cs="Arial"/>
                <w:sz w:val="18"/>
              </w:rPr>
              <w:t xml:space="preserve">0.05% </w:t>
            </w:r>
          </w:p>
        </w:tc>
      </w:tr>
      <w:tr w:rsidR="004D6F0E">
        <w:tblPrEx>
          <w:tblCellMar>
            <w:top w:w="2" w:type="dxa"/>
          </w:tblCellMar>
        </w:tblPrEx>
        <w:trPr>
          <w:gridAfter w:val="1"/>
          <w:wAfter w:w="545" w:type="dxa"/>
          <w:trHeight w:val="633"/>
        </w:trPr>
        <w:tc>
          <w:tcPr>
            <w:tcW w:w="3857" w:type="dxa"/>
            <w:gridSpan w:val="2"/>
            <w:tcBorders>
              <w:top w:val="nil"/>
              <w:left w:val="nil"/>
              <w:bottom w:val="nil"/>
              <w:right w:val="nil"/>
            </w:tcBorders>
          </w:tcPr>
          <w:p w:rsidR="004D6F0E" w:rsidRDefault="00490F21">
            <w:pPr>
              <w:tabs>
                <w:tab w:val="center" w:pos="2976"/>
              </w:tabs>
              <w:spacing w:after="197" w:line="259" w:lineRule="auto"/>
              <w:ind w:left="0"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r>
              <w:rPr>
                <w:rFonts w:ascii="Arial" w:eastAsia="Arial" w:hAnsi="Arial" w:cs="Arial"/>
                <w:sz w:val="18"/>
              </w:rPr>
              <w:tab/>
            </w:r>
            <w:r>
              <w:rPr>
                <w:sz w:val="18"/>
              </w:rPr>
              <w:t>捷克克朗</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6"/>
              </w:rPr>
              <w:t xml:space="preserve"> </w:t>
            </w:r>
          </w:p>
        </w:tc>
        <w:tc>
          <w:tcPr>
            <w:tcW w:w="4601" w:type="dxa"/>
            <w:gridSpan w:val="3"/>
            <w:tcBorders>
              <w:top w:val="nil"/>
              <w:left w:val="nil"/>
              <w:bottom w:val="nil"/>
              <w:right w:val="nil"/>
            </w:tcBorders>
          </w:tcPr>
          <w:p w:rsidR="004D6F0E" w:rsidRDefault="00490F21">
            <w:pPr>
              <w:tabs>
                <w:tab w:val="center" w:pos="2948"/>
              </w:tabs>
              <w:spacing w:after="0" w:line="259" w:lineRule="auto"/>
              <w:ind w:left="0" w:firstLine="0"/>
            </w:pPr>
            <w:r>
              <w:rPr>
                <w:rFonts w:ascii="Arial" w:eastAsia="Arial" w:hAnsi="Arial" w:cs="Arial"/>
                <w:sz w:val="18"/>
              </w:rPr>
              <w:t xml:space="preserve">25,000,000 </w:t>
            </w:r>
            <w:r>
              <w:rPr>
                <w:sz w:val="18"/>
              </w:rPr>
              <w:t>捷克克朗</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tc>
        <w:tc>
          <w:tcPr>
            <w:tcW w:w="1606" w:type="dxa"/>
            <w:tcBorders>
              <w:top w:val="nil"/>
              <w:left w:val="nil"/>
              <w:bottom w:val="nil"/>
              <w:right w:val="nil"/>
            </w:tcBorders>
          </w:tcPr>
          <w:p w:rsidR="004D6F0E" w:rsidRDefault="00490F21">
            <w:pPr>
              <w:spacing w:after="0" w:line="259" w:lineRule="auto"/>
              <w:ind w:left="29" w:firstLine="0"/>
            </w:pPr>
            <w:r>
              <w:rPr>
                <w:sz w:val="18"/>
              </w:rPr>
              <w:t>無</w:t>
            </w:r>
            <w:r>
              <w:rPr>
                <w:rFonts w:ascii="Arial" w:eastAsia="Arial" w:hAnsi="Arial" w:cs="Arial"/>
                <w:sz w:val="18"/>
              </w:rPr>
              <w:t xml:space="preserve"> </w:t>
            </w:r>
          </w:p>
        </w:tc>
        <w:tc>
          <w:tcPr>
            <w:tcW w:w="590" w:type="dxa"/>
            <w:tcBorders>
              <w:top w:val="nil"/>
              <w:left w:val="nil"/>
              <w:bottom w:val="nil"/>
              <w:right w:val="nil"/>
            </w:tcBorders>
          </w:tcPr>
          <w:p w:rsidR="004D6F0E" w:rsidRDefault="00490F21">
            <w:pPr>
              <w:spacing w:after="0" w:line="259" w:lineRule="auto"/>
              <w:ind w:left="29" w:firstLine="0"/>
              <w:jc w:val="both"/>
            </w:pPr>
            <w:r>
              <w:rPr>
                <w:rFonts w:ascii="Arial" w:eastAsia="Arial" w:hAnsi="Arial" w:cs="Arial"/>
                <w:sz w:val="18"/>
              </w:rPr>
              <w:t xml:space="preserve">0.05% </w:t>
            </w:r>
          </w:p>
        </w:tc>
      </w:tr>
      <w:tr w:rsidR="004D6F0E">
        <w:tblPrEx>
          <w:tblCellMar>
            <w:top w:w="2" w:type="dxa"/>
          </w:tblCellMar>
        </w:tblPrEx>
        <w:trPr>
          <w:gridAfter w:val="1"/>
          <w:wAfter w:w="545" w:type="dxa"/>
          <w:trHeight w:val="199"/>
        </w:trPr>
        <w:tc>
          <w:tcPr>
            <w:tcW w:w="3857" w:type="dxa"/>
            <w:gridSpan w:val="2"/>
            <w:tcBorders>
              <w:top w:val="nil"/>
              <w:left w:val="nil"/>
              <w:bottom w:val="nil"/>
              <w:right w:val="nil"/>
            </w:tcBorders>
          </w:tcPr>
          <w:p w:rsidR="004D6F0E" w:rsidRDefault="00490F21">
            <w:pPr>
              <w:tabs>
                <w:tab w:val="center" w:pos="3374"/>
              </w:tabs>
              <w:spacing w:after="0" w:line="259" w:lineRule="auto"/>
              <w:ind w:left="0" w:firstLine="0"/>
            </w:pP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p>
        </w:tc>
        <w:tc>
          <w:tcPr>
            <w:tcW w:w="4601"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tc>
        <w:tc>
          <w:tcPr>
            <w:tcW w:w="1606" w:type="dxa"/>
            <w:tcBorders>
              <w:top w:val="nil"/>
              <w:left w:val="nil"/>
              <w:bottom w:val="nil"/>
              <w:right w:val="nil"/>
            </w:tcBorders>
          </w:tcPr>
          <w:p w:rsidR="004D6F0E" w:rsidRDefault="004D6F0E">
            <w:pPr>
              <w:spacing w:after="160" w:line="259" w:lineRule="auto"/>
              <w:ind w:left="0" w:firstLine="0"/>
            </w:pPr>
          </w:p>
        </w:tc>
        <w:tc>
          <w:tcPr>
            <w:tcW w:w="590" w:type="dxa"/>
            <w:tcBorders>
              <w:top w:val="nil"/>
              <w:left w:val="nil"/>
              <w:bottom w:val="nil"/>
              <w:right w:val="nil"/>
            </w:tcBorders>
          </w:tcPr>
          <w:p w:rsidR="004D6F0E" w:rsidRDefault="004D6F0E">
            <w:pPr>
              <w:spacing w:after="160" w:line="259" w:lineRule="auto"/>
              <w:ind w:left="0" w:firstLine="0"/>
            </w:pPr>
          </w:p>
        </w:tc>
      </w:tr>
      <w:tr w:rsidR="004D6F0E">
        <w:tblPrEx>
          <w:tblCellMar>
            <w:top w:w="2" w:type="dxa"/>
          </w:tblCellMar>
        </w:tblPrEx>
        <w:trPr>
          <w:gridAfter w:val="1"/>
          <w:wAfter w:w="545" w:type="dxa"/>
          <w:trHeight w:val="186"/>
        </w:trPr>
        <w:tc>
          <w:tcPr>
            <w:tcW w:w="3857" w:type="dxa"/>
            <w:gridSpan w:val="2"/>
            <w:tcBorders>
              <w:top w:val="nil"/>
              <w:left w:val="nil"/>
              <w:bottom w:val="nil"/>
              <w:right w:val="nil"/>
            </w:tcBorders>
          </w:tcPr>
          <w:p w:rsidR="004D6F0E" w:rsidRDefault="00490F21">
            <w:pPr>
              <w:tabs>
                <w:tab w:val="center" w:pos="2892"/>
                <w:tab w:val="center" w:pos="3374"/>
              </w:tabs>
              <w:spacing w:after="0" w:line="259" w:lineRule="auto"/>
              <w:ind w:left="0" w:firstLine="0"/>
            </w:pP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p>
        </w:tc>
        <w:tc>
          <w:tcPr>
            <w:tcW w:w="4601"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6"/>
              </w:rPr>
              <w:t xml:space="preserve"> </w:t>
            </w:r>
            <w:r>
              <w:rPr>
                <w:rFonts w:ascii="Arial" w:eastAsia="Arial" w:hAnsi="Arial" w:cs="Arial"/>
                <w:sz w:val="16"/>
              </w:rPr>
              <w:tab/>
              <w:t xml:space="preserve"> </w:t>
            </w:r>
            <w:r>
              <w:rPr>
                <w:rFonts w:ascii="Arial" w:eastAsia="Arial" w:hAnsi="Arial" w:cs="Arial"/>
                <w:sz w:val="16"/>
              </w:rPr>
              <w:tab/>
              <w:t xml:space="preserve"> </w:t>
            </w:r>
          </w:p>
        </w:tc>
        <w:tc>
          <w:tcPr>
            <w:tcW w:w="1606" w:type="dxa"/>
            <w:tcBorders>
              <w:top w:val="nil"/>
              <w:left w:val="nil"/>
              <w:bottom w:val="nil"/>
              <w:right w:val="nil"/>
            </w:tcBorders>
          </w:tcPr>
          <w:p w:rsidR="004D6F0E" w:rsidRDefault="004D6F0E">
            <w:pPr>
              <w:spacing w:after="160" w:line="259" w:lineRule="auto"/>
              <w:ind w:left="0" w:firstLine="0"/>
            </w:pPr>
          </w:p>
        </w:tc>
        <w:tc>
          <w:tcPr>
            <w:tcW w:w="590" w:type="dxa"/>
            <w:tcBorders>
              <w:top w:val="nil"/>
              <w:left w:val="nil"/>
              <w:bottom w:val="nil"/>
              <w:right w:val="nil"/>
            </w:tcBorders>
          </w:tcPr>
          <w:p w:rsidR="004D6F0E" w:rsidRDefault="004D6F0E">
            <w:pPr>
              <w:spacing w:after="160" w:line="259" w:lineRule="auto"/>
              <w:ind w:left="0" w:firstLine="0"/>
            </w:pPr>
          </w:p>
        </w:tc>
      </w:tr>
    </w:tbl>
    <w:p w:rsidR="004D6F0E" w:rsidRDefault="00490F21">
      <w:pPr>
        <w:spacing w:after="0" w:line="259" w:lineRule="auto"/>
        <w:ind w:left="0" w:firstLine="0"/>
      </w:pPr>
      <w:r>
        <w:rPr>
          <w:rFonts w:ascii="Arial" w:eastAsia="Arial" w:hAnsi="Arial" w:cs="Arial"/>
          <w:sz w:val="16"/>
        </w:rPr>
        <w:t xml:space="preserve"> </w:t>
      </w:r>
    </w:p>
    <w:p w:rsidR="004D6F0E" w:rsidRDefault="004D6F0E">
      <w:pPr>
        <w:sectPr w:rsidR="004D6F0E">
          <w:headerReference w:type="even" r:id="rId188"/>
          <w:headerReference w:type="default" r:id="rId189"/>
          <w:footerReference w:type="even" r:id="rId190"/>
          <w:footerReference w:type="default" r:id="rId191"/>
          <w:headerReference w:type="first" r:id="rId192"/>
          <w:footerReference w:type="first" r:id="rId193"/>
          <w:pgSz w:w="12240" w:h="15840"/>
          <w:pgMar w:top="1174" w:right="779" w:bottom="1503" w:left="432" w:header="746" w:footer="284" w:gutter="0"/>
          <w:cols w:space="720"/>
        </w:sectPr>
      </w:pPr>
    </w:p>
    <w:p w:rsidR="004D6F0E" w:rsidRDefault="00490F21">
      <w:pPr>
        <w:pStyle w:val="Heading3"/>
        <w:spacing w:after="59"/>
        <w:ind w:left="14"/>
      </w:pPr>
      <w:r>
        <w:lastRenderedPageBreak/>
        <w:t>其他基金資料</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23"/>
        </w:rPr>
        <w:t xml:space="preserve"> </w:t>
      </w:r>
    </w:p>
    <w:p w:rsidR="004D6F0E" w:rsidRDefault="00490F21">
      <w:pPr>
        <w:spacing w:after="41"/>
        <w:ind w:left="11" w:right="2"/>
      </w:pPr>
      <w:r>
        <w:t>主要投資類別</w:t>
      </w:r>
      <w:r>
        <w:rPr>
          <w:rFonts w:ascii="Arial" w:eastAsia="Arial" w:hAnsi="Arial" w:cs="Arial"/>
          <w:b/>
        </w:rPr>
        <w:t xml:space="preserve"> </w:t>
      </w:r>
    </w:p>
    <w:p w:rsidR="004D6F0E" w:rsidRDefault="00490F21">
      <w:pPr>
        <w:spacing w:after="102" w:line="273" w:lineRule="auto"/>
        <w:ind w:left="14" w:right="556"/>
        <w:jc w:val="both"/>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46"/>
        <w:ind w:left="11" w:right="2"/>
      </w:pPr>
      <w:r>
        <w:t>風險資料</w:t>
      </w:r>
      <w:r>
        <w:rPr>
          <w:rFonts w:ascii="Arial" w:eastAsia="Arial" w:hAnsi="Arial" w:cs="Arial"/>
          <w:b/>
        </w:rPr>
        <w:t xml:space="preserve"> </w:t>
      </w:r>
    </w:p>
    <w:p w:rsidR="004D6F0E" w:rsidRDefault="00490F21">
      <w:pPr>
        <w:spacing w:after="44" w:line="273" w:lineRule="auto"/>
        <w:ind w:left="14" w:right="555"/>
        <w:jc w:val="both"/>
      </w:pPr>
      <w:r>
        <w:t>本基金擬使用金融衍生工具。第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r>
        <w:t xml:space="preserve"> </w:t>
      </w:r>
      <w:r>
        <w:rPr>
          <w:rFonts w:ascii="Arial" w:eastAsia="Arial" w:hAnsi="Arial" w:cs="Arial"/>
        </w:rPr>
        <w:t>(13)</w:t>
      </w:r>
      <w:r>
        <w:t>項投資限制不適用於本基金。本基金另將使用風險值</w:t>
      </w:r>
      <w:r>
        <w:rPr>
          <w:rFonts w:ascii="Arial" w:eastAsia="Arial" w:hAnsi="Arial" w:cs="Arial"/>
        </w:rPr>
        <w:t xml:space="preserve">(VaR) </w:t>
      </w:r>
      <w:r>
        <w:t>方法。有關</w:t>
      </w:r>
      <w:r>
        <w:t xml:space="preserve"> </w:t>
      </w:r>
      <w:r>
        <w:rPr>
          <w:rFonts w:ascii="Arial" w:eastAsia="Arial" w:hAnsi="Arial" w:cs="Arial"/>
        </w:rPr>
        <w:t xml:space="preserve">VaR </w:t>
      </w:r>
      <w:r>
        <w:t>方法的進一步詳情，請參閱「附錄</w:t>
      </w:r>
      <w:r>
        <w:t xml:space="preserve"> </w:t>
      </w:r>
      <w:r>
        <w:rPr>
          <w:rFonts w:ascii="Arial" w:eastAsia="Arial" w:hAnsi="Arial" w:cs="Arial"/>
        </w:rPr>
        <w:t>C</w:t>
      </w:r>
      <w:r>
        <w:t>：有關金融衍生工具、金融技術及工具以及抵押品管理的額外資料」。本基金將投資的固定收益證券須承受發售此等證券的私營及公營機構的信用風險，且其市場價值會受利率變動影響。由於本基金所投資的固定收益證券可能是低於投資級別的證券，本基金涉及的此類風險高於純粹投資於投資級別或具同等質素固定收益證券的基金。低於投資級別的證券所涉及的本息損失風險亦較大，其流動性普遍較差且價值波動較大。本基金不能保證會作出任何分派</w:t>
      </w:r>
      <w:r>
        <w:t>﹐而且本基金並無特定償還期。</w:t>
      </w:r>
      <w:r>
        <w:rPr>
          <w:rFonts w:ascii="Arial" w:eastAsia="Arial" w:hAnsi="Arial" w:cs="Arial"/>
          <w:sz w:val="24"/>
        </w:rPr>
        <w:t xml:space="preserve"> </w:t>
      </w:r>
    </w:p>
    <w:p w:rsidR="004D6F0E" w:rsidRDefault="00490F21">
      <w:pPr>
        <w:spacing w:after="51"/>
        <w:ind w:left="11" w:right="2"/>
      </w:pPr>
      <w:r>
        <w:t>本基金須承受市場、利率及貨幣波動及證券投資固有的其他風險。因此，不能保證投資目標將獲達致、投資資本將得以保全或資本得以增值。每月、每季或每年的投資業績均可能出現重大變化。本基金內的投資並非代表完整的投資計劃。</w:t>
      </w:r>
      <w:r>
        <w:rPr>
          <w:rFonts w:ascii="Arial" w:eastAsia="Arial" w:hAnsi="Arial" w:cs="Arial"/>
          <w:sz w:val="24"/>
        </w:rPr>
        <w:t xml:space="preserve"> </w:t>
      </w:r>
    </w:p>
    <w:p w:rsidR="004D6F0E" w:rsidRDefault="00490F21">
      <w:pPr>
        <w:spacing w:after="128"/>
        <w:ind w:left="11" w:right="2"/>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104"/>
        <w:ind w:left="11" w:right="2"/>
      </w:pPr>
      <w:r>
        <w:t>典型投資者的資料</w:t>
      </w:r>
      <w:r>
        <w:rPr>
          <w:rFonts w:ascii="Arial" w:eastAsia="Arial" w:hAnsi="Arial" w:cs="Arial"/>
        </w:rPr>
        <w:t xml:space="preserve"> </w:t>
      </w:r>
    </w:p>
    <w:p w:rsidR="004D6F0E" w:rsidRDefault="00490F21">
      <w:pPr>
        <w:spacing w:after="58"/>
        <w:ind w:left="11" w:right="2"/>
      </w:pPr>
      <w:r>
        <w:t>本基金適合尋求固定收益投資潛在收入且能承受較高風險的投資者。有關本基金的股份是否適合其投資需要，投資者敬請諮詢其獨立財務顧問。</w:t>
      </w:r>
      <w:r>
        <w:rPr>
          <w:rFonts w:ascii="Arial" w:eastAsia="Arial" w:hAnsi="Arial" w:cs="Arial"/>
          <w:sz w:val="24"/>
        </w:rPr>
        <w:t xml:space="preserve"> </w:t>
      </w:r>
    </w:p>
    <w:p w:rsidR="004D6F0E" w:rsidRDefault="00490F21">
      <w:pPr>
        <w:spacing w:after="47"/>
        <w:ind w:left="11" w:right="2"/>
      </w:pPr>
      <w:r>
        <w:t>派息</w:t>
      </w:r>
      <w:r>
        <w:rPr>
          <w:rFonts w:ascii="Arial" w:eastAsia="Arial" w:hAnsi="Arial" w:cs="Arial"/>
          <w:b/>
        </w:rPr>
        <w:t xml:space="preserve"> </w:t>
      </w:r>
    </w:p>
    <w:p w:rsidR="004D6F0E" w:rsidRDefault="00490F21">
      <w:pPr>
        <w:spacing w:after="112"/>
        <w:ind w:left="11" w:right="2"/>
      </w:pPr>
      <w:r>
        <w:t>就</w:t>
      </w:r>
      <w:r>
        <w:t xml:space="preserve"> </w:t>
      </w:r>
      <w:r>
        <w:rPr>
          <w:rFonts w:ascii="Arial" w:eastAsia="Arial" w:hAnsi="Arial" w:cs="Arial"/>
        </w:rPr>
        <w:t>A</w:t>
      </w:r>
      <w:r>
        <w:t>、</w:t>
      </w:r>
      <w:r>
        <w:rPr>
          <w:rFonts w:ascii="Arial" w:eastAsia="Arial" w:hAnsi="Arial" w:cs="Arial"/>
        </w:rPr>
        <w:t>B</w:t>
      </w:r>
      <w:r>
        <w:t>、</w:t>
      </w:r>
      <w:r>
        <w:rPr>
          <w:rFonts w:ascii="Arial" w:eastAsia="Arial" w:hAnsi="Arial" w:cs="Arial"/>
        </w:rPr>
        <w:t>C</w:t>
      </w:r>
      <w:r>
        <w:t>、</w:t>
      </w:r>
      <w:r>
        <w:rPr>
          <w:rFonts w:ascii="Arial" w:eastAsia="Arial" w:hAnsi="Arial" w:cs="Arial"/>
        </w:rPr>
        <w:t>I</w:t>
      </w:r>
      <w:r>
        <w:t>、</w:t>
      </w:r>
      <w:r>
        <w:rPr>
          <w:rFonts w:ascii="Arial" w:eastAsia="Arial" w:hAnsi="Arial" w:cs="Arial"/>
        </w:rPr>
        <w:t>JA</w:t>
      </w:r>
      <w:r>
        <w:t>、</w:t>
      </w:r>
      <w:r>
        <w:rPr>
          <w:rFonts w:ascii="Arial" w:eastAsia="Arial" w:hAnsi="Arial" w:cs="Arial"/>
        </w:rPr>
        <w:t xml:space="preserve">J </w:t>
      </w:r>
      <w:r>
        <w:t>及</w:t>
      </w:r>
      <w:r>
        <w:t xml:space="preserve"> </w:t>
      </w:r>
      <w:r>
        <w:rPr>
          <w:rFonts w:ascii="Arial" w:eastAsia="Arial" w:hAnsi="Arial" w:cs="Arial"/>
        </w:rPr>
        <w:t xml:space="preserve">W </w:t>
      </w:r>
      <w:r>
        <w:t>類股份（及相應</w:t>
      </w:r>
      <w:r>
        <w:t xml:space="preserve"> </w:t>
      </w:r>
      <w:r>
        <w:rPr>
          <w:rFonts w:ascii="Arial" w:eastAsia="Arial" w:hAnsi="Arial" w:cs="Arial"/>
        </w:rPr>
        <w:t xml:space="preserve">H </w:t>
      </w:r>
      <w:r>
        <w:t>類股份）而言，管理公司擬按日宣派並按月派付股息，股息數額等於各類股份應佔本基金淨收入的全部或絕大部分。</w:t>
      </w:r>
      <w:r>
        <w:rPr>
          <w:rFonts w:ascii="Arial" w:eastAsia="Arial" w:hAnsi="Arial" w:cs="Arial"/>
        </w:rPr>
        <w:t xml:space="preserve"> </w:t>
      </w:r>
    </w:p>
    <w:p w:rsidR="004D6F0E" w:rsidRDefault="00490F21">
      <w:pPr>
        <w:spacing w:after="53"/>
        <w:ind w:left="11" w:right="2"/>
      </w:pPr>
      <w:r>
        <w:t>就</w:t>
      </w:r>
      <w:r>
        <w:t xml:space="preserve"> </w:t>
      </w:r>
      <w:r>
        <w:rPr>
          <w:rFonts w:ascii="Arial" w:eastAsia="Arial" w:hAnsi="Arial" w:cs="Arial"/>
        </w:rPr>
        <w:t>AT</w:t>
      </w:r>
      <w:r>
        <w:t>、</w:t>
      </w:r>
      <w:r>
        <w:rPr>
          <w:rFonts w:ascii="Arial" w:eastAsia="Arial" w:hAnsi="Arial" w:cs="Arial"/>
        </w:rPr>
        <w:t>BT</w:t>
      </w:r>
      <w:r>
        <w:t>、</w:t>
      </w:r>
      <w:r>
        <w:rPr>
          <w:rFonts w:ascii="Arial" w:eastAsia="Arial" w:hAnsi="Arial" w:cs="Arial"/>
        </w:rPr>
        <w:t>CT</w:t>
      </w:r>
      <w:r>
        <w:t>、</w:t>
      </w:r>
      <w:r>
        <w:rPr>
          <w:rFonts w:ascii="Arial" w:eastAsia="Arial" w:hAnsi="Arial" w:cs="Arial"/>
        </w:rPr>
        <w:t>IT</w:t>
      </w:r>
      <w:r>
        <w:t>、</w:t>
      </w:r>
      <w:r>
        <w:rPr>
          <w:rFonts w:ascii="Arial" w:eastAsia="Arial" w:hAnsi="Arial" w:cs="Arial"/>
        </w:rPr>
        <w:t>LT</w:t>
      </w:r>
      <w:r>
        <w:t>、</w:t>
      </w:r>
      <w:r>
        <w:rPr>
          <w:rFonts w:ascii="Arial" w:eastAsia="Arial" w:hAnsi="Arial" w:cs="Arial"/>
        </w:rPr>
        <w:t>NT</w:t>
      </w:r>
      <w:r>
        <w:t>、</w:t>
      </w:r>
      <w:r>
        <w:rPr>
          <w:rFonts w:ascii="Arial" w:eastAsia="Arial" w:hAnsi="Arial" w:cs="Arial"/>
        </w:rPr>
        <w:t>S1D</w:t>
      </w:r>
      <w:r>
        <w:t>、</w:t>
      </w:r>
      <w:r>
        <w:rPr>
          <w:rFonts w:ascii="Arial" w:eastAsia="Arial" w:hAnsi="Arial" w:cs="Arial"/>
        </w:rPr>
        <w:t>S1D2</w:t>
      </w:r>
      <w:r>
        <w:t>、</w:t>
      </w:r>
      <w:r>
        <w:rPr>
          <w:rFonts w:ascii="Arial" w:eastAsia="Arial" w:hAnsi="Arial" w:cs="Arial"/>
        </w:rPr>
        <w:t xml:space="preserve">WT </w:t>
      </w:r>
      <w:r>
        <w:t>及</w:t>
      </w:r>
      <w:r>
        <w:rPr>
          <w:rFonts w:ascii="Arial" w:eastAsia="Arial" w:hAnsi="Arial" w:cs="Arial"/>
        </w:rPr>
        <w:t xml:space="preserve"> ZT </w:t>
      </w:r>
      <w:r>
        <w:t>類股份（及相應</w:t>
      </w:r>
      <w:r>
        <w:t xml:space="preserve"> </w:t>
      </w:r>
      <w:r>
        <w:rPr>
          <w:rFonts w:ascii="Arial" w:eastAsia="Arial" w:hAnsi="Arial" w:cs="Arial"/>
        </w:rPr>
        <w:t xml:space="preserve">H </w:t>
      </w:r>
      <w:r>
        <w:t>及</w:t>
      </w:r>
      <w:r>
        <w:t xml:space="preserve"> </w:t>
      </w:r>
      <w:r>
        <w:rPr>
          <w:rFonts w:ascii="Arial" w:eastAsia="Arial" w:hAnsi="Arial" w:cs="Arial"/>
        </w:rPr>
        <w:t>DUR</w:t>
      </w:r>
      <w:r>
        <w:rPr>
          <w:rFonts w:ascii="Arial" w:eastAsia="Arial" w:hAnsi="Arial" w:cs="Arial"/>
          <w:sz w:val="18"/>
        </w:rPr>
        <w:t xml:space="preserve"> P</w:t>
      </w:r>
      <w:r>
        <w:rPr>
          <w:rFonts w:ascii="Arial" w:eastAsia="Arial" w:hAnsi="Arial" w:cs="Arial"/>
        </w:rPr>
        <w:t xml:space="preserve">H </w:t>
      </w:r>
      <w:r>
        <w:t>類股份）而言，管理公司擬按月宣派及派付股息，股息數額等於各類股份應佔本基金淨收入的全部或絕大部分。</w:t>
      </w:r>
      <w:r>
        <w:rPr>
          <w:rFonts w:ascii="Arial" w:eastAsia="Arial" w:hAnsi="Arial" w:cs="Arial"/>
        </w:rPr>
        <w:t xml:space="preserve"> </w:t>
      </w:r>
      <w:r>
        <w:rPr>
          <w:rFonts w:ascii="Arial" w:eastAsia="Arial" w:hAnsi="Arial" w:cs="Arial"/>
          <w:sz w:val="24"/>
        </w:rPr>
        <w:t xml:space="preserve"> </w:t>
      </w:r>
    </w:p>
    <w:p w:rsidR="004D6F0E" w:rsidRDefault="00490F21">
      <w:pPr>
        <w:spacing w:after="100"/>
        <w:ind w:left="11" w:right="2"/>
      </w:pPr>
      <w:r>
        <w:t>就</w:t>
      </w:r>
      <w:r>
        <w:t xml:space="preserve"> </w:t>
      </w:r>
      <w:r>
        <w:rPr>
          <w:rFonts w:ascii="Arial" w:eastAsia="Arial" w:hAnsi="Arial" w:cs="Arial"/>
        </w:rPr>
        <w:t xml:space="preserve">AK </w:t>
      </w:r>
      <w:r>
        <w:t>類及</w:t>
      </w:r>
      <w:r>
        <w:t xml:space="preserve"> </w:t>
      </w:r>
      <w:r>
        <w:rPr>
          <w:rFonts w:ascii="Arial" w:eastAsia="Arial" w:hAnsi="Arial" w:cs="Arial"/>
        </w:rPr>
        <w:t xml:space="preserve">CK </w:t>
      </w:r>
      <w:r>
        <w:t>類股份（及相應</w:t>
      </w:r>
      <w:r>
        <w:t xml:space="preserve"> </w:t>
      </w:r>
      <w:r>
        <w:rPr>
          <w:rFonts w:ascii="Arial" w:eastAsia="Arial" w:hAnsi="Arial" w:cs="Arial"/>
        </w:rPr>
        <w:t xml:space="preserve">H </w:t>
      </w:r>
      <w:r>
        <w:t>類股份）而言，管理公司擬每年兩次宣派及派付股息，股息數額等於各類股份應佔本基金淨收入的全部或絕大部分。</w:t>
      </w:r>
      <w:r>
        <w:rPr>
          <w:rFonts w:ascii="Arial" w:eastAsia="Arial" w:hAnsi="Arial" w:cs="Arial"/>
        </w:rPr>
        <w:t xml:space="preserve"> </w:t>
      </w:r>
    </w:p>
    <w:p w:rsidR="004D6F0E" w:rsidRDefault="00490F21">
      <w:pPr>
        <w:spacing w:after="1135" w:line="351" w:lineRule="auto"/>
        <w:ind w:left="0" w:right="5687" w:firstLine="0"/>
      </w:pPr>
      <w:r>
        <w:rPr>
          <w:rFonts w:ascii="Arial" w:eastAsia="Arial" w:hAnsi="Arial" w:cs="Arial"/>
        </w:rPr>
        <w:t xml:space="preserve">  </w:t>
      </w:r>
    </w:p>
    <w:p w:rsidR="004D6F0E" w:rsidRDefault="00490F21">
      <w:pPr>
        <w:spacing w:after="191" w:line="259" w:lineRule="auto"/>
        <w:ind w:right="46" w:hanging="10"/>
        <w:jc w:val="right"/>
      </w:pPr>
      <w:r>
        <w:rPr>
          <w:rFonts w:ascii="Times New Roman" w:eastAsia="Times New Roman" w:hAnsi="Times New Roman" w:cs="Times New Roman"/>
          <w:sz w:val="20"/>
        </w:rPr>
        <w:t>I-66</w:t>
      </w:r>
      <w:r>
        <w:rPr>
          <w:rFonts w:ascii="Times New Roman" w:eastAsia="Times New Roman" w:hAnsi="Times New Roman" w:cs="Times New Roman"/>
          <w:sz w:val="12"/>
        </w:rPr>
        <w:t xml:space="preserve"> </w:t>
      </w:r>
    </w:p>
    <w:p w:rsidR="004D6F0E" w:rsidRDefault="00490F21">
      <w:pPr>
        <w:spacing w:after="269"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10" w:line="351" w:lineRule="auto"/>
        <w:ind w:left="0" w:right="5292" w:firstLine="0"/>
      </w:pPr>
      <w:r>
        <w:rPr>
          <w:rFonts w:ascii="Arial" w:eastAsia="Arial" w:hAnsi="Arial" w:cs="Arial"/>
        </w:rPr>
        <w:t xml:space="preserve">  </w:t>
      </w:r>
    </w:p>
    <w:p w:rsidR="004D6F0E" w:rsidRDefault="00490F21">
      <w:pPr>
        <w:spacing w:after="102" w:line="273" w:lineRule="auto"/>
        <w:ind w:left="14" w:right="115"/>
        <w:jc w:val="both"/>
      </w:pPr>
      <w:r>
        <w:t>就</w:t>
      </w:r>
      <w:r>
        <w:t xml:space="preserve"> </w:t>
      </w:r>
      <w:r>
        <w:rPr>
          <w:rFonts w:ascii="Arial" w:eastAsia="Arial" w:hAnsi="Arial" w:cs="Arial"/>
        </w:rPr>
        <w:t>AA</w:t>
      </w:r>
      <w:r>
        <w:t>、</w:t>
      </w:r>
      <w:r>
        <w:rPr>
          <w:rFonts w:ascii="Arial" w:eastAsia="Arial" w:hAnsi="Arial" w:cs="Arial"/>
        </w:rPr>
        <w:t>EA</w:t>
      </w:r>
      <w:r>
        <w:t>、</w:t>
      </w:r>
      <w:r>
        <w:rPr>
          <w:rFonts w:ascii="Arial" w:eastAsia="Arial" w:hAnsi="Arial" w:cs="Arial"/>
        </w:rPr>
        <w:t xml:space="preserve">IA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及</w:t>
      </w:r>
      <w:r>
        <w:t xml:space="preserve"> </w:t>
      </w:r>
      <w:r>
        <w:rPr>
          <w:rFonts w:ascii="Arial" w:eastAsia="Arial" w:hAnsi="Arial" w:cs="Arial"/>
        </w:rPr>
        <w:t xml:space="preserve">DUR PH </w:t>
      </w:r>
      <w:r>
        <w:t>類股份）而言，管理公司擬按月宣派及派付股息。就</w:t>
      </w:r>
      <w:r>
        <w:t xml:space="preserve"> </w:t>
      </w:r>
      <w:r>
        <w:rPr>
          <w:rFonts w:ascii="Arial" w:eastAsia="Arial" w:hAnsi="Arial" w:cs="Arial"/>
        </w:rPr>
        <w:t xml:space="preserve">SHK </w:t>
      </w:r>
      <w:r>
        <w:t>類股份（及相應</w:t>
      </w:r>
      <w:r>
        <w:t xml:space="preserve"> </w:t>
      </w:r>
      <w:r>
        <w:rPr>
          <w:rFonts w:ascii="Arial" w:eastAsia="Arial" w:hAnsi="Arial" w:cs="Arial"/>
        </w:rPr>
        <w:t xml:space="preserve">H </w:t>
      </w:r>
      <w:r>
        <w:t>類股份）而言，管理公司擬每日宣派及按月派付股息。管理公司擬保持每股有關股份類別的穩定的派息率。就</w:t>
      </w:r>
      <w:r>
        <w:t xml:space="preserve"> </w:t>
      </w:r>
      <w:r>
        <w:rPr>
          <w:rFonts w:ascii="Arial" w:eastAsia="Arial" w:hAnsi="Arial" w:cs="Arial"/>
        </w:rPr>
        <w:t xml:space="preserve">AR </w:t>
      </w:r>
      <w:r>
        <w:t>類股份（及相應</w:t>
      </w:r>
      <w:r>
        <w:t xml:space="preserve"> </w:t>
      </w:r>
      <w:r>
        <w:rPr>
          <w:rFonts w:ascii="Arial" w:eastAsia="Arial" w:hAnsi="Arial" w:cs="Arial"/>
        </w:rPr>
        <w:t xml:space="preserve">H </w:t>
      </w:r>
      <w:r>
        <w:t>類股份）而言，管理公司擬按年宣派及派付股息。派息率將來自未扣除費用及開支前的總收入，派息亦可包括已實現及未實現的收益及有關股份類別應佔的資本。由於費用及開支未令派息率降低，故每股有關類別股份的資產淨值將因有關費用及開支而降低。</w:t>
      </w:r>
      <w:r>
        <w:rPr>
          <w:rFonts w:ascii="Arial" w:eastAsia="Arial" w:hAnsi="Arial" w:cs="Arial"/>
        </w:rPr>
        <w:t xml:space="preserve"> </w:t>
      </w:r>
    </w:p>
    <w:p w:rsidR="004D6F0E" w:rsidRDefault="00490F21">
      <w:pPr>
        <w:spacing w:after="102"/>
        <w:ind w:left="11" w:right="2"/>
      </w:pPr>
      <w:r>
        <w:t>就</w:t>
      </w:r>
      <w:r>
        <w:t xml:space="preserve"> </w:t>
      </w:r>
      <w:r>
        <w:rPr>
          <w:rFonts w:ascii="Arial" w:eastAsia="Arial" w:hAnsi="Arial" w:cs="Arial"/>
        </w:rPr>
        <w:t xml:space="preserve">S1QD </w:t>
      </w:r>
      <w:r>
        <w:t>類股份（及相應</w:t>
      </w:r>
      <w:r>
        <w:t xml:space="preserve"> </w:t>
      </w:r>
      <w:r>
        <w:rPr>
          <w:rFonts w:ascii="Arial" w:eastAsia="Arial" w:hAnsi="Arial" w:cs="Arial"/>
        </w:rPr>
        <w:t xml:space="preserve">H </w:t>
      </w:r>
      <w:r>
        <w:t>類股份）而言，管理公司擬按季宣派及派付股息，股息數額等於各類股份應佔本基金淨收入的全部或絕大部分。</w:t>
      </w:r>
      <w:r>
        <w:rPr>
          <w:rFonts w:ascii="Arial" w:eastAsia="Arial" w:hAnsi="Arial" w:cs="Arial"/>
        </w:rPr>
        <w:t xml:space="preserve"> </w:t>
      </w:r>
    </w:p>
    <w:p w:rsidR="004D6F0E" w:rsidRDefault="00490F21">
      <w:pPr>
        <w:spacing w:after="109"/>
        <w:ind w:left="11" w:right="2"/>
      </w:pPr>
      <w:r>
        <w:t>管理公司也可決定支付的</w:t>
      </w:r>
      <w:r>
        <w:t>股息是否包括或在多大程度上包括已實現資本收益及／或是否或在多大程度上從相關股份類別應佔的資本中支付。倘此等股份應佔的淨收入及淨實現利潤超出應付的已宣派數額，則超出的回報將於此等股份各自的資產淨值中反映。股息可按股東的選擇自動再投資。</w:t>
      </w:r>
      <w:r>
        <w:rPr>
          <w:rFonts w:ascii="Arial" w:eastAsia="Arial" w:hAnsi="Arial" w:cs="Arial"/>
        </w:rPr>
        <w:t xml:space="preserve"> </w:t>
      </w:r>
    </w:p>
    <w:p w:rsidR="004D6F0E" w:rsidRDefault="00490F21">
      <w:pPr>
        <w:spacing w:after="101"/>
        <w:ind w:left="11" w:right="2"/>
      </w:pPr>
      <w:r>
        <w:lastRenderedPageBreak/>
        <w:t>就</w:t>
      </w:r>
      <w:r>
        <w:t xml:space="preserve"> </w:t>
      </w:r>
      <w:r>
        <w:rPr>
          <w:rFonts w:ascii="Arial" w:eastAsia="Arial" w:hAnsi="Arial" w:cs="Arial"/>
        </w:rPr>
        <w:t>A2</w:t>
      </w:r>
      <w:r>
        <w:t>、</w:t>
      </w:r>
      <w:r>
        <w:rPr>
          <w:rFonts w:ascii="Arial" w:eastAsia="Arial" w:hAnsi="Arial" w:cs="Arial"/>
        </w:rPr>
        <w:t>B2</w:t>
      </w:r>
      <w:r>
        <w:t>、</w:t>
      </w:r>
      <w:r>
        <w:rPr>
          <w:rFonts w:ascii="Arial" w:eastAsia="Arial" w:hAnsi="Arial" w:cs="Arial"/>
        </w:rPr>
        <w:t>C2</w:t>
      </w:r>
      <w:r>
        <w:t>、</w:t>
      </w:r>
      <w:r>
        <w:rPr>
          <w:rFonts w:ascii="Arial" w:eastAsia="Arial" w:hAnsi="Arial" w:cs="Arial"/>
        </w:rPr>
        <w:t>I2</w:t>
      </w:r>
      <w:r>
        <w:t>、</w:t>
      </w:r>
      <w:r>
        <w:rPr>
          <w:rFonts w:ascii="Arial" w:eastAsia="Arial" w:hAnsi="Arial" w:cs="Arial"/>
        </w:rPr>
        <w:t>L2</w:t>
      </w:r>
      <w:r>
        <w:t>、</w:t>
      </w:r>
      <w:r>
        <w:rPr>
          <w:rFonts w:ascii="Arial" w:eastAsia="Arial" w:hAnsi="Arial" w:cs="Arial"/>
        </w:rPr>
        <w:t>N2</w:t>
      </w:r>
      <w:r>
        <w:t>、</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W2 </w:t>
      </w:r>
      <w:r>
        <w:t>類股份（及相應</w:t>
      </w:r>
      <w:r>
        <w:t xml:space="preserve"> </w:t>
      </w:r>
      <w:r>
        <w:rPr>
          <w:rFonts w:ascii="Arial" w:eastAsia="Arial" w:hAnsi="Arial" w:cs="Arial"/>
        </w:rPr>
        <w:t xml:space="preserve">H </w:t>
      </w:r>
      <w:r>
        <w:t>及</w:t>
      </w:r>
      <w:r>
        <w:t xml:space="preserve"> </w:t>
      </w:r>
      <w:r>
        <w:rPr>
          <w:rFonts w:ascii="Arial" w:eastAsia="Arial" w:hAnsi="Arial" w:cs="Arial"/>
        </w:rPr>
        <w:t xml:space="preserve">DUR PH </w:t>
      </w:r>
      <w:r>
        <w:t>類股份）而言，管理公司現時無意就此等股份派付股息。因此，股份應佔的任何淨收入及淨實現利潤均將於此等股份各自的資產淨值中反映。</w:t>
      </w:r>
      <w:r>
        <w:rPr>
          <w:rFonts w:ascii="Arial" w:eastAsia="Arial" w:hAnsi="Arial" w:cs="Arial"/>
        </w:rPr>
        <w:t xml:space="preserve"> </w:t>
      </w:r>
    </w:p>
    <w:p w:rsidR="004D6F0E" w:rsidRDefault="00490F21">
      <w:pPr>
        <w:spacing w:after="53"/>
        <w:ind w:left="11" w:right="2"/>
      </w:pPr>
      <w:r>
        <w:t>管理公司、行政管理人、存管人及過戶代理費用</w:t>
      </w:r>
      <w:r>
        <w:rPr>
          <w:rFonts w:ascii="Arial" w:eastAsia="Arial" w:hAnsi="Arial" w:cs="Arial"/>
          <w:b/>
        </w:rPr>
        <w:t xml:space="preserve"> </w:t>
      </w:r>
    </w:p>
    <w:p w:rsidR="004D6F0E" w:rsidRDefault="00490F21">
      <w:pPr>
        <w:spacing w:after="102" w:line="273" w:lineRule="auto"/>
        <w:ind w:left="14" w:right="41"/>
        <w:jc w:val="both"/>
      </w:pPr>
      <w:r>
        <w:t>就除</w:t>
      </w:r>
      <w:r>
        <w:t xml:space="preserve"> </w:t>
      </w:r>
      <w:r>
        <w:rPr>
          <w:rFonts w:ascii="Arial" w:eastAsia="Arial" w:hAnsi="Arial" w:cs="Arial"/>
        </w:rPr>
        <w:t>S</w:t>
      </w:r>
      <w:r>
        <w:t>、</w:t>
      </w:r>
      <w:r>
        <w:rPr>
          <w:rFonts w:ascii="Arial" w:eastAsia="Arial" w:hAnsi="Arial" w:cs="Arial"/>
        </w:rPr>
        <w:t>SHK</w:t>
      </w:r>
      <w:r>
        <w:t>、</w:t>
      </w:r>
      <w:r>
        <w:rPr>
          <w:rFonts w:ascii="Arial" w:eastAsia="Arial" w:hAnsi="Arial" w:cs="Arial"/>
        </w:rPr>
        <w:t>S1D</w:t>
      </w:r>
      <w:r>
        <w:t>、</w:t>
      </w:r>
      <w:r>
        <w:rPr>
          <w:rFonts w:ascii="Arial" w:eastAsia="Arial" w:hAnsi="Arial" w:cs="Arial"/>
        </w:rPr>
        <w:t>S1D2</w:t>
      </w:r>
      <w:r>
        <w:t>、</w:t>
      </w:r>
      <w:r>
        <w:rPr>
          <w:rFonts w:ascii="Arial" w:eastAsia="Arial" w:hAnsi="Arial" w:cs="Arial"/>
        </w:rPr>
        <w:t>S1QD</w:t>
      </w:r>
      <w:r>
        <w:t>、</w:t>
      </w:r>
      <w:r>
        <w:rPr>
          <w:rFonts w:ascii="Arial" w:eastAsia="Arial" w:hAnsi="Arial" w:cs="Arial"/>
        </w:rPr>
        <w:t xml:space="preserve">S1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及</w:t>
      </w:r>
      <w:r>
        <w:t xml:space="preserve"> </w:t>
      </w:r>
      <w:r>
        <w:rPr>
          <w:rFonts w:ascii="Arial" w:eastAsia="Arial" w:hAnsi="Arial" w:cs="Arial"/>
        </w:rPr>
        <w:t xml:space="preserve">DUR PH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0.10%</w:t>
      </w:r>
      <w:r>
        <w:t>。管理公司按</w:t>
      </w:r>
      <w:r>
        <w:t xml:space="preserve"> </w:t>
      </w:r>
      <w:r>
        <w:rPr>
          <w:rFonts w:ascii="Arial" w:eastAsia="Arial" w:hAnsi="Arial" w:cs="Arial"/>
        </w:rPr>
        <w:t>S</w:t>
      </w:r>
      <w:r>
        <w:t>、</w:t>
      </w:r>
      <w:r>
        <w:t xml:space="preserve"> </w:t>
      </w:r>
      <w:r>
        <w:rPr>
          <w:rFonts w:ascii="Arial" w:eastAsia="Arial" w:hAnsi="Arial" w:cs="Arial"/>
        </w:rPr>
        <w:t>SHK</w:t>
      </w:r>
      <w:r>
        <w:t>、</w:t>
      </w:r>
      <w:r>
        <w:rPr>
          <w:rFonts w:ascii="Arial" w:eastAsia="Arial" w:hAnsi="Arial" w:cs="Arial"/>
        </w:rPr>
        <w:t>S1D</w:t>
      </w:r>
      <w:r>
        <w:t>、</w:t>
      </w:r>
      <w:r>
        <w:rPr>
          <w:rFonts w:ascii="Arial" w:eastAsia="Arial" w:hAnsi="Arial" w:cs="Arial"/>
        </w:rPr>
        <w:t>S1D2</w:t>
      </w:r>
      <w:r>
        <w:t>、</w:t>
      </w:r>
      <w:r>
        <w:rPr>
          <w:rFonts w:ascii="Arial" w:eastAsia="Arial" w:hAnsi="Arial" w:cs="Arial"/>
        </w:rPr>
        <w:t>S1QD</w:t>
      </w:r>
      <w:r>
        <w:t>、</w:t>
      </w:r>
      <w:r>
        <w:rPr>
          <w:rFonts w:ascii="Arial" w:eastAsia="Arial" w:hAnsi="Arial" w:cs="Arial"/>
        </w:rPr>
        <w:t xml:space="preserve">S1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美元或日均資產淨值的</w:t>
      </w:r>
      <w:r>
        <w:t xml:space="preserve"> </w:t>
      </w:r>
      <w:r>
        <w:rPr>
          <w:rFonts w:ascii="Arial" w:eastAsia="Arial" w:hAnsi="Arial" w:cs="Arial"/>
        </w:rPr>
        <w:t>0.01%</w:t>
      </w:r>
      <w:r>
        <w:t>（以較低者為準）。由於管理公司費用乃由投資於</w:t>
      </w:r>
      <w:r>
        <w:t xml:space="preserve"> </w:t>
      </w:r>
      <w:r>
        <w:rPr>
          <w:rFonts w:ascii="Arial" w:eastAsia="Arial" w:hAnsi="Arial" w:cs="Arial"/>
        </w:rPr>
        <w:t xml:space="preserve">ZT </w:t>
      </w:r>
      <w:r>
        <w:t>類股份的聯博基金支付，故為避免重複收費，</w:t>
      </w:r>
      <w:r>
        <w:rPr>
          <w:rFonts w:ascii="Arial" w:eastAsia="Arial" w:hAnsi="Arial" w:cs="Arial"/>
        </w:rPr>
        <w:t xml:space="preserve">ZT </w:t>
      </w:r>
      <w:r>
        <w:t>類股份獲豁免支付管理公司費用。</w:t>
      </w:r>
      <w:r>
        <w:rPr>
          <w:rFonts w:ascii="Arial" w:eastAsia="Arial" w:hAnsi="Arial" w:cs="Arial"/>
        </w:rPr>
        <w:t xml:space="preserve"> </w:t>
      </w:r>
    </w:p>
    <w:p w:rsidR="004D6F0E" w:rsidRDefault="00490F21">
      <w:pPr>
        <w:ind w:left="11" w:right="2"/>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w:t>
      </w:r>
    </w:p>
    <w:p w:rsidR="004D6F0E" w:rsidRDefault="00490F21">
      <w:pPr>
        <w:spacing w:after="105"/>
        <w:ind w:left="11" w:right="2"/>
      </w:pPr>
      <w:r>
        <w:t>此等費用的增減是取決於本基金資產及交易量或其他原因。</w:t>
      </w:r>
      <w:r>
        <w:rPr>
          <w:rFonts w:ascii="Arial" w:eastAsia="Arial" w:hAnsi="Arial" w:cs="Arial"/>
        </w:rPr>
        <w:t xml:space="preserve"> </w:t>
      </w:r>
    </w:p>
    <w:p w:rsidR="004D6F0E" w:rsidRDefault="00490F21">
      <w:pPr>
        <w:spacing w:after="42"/>
        <w:ind w:left="11" w:right="2"/>
      </w:pPr>
      <w:r>
        <w:t>設立開支</w:t>
      </w:r>
      <w:r>
        <w:rPr>
          <w:rFonts w:ascii="Arial" w:eastAsia="Arial" w:hAnsi="Arial" w:cs="Arial"/>
          <w:b/>
        </w:rPr>
        <w:t xml:space="preserve"> </w:t>
      </w:r>
    </w:p>
    <w:p w:rsidR="004D6F0E" w:rsidRDefault="00490F21">
      <w:pPr>
        <w:spacing w:after="105"/>
        <w:ind w:left="11" w:right="2"/>
      </w:pPr>
      <w:r>
        <w:t>本基金並無未攤銷設立開支。</w:t>
      </w:r>
      <w:r>
        <w:rPr>
          <w:rFonts w:ascii="Arial" w:eastAsia="Arial" w:hAnsi="Arial" w:cs="Arial"/>
        </w:rPr>
        <w:t xml:space="preserve"> </w:t>
      </w:r>
    </w:p>
    <w:p w:rsidR="004D6F0E" w:rsidRDefault="00490F21">
      <w:pPr>
        <w:spacing w:after="53"/>
        <w:ind w:left="11" w:right="2"/>
      </w:pPr>
      <w:r>
        <w:t>過往表現</w:t>
      </w:r>
      <w:r>
        <w:rPr>
          <w:rFonts w:ascii="Arial" w:eastAsia="Arial" w:hAnsi="Arial" w:cs="Arial"/>
          <w:b/>
        </w:rPr>
        <w:t xml:space="preserve"> </w:t>
      </w:r>
    </w:p>
    <w:p w:rsidR="004D6F0E" w:rsidRDefault="00490F21">
      <w:pPr>
        <w:spacing w:after="122" w:line="254" w:lineRule="auto"/>
        <w:ind w:left="8" w:hanging="10"/>
      </w:pPr>
      <w:r>
        <w:t>有關本基金過往表現的資料可瀏覽</w:t>
      </w:r>
      <w:r>
        <w:t xml:space="preserve"> </w:t>
      </w:r>
      <w:hyperlink r:id="rId194">
        <w:r>
          <w:rPr>
            <w:rFonts w:ascii="Arial" w:eastAsia="Arial" w:hAnsi="Arial" w:cs="Arial"/>
            <w:color w:val="0000FF"/>
            <w:u w:val="single" w:color="0000FF"/>
          </w:rPr>
          <w:t>www.alliancebernstein.com</w:t>
        </w:r>
      </w:hyperlink>
      <w:hyperlink r:id="rId195">
        <w:r>
          <w:t>。</w:t>
        </w:r>
      </w:hyperlink>
      <w:r>
        <w:rPr>
          <w:rFonts w:ascii="Arial" w:eastAsia="Arial" w:hAnsi="Arial" w:cs="Arial"/>
        </w:rPr>
        <w:t xml:space="preserve"> </w:t>
      </w:r>
    </w:p>
    <w:p w:rsidR="004D6F0E" w:rsidRDefault="00490F21">
      <w:pPr>
        <w:spacing w:after="44"/>
        <w:ind w:left="11" w:right="2"/>
      </w:pPr>
      <w:r>
        <w:t>歷史</w:t>
      </w:r>
      <w:r>
        <w:rPr>
          <w:rFonts w:ascii="Arial" w:eastAsia="Arial" w:hAnsi="Arial" w:cs="Arial"/>
          <w:b/>
        </w:rPr>
        <w:t xml:space="preserve"> </w:t>
      </w:r>
    </w:p>
    <w:p w:rsidR="004D6F0E" w:rsidRDefault="00490F21">
      <w:pPr>
        <w:ind w:left="11" w:right="2"/>
      </w:pPr>
      <w:r>
        <w:t>本基金於一九九三年七月一日設立，作為本傘子基金下的基金。</w:t>
      </w:r>
      <w:r>
        <w:rPr>
          <w:rFonts w:ascii="Arial" w:eastAsia="Arial" w:hAnsi="Arial" w:cs="Arial"/>
        </w:rPr>
        <w:t xml:space="preserve"> </w:t>
      </w:r>
    </w:p>
    <w:p w:rsidR="004D6F0E" w:rsidRDefault="00490F21">
      <w:pPr>
        <w:spacing w:after="94" w:line="259" w:lineRule="auto"/>
        <w:ind w:left="0" w:firstLine="0"/>
      </w:pPr>
      <w:r>
        <w:rPr>
          <w:rFonts w:ascii="Arial" w:eastAsia="Arial" w:hAnsi="Arial" w:cs="Arial"/>
          <w:sz w:val="20"/>
        </w:rPr>
        <w:t xml:space="preserve"> </w:t>
      </w:r>
    </w:p>
    <w:p w:rsidR="004D6F0E" w:rsidRDefault="00490F21">
      <w:pPr>
        <w:pStyle w:val="Heading2"/>
        <w:ind w:left="8"/>
      </w:pPr>
      <w:r>
        <w:t>聯博</w:t>
      </w:r>
      <w:r>
        <w:rPr>
          <w:rFonts w:ascii="Arial" w:eastAsia="Arial" w:hAnsi="Arial" w:cs="Arial"/>
        </w:rPr>
        <w:t>—</w:t>
      </w:r>
      <w:r>
        <w:t>歐洲收益基金</w:t>
      </w:r>
      <w:r>
        <w:rPr>
          <w:rFonts w:ascii="Arial" w:eastAsia="Arial" w:hAnsi="Arial" w:cs="Arial"/>
        </w:rPr>
        <w:t xml:space="preserve"> </w:t>
      </w:r>
    </w:p>
    <w:p w:rsidR="004D6F0E" w:rsidRDefault="00490F21">
      <w:pPr>
        <w:pStyle w:val="Heading3"/>
        <w:ind w:left="14"/>
      </w:pPr>
      <w:r>
        <w:t>投資目標及政策</w:t>
      </w:r>
      <w:r>
        <w:rPr>
          <w:rFonts w:ascii="Arial" w:eastAsia="Arial" w:hAnsi="Arial" w:cs="Arial"/>
        </w:rPr>
        <w:t xml:space="preserve"> </w:t>
      </w:r>
    </w:p>
    <w:p w:rsidR="004D6F0E" w:rsidRDefault="00490F21">
      <w:pPr>
        <w:spacing w:after="104"/>
        <w:ind w:left="11" w:right="2"/>
      </w:pPr>
      <w:r>
        <w:t>投資目標</w:t>
      </w:r>
      <w:r>
        <w:rPr>
          <w:rFonts w:ascii="Arial" w:eastAsia="Arial" w:hAnsi="Arial" w:cs="Arial"/>
          <w:b/>
        </w:rPr>
        <w:t xml:space="preserve"> </w:t>
      </w:r>
    </w:p>
    <w:p w:rsidR="004D6F0E" w:rsidRDefault="00490F21">
      <w:pPr>
        <w:spacing w:after="101"/>
        <w:ind w:left="11" w:right="2"/>
      </w:pPr>
      <w:r>
        <w:t>本基金的投資目標是盡量提高當前收入，同時尋求資本保值。投資管理人有意利用市場發展、孳息差距及發行人的信用變動管理本基金，從而盡量提高當前收入。</w:t>
      </w:r>
      <w:r>
        <w:rPr>
          <w:rFonts w:ascii="Arial" w:eastAsia="Arial" w:hAnsi="Arial" w:cs="Arial"/>
        </w:rPr>
        <w:t xml:space="preserve"> </w:t>
      </w:r>
    </w:p>
    <w:p w:rsidR="004D6F0E" w:rsidRDefault="00490F21">
      <w:pPr>
        <w:spacing w:after="63"/>
        <w:ind w:left="11" w:right="2"/>
      </w:pPr>
      <w:r>
        <w:t>投資規則和程序</w:t>
      </w:r>
      <w:r>
        <w:rPr>
          <w:rFonts w:ascii="Arial" w:eastAsia="Arial" w:hAnsi="Arial" w:cs="Arial"/>
          <w:b/>
        </w:rPr>
        <w:t xml:space="preserve"> </w:t>
      </w:r>
    </w:p>
    <w:p w:rsidR="004D6F0E" w:rsidRDefault="00490F21">
      <w:pPr>
        <w:spacing w:after="106"/>
        <w:ind w:left="11" w:right="2"/>
      </w:pPr>
      <w:r>
        <w:t>本基金透過主要投資於歐洲公司及政府的固定收益證券以達致此目標。無論何時，投資管理人均會將基金總資產的三分之二（</w:t>
      </w:r>
      <w:r>
        <w:rPr>
          <w:rFonts w:ascii="Arial" w:eastAsia="Arial" w:hAnsi="Arial" w:cs="Arial"/>
        </w:rPr>
        <w:t>2/3</w:t>
      </w:r>
      <w:r>
        <w:t>）投資於該等證券，而最多會將基金總資產的三分之一（</w:t>
      </w:r>
      <w:r>
        <w:rPr>
          <w:rFonts w:ascii="Arial" w:eastAsia="Arial" w:hAnsi="Arial" w:cs="Arial"/>
        </w:rPr>
        <w:t>1/3</w:t>
      </w:r>
      <w:r>
        <w:t>）投資於非歐洲發行人以歐元或歐洲貨幣計價的固定收益證券。</w:t>
      </w:r>
      <w:r>
        <w:rPr>
          <w:rFonts w:ascii="Arial" w:eastAsia="Arial" w:hAnsi="Arial" w:cs="Arial"/>
        </w:rPr>
        <w:t xml:space="preserve"> </w:t>
      </w:r>
    </w:p>
    <w:p w:rsidR="004D6F0E" w:rsidRDefault="00490F21">
      <w:pPr>
        <w:spacing w:after="101"/>
        <w:ind w:left="11" w:right="2"/>
      </w:pPr>
      <w:r>
        <w:t>投資管理人亦預期，本基金約</w:t>
      </w:r>
      <w:r>
        <w:t xml:space="preserve"> </w:t>
      </w:r>
      <w:r>
        <w:rPr>
          <w:rFonts w:ascii="Arial" w:eastAsia="Arial" w:hAnsi="Arial" w:cs="Arial"/>
        </w:rPr>
        <w:t>65%</w:t>
      </w:r>
      <w:r>
        <w:t>的總資產將投資於投資級別固定收益證券，本基金約</w:t>
      </w:r>
      <w:r>
        <w:t xml:space="preserve"> </w:t>
      </w:r>
      <w:r>
        <w:rPr>
          <w:rFonts w:ascii="Arial" w:eastAsia="Arial" w:hAnsi="Arial" w:cs="Arial"/>
        </w:rPr>
        <w:t>35%</w:t>
      </w:r>
      <w:r>
        <w:t>的總資產投資於評級低於投資級別的證券。然而，倘投資管理人認為該等投資就當前市況而言乃屬適當，則本基金最多可投資總資產的</w:t>
      </w:r>
      <w:r>
        <w:t xml:space="preserve"> </w:t>
      </w:r>
      <w:r>
        <w:rPr>
          <w:rFonts w:ascii="Arial" w:eastAsia="Arial" w:hAnsi="Arial" w:cs="Arial"/>
        </w:rPr>
        <w:t>50%</w:t>
      </w:r>
      <w:r>
        <w:t>於投資級別以下的固定收益證券。</w:t>
      </w:r>
      <w:r>
        <w:rPr>
          <w:rFonts w:ascii="Arial" w:eastAsia="Arial" w:hAnsi="Arial" w:cs="Arial"/>
        </w:rPr>
        <w:t xml:space="preserve"> </w:t>
      </w:r>
    </w:p>
    <w:p w:rsidR="004D6F0E" w:rsidRDefault="00490F21">
      <w:pPr>
        <w:spacing w:after="103"/>
        <w:ind w:left="11" w:right="2"/>
      </w:pPr>
      <w:r>
        <w:t>在實施投資策略時，本基金尋求資本保值，但可能受惠於資本增值。</w:t>
      </w:r>
      <w:r>
        <w:rPr>
          <w:rFonts w:ascii="Arial" w:eastAsia="Arial" w:hAnsi="Arial" w:cs="Arial"/>
        </w:rPr>
        <w:t xml:space="preserve"> </w:t>
      </w:r>
    </w:p>
    <w:p w:rsidR="004D6F0E" w:rsidRDefault="00490F21">
      <w:pPr>
        <w:spacing w:after="102"/>
        <w:ind w:left="11" w:right="2"/>
      </w:pPr>
      <w:r>
        <w:t>此外，投資管理人預期，本基金全部總資產將投資於以歐洲貨幣計價的證券，該等證券至少</w:t>
      </w:r>
      <w:r>
        <w:t xml:space="preserve"> </w:t>
      </w:r>
      <w:r>
        <w:rPr>
          <w:rFonts w:ascii="Arial" w:eastAsia="Arial" w:hAnsi="Arial" w:cs="Arial"/>
        </w:rPr>
        <w:t>65%</w:t>
      </w:r>
      <w:r>
        <w:t>以歐元計價。「歐洲公司」指於歐洲設有註冊辦事處或於歐洲從事大部分經濟活動的公司。歐洲國家包括西歐、中歐及東歐（歐盟及非歐盟成員國）以及土耳其。</w:t>
      </w:r>
      <w:r>
        <w:rPr>
          <w:rFonts w:ascii="Arial" w:eastAsia="Arial" w:hAnsi="Arial" w:cs="Arial"/>
        </w:rPr>
        <w:t xml:space="preserve"> </w:t>
      </w:r>
    </w:p>
    <w:p w:rsidR="004D6F0E" w:rsidRDefault="00490F21">
      <w:pPr>
        <w:spacing w:after="100"/>
        <w:ind w:left="11" w:right="2"/>
      </w:pPr>
      <w:r>
        <w:t>基金將投資於受監管市場上市的證券，該等受監管市場為西歐、中歐及東歐（歐盟及非歐盟成員國）以及土耳其所承認、並於該等國家營運及對其公眾開放的市場。</w:t>
      </w:r>
      <w:r>
        <w:rPr>
          <w:rFonts w:ascii="Arial" w:eastAsia="Arial" w:hAnsi="Arial" w:cs="Arial"/>
        </w:rPr>
        <w:t xml:space="preserve"> </w:t>
      </w:r>
    </w:p>
    <w:p w:rsidR="004D6F0E" w:rsidRDefault="00490F21">
      <w:pPr>
        <w:spacing w:after="101"/>
        <w:ind w:left="11" w:right="2"/>
      </w:pPr>
      <w:r>
        <w:t>本基金並無限制對單一國家或單一產業作出投資的總資產數額。本基金最多可投資總資產的</w:t>
      </w:r>
      <w:r>
        <w:t xml:space="preserve"> </w:t>
      </w:r>
      <w:r>
        <w:rPr>
          <w:rFonts w:ascii="Arial" w:eastAsia="Arial" w:hAnsi="Arial" w:cs="Arial"/>
        </w:rPr>
        <w:t>25%</w:t>
      </w:r>
      <w:r>
        <w:t>於未獲投資評級的新發展中市場。本基金最多可投資總資產的</w:t>
      </w:r>
      <w:r>
        <w:t xml:space="preserve"> </w:t>
      </w:r>
      <w:r>
        <w:rPr>
          <w:rFonts w:ascii="Arial" w:eastAsia="Arial" w:hAnsi="Arial" w:cs="Arial"/>
        </w:rPr>
        <w:t>10%</w:t>
      </w:r>
      <w:r>
        <w:t>於未上市或正進行上市的證券。</w:t>
      </w:r>
      <w:r>
        <w:rPr>
          <w:rFonts w:ascii="Arial" w:eastAsia="Arial" w:hAnsi="Arial" w:cs="Arial"/>
        </w:rPr>
        <w:t xml:space="preserve"> </w:t>
      </w:r>
    </w:p>
    <w:p w:rsidR="004D6F0E" w:rsidRDefault="00490F21">
      <w:pPr>
        <w:ind w:left="11" w:right="2"/>
      </w:pPr>
      <w:r>
        <w:t>投資管理人相信，歐洲經濟一體化及政治變動的持續不斷，為本傘子基金創造許多具吸引力的潛在投資機會。隨着保護主義的式微，以及更多歐洲國家加入歐盟，不少公司尋求以發行債券（尤其是以歐元計價</w:t>
      </w:r>
      <w:r>
        <w:t>的債券）的形式於國際資本市場籌資。本基金尋求運用投資管理人的債券研究實力。投資管理人的債券研究分析員小組具有廣泛的多產業的經驗。彼等的工作獲投資管理人股票及國際研究分析員豐富的產業專業知識支持。對固定收益債務產</w:t>
      </w:r>
      <w:r>
        <w:lastRenderedPageBreak/>
        <w:t>品進行評估時，投資管理人將利用其內部信貸分析資源以及從其他渠道獲得的財務及經濟資料。就公司發行人而言，投資管理人將考慮該發行人的財務狀況及營運相關的市場及經濟狀況。就政府債務產品而言，投資管理人將審核發行人的財務狀況及相關國家的政治及經濟狀況。超國家機構的投資證券須承受額外的風險，如政府成員國可能無法</w:t>
      </w:r>
      <w:r>
        <w:t>作出所需的出資，因此超國家機構可能無力如期償付其債務。投資管理人有意透過信貸分析、多元化及關注利率的當前發展與趨勢及歐洲國家的經濟及政治狀況，以減少本基金投資方法中的固有風險。</w:t>
      </w:r>
      <w:r>
        <w:rPr>
          <w:rFonts w:ascii="Arial" w:eastAsia="Arial" w:hAnsi="Arial" w:cs="Arial"/>
        </w:rPr>
        <w:t xml:space="preserve"> </w:t>
      </w:r>
    </w:p>
    <w:p w:rsidR="004D6F0E" w:rsidRDefault="00490F21">
      <w:pPr>
        <w:spacing w:after="63"/>
        <w:ind w:left="11" w:right="2"/>
      </w:pPr>
      <w:r>
        <w:t>其他投資政策</w:t>
      </w:r>
      <w:r>
        <w:rPr>
          <w:rFonts w:ascii="Arial" w:eastAsia="Arial" w:hAnsi="Arial" w:cs="Arial"/>
          <w:b/>
        </w:rPr>
        <w:t xml:space="preserve"> </w:t>
      </w:r>
    </w:p>
    <w:p w:rsidR="004D6F0E" w:rsidRDefault="00490F21">
      <w:pPr>
        <w:spacing w:after="103"/>
        <w:ind w:left="11" w:right="2"/>
      </w:pPr>
      <w:r>
        <w:t>本基金可選擇利用上市期貨、期權及場外交易衍生工具，包括掉期、期權及貨幣交易，以對沖證券市場及匯率波動。投資於歐洲公司及主權國家的固定收益證券及本基金可能投資的其他證券或許涉及特殊考慮因素與風險。</w:t>
      </w:r>
      <w:r>
        <w:rPr>
          <w:rFonts w:ascii="Arial" w:eastAsia="Arial" w:hAnsi="Arial" w:cs="Arial"/>
        </w:rPr>
        <w:t xml:space="preserve"> </w:t>
      </w:r>
    </w:p>
    <w:p w:rsidR="004D6F0E" w:rsidRDefault="00490F21">
      <w:pPr>
        <w:ind w:left="11" w:right="2"/>
      </w:pPr>
      <w:r>
        <w:t>根據證券融資交易規例有關透明度之要求，下表反映本基金將投資證券融資交易（即借出證券交易以及回購協議及逆回購協議）（「</w:t>
      </w:r>
      <w:r>
        <w:rPr>
          <w:rFonts w:ascii="Arial" w:eastAsia="Arial" w:hAnsi="Arial" w:cs="Arial"/>
        </w:rPr>
        <w:t>S</w:t>
      </w:r>
      <w:r>
        <w:rPr>
          <w:rFonts w:ascii="Arial" w:eastAsia="Arial" w:hAnsi="Arial" w:cs="Arial"/>
        </w:rPr>
        <w:t>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tbl>
      <w:tblPr>
        <w:tblStyle w:val="TableGrid"/>
        <w:tblW w:w="5030" w:type="dxa"/>
        <w:tblInd w:w="5"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624"/>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204" w:line="259" w:lineRule="auto"/>
        <w:ind w:left="0" w:firstLine="0"/>
      </w:pPr>
      <w:r>
        <w:rPr>
          <w:rFonts w:ascii="Arial" w:eastAsia="Arial" w:hAnsi="Arial" w:cs="Arial"/>
          <w:b/>
          <w:sz w:val="10"/>
        </w:rPr>
        <w:t xml:space="preserve"> </w:t>
      </w:r>
    </w:p>
    <w:p w:rsidR="004D6F0E" w:rsidRDefault="00490F21">
      <w:pPr>
        <w:spacing w:after="122"/>
        <w:ind w:left="1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rPr>
          <w:rFonts w:ascii="Arial" w:eastAsia="Arial" w:hAnsi="Arial" w:cs="Arial"/>
        </w:rPr>
        <w:t xml:space="preserve"> </w:t>
      </w:r>
    </w:p>
    <w:p w:rsidR="004D6F0E" w:rsidRDefault="00490F21">
      <w:pPr>
        <w:spacing w:after="44"/>
        <w:ind w:left="11" w:right="2"/>
      </w:pPr>
      <w:r>
        <w:t>貨幣對沖股份類別</w:t>
      </w:r>
      <w:r>
        <w:rPr>
          <w:rFonts w:ascii="Arial" w:eastAsia="Arial" w:hAnsi="Arial" w:cs="Arial"/>
          <w:b/>
        </w:rPr>
        <w:t xml:space="preserve">  </w:t>
      </w:r>
    </w:p>
    <w:p w:rsidR="004D6F0E" w:rsidRDefault="00490F21">
      <w:pPr>
        <w:spacing w:after="104"/>
        <w:ind w:left="11" w:right="2"/>
      </w:pPr>
      <w:r>
        <w:t>用某種貨幣（各稱「發售貨幣」）發售的一項或多項本基金股份類別可用該發售貨幣對沖。任何此等股份類別將構成「貨幣對沖股份類別」。貨幣對沖股份類別的目的是透過降低本基金基準貨幣（即歐元）與相關發售貨幣之間匯率波動的影響，並計及交易成本等實際考量因素，為投資者提供與本基金基準貨幣回報率更具相關性的回報率。採用的對沖策略在設計上是爲了降低（但未必消除）本基金基準貨幣和發售貨幣之間的貨幣風險。貨幣對沖股份類別並不影響本基金所屬資產的投資管理，因為用發售貨幣對沖的只是貨幣對沖股份類別的資產淨值，而非本基金所屬資產。此類對</w:t>
      </w:r>
      <w:r>
        <w:t>沖活動引起的開支由引起該項開支的貨幣對沖股份類別承擔。</w:t>
      </w:r>
      <w:r>
        <w:rPr>
          <w:rFonts w:ascii="Arial" w:eastAsia="Arial" w:hAnsi="Arial" w:cs="Arial"/>
        </w:rPr>
        <w:t xml:space="preserve"> </w:t>
      </w:r>
    </w:p>
    <w:p w:rsidR="004D6F0E" w:rsidRDefault="00490F21">
      <w:pPr>
        <w:spacing w:after="101"/>
        <w:ind w:left="11" w:right="2"/>
      </w:pPr>
      <w:r>
        <w:t>欲進一步了解股份類別對沖詳情，請參閱第</w:t>
      </w:r>
      <w:r>
        <w:t xml:space="preserve"> </w:t>
      </w:r>
      <w:r>
        <w:rPr>
          <w:rFonts w:ascii="Arial" w:eastAsia="Arial" w:hAnsi="Arial" w:cs="Arial"/>
        </w:rPr>
        <w:t xml:space="preserve">II </w:t>
      </w:r>
      <w:r>
        <w:t>部分「如何交換或轉換股份</w:t>
      </w:r>
      <w:r>
        <w:rPr>
          <w:rFonts w:ascii="Arial" w:eastAsia="Arial" w:hAnsi="Arial" w:cs="Arial"/>
        </w:rPr>
        <w:t xml:space="preserve"> – </w:t>
      </w:r>
      <w:r>
        <w:t>貨幣對沖股份類別」。</w:t>
      </w:r>
      <w:r>
        <w:rPr>
          <w:rFonts w:ascii="Arial" w:eastAsia="Arial" w:hAnsi="Arial" w:cs="Arial"/>
        </w:rPr>
        <w:t xml:space="preserve"> </w:t>
      </w:r>
    </w:p>
    <w:p w:rsidR="004D6F0E" w:rsidRDefault="00490F21">
      <w:pPr>
        <w:ind w:left="11" w:right="2"/>
      </w:pPr>
      <w:r>
        <w:t>與人民幣對沖股份類別掛鈎的風險因素。自二零零五年起，人民幣匯率不再與美元掛鈎。人民幣現已轉為參照一籃子外幣並基於市場供應及需求，採用受管控浮動匯率制度。人民幣於銀行間外匯市場兌其他主要貨幣的每日買賣價可在中國人民銀行公佈的中間價附近窄幅浮動。從離岸人民幣兌換為在岸人民幣的人民幣可兌換性是一個受管控的貨幣流程，須遵守中國政府在與香港金融管理局（香港金管局</w:t>
      </w:r>
      <w:r>
        <w:t>）的協調下頒佈的外匯管制政策及匯回限制。由於多個因素，離岸人民幣的價值可能會與在岸人民幣的價值相異而有關差異可能重大，該等因素包括但不限於中國政府不時實施的外匯管制政策及匯回限制以及其他外部市場力量。</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自二零零五年起，中國政府實施的外匯管制政策已導致人民幣（包括離岸人民幣及在岸人民幣）整體升值。有關升值情況可</w:t>
      </w:r>
    </w:p>
    <w:p w:rsidR="004D6F0E" w:rsidRDefault="004D6F0E">
      <w:pPr>
        <w:sectPr w:rsidR="004D6F0E">
          <w:headerReference w:type="even" r:id="rId196"/>
          <w:headerReference w:type="default" r:id="rId197"/>
          <w:footerReference w:type="even" r:id="rId198"/>
          <w:footerReference w:type="default" r:id="rId199"/>
          <w:headerReference w:type="first" r:id="rId200"/>
          <w:footerReference w:type="first" r:id="rId201"/>
          <w:pgSz w:w="12240" w:h="15840"/>
          <w:pgMar w:top="760" w:right="559" w:bottom="635" w:left="432" w:header="720" w:footer="720" w:gutter="0"/>
          <w:cols w:num="2" w:space="720" w:equalWidth="0">
            <w:col w:w="5737" w:space="164"/>
            <w:col w:w="5347"/>
          </w:cols>
          <w:titlePg/>
        </w:sectPr>
      </w:pP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firstLine="0"/>
        <w:jc w:val="both"/>
      </w:pPr>
      <w:r>
        <w:rPr>
          <w:rFonts w:ascii="Arial" w:eastAsia="Arial" w:hAnsi="Arial" w:cs="Arial"/>
          <w:sz w:val="12"/>
        </w:rPr>
        <w:t xml:space="preserve">   </w:t>
      </w:r>
    </w:p>
    <w:p w:rsidR="004D6F0E" w:rsidRDefault="004D6F0E">
      <w:pPr>
        <w:sectPr w:rsidR="004D6F0E">
          <w:type w:val="continuous"/>
          <w:pgSz w:w="12240" w:h="15840"/>
          <w:pgMar w:top="760" w:right="11715" w:bottom="1049" w:left="432" w:header="720" w:footer="720" w:gutter="0"/>
          <w:cols w:space="720"/>
        </w:sectPr>
      </w:pPr>
    </w:p>
    <w:p w:rsidR="004D6F0E" w:rsidRDefault="00490F21">
      <w:pPr>
        <w:spacing w:after="0" w:line="259" w:lineRule="auto"/>
        <w:ind w:left="0" w:firstLine="0"/>
      </w:pPr>
      <w:r>
        <w:rPr>
          <w:rFonts w:ascii="Times New Roman" w:eastAsia="Times New Roman" w:hAnsi="Times New Roman" w:cs="Times New Roman"/>
          <w:sz w:val="20"/>
        </w:rPr>
        <w:t xml:space="preserve">I-67 </w:t>
      </w:r>
    </w:p>
    <w:p w:rsidR="004D6F0E" w:rsidRDefault="004D6F0E">
      <w:pPr>
        <w:sectPr w:rsidR="004D6F0E">
          <w:type w:val="continuous"/>
          <w:pgSz w:w="12240" w:h="15840"/>
          <w:pgMar w:top="760" w:right="6100" w:bottom="1049" w:left="5808" w:header="720" w:footer="720" w:gutter="0"/>
          <w:cols w:space="720"/>
        </w:sectPr>
      </w:pPr>
    </w:p>
    <w:p w:rsidR="004D6F0E" w:rsidRDefault="00490F21">
      <w:pPr>
        <w:ind w:left="11" w:right="2"/>
      </w:pPr>
      <w:r>
        <w:t>能會亦可能不會持續，且無法保證人民幣不會於未來某個時刻貶值。一旦人民幣貶值，投資者於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01"/>
        <w:ind w:left="11" w:right="2"/>
      </w:pPr>
      <w:r>
        <w:rPr>
          <w:rFonts w:ascii="Arial" w:eastAsia="Arial" w:hAnsi="Arial" w:cs="Arial"/>
        </w:rPr>
        <w:t xml:space="preserve">H </w:t>
      </w:r>
      <w:r>
        <w:t>人民幣股份參與離岸人民幣市場，允許投資者在中國內地以</w:t>
      </w:r>
      <w:r>
        <w:lastRenderedPageBreak/>
        <w:t>外與香港市場內的核准銀行（獲香港金管局核准的銀行）自由交易離岸人民幣。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rPr>
        <w:t xml:space="preserve"> </w:t>
      </w:r>
    </w:p>
    <w:p w:rsidR="004D6F0E" w:rsidRDefault="00490F21">
      <w:pPr>
        <w:spacing w:after="1" w:line="273" w:lineRule="auto"/>
        <w:ind w:left="14" w:right="41"/>
        <w:jc w:val="both"/>
      </w:pPr>
      <w:r>
        <w:t>槓桿手段。在實施本基金的投資策略時，投資管理人預期不會使用銀行借貸。本基金的預期槓桿水平預計將為其資產淨值的</w:t>
      </w:r>
      <w:r>
        <w:t xml:space="preserve"> </w:t>
      </w:r>
      <w:r>
        <w:rPr>
          <w:rFonts w:ascii="Arial" w:eastAsia="Arial" w:hAnsi="Arial" w:cs="Arial"/>
        </w:rPr>
        <w:t>0%</w:t>
      </w:r>
      <w:r>
        <w:t>至</w:t>
      </w:r>
      <w:r>
        <w:t xml:space="preserve"> </w:t>
      </w:r>
      <w:r>
        <w:rPr>
          <w:rFonts w:ascii="Arial" w:eastAsia="Arial" w:hAnsi="Arial" w:cs="Arial"/>
        </w:rPr>
        <w:t>100%</w:t>
      </w:r>
      <w:r>
        <w:t>之間。預期槓桿水平乃按本基金所持金融衍生工具的名義金額總值計算。根據日期為二零一一年五月三十日的盧森堡金融業監管委員會（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號公告，此計算方法並不計及特定金融衍生工具增加或減少本基金投資風險的情況，亦不允許以反向持倉對銷金融衍生工具。股東應注意：</w:t>
      </w:r>
      <w:r>
        <w:rPr>
          <w:rFonts w:ascii="Arial" w:eastAsia="Arial" w:hAnsi="Arial" w:cs="Arial"/>
        </w:rPr>
        <w:t>(i)</w:t>
      </w:r>
      <w:r>
        <w:t>預期槓桿水平較高不一定表示投資風險水平較高及</w:t>
      </w:r>
      <w:r>
        <w:rPr>
          <w:rFonts w:ascii="Arial" w:eastAsia="Arial" w:hAnsi="Arial" w:cs="Arial"/>
        </w:rPr>
        <w:t>(ii)</w:t>
      </w:r>
      <w:r>
        <w:t>上述預期槓桿水平主要乃由使用衍生工具作對沖用途或有效基金管理而</w:t>
      </w:r>
      <w:r>
        <w:t>產生。</w:t>
      </w:r>
    </w:p>
    <w:p w:rsidR="004D6F0E" w:rsidRDefault="00490F21">
      <w:pPr>
        <w:spacing w:after="36"/>
        <w:ind w:left="11" w:right="2"/>
      </w:pPr>
      <w:r>
        <w:t>此外，本基金的實際槓桿可能會偏離上述的預期槓桿水平。風險度量。投資管理人將使用風險值（「</w:t>
      </w:r>
      <w:r>
        <w:rPr>
          <w:rFonts w:ascii="Arial" w:eastAsia="Arial" w:hAnsi="Arial" w:cs="Arial"/>
        </w:rPr>
        <w:t>VaR</w:t>
      </w:r>
      <w:r>
        <w:t>」）方法來監測本基金的全球風險（市場風險）。本基金的全球風險乃根據絕對</w:t>
      </w:r>
      <w:r>
        <w:t xml:space="preserve"> </w:t>
      </w: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p>
    <w:p w:rsidR="004D6F0E" w:rsidRDefault="00490F21">
      <w:pPr>
        <w:spacing w:line="250" w:lineRule="auto"/>
        <w:ind w:hanging="10"/>
      </w:pPr>
      <w:r>
        <w:rPr>
          <w:rFonts w:ascii="Arial" w:eastAsia="Arial" w:hAnsi="Arial" w:cs="Arial"/>
        </w:rPr>
        <w:t>20%</w:t>
      </w:r>
      <w:r>
        <w:t>。</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基準。本基金的基準為彭博歐元綜合指數。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w:t>
      </w:r>
      <w:r>
        <w:t>基準一部分的證券。</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91" w:lineRule="auto"/>
        <w:ind w:left="-5" w:hanging="10"/>
        <w:jc w:val="both"/>
      </w:pPr>
      <w:r>
        <w:t>負責任投資。本基金整合</w:t>
      </w:r>
      <w:r>
        <w:t xml:space="preserve"> </w:t>
      </w:r>
      <w:r>
        <w:rPr>
          <w:rFonts w:ascii="Arial" w:eastAsia="Arial" w:hAnsi="Arial" w:cs="Arial"/>
        </w:rPr>
        <w:t xml:space="preserve">ESG </w:t>
      </w:r>
      <w:r>
        <w:t>考慮因素。本基金應用若干排除</w:t>
      </w:r>
      <w:r>
        <w:t xml:space="preserve"> </w:t>
      </w:r>
      <w:r>
        <w:t>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202">
        <w:r>
          <w:rPr>
            <w:rFonts w:ascii="Arial" w:eastAsia="Arial" w:hAnsi="Arial" w:cs="Arial"/>
            <w:color w:val="0000FF"/>
            <w:u w:val="single" w:color="0000FF"/>
          </w:rPr>
          <w:t xml:space="preserve">www.alliancebernstein.com/ </w:t>
        </w:r>
      </w:hyperlink>
      <w:hyperlink r:id="rId203">
        <w:r>
          <w:rPr>
            <w:rFonts w:ascii="Arial" w:eastAsia="Arial" w:hAnsi="Arial" w:cs="Arial"/>
            <w:color w:val="0000FF"/>
            <w:u w:val="single" w:color="0000FF"/>
          </w:rPr>
          <w:t>go/ABFCPIExclusionChart</w:t>
        </w:r>
      </w:hyperlink>
      <w:hyperlink r:id="rId204">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 xml:space="preserve">SFDR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p>
    <w:p w:rsidR="004D6F0E" w:rsidRDefault="004D6F0E">
      <w:pPr>
        <w:sectPr w:rsidR="004D6F0E">
          <w:type w:val="continuous"/>
          <w:pgSz w:w="12240" w:h="15840"/>
          <w:pgMar w:top="1440" w:right="802" w:bottom="1440" w:left="432" w:header="720" w:footer="720" w:gutter="0"/>
          <w:cols w:num="2" w:space="719"/>
        </w:sectPr>
      </w:pPr>
    </w:p>
    <w:p w:rsidR="004D6F0E" w:rsidRDefault="00490F21">
      <w:pPr>
        <w:pStyle w:val="Heading3"/>
        <w:spacing w:after="11"/>
        <w:ind w:left="14"/>
      </w:pPr>
      <w:r>
        <w:lastRenderedPageBreak/>
        <w:t>摘要資料</w:t>
      </w:r>
      <w:r>
        <w:rPr>
          <w:rFonts w:ascii="Arial" w:eastAsia="Arial" w:hAnsi="Arial" w:cs="Arial"/>
          <w:sz w:val="19"/>
        </w:rPr>
        <w:t xml:space="preserve"> </w:t>
      </w:r>
    </w:p>
    <w:p w:rsidR="004D6F0E" w:rsidRDefault="00490F21">
      <w:pPr>
        <w:spacing w:after="26" w:line="259" w:lineRule="auto"/>
        <w:ind w:left="-7" w:right="-1157" w:firstLine="0"/>
      </w:pPr>
      <w:r>
        <w:rPr>
          <w:rFonts w:ascii="Calibri" w:eastAsia="Calibri" w:hAnsi="Calibri" w:cs="Calibri"/>
          <w:noProof/>
          <w:sz w:val="22"/>
        </w:rPr>
        <mc:AlternateContent>
          <mc:Choice Requires="wpg">
            <w:drawing>
              <wp:inline distT="0" distB="0" distL="0" distR="0">
                <wp:extent cx="7235952" cy="18288"/>
                <wp:effectExtent l="0" t="0" r="0" b="0"/>
                <wp:docPr id="534403" name="Group 534403"/>
                <wp:cNvGraphicFramePr/>
                <a:graphic xmlns:a="http://schemas.openxmlformats.org/drawingml/2006/main">
                  <a:graphicData uri="http://schemas.microsoft.com/office/word/2010/wordprocessingGroup">
                    <wpg:wgp>
                      <wpg:cNvGrpSpPr/>
                      <wpg:grpSpPr>
                        <a:xfrm>
                          <a:off x="0" y="0"/>
                          <a:ext cx="7235952" cy="18288"/>
                          <a:chOff x="0" y="0"/>
                          <a:chExt cx="7235952" cy="18288"/>
                        </a:xfrm>
                      </wpg:grpSpPr>
                      <wps:wsp>
                        <wps:cNvPr id="658311" name="Shape 658311"/>
                        <wps:cNvSpPr/>
                        <wps:spPr>
                          <a:xfrm>
                            <a:off x="0" y="0"/>
                            <a:ext cx="7235952" cy="18288"/>
                          </a:xfrm>
                          <a:custGeom>
                            <a:avLst/>
                            <a:gdLst/>
                            <a:ahLst/>
                            <a:cxnLst/>
                            <a:rect l="0" t="0" r="0" b="0"/>
                            <a:pathLst>
                              <a:path w="7235952" h="18288">
                                <a:moveTo>
                                  <a:pt x="0" y="0"/>
                                </a:moveTo>
                                <a:lnTo>
                                  <a:pt x="7235952" y="0"/>
                                </a:lnTo>
                                <a:lnTo>
                                  <a:pt x="72359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4403" style="width:569.76pt;height:1.44pt;mso-position-horizontal-relative:char;mso-position-vertical-relative:line" coordsize="72359,182">
                <v:shape id="Shape 658312" style="position:absolute;width:72359;height:182;left:0;top:0;" coordsize="7235952,18288" path="m0,0l7235952,0l7235952,18288l0,18288l0,0">
                  <v:stroke weight="0pt" endcap="flat" joinstyle="miter" miterlimit="10" on="false" color="#000000" opacity="0"/>
                  <v:fill on="true" color="#000000"/>
                </v:shape>
              </v:group>
            </w:pict>
          </mc:Fallback>
        </mc:AlternateContent>
      </w:r>
    </w:p>
    <w:tbl>
      <w:tblPr>
        <w:tblStyle w:val="TableGrid"/>
        <w:tblpPr w:vertAnchor="page" w:horzAnchor="page" w:tblpX="432" w:tblpY="9102"/>
        <w:tblOverlap w:val="never"/>
        <w:tblW w:w="10915" w:type="dxa"/>
        <w:tblInd w:w="0" w:type="dxa"/>
        <w:tblCellMar>
          <w:top w:w="6" w:type="dxa"/>
          <w:left w:w="0" w:type="dxa"/>
          <w:bottom w:w="1" w:type="dxa"/>
          <w:right w:w="0" w:type="dxa"/>
        </w:tblCellMar>
        <w:tblLook w:val="04A0" w:firstRow="1" w:lastRow="0" w:firstColumn="1" w:lastColumn="0" w:noHBand="0" w:noVBand="1"/>
      </w:tblPr>
      <w:tblGrid>
        <w:gridCol w:w="2751"/>
        <w:gridCol w:w="2054"/>
        <w:gridCol w:w="2491"/>
        <w:gridCol w:w="2124"/>
        <w:gridCol w:w="1495"/>
      </w:tblGrid>
      <w:tr w:rsidR="004D6F0E">
        <w:trPr>
          <w:trHeight w:val="218"/>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3"/>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5"/>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4"/>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4"/>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AR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931"/>
        </w:trPr>
        <w:tc>
          <w:tcPr>
            <w:tcW w:w="2750"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B2 </w:t>
            </w:r>
            <w:r>
              <w:rPr>
                <w:sz w:val="18"/>
              </w:rPr>
              <w:t>類股份</w:t>
            </w:r>
            <w:r>
              <w:rPr>
                <w:sz w:val="18"/>
              </w:rPr>
              <w:t xml:space="preserve"> </w:t>
            </w:r>
            <w:r>
              <w:rPr>
                <w:rFonts w:ascii="Arial" w:eastAsia="Arial" w:hAnsi="Arial" w:cs="Arial"/>
                <w:sz w:val="12"/>
              </w:rPr>
              <w:t>2**</w:t>
            </w:r>
            <w:r>
              <w:rPr>
                <w:rFonts w:ascii="Arial" w:eastAsia="Arial" w:hAnsi="Arial" w:cs="Arial"/>
                <w:sz w:val="18"/>
              </w:rPr>
              <w:t xml:space="preserve"> </w:t>
            </w:r>
          </w:p>
        </w:tc>
        <w:tc>
          <w:tcPr>
            <w:tcW w:w="205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vAlign w:val="center"/>
          </w:tcPr>
          <w:p w:rsidR="004D6F0E" w:rsidRDefault="00490F21">
            <w:pPr>
              <w:spacing w:after="0" w:line="259" w:lineRule="auto"/>
              <w:ind w:left="293" w:firstLine="0"/>
            </w:pPr>
            <w:r>
              <w:rPr>
                <w:rFonts w:ascii="Arial" w:eastAsia="Arial" w:hAnsi="Arial" w:cs="Arial"/>
                <w:sz w:val="18"/>
              </w:rPr>
              <w:t xml:space="preserve">1.10% </w:t>
            </w:r>
          </w:p>
        </w:tc>
        <w:tc>
          <w:tcPr>
            <w:tcW w:w="2124" w:type="dxa"/>
            <w:tcBorders>
              <w:top w:val="nil"/>
              <w:left w:val="nil"/>
              <w:bottom w:val="nil"/>
              <w:right w:val="nil"/>
            </w:tcBorders>
            <w:vAlign w:val="center"/>
          </w:tcPr>
          <w:p w:rsidR="004D6F0E" w:rsidRDefault="00490F21">
            <w:pPr>
              <w:spacing w:after="0" w:line="259" w:lineRule="auto"/>
              <w:ind w:left="70" w:firstLine="0"/>
            </w:pPr>
            <w:r>
              <w:rPr>
                <w:rFonts w:ascii="Arial" w:eastAsia="Arial" w:hAnsi="Arial" w:cs="Arial"/>
                <w:sz w:val="18"/>
              </w:rPr>
              <w:t xml:space="preserve">0.70% </w:t>
            </w:r>
          </w:p>
        </w:tc>
        <w:tc>
          <w:tcPr>
            <w:tcW w:w="1495" w:type="dxa"/>
            <w:tcBorders>
              <w:top w:val="nil"/>
              <w:left w:val="nil"/>
              <w:bottom w:val="nil"/>
              <w:right w:val="nil"/>
            </w:tcBorders>
          </w:tcPr>
          <w:p w:rsidR="004D6F0E" w:rsidRDefault="00490F21">
            <w:pPr>
              <w:spacing w:after="30"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0" w:right="51"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0" w:right="51"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754"/>
        </w:trPr>
        <w:tc>
          <w:tcPr>
            <w:tcW w:w="2750" w:type="dxa"/>
            <w:tcBorders>
              <w:top w:val="nil"/>
              <w:left w:val="nil"/>
              <w:bottom w:val="nil"/>
              <w:right w:val="nil"/>
            </w:tcBorders>
            <w:vAlign w:val="bottom"/>
          </w:tcPr>
          <w:p w:rsidR="004D6F0E" w:rsidRDefault="00490F21">
            <w:pPr>
              <w:spacing w:after="183" w:line="259" w:lineRule="auto"/>
              <w:ind w:left="108" w:firstLine="0"/>
            </w:pPr>
            <w:r>
              <w:rPr>
                <w:rFonts w:ascii="Arial" w:eastAsia="Arial" w:hAnsi="Arial" w:cs="Arial"/>
                <w:sz w:val="18"/>
              </w:rPr>
              <w:t xml:space="preserve">C </w:t>
            </w:r>
            <w:r>
              <w:rPr>
                <w:sz w:val="18"/>
              </w:rPr>
              <w:t>和</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24"/>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1.55%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458"/>
        </w:trPr>
        <w:tc>
          <w:tcPr>
            <w:tcW w:w="2750"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205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vAlign w:val="center"/>
          </w:tcPr>
          <w:p w:rsidR="004D6F0E" w:rsidRDefault="00490F21">
            <w:pPr>
              <w:spacing w:after="0" w:line="259" w:lineRule="auto"/>
              <w:ind w:left="293" w:firstLine="0"/>
            </w:pPr>
            <w:r>
              <w:rPr>
                <w:rFonts w:ascii="Arial" w:eastAsia="Arial" w:hAnsi="Arial" w:cs="Arial"/>
                <w:sz w:val="18"/>
              </w:rPr>
              <w:t xml:space="preserve">1.55% </w:t>
            </w:r>
          </w:p>
        </w:tc>
        <w:tc>
          <w:tcPr>
            <w:tcW w:w="2124" w:type="dxa"/>
            <w:tcBorders>
              <w:top w:val="nil"/>
              <w:left w:val="nil"/>
              <w:bottom w:val="nil"/>
              <w:right w:val="nil"/>
            </w:tcBorders>
            <w:vAlign w:val="center"/>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468"/>
        </w:trPr>
        <w:tc>
          <w:tcPr>
            <w:tcW w:w="2750"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CK </w:t>
            </w:r>
            <w:r>
              <w:rPr>
                <w:sz w:val="18"/>
              </w:rPr>
              <w:t>類股份</w:t>
            </w:r>
            <w:r>
              <w:rPr>
                <w:rFonts w:ascii="Arial" w:eastAsia="Arial" w:hAnsi="Arial" w:cs="Arial"/>
                <w:sz w:val="18"/>
              </w:rPr>
              <w:t xml:space="preserve"> </w:t>
            </w:r>
          </w:p>
        </w:tc>
        <w:tc>
          <w:tcPr>
            <w:tcW w:w="205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vAlign w:val="center"/>
          </w:tcPr>
          <w:p w:rsidR="004D6F0E" w:rsidRDefault="00490F21">
            <w:pPr>
              <w:spacing w:after="0" w:line="259" w:lineRule="auto"/>
              <w:ind w:left="293" w:firstLine="0"/>
            </w:pPr>
            <w:r>
              <w:rPr>
                <w:rFonts w:ascii="Arial" w:eastAsia="Arial" w:hAnsi="Arial" w:cs="Arial"/>
                <w:sz w:val="18"/>
              </w:rPr>
              <w:t xml:space="preserve">1.55% </w:t>
            </w:r>
          </w:p>
        </w:tc>
        <w:tc>
          <w:tcPr>
            <w:tcW w:w="2124" w:type="dxa"/>
            <w:tcBorders>
              <w:top w:val="nil"/>
              <w:left w:val="nil"/>
              <w:bottom w:val="nil"/>
              <w:right w:val="nil"/>
            </w:tcBorders>
            <w:vAlign w:val="center"/>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39"/>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5"/>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3"/>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IA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29"/>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6"/>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SHK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458" w:firstLine="0"/>
            </w:pPr>
            <w:r>
              <w:rPr>
                <w:sz w:val="18"/>
              </w:rPr>
              <w:t>無</w:t>
            </w:r>
            <w:r>
              <w:rPr>
                <w:rFonts w:ascii="Arial" w:eastAsia="Arial" w:hAnsi="Arial" w:cs="Arial"/>
                <w:sz w:val="18"/>
              </w:rPr>
              <w:t xml:space="preserve">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40"/>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34"/>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lastRenderedPageBreak/>
              <w:t xml:space="preserve">S1D </w:t>
            </w:r>
            <w:r>
              <w:rPr>
                <w:sz w:val="18"/>
              </w:rPr>
              <w:t>類股份</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0.50%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28"/>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r w:rsidR="004D6F0E">
        <w:trPr>
          <w:trHeight w:val="209"/>
        </w:trPr>
        <w:tc>
          <w:tcPr>
            <w:tcW w:w="2750"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WA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9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2124" w:type="dxa"/>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0" w:line="259" w:lineRule="auto"/>
              <w:ind w:left="0" w:right="52" w:firstLine="0"/>
              <w:jc w:val="center"/>
            </w:pPr>
            <w:r>
              <w:rPr>
                <w:sz w:val="18"/>
              </w:rPr>
              <w:t>無</w:t>
            </w:r>
            <w:r>
              <w:rPr>
                <w:rFonts w:ascii="Arial" w:eastAsia="Arial" w:hAnsi="Arial" w:cs="Arial"/>
                <w:sz w:val="18"/>
              </w:rPr>
              <w:t xml:space="preserve"> </w:t>
            </w:r>
          </w:p>
        </w:tc>
      </w:tr>
    </w:tbl>
    <w:p w:rsidR="004D6F0E" w:rsidRDefault="00490F21">
      <w:pPr>
        <w:ind w:left="110" w:right="2"/>
      </w:pPr>
      <w:r>
        <w:t>基金特色</w:t>
      </w:r>
      <w:r>
        <w:rPr>
          <w:rFonts w:ascii="Arial" w:eastAsia="Arial" w:hAnsi="Arial" w:cs="Arial"/>
          <w:b/>
          <w:sz w:val="24"/>
        </w:rPr>
        <w:t xml:space="preserve"> </w:t>
      </w:r>
    </w:p>
    <w:tbl>
      <w:tblPr>
        <w:tblStyle w:val="TableGrid"/>
        <w:tblW w:w="11175" w:type="dxa"/>
        <w:tblInd w:w="101" w:type="dxa"/>
        <w:tblCellMar>
          <w:top w:w="23" w:type="dxa"/>
          <w:left w:w="0" w:type="dxa"/>
          <w:bottom w:w="11" w:type="dxa"/>
          <w:right w:w="0" w:type="dxa"/>
        </w:tblCellMar>
        <w:tblLook w:val="04A0" w:firstRow="1" w:lastRow="0" w:firstColumn="1" w:lastColumn="0" w:noHBand="0" w:noVBand="1"/>
      </w:tblPr>
      <w:tblGrid>
        <w:gridCol w:w="7083"/>
        <w:gridCol w:w="215"/>
        <w:gridCol w:w="431"/>
        <w:gridCol w:w="5228"/>
      </w:tblGrid>
      <w:tr w:rsidR="004D6F0E">
        <w:trPr>
          <w:trHeight w:val="910"/>
        </w:trPr>
        <w:tc>
          <w:tcPr>
            <w:tcW w:w="5078" w:type="dxa"/>
            <w:tcBorders>
              <w:top w:val="nil"/>
              <w:left w:val="nil"/>
              <w:bottom w:val="nil"/>
              <w:right w:val="nil"/>
            </w:tcBorders>
          </w:tcPr>
          <w:p w:rsidR="004D6F0E" w:rsidRDefault="00490F21">
            <w:pPr>
              <w:spacing w:after="0" w:line="259" w:lineRule="auto"/>
              <w:ind w:left="0" w:firstLine="0"/>
            </w:pPr>
            <w:r>
              <w:rPr>
                <w:sz w:val="18"/>
              </w:rPr>
              <w:t>基金貨幣</w:t>
            </w:r>
            <w:r>
              <w:rPr>
                <w:rFonts w:ascii="Arial" w:eastAsia="Arial" w:hAnsi="Arial" w:cs="Arial"/>
                <w:sz w:val="18"/>
              </w:rPr>
              <w:t xml:space="preserve"> </w:t>
            </w:r>
            <w:r>
              <w:rPr>
                <w:sz w:val="18"/>
              </w:rPr>
              <w:t>歐元</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0" w:right="2799" w:firstLine="0"/>
            </w:pPr>
            <w:r>
              <w:rPr>
                <w:sz w:val="18"/>
              </w:rPr>
              <w:t>資產淨值</w:t>
            </w:r>
            <w:r>
              <w:rPr>
                <w:sz w:val="18"/>
              </w:rPr>
              <w:t xml:space="preserve"> </w:t>
            </w:r>
            <w:r>
              <w:rPr>
                <w:sz w:val="18"/>
              </w:rPr>
              <w:t>每個營業日計算</w:t>
            </w:r>
            <w:r>
              <w:rPr>
                <w:rFonts w:ascii="Arial" w:eastAsia="Arial" w:hAnsi="Arial" w:cs="Arial"/>
                <w:sz w:val="18"/>
              </w:rPr>
              <w:t xml:space="preserve"> </w:t>
            </w:r>
          </w:p>
        </w:tc>
        <w:tc>
          <w:tcPr>
            <w:tcW w:w="28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836" w:type="dxa"/>
            <w:tcBorders>
              <w:top w:val="nil"/>
              <w:left w:val="nil"/>
              <w:bottom w:val="nil"/>
              <w:right w:val="nil"/>
            </w:tcBorders>
          </w:tcPr>
          <w:p w:rsidR="004D6F0E" w:rsidRDefault="00490F21">
            <w:pPr>
              <w:spacing w:after="0" w:line="259" w:lineRule="auto"/>
              <w:ind w:left="0" w:firstLine="0"/>
            </w:pPr>
            <w:r>
              <w:rPr>
                <w:sz w:val="18"/>
              </w:rPr>
              <w:t>派息</w:t>
            </w:r>
            <w:r>
              <w:rPr>
                <w:rFonts w:ascii="Arial" w:eastAsia="Arial" w:hAnsi="Arial" w:cs="Arial"/>
                <w:sz w:val="18"/>
              </w:rPr>
              <w:t xml:space="preserve">* </w:t>
            </w:r>
          </w:p>
        </w:tc>
        <w:tc>
          <w:tcPr>
            <w:tcW w:w="3979" w:type="dxa"/>
            <w:tcBorders>
              <w:top w:val="nil"/>
              <w:left w:val="nil"/>
              <w:bottom w:val="nil"/>
              <w:right w:val="nil"/>
            </w:tcBorders>
          </w:tcPr>
          <w:p w:rsidR="004D6F0E" w:rsidRDefault="00490F21">
            <w:pPr>
              <w:spacing w:after="208" w:line="270" w:lineRule="auto"/>
              <w:ind w:left="7" w:right="622" w:firstLine="0"/>
            </w:pPr>
            <w:r>
              <w:rPr>
                <w:rFonts w:ascii="Arial" w:eastAsia="Arial" w:hAnsi="Arial" w:cs="Arial"/>
                <w:i/>
                <w:sz w:val="18"/>
              </w:rPr>
              <w:t>A</w:t>
            </w:r>
            <w:r>
              <w:t>、</w:t>
            </w:r>
            <w:r>
              <w:rPr>
                <w:rFonts w:ascii="Arial" w:eastAsia="Arial" w:hAnsi="Arial" w:cs="Arial"/>
                <w:i/>
                <w:sz w:val="18"/>
              </w:rPr>
              <w:t>B</w:t>
            </w:r>
            <w:r>
              <w:t>、</w:t>
            </w:r>
            <w:r>
              <w:rPr>
                <w:rFonts w:ascii="Arial" w:eastAsia="Arial" w:hAnsi="Arial" w:cs="Arial"/>
                <w:i/>
                <w:sz w:val="18"/>
              </w:rPr>
              <w:t>C</w:t>
            </w:r>
            <w:r>
              <w:t>及</w:t>
            </w:r>
            <w:r>
              <w:rPr>
                <w:rFonts w:ascii="Arial" w:eastAsia="Arial" w:hAnsi="Arial" w:cs="Arial"/>
                <w:i/>
                <w:sz w:val="18"/>
              </w:rPr>
              <w:t xml:space="preserve"> I</w:t>
            </w:r>
            <w:r>
              <w:t>類股份</w:t>
            </w:r>
            <w:r>
              <w:rPr>
                <w:sz w:val="18"/>
              </w:rPr>
              <w:t>每日宣派，按月派付</w:t>
            </w:r>
            <w:r>
              <w:rPr>
                <w:rFonts w:ascii="Arial" w:eastAsia="Arial" w:hAnsi="Arial" w:cs="Arial"/>
                <w:sz w:val="18"/>
              </w:rPr>
              <w:t xml:space="preserve"> </w:t>
            </w:r>
          </w:p>
          <w:p w:rsidR="004D6F0E" w:rsidRDefault="00490F21">
            <w:pPr>
              <w:spacing w:after="0" w:line="259" w:lineRule="auto"/>
              <w:ind w:left="7" w:firstLine="0"/>
            </w:pPr>
            <w:r>
              <w:rPr>
                <w:rFonts w:ascii="Arial" w:eastAsia="Arial" w:hAnsi="Arial" w:cs="Arial"/>
                <w:i/>
                <w:sz w:val="18"/>
              </w:rPr>
              <w:t>AT</w:t>
            </w:r>
            <w:r>
              <w:t>、</w:t>
            </w:r>
            <w:r>
              <w:rPr>
                <w:rFonts w:ascii="Arial" w:eastAsia="Arial" w:hAnsi="Arial" w:cs="Arial"/>
                <w:i/>
                <w:sz w:val="18"/>
              </w:rPr>
              <w:t>CT</w:t>
            </w:r>
            <w:r>
              <w:t>、</w:t>
            </w:r>
            <w:r>
              <w:rPr>
                <w:rFonts w:ascii="Arial" w:eastAsia="Arial" w:hAnsi="Arial" w:cs="Arial"/>
                <w:i/>
                <w:sz w:val="18"/>
              </w:rPr>
              <w:t>IT</w:t>
            </w:r>
            <w:r>
              <w:t>、</w:t>
            </w:r>
            <w:r>
              <w:rPr>
                <w:rFonts w:ascii="Arial" w:eastAsia="Arial" w:hAnsi="Arial" w:cs="Arial"/>
                <w:i/>
                <w:sz w:val="18"/>
              </w:rPr>
              <w:t>NT</w:t>
            </w:r>
            <w:r>
              <w:t>、</w:t>
            </w:r>
            <w:r>
              <w:rPr>
                <w:rFonts w:ascii="Arial" w:eastAsia="Arial" w:hAnsi="Arial" w:cs="Arial"/>
                <w:i/>
                <w:sz w:val="18"/>
              </w:rPr>
              <w:t>S1D</w:t>
            </w:r>
            <w:r>
              <w:t>及</w:t>
            </w:r>
            <w:r>
              <w:rPr>
                <w:rFonts w:ascii="Arial" w:eastAsia="Arial" w:hAnsi="Arial" w:cs="Arial"/>
                <w:i/>
                <w:sz w:val="18"/>
              </w:rPr>
              <w:t>WT</w:t>
            </w:r>
            <w:r>
              <w:t>類股份</w:t>
            </w:r>
            <w:r>
              <w:rPr>
                <w:rFonts w:ascii="Arial" w:eastAsia="Arial" w:hAnsi="Arial" w:cs="Arial"/>
                <w:sz w:val="18"/>
              </w:rPr>
              <w:t xml:space="preserve"> </w:t>
            </w:r>
          </w:p>
        </w:tc>
      </w:tr>
      <w:tr w:rsidR="004D6F0E">
        <w:trPr>
          <w:trHeight w:val="2456"/>
        </w:trPr>
        <w:tc>
          <w:tcPr>
            <w:tcW w:w="5078"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80" w:lineRule="auto"/>
              <w:ind w:left="0" w:right="996" w:firstLine="0"/>
            </w:pPr>
            <w:r>
              <w:rPr>
                <w:sz w:val="18"/>
              </w:rPr>
              <w:t>資產淨值</w:t>
            </w:r>
            <w:r>
              <w:rPr>
                <w:sz w:val="18"/>
              </w:rPr>
              <w:t xml:space="preserve"> </w:t>
            </w:r>
            <w:r>
              <w:rPr>
                <w:sz w:val="18"/>
              </w:rPr>
              <w:t>可在</w:t>
            </w:r>
            <w:r>
              <w:rPr>
                <w:sz w:val="18"/>
              </w:rPr>
              <w:t xml:space="preserve"> </w:t>
            </w:r>
            <w:hyperlink r:id="rId205">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206">
              <w:r>
                <w:rPr>
                  <w:sz w:val="18"/>
                </w:rPr>
                <w:t>查</w:t>
              </w:r>
            </w:hyperlink>
            <w:r>
              <w:rPr>
                <w:sz w:val="18"/>
              </w:rPr>
              <w:t>閱公佈</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197" w:line="286" w:lineRule="auto"/>
              <w:ind w:left="0" w:right="216" w:firstLine="0"/>
              <w:jc w:val="both"/>
            </w:pPr>
            <w:r>
              <w:rPr>
                <w:sz w:val="18"/>
              </w:rPr>
              <w:t>股份類別</w:t>
            </w:r>
            <w:r>
              <w:rPr>
                <w:sz w:val="18"/>
              </w:rPr>
              <w:t xml:space="preserve"> </w:t>
            </w:r>
            <w:r>
              <w:rPr>
                <w:rFonts w:ascii="Arial" w:eastAsia="Arial" w:hAnsi="Arial" w:cs="Arial"/>
                <w:b/>
                <w:sz w:val="18"/>
              </w:rPr>
              <w:t xml:space="preserve">H </w:t>
            </w:r>
            <w:r>
              <w:rPr>
                <w:sz w:val="18"/>
              </w:rPr>
              <w:t>代表貨幣對沖股份類別。欲進一步了解股份類別名稱</w:t>
            </w:r>
            <w:r>
              <w:rPr>
                <w:rFonts w:ascii="Arial" w:eastAsia="Arial" w:hAnsi="Arial" w:cs="Arial"/>
                <w:sz w:val="18"/>
              </w:rPr>
              <w:t xml:space="preserve"> </w:t>
            </w:r>
            <w:r>
              <w:rPr>
                <w:sz w:val="18"/>
              </w:rPr>
              <w:t>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w:t>
            </w:r>
            <w:r>
              <w:rPr>
                <w:sz w:val="18"/>
              </w:rPr>
              <w:t>貨幣對沖股份類別」和「風險因素</w:t>
            </w:r>
            <w:r>
              <w:rPr>
                <w:rFonts w:ascii="Arial" w:eastAsia="Arial" w:hAnsi="Arial" w:cs="Arial"/>
                <w:sz w:val="18"/>
              </w:rPr>
              <w:t xml:space="preserve"> – </w:t>
            </w:r>
            <w:r>
              <w:rPr>
                <w:sz w:val="18"/>
              </w:rPr>
              <w:t>貨幣對沖股份類</w:t>
            </w:r>
            <w:r>
              <w:rPr>
                <w:sz w:val="18"/>
              </w:rPr>
              <w:t xml:space="preserve"> </w:t>
            </w:r>
            <w:r>
              <w:rPr>
                <w:rFonts w:ascii="Arial" w:eastAsia="Arial" w:hAnsi="Arial" w:cs="Arial"/>
                <w:sz w:val="18"/>
              </w:rPr>
              <w:t xml:space="preserve"> </w:t>
            </w:r>
            <w:r>
              <w:rPr>
                <w:sz w:val="18"/>
              </w:rPr>
              <w:t>別風險」。</w:t>
            </w:r>
            <w:r>
              <w:rPr>
                <w:rFonts w:ascii="Arial" w:eastAsia="Arial" w:hAnsi="Arial" w:cs="Arial"/>
                <w:sz w:val="18"/>
              </w:rPr>
              <w:t xml:space="preserve"> </w:t>
            </w:r>
          </w:p>
          <w:p w:rsidR="004D6F0E" w:rsidRDefault="00490F21">
            <w:pPr>
              <w:spacing w:after="0" w:line="259" w:lineRule="auto"/>
              <w:ind w:left="0" w:right="639" w:firstLine="0"/>
            </w:pPr>
            <w:r>
              <w:rPr>
                <w:sz w:val="18"/>
              </w:rPr>
              <w:t>指示截止</w:t>
            </w:r>
            <w:r>
              <w:rPr>
                <w:sz w:val="18"/>
              </w:rPr>
              <w:t xml:space="preserve"> </w:t>
            </w:r>
            <w:r>
              <w:t>歐元計價股份類別及美元計價股份類別</w:t>
            </w:r>
            <w:r>
              <w:rPr>
                <w:sz w:val="18"/>
              </w:rPr>
              <w:t>時間</w:t>
            </w:r>
            <w:r>
              <w:rPr>
                <w:rFonts w:ascii="Arial" w:eastAsia="Arial" w:hAnsi="Arial" w:cs="Arial"/>
                <w:sz w:val="20"/>
              </w:rPr>
              <w:t xml:space="preserve"> </w:t>
            </w:r>
            <w:r>
              <w:rPr>
                <w:rFonts w:ascii="Arial" w:eastAsia="Arial" w:hAnsi="Arial" w:cs="Arial"/>
                <w:sz w:val="20"/>
              </w:rPr>
              <w:tab/>
            </w:r>
            <w:r>
              <w:rPr>
                <w:sz w:val="18"/>
              </w:rPr>
              <w:t>美國東部時間各營業日下午</w:t>
            </w:r>
            <w:r>
              <w:rPr>
                <w:sz w:val="18"/>
              </w:rPr>
              <w:t xml:space="preserve"> </w:t>
            </w:r>
            <w:r>
              <w:rPr>
                <w:rFonts w:ascii="Arial" w:eastAsia="Arial" w:hAnsi="Arial" w:cs="Arial"/>
                <w:sz w:val="18"/>
              </w:rPr>
              <w:t xml:space="preserve">4:00 </w:t>
            </w:r>
          </w:p>
        </w:tc>
        <w:tc>
          <w:tcPr>
            <w:tcW w:w="281" w:type="dxa"/>
            <w:tcBorders>
              <w:top w:val="nil"/>
              <w:left w:val="nil"/>
              <w:bottom w:val="nil"/>
              <w:right w:val="nil"/>
            </w:tcBorders>
          </w:tcPr>
          <w:p w:rsidR="004D6F0E" w:rsidRDefault="00490F21">
            <w:pPr>
              <w:spacing w:after="516"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1836" w:type="dxa"/>
            <w:vMerge w:val="restart"/>
            <w:tcBorders>
              <w:top w:val="nil"/>
              <w:left w:val="nil"/>
              <w:bottom w:val="nil"/>
              <w:right w:val="nil"/>
            </w:tcBorders>
          </w:tcPr>
          <w:p w:rsidR="004D6F0E" w:rsidRDefault="00490F21">
            <w:pPr>
              <w:spacing w:after="0" w:line="259" w:lineRule="auto"/>
              <w:ind w:left="0" w:firstLine="0"/>
            </w:pP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979" w:type="dxa"/>
            <w:vMerge w:val="restart"/>
            <w:tcBorders>
              <w:top w:val="nil"/>
              <w:left w:val="nil"/>
              <w:bottom w:val="nil"/>
              <w:right w:val="nil"/>
            </w:tcBorders>
          </w:tcPr>
          <w:p w:rsidR="004D6F0E" w:rsidRDefault="00490F21">
            <w:pPr>
              <w:spacing w:after="215" w:line="259" w:lineRule="auto"/>
              <w:ind w:left="7" w:firstLine="0"/>
            </w:pPr>
            <w:r>
              <w:rPr>
                <w:sz w:val="18"/>
              </w:rPr>
              <w:t>按月宣派及派付</w:t>
            </w:r>
            <w:r>
              <w:rPr>
                <w:rFonts w:ascii="Arial" w:eastAsia="Arial" w:hAnsi="Arial" w:cs="Arial"/>
                <w:i/>
                <w:sz w:val="18"/>
              </w:rPr>
              <w:t xml:space="preserve"> </w:t>
            </w:r>
          </w:p>
          <w:p w:rsidR="004D6F0E" w:rsidRDefault="00490F21">
            <w:pPr>
              <w:spacing w:after="0" w:line="259" w:lineRule="auto"/>
              <w:ind w:left="7" w:firstLine="0"/>
            </w:pPr>
            <w:r>
              <w:rPr>
                <w:rFonts w:ascii="Arial" w:eastAsia="Arial" w:hAnsi="Arial" w:cs="Arial"/>
                <w:i/>
                <w:sz w:val="18"/>
              </w:rPr>
              <w:t>AA</w:t>
            </w:r>
            <w:r>
              <w:t>、</w:t>
            </w:r>
            <w:r>
              <w:rPr>
                <w:rFonts w:ascii="Arial" w:eastAsia="Arial" w:hAnsi="Arial" w:cs="Arial"/>
                <w:i/>
                <w:sz w:val="18"/>
              </w:rPr>
              <w:t>IA</w:t>
            </w:r>
            <w:r>
              <w:t>、</w:t>
            </w:r>
            <w:r>
              <w:rPr>
                <w:rFonts w:ascii="Arial" w:eastAsia="Arial" w:hAnsi="Arial" w:cs="Arial"/>
                <w:i/>
                <w:sz w:val="18"/>
              </w:rPr>
              <w:t>SA</w:t>
            </w:r>
            <w:r>
              <w:t>及</w:t>
            </w:r>
            <w:r>
              <w:rPr>
                <w:rFonts w:ascii="Arial" w:eastAsia="Arial" w:hAnsi="Arial" w:cs="Arial"/>
                <w:i/>
                <w:sz w:val="18"/>
              </w:rPr>
              <w:t>WA</w:t>
            </w:r>
            <w:r>
              <w:t>類股份</w:t>
            </w:r>
            <w:r>
              <w:rPr>
                <w:rFonts w:ascii="Arial" w:eastAsia="Arial" w:hAnsi="Arial" w:cs="Arial"/>
                <w:i/>
                <w:sz w:val="18"/>
              </w:rPr>
              <w:t xml:space="preserve"> </w:t>
            </w:r>
          </w:p>
          <w:p w:rsidR="004D6F0E" w:rsidRDefault="00490F21">
            <w:pPr>
              <w:spacing w:after="0" w:line="272" w:lineRule="auto"/>
              <w:ind w:left="7" w:firstLine="0"/>
            </w:pPr>
            <w:r>
              <w:rPr>
                <w:sz w:val="18"/>
              </w:rPr>
              <w:t>按月宣派及派付，派息率來自於總收入（扣除費用及開支前）</w:t>
            </w:r>
            <w:r>
              <w:rPr>
                <w:rFonts w:ascii="Arial" w:eastAsia="Arial" w:hAnsi="Arial" w:cs="Arial"/>
                <w:sz w:val="18"/>
              </w:rPr>
              <w:t xml:space="preserve"> </w:t>
            </w:r>
          </w:p>
          <w:p w:rsidR="004D6F0E" w:rsidRDefault="00490F21">
            <w:pPr>
              <w:spacing w:after="0" w:line="259" w:lineRule="auto"/>
              <w:ind w:left="7" w:firstLine="0"/>
            </w:pPr>
            <w:r>
              <w:rPr>
                <w:rFonts w:ascii="Arial" w:eastAsia="Arial" w:hAnsi="Arial" w:cs="Arial"/>
                <w:sz w:val="18"/>
              </w:rPr>
              <w:t xml:space="preserve"> </w:t>
            </w:r>
          </w:p>
          <w:p w:rsidR="004D6F0E" w:rsidRDefault="00490F21">
            <w:pPr>
              <w:spacing w:after="0" w:line="259" w:lineRule="auto"/>
              <w:ind w:left="7" w:firstLine="0"/>
            </w:pPr>
            <w:r>
              <w:rPr>
                <w:rFonts w:ascii="Arial" w:eastAsia="Arial" w:hAnsi="Arial" w:cs="Arial"/>
                <w:i/>
                <w:sz w:val="18"/>
              </w:rPr>
              <w:t>SHK</w:t>
            </w:r>
            <w:r>
              <w:t>類股份</w:t>
            </w:r>
            <w:r>
              <w:rPr>
                <w:rFonts w:ascii="Arial" w:eastAsia="Arial" w:hAnsi="Arial" w:cs="Arial"/>
                <w:i/>
                <w:sz w:val="18"/>
              </w:rPr>
              <w:t xml:space="preserve"> </w:t>
            </w:r>
          </w:p>
          <w:p w:rsidR="004D6F0E" w:rsidRDefault="00490F21">
            <w:pPr>
              <w:spacing w:after="0" w:line="268" w:lineRule="auto"/>
              <w:ind w:left="7" w:firstLine="0"/>
            </w:pPr>
            <w:r>
              <w:rPr>
                <w:sz w:val="18"/>
              </w:rPr>
              <w:t>每日宣派及按月派付，派息率來自於總收入（扣除費用及開支前）</w:t>
            </w:r>
            <w:r>
              <w:rPr>
                <w:rFonts w:ascii="Arial" w:eastAsia="Arial" w:hAnsi="Arial" w:cs="Arial"/>
                <w:i/>
                <w:sz w:val="18"/>
              </w:rPr>
              <w:t xml:space="preserve"> </w:t>
            </w:r>
          </w:p>
          <w:p w:rsidR="004D6F0E" w:rsidRDefault="00490F21">
            <w:pPr>
              <w:spacing w:after="0" w:line="259" w:lineRule="auto"/>
              <w:ind w:left="7" w:firstLine="0"/>
            </w:pPr>
            <w:r>
              <w:rPr>
                <w:rFonts w:ascii="Arial" w:eastAsia="Arial" w:hAnsi="Arial" w:cs="Arial"/>
                <w:i/>
                <w:sz w:val="18"/>
              </w:rPr>
              <w:t xml:space="preserve"> </w:t>
            </w:r>
          </w:p>
          <w:p w:rsidR="004D6F0E" w:rsidRDefault="00490F21">
            <w:pPr>
              <w:spacing w:after="0" w:line="274" w:lineRule="auto"/>
              <w:ind w:left="7" w:right="377" w:firstLine="0"/>
            </w:pPr>
            <w:r>
              <w:rPr>
                <w:rFonts w:ascii="Arial" w:eastAsia="Arial" w:hAnsi="Arial" w:cs="Arial"/>
                <w:i/>
                <w:sz w:val="18"/>
              </w:rPr>
              <w:t>A2</w:t>
            </w:r>
            <w:r>
              <w:t>、</w:t>
            </w:r>
            <w:r>
              <w:rPr>
                <w:rFonts w:ascii="Arial" w:eastAsia="Arial" w:hAnsi="Arial" w:cs="Arial"/>
                <w:i/>
                <w:sz w:val="18"/>
              </w:rPr>
              <w:t>B2</w:t>
            </w:r>
            <w:r>
              <w:t>、</w:t>
            </w:r>
            <w:r>
              <w:rPr>
                <w:rFonts w:ascii="Arial" w:eastAsia="Arial" w:hAnsi="Arial" w:cs="Arial"/>
                <w:i/>
                <w:sz w:val="18"/>
              </w:rPr>
              <w:t>C2</w:t>
            </w:r>
            <w:r>
              <w:t>、</w:t>
            </w:r>
            <w:r>
              <w:rPr>
                <w:rFonts w:ascii="Arial" w:eastAsia="Arial" w:hAnsi="Arial" w:cs="Arial"/>
                <w:i/>
                <w:sz w:val="18"/>
              </w:rPr>
              <w:t>I2</w:t>
            </w:r>
            <w:r>
              <w:t>、</w:t>
            </w:r>
            <w:r>
              <w:rPr>
                <w:rFonts w:ascii="Arial" w:eastAsia="Arial" w:hAnsi="Arial" w:cs="Arial"/>
                <w:i/>
                <w:sz w:val="18"/>
              </w:rPr>
              <w:t>S</w:t>
            </w:r>
            <w:r>
              <w:t>、</w:t>
            </w:r>
            <w:r>
              <w:rPr>
                <w:rFonts w:ascii="Arial" w:eastAsia="Arial" w:hAnsi="Arial" w:cs="Arial"/>
                <w:i/>
                <w:sz w:val="18"/>
              </w:rPr>
              <w:t>S1</w:t>
            </w:r>
            <w:r>
              <w:t>及</w:t>
            </w:r>
            <w:r>
              <w:rPr>
                <w:rFonts w:ascii="Arial" w:eastAsia="Arial" w:hAnsi="Arial" w:cs="Arial"/>
                <w:i/>
                <w:sz w:val="18"/>
              </w:rPr>
              <w:t>W2</w:t>
            </w:r>
            <w:r>
              <w:t>類股份</w:t>
            </w:r>
            <w:r>
              <w:rPr>
                <w:sz w:val="18"/>
              </w:rPr>
              <w:t>無。</w:t>
            </w:r>
            <w:r>
              <w:rPr>
                <w:rFonts w:ascii="Arial" w:eastAsia="Arial" w:hAnsi="Arial" w:cs="Arial"/>
                <w:i/>
                <w:sz w:val="18"/>
              </w:rPr>
              <w:t xml:space="preserve"> </w:t>
            </w:r>
          </w:p>
          <w:p w:rsidR="004D6F0E" w:rsidRDefault="00490F21">
            <w:pPr>
              <w:spacing w:after="0" w:line="259" w:lineRule="auto"/>
              <w:ind w:left="7" w:firstLine="0"/>
            </w:pPr>
            <w:r>
              <w:rPr>
                <w:rFonts w:ascii="Arial" w:eastAsia="Arial" w:hAnsi="Arial" w:cs="Arial"/>
                <w:i/>
                <w:sz w:val="18"/>
              </w:rPr>
              <w:t xml:space="preserve"> </w:t>
            </w:r>
          </w:p>
          <w:p w:rsidR="004D6F0E" w:rsidRDefault="00490F21">
            <w:pPr>
              <w:spacing w:after="206" w:line="270" w:lineRule="auto"/>
              <w:ind w:left="7" w:right="956" w:firstLine="0"/>
            </w:pPr>
            <w:r>
              <w:rPr>
                <w:rFonts w:ascii="Arial" w:eastAsia="Arial" w:hAnsi="Arial" w:cs="Arial"/>
                <w:i/>
                <w:sz w:val="18"/>
              </w:rPr>
              <w:t>AK</w:t>
            </w:r>
            <w:r>
              <w:t>及</w:t>
            </w:r>
            <w:r>
              <w:rPr>
                <w:rFonts w:ascii="Arial" w:eastAsia="Arial" w:hAnsi="Arial" w:cs="Arial"/>
                <w:i/>
                <w:sz w:val="18"/>
              </w:rPr>
              <w:t>CK</w:t>
            </w:r>
            <w:r>
              <w:t>類股份</w:t>
            </w:r>
            <w:r>
              <w:rPr>
                <w:sz w:val="18"/>
              </w:rPr>
              <w:t>每年兩次宣派及派付</w:t>
            </w:r>
            <w:r>
              <w:rPr>
                <w:rFonts w:ascii="Arial" w:eastAsia="Arial" w:hAnsi="Arial" w:cs="Arial"/>
                <w:sz w:val="18"/>
              </w:rPr>
              <w:t xml:space="preserve"> </w:t>
            </w:r>
          </w:p>
          <w:p w:rsidR="004D6F0E" w:rsidRDefault="00490F21">
            <w:pPr>
              <w:spacing w:after="0" w:line="259" w:lineRule="auto"/>
              <w:ind w:left="7" w:firstLine="0"/>
            </w:pPr>
            <w:r>
              <w:rPr>
                <w:rFonts w:ascii="Arial" w:eastAsia="Arial" w:hAnsi="Arial" w:cs="Arial"/>
                <w:i/>
                <w:sz w:val="18"/>
              </w:rPr>
              <w:t>AR</w:t>
            </w:r>
            <w:r>
              <w:t>類股份</w:t>
            </w:r>
            <w:r>
              <w:rPr>
                <w:rFonts w:ascii="Arial" w:eastAsia="Arial" w:hAnsi="Arial" w:cs="Arial"/>
                <w:i/>
                <w:sz w:val="18"/>
              </w:rPr>
              <w:t xml:space="preserve"> </w:t>
            </w:r>
          </w:p>
          <w:p w:rsidR="004D6F0E" w:rsidRDefault="00490F21">
            <w:pPr>
              <w:spacing w:after="0" w:line="259" w:lineRule="auto"/>
              <w:ind w:left="7" w:firstLine="0"/>
              <w:jc w:val="both"/>
            </w:pPr>
            <w:r>
              <w:rPr>
                <w:sz w:val="18"/>
              </w:rPr>
              <w:t>按年宣派及派付，派息率來自於總收入（扣除費用</w:t>
            </w:r>
          </w:p>
        </w:tc>
      </w:tr>
      <w:tr w:rsidR="004D6F0E">
        <w:trPr>
          <w:trHeight w:val="1706"/>
        </w:trPr>
        <w:tc>
          <w:tcPr>
            <w:tcW w:w="5359" w:type="dxa"/>
            <w:gridSpan w:val="2"/>
            <w:tcBorders>
              <w:top w:val="nil"/>
              <w:left w:val="nil"/>
              <w:bottom w:val="nil"/>
              <w:right w:val="nil"/>
            </w:tcBorders>
            <w:vAlign w:val="bottom"/>
          </w:tcPr>
          <w:p w:rsidR="004D6F0E" w:rsidRDefault="00490F21">
            <w:pPr>
              <w:spacing w:after="0" w:line="279" w:lineRule="auto"/>
              <w:ind w:left="970" w:hanging="12"/>
            </w:pPr>
            <w:r>
              <w:t>貨幣對沖股份類別（不包括人民幣對沖股份類別）</w:t>
            </w:r>
            <w:r>
              <w:rPr>
                <w:sz w:val="18"/>
              </w:rPr>
              <w:t>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970" w:firstLine="0"/>
            </w:pPr>
            <w:r>
              <w:rPr>
                <w:rFonts w:ascii="Arial" w:eastAsia="Arial" w:hAnsi="Arial" w:cs="Arial"/>
                <w:sz w:val="18"/>
              </w:rPr>
              <w:t xml:space="preserve"> </w:t>
            </w:r>
          </w:p>
          <w:p w:rsidR="004D6F0E" w:rsidRDefault="00490F21">
            <w:pPr>
              <w:spacing w:after="2" w:line="259" w:lineRule="auto"/>
              <w:ind w:left="958" w:firstLine="0"/>
            </w:pPr>
            <w:r>
              <w:t>人民幣對沖股份類別</w:t>
            </w:r>
            <w:r>
              <w:rPr>
                <w:rFonts w:ascii="Arial" w:eastAsia="Arial" w:hAnsi="Arial" w:cs="Arial"/>
                <w:sz w:val="18"/>
              </w:rPr>
              <w:t xml:space="preserve"> </w:t>
            </w:r>
          </w:p>
          <w:p w:rsidR="004D6F0E" w:rsidRDefault="00490F21">
            <w:pPr>
              <w:spacing w:after="242" w:line="259" w:lineRule="auto"/>
              <w:ind w:left="970" w:firstLine="0"/>
            </w:pPr>
            <w:r>
              <w:rPr>
                <w:sz w:val="18"/>
              </w:rPr>
              <w:t>歐洲中部時間各營業日下午</w:t>
            </w:r>
            <w:r>
              <w:rPr>
                <w:sz w:val="18"/>
              </w:rPr>
              <w:t xml:space="preserve"> </w:t>
            </w:r>
            <w:r>
              <w:rPr>
                <w:rFonts w:ascii="Arial" w:eastAsia="Arial" w:hAnsi="Arial" w:cs="Arial"/>
                <w:sz w:val="18"/>
              </w:rPr>
              <w:t xml:space="preserve">1:00 </w:t>
            </w:r>
          </w:p>
          <w:p w:rsidR="004D6F0E" w:rsidRDefault="00490F21">
            <w:pPr>
              <w:spacing w:after="0" w:line="259" w:lineRule="auto"/>
              <w:ind w:left="0" w:firstLine="0"/>
            </w:pPr>
            <w:r>
              <w:rPr>
                <w:rFonts w:ascii="Arial" w:eastAsia="Arial" w:hAnsi="Arial" w:cs="Arial"/>
                <w:sz w:val="20"/>
              </w:rPr>
              <w:t xml:space="preserve"> </w:t>
            </w:r>
            <w:r>
              <w:rPr>
                <w:rFonts w:ascii="Arial" w:eastAsia="Arial" w:hAnsi="Arial" w:cs="Arial"/>
                <w:sz w:val="20"/>
              </w:rPr>
              <w:tab/>
            </w:r>
            <w:r>
              <w:rPr>
                <w:rFonts w:ascii="Arial" w:eastAsia="Arial" w:hAnsi="Arial" w:cs="Arial"/>
                <w:sz w:val="18"/>
              </w:rPr>
              <w:t xml:space="preserve"> </w:t>
            </w:r>
          </w:p>
        </w:tc>
        <w:tc>
          <w:tcPr>
            <w:tcW w:w="0" w:type="auto"/>
            <w:vMerge/>
            <w:tcBorders>
              <w:top w:val="nil"/>
              <w:left w:val="nil"/>
              <w:bottom w:val="nil"/>
              <w:right w:val="nil"/>
            </w:tcBorders>
          </w:tcPr>
          <w:p w:rsidR="004D6F0E" w:rsidRDefault="004D6F0E">
            <w:pPr>
              <w:spacing w:after="160" w:line="259" w:lineRule="auto"/>
              <w:ind w:left="0" w:firstLine="0"/>
            </w:pPr>
          </w:p>
        </w:tc>
        <w:tc>
          <w:tcPr>
            <w:tcW w:w="0" w:type="auto"/>
            <w:vMerge/>
            <w:tcBorders>
              <w:top w:val="nil"/>
              <w:left w:val="nil"/>
              <w:bottom w:val="nil"/>
              <w:right w:val="nil"/>
            </w:tcBorders>
          </w:tcPr>
          <w:p w:rsidR="004D6F0E" w:rsidRDefault="004D6F0E">
            <w:pPr>
              <w:spacing w:after="160" w:line="259" w:lineRule="auto"/>
              <w:ind w:left="0" w:firstLine="0"/>
            </w:pPr>
          </w:p>
        </w:tc>
      </w:tr>
    </w:tbl>
    <w:p w:rsidR="004D6F0E" w:rsidRDefault="00490F21">
      <w:pPr>
        <w:spacing w:line="503" w:lineRule="auto"/>
        <w:ind w:left="7313" w:right="538" w:hanging="10"/>
      </w:pPr>
      <w:r>
        <w:rPr>
          <w:sz w:val="18"/>
        </w:rPr>
        <w:t>及開支前）見下文「派息」。</w:t>
      </w:r>
      <w:r>
        <w:rPr>
          <w:rFonts w:ascii="Arial" w:eastAsia="Arial" w:hAnsi="Arial" w:cs="Arial"/>
          <w:sz w:val="18"/>
        </w:rPr>
        <w:t xml:space="preserve"> </w:t>
      </w:r>
    </w:p>
    <w:p w:rsidR="004D6F0E" w:rsidRDefault="00490F21">
      <w:pPr>
        <w:spacing w:after="210" w:line="259" w:lineRule="auto"/>
        <w:ind w:left="5895" w:hanging="10"/>
        <w:jc w:val="center"/>
      </w:pPr>
      <w:r>
        <w:rPr>
          <w:rFonts w:ascii="Arial" w:eastAsia="Arial" w:hAnsi="Arial" w:cs="Arial"/>
          <w:sz w:val="18"/>
        </w:rPr>
        <w:t>*</w:t>
      </w:r>
      <w:r>
        <w:rPr>
          <w:sz w:val="18"/>
        </w:rPr>
        <w:t>包括對沖股份類別</w:t>
      </w:r>
      <w:r>
        <w:rPr>
          <w:rFonts w:ascii="Arial" w:eastAsia="Arial" w:hAnsi="Arial" w:cs="Arial"/>
          <w:i/>
          <w:sz w:val="18"/>
        </w:rPr>
        <w:t xml:space="preserve"> </w:t>
      </w:r>
    </w:p>
    <w:p w:rsidR="004D6F0E" w:rsidRDefault="00490F21">
      <w:pPr>
        <w:spacing w:after="0" w:line="259" w:lineRule="auto"/>
        <w:ind w:left="-7" w:right="-1157" w:firstLine="0"/>
      </w:pPr>
      <w:r>
        <w:rPr>
          <w:rFonts w:ascii="Calibri" w:eastAsia="Calibri" w:hAnsi="Calibri" w:cs="Calibri"/>
          <w:noProof/>
          <w:sz w:val="22"/>
        </w:rPr>
        <mc:AlternateContent>
          <mc:Choice Requires="wpg">
            <w:drawing>
              <wp:inline distT="0" distB="0" distL="0" distR="0">
                <wp:extent cx="7235952" cy="335280"/>
                <wp:effectExtent l="0" t="0" r="0" b="0"/>
                <wp:docPr id="534404" name="Group 534404"/>
                <wp:cNvGraphicFramePr/>
                <a:graphic xmlns:a="http://schemas.openxmlformats.org/drawingml/2006/main">
                  <a:graphicData uri="http://schemas.microsoft.com/office/word/2010/wordprocessingGroup">
                    <wpg:wgp>
                      <wpg:cNvGrpSpPr/>
                      <wpg:grpSpPr>
                        <a:xfrm>
                          <a:off x="0" y="0"/>
                          <a:ext cx="7235952" cy="335280"/>
                          <a:chOff x="0" y="0"/>
                          <a:chExt cx="7235952" cy="335280"/>
                        </a:xfrm>
                      </wpg:grpSpPr>
                      <wps:wsp>
                        <wps:cNvPr id="33134" name="Rectangle 33134"/>
                        <wps:cNvSpPr/>
                        <wps:spPr>
                          <a:xfrm>
                            <a:off x="73152" y="34963"/>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33135" name="Rectangle 33135"/>
                        <wps:cNvSpPr/>
                        <wps:spPr>
                          <a:xfrm>
                            <a:off x="1132332" y="32916"/>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33136" name="Rectangle 33136"/>
                        <wps:cNvSpPr/>
                        <wps:spPr>
                          <a:xfrm>
                            <a:off x="1173480" y="15541"/>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24"/>
                                </w:rPr>
                                <w:t xml:space="preserve"> </w:t>
                              </w:r>
                            </w:p>
                          </w:txbxContent>
                        </wps:txbx>
                        <wps:bodyPr horzOverflow="overflow" vert="horz" lIns="0" tIns="0" rIns="0" bIns="0" rtlCol="0">
                          <a:noAutofit/>
                        </wps:bodyPr>
                      </wps:wsp>
                      <wps:wsp>
                        <wps:cNvPr id="658315" name="Shape 658315"/>
                        <wps:cNvSpPr/>
                        <wps:spPr>
                          <a:xfrm>
                            <a:off x="0" y="0"/>
                            <a:ext cx="615696" cy="18288"/>
                          </a:xfrm>
                          <a:custGeom>
                            <a:avLst/>
                            <a:gdLst/>
                            <a:ahLst/>
                            <a:cxnLst/>
                            <a:rect l="0" t="0" r="0" b="0"/>
                            <a:pathLst>
                              <a:path w="615696" h="18288">
                                <a:moveTo>
                                  <a:pt x="0" y="0"/>
                                </a:moveTo>
                                <a:lnTo>
                                  <a:pt x="615696" y="0"/>
                                </a:lnTo>
                                <a:lnTo>
                                  <a:pt x="61569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16" name="Shape 658316"/>
                        <wps:cNvSpPr/>
                        <wps:spPr>
                          <a:xfrm>
                            <a:off x="61569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17" name="Shape 658317"/>
                        <wps:cNvSpPr/>
                        <wps:spPr>
                          <a:xfrm>
                            <a:off x="633984" y="0"/>
                            <a:ext cx="2590800" cy="18288"/>
                          </a:xfrm>
                          <a:custGeom>
                            <a:avLst/>
                            <a:gdLst/>
                            <a:ahLst/>
                            <a:cxnLst/>
                            <a:rect l="0" t="0" r="0" b="0"/>
                            <a:pathLst>
                              <a:path w="2590800" h="18288">
                                <a:moveTo>
                                  <a:pt x="0" y="0"/>
                                </a:moveTo>
                                <a:lnTo>
                                  <a:pt x="2590800" y="0"/>
                                </a:lnTo>
                                <a:lnTo>
                                  <a:pt x="25908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18" name="Shape 658318"/>
                        <wps:cNvSpPr/>
                        <wps:spPr>
                          <a:xfrm>
                            <a:off x="322478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19" name="Shape 658319"/>
                        <wps:cNvSpPr/>
                        <wps:spPr>
                          <a:xfrm>
                            <a:off x="3243072" y="0"/>
                            <a:ext cx="160020" cy="18288"/>
                          </a:xfrm>
                          <a:custGeom>
                            <a:avLst/>
                            <a:gdLst/>
                            <a:ahLst/>
                            <a:cxnLst/>
                            <a:rect l="0" t="0" r="0" b="0"/>
                            <a:pathLst>
                              <a:path w="160020" h="18288">
                                <a:moveTo>
                                  <a:pt x="0" y="0"/>
                                </a:moveTo>
                                <a:lnTo>
                                  <a:pt x="160020" y="0"/>
                                </a:lnTo>
                                <a:lnTo>
                                  <a:pt x="1600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20" name="Shape 658320"/>
                        <wps:cNvSpPr/>
                        <wps:spPr>
                          <a:xfrm>
                            <a:off x="340309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21" name="Shape 658321"/>
                        <wps:cNvSpPr/>
                        <wps:spPr>
                          <a:xfrm>
                            <a:off x="3421380" y="0"/>
                            <a:ext cx="1152144" cy="18288"/>
                          </a:xfrm>
                          <a:custGeom>
                            <a:avLst/>
                            <a:gdLst/>
                            <a:ahLst/>
                            <a:cxnLst/>
                            <a:rect l="0" t="0" r="0" b="0"/>
                            <a:pathLst>
                              <a:path w="1152144" h="18288">
                                <a:moveTo>
                                  <a:pt x="0" y="0"/>
                                </a:moveTo>
                                <a:lnTo>
                                  <a:pt x="1152144" y="0"/>
                                </a:lnTo>
                                <a:lnTo>
                                  <a:pt x="1152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22" name="Shape 658322"/>
                        <wps:cNvSpPr/>
                        <wps:spPr>
                          <a:xfrm>
                            <a:off x="45735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23" name="Shape 658323"/>
                        <wps:cNvSpPr/>
                        <wps:spPr>
                          <a:xfrm>
                            <a:off x="4591812" y="0"/>
                            <a:ext cx="2644140" cy="18288"/>
                          </a:xfrm>
                          <a:custGeom>
                            <a:avLst/>
                            <a:gdLst/>
                            <a:ahLst/>
                            <a:cxnLst/>
                            <a:rect l="0" t="0" r="0" b="0"/>
                            <a:pathLst>
                              <a:path w="2644140" h="18288">
                                <a:moveTo>
                                  <a:pt x="0" y="0"/>
                                </a:moveTo>
                                <a:lnTo>
                                  <a:pt x="2644140" y="0"/>
                                </a:lnTo>
                                <a:lnTo>
                                  <a:pt x="26441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7" name="Rectangle 33147"/>
                        <wps:cNvSpPr/>
                        <wps:spPr>
                          <a:xfrm>
                            <a:off x="1776984" y="1858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33148" name="Rectangle 33148"/>
                        <wps:cNvSpPr/>
                        <wps:spPr>
                          <a:xfrm>
                            <a:off x="2378964"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33149" name="Rectangle 33149"/>
                        <wps:cNvSpPr/>
                        <wps:spPr>
                          <a:xfrm>
                            <a:off x="2420112" y="185278"/>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8326" name="Shape 658326"/>
                        <wps:cNvSpPr/>
                        <wps:spPr>
                          <a:xfrm>
                            <a:off x="1478280" y="329184"/>
                            <a:ext cx="1240549" cy="9144"/>
                          </a:xfrm>
                          <a:custGeom>
                            <a:avLst/>
                            <a:gdLst/>
                            <a:ahLst/>
                            <a:cxnLst/>
                            <a:rect l="0" t="0" r="0" b="0"/>
                            <a:pathLst>
                              <a:path w="1240549" h="9144">
                                <a:moveTo>
                                  <a:pt x="0" y="0"/>
                                </a:moveTo>
                                <a:lnTo>
                                  <a:pt x="1240549" y="0"/>
                                </a:lnTo>
                                <a:lnTo>
                                  <a:pt x="12405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1" name="Rectangle 33151"/>
                        <wps:cNvSpPr/>
                        <wps:spPr>
                          <a:xfrm>
                            <a:off x="3195828" y="1858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33152" name="Rectangle 33152"/>
                        <wps:cNvSpPr/>
                        <wps:spPr>
                          <a:xfrm>
                            <a:off x="3569208"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33153" name="Rectangle 33153"/>
                        <wps:cNvSpPr/>
                        <wps:spPr>
                          <a:xfrm>
                            <a:off x="3610356" y="185278"/>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8329" name="Shape 658329"/>
                        <wps:cNvSpPr/>
                        <wps:spPr>
                          <a:xfrm>
                            <a:off x="2828544" y="329184"/>
                            <a:ext cx="1150608" cy="9144"/>
                          </a:xfrm>
                          <a:custGeom>
                            <a:avLst/>
                            <a:gdLst/>
                            <a:ahLst/>
                            <a:cxnLst/>
                            <a:rect l="0" t="0" r="0" b="0"/>
                            <a:pathLst>
                              <a:path w="1150608" h="9144">
                                <a:moveTo>
                                  <a:pt x="0" y="0"/>
                                </a:moveTo>
                                <a:lnTo>
                                  <a:pt x="1150608" y="0"/>
                                </a:lnTo>
                                <a:lnTo>
                                  <a:pt x="11506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5" name="Rectangle 33155"/>
                        <wps:cNvSpPr/>
                        <wps:spPr>
                          <a:xfrm>
                            <a:off x="4637532" y="1858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33156" name="Rectangle 33156"/>
                        <wps:cNvSpPr/>
                        <wps:spPr>
                          <a:xfrm>
                            <a:off x="5010912"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33157" name="Rectangle 33157"/>
                        <wps:cNvSpPr/>
                        <wps:spPr>
                          <a:xfrm>
                            <a:off x="5052060" y="185278"/>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8332" name="Shape 658332"/>
                        <wps:cNvSpPr/>
                        <wps:spPr>
                          <a:xfrm>
                            <a:off x="4088892" y="329184"/>
                            <a:ext cx="1511808" cy="9144"/>
                          </a:xfrm>
                          <a:custGeom>
                            <a:avLst/>
                            <a:gdLst/>
                            <a:ahLst/>
                            <a:cxnLst/>
                            <a:rect l="0" t="0" r="0" b="0"/>
                            <a:pathLst>
                              <a:path w="1511808" h="9144">
                                <a:moveTo>
                                  <a:pt x="0" y="0"/>
                                </a:moveTo>
                                <a:lnTo>
                                  <a:pt x="1511808" y="0"/>
                                </a:lnTo>
                                <a:lnTo>
                                  <a:pt x="15118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9" name="Rectangle 33159"/>
                        <wps:cNvSpPr/>
                        <wps:spPr>
                          <a:xfrm>
                            <a:off x="6009132" y="185839"/>
                            <a:ext cx="1064134"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33160" name="Rectangle 33160"/>
                        <wps:cNvSpPr/>
                        <wps:spPr>
                          <a:xfrm>
                            <a:off x="6839712"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33161" name="Rectangle 33161"/>
                        <wps:cNvSpPr/>
                        <wps:spPr>
                          <a:xfrm>
                            <a:off x="6880860" y="185278"/>
                            <a:ext cx="46769" cy="158130"/>
                          </a:xfrm>
                          <a:prstGeom prst="rect">
                            <a:avLst/>
                          </a:prstGeom>
                          <a:ln>
                            <a:noFill/>
                          </a:ln>
                        </wps:spPr>
                        <wps:txbx>
                          <w:txbxContent>
                            <w:p w:rsidR="004D6F0E" w:rsidRDefault="00490F21">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658335" name="Shape 658335"/>
                        <wps:cNvSpPr/>
                        <wps:spPr>
                          <a:xfrm>
                            <a:off x="5708904" y="329184"/>
                            <a:ext cx="1472184" cy="9144"/>
                          </a:xfrm>
                          <a:custGeom>
                            <a:avLst/>
                            <a:gdLst/>
                            <a:ahLst/>
                            <a:cxnLst/>
                            <a:rect l="0" t="0" r="0" b="0"/>
                            <a:pathLst>
                              <a:path w="1472184" h="9144">
                                <a:moveTo>
                                  <a:pt x="0" y="0"/>
                                </a:moveTo>
                                <a:lnTo>
                                  <a:pt x="1472184" y="0"/>
                                </a:lnTo>
                                <a:lnTo>
                                  <a:pt x="1472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34404" o:spid="_x0000_s1282" style="width:569.75pt;height:26.4pt;mso-position-horizontal-relative:char;mso-position-vertical-relative:line" coordsize="72359,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">
                <v:rect id="Rectangle 33134" o:spid="_x0000_s1283" style="position:absolute;left:731;top:349;width:1370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33135" o:spid="_x0000_s1284" style="position:absolute;left:11323;top:329;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33136" o:spid="_x0000_s1285" style="position:absolute;left:11734;top:15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24"/>
                          </w:rPr>
                          <w:t xml:space="preserve"> </w:t>
                        </w:r>
                      </w:p>
                    </w:txbxContent>
                  </v:textbox>
                </v:rect>
                <v:shape id="Shape 658315" o:spid="_x0000_s1286" style="position:absolute;width:6156;height:182;visibility:visible;mso-wrap-style:square;v-text-anchor:top" coordsize="61569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" path="m,l615696,r,18288l,18288,,e" fillcolor="black" stroked="f" strokeweight="0">
                  <v:stroke miterlimit="83231f" joinstyle="miter"/>
                  <v:path arrowok="t" textboxrect="0,0,615696,18288"/>
                </v:shape>
                <v:shape id="Shape 658316" o:spid="_x0000_s1287" style="position:absolute;left:615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" path="m,l18288,r,18288l,18288,,e" fillcolor="black" stroked="f" strokeweight="0">
                  <v:stroke miterlimit="83231f" joinstyle="miter"/>
                  <v:path arrowok="t" textboxrect="0,0,18288,18288"/>
                </v:shape>
                <v:shape id="Shape 658317" o:spid="_x0000_s1288" style="position:absolute;left:6339;width:25908;height:182;visibility:visible;mso-wrap-style:square;v-text-anchor:top" coordsize="25908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" path="m,l2590800,r,18288l,18288,,e" fillcolor="black" stroked="f" strokeweight="0">
                  <v:stroke miterlimit="83231f" joinstyle="miter"/>
                  <v:path arrowok="t" textboxrect="0,0,2590800,18288"/>
                </v:shape>
                <v:shape id="Shape 658318" o:spid="_x0000_s1289" style="position:absolute;left:3224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" path="m,l18288,r,18288l,18288,,e" fillcolor="black" stroked="f" strokeweight="0">
                  <v:stroke miterlimit="83231f" joinstyle="miter"/>
                  <v:path arrowok="t" textboxrect="0,0,18288,18288"/>
                </v:shape>
                <v:shape id="Shape 658319" o:spid="_x0000_s1290" style="position:absolute;left:32430;width:1600;height:182;visibility:visible;mso-wrap-style:square;v-text-anchor:top" coordsize="16002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" path="m,l160020,r,18288l,18288,,e" fillcolor="black" stroked="f" strokeweight="0">
                  <v:stroke miterlimit="83231f" joinstyle="miter"/>
                  <v:path arrowok="t" textboxrect="0,0,160020,18288"/>
                </v:shape>
                <v:shape id="Shape 658320" o:spid="_x0000_s1291" style="position:absolute;left:3403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" path="m,l18288,r,18288l,18288,,e" fillcolor="black" stroked="f" strokeweight="0">
                  <v:stroke miterlimit="83231f" joinstyle="miter"/>
                  <v:path arrowok="t" textboxrect="0,0,18288,18288"/>
                </v:shape>
                <v:shape id="Shape 658321" o:spid="_x0000_s1292" style="position:absolute;left:34213;width:11522;height:182;visibility:visible;mso-wrap-style:square;v-text-anchor:top" coordsize="1152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" path="m,l1152144,r,18288l,18288,,e" fillcolor="black" stroked="f" strokeweight="0">
                  <v:stroke miterlimit="83231f" joinstyle="miter"/>
                  <v:path arrowok="t" textboxrect="0,0,1152144,18288"/>
                </v:shape>
                <v:shape id="Shape 658322" o:spid="_x0000_s1293" style="position:absolute;left:4573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" path="m,l18288,r,18288l,18288,,e" fillcolor="black" stroked="f" strokeweight="0">
                  <v:stroke miterlimit="83231f" joinstyle="miter"/>
                  <v:path arrowok="t" textboxrect="0,0,18288,18288"/>
                </v:shape>
                <v:shape id="Shape 658323" o:spid="_x0000_s1294" style="position:absolute;left:45918;width:26441;height:182;visibility:visible;mso-wrap-style:square;v-text-anchor:top" coordsize="26441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" path="m,l2644140,r,18288l,18288,,e" fillcolor="black" stroked="f" strokeweight="0">
                  <v:stroke miterlimit="83231f" joinstyle="miter"/>
                  <v:path arrowok="t" textboxrect="0,0,2644140,18288"/>
                </v:shape>
                <v:rect id="Rectangle 33147" o:spid="_x0000_s1295" style="position:absolute;left:17769;top:1858;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" filled="f" stroked="f">
                  <v:textbox inset="0,0,0,0">
                    <w:txbxContent>
                      <w:p w:rsidR="004D6F0E" w:rsidRDefault="00490F21">
                        <w:pPr>
                          <w:spacing w:after="160" w:line="259" w:lineRule="auto"/>
                          <w:ind w:left="0" w:firstLine="0"/>
                        </w:pPr>
                        <w:r>
                          <w:rPr>
                            <w:sz w:val="18"/>
                          </w:rPr>
                          <w:t>首次銷售費</w:t>
                        </w:r>
                      </w:p>
                    </w:txbxContent>
                  </v:textbox>
                </v:rect>
                <v:rect id="Rectangle 33148" o:spid="_x0000_s1296" style="position:absolute;left:23789;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33149" o:spid="_x0000_s1297" style="position:absolute;left:24201;top:1852;width:46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8326" o:spid="_x0000_s1298" style="position:absolute;left:14782;top:3291;width:12406;height:92;visibility:visible;mso-wrap-style:square;v-text-anchor:top" coordsize="12405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" path="m,l1240549,r,9144l,9144,,e" fillcolor="black" stroked="f" strokeweight="0">
                  <v:stroke miterlimit="83231f" joinstyle="miter"/>
                  <v:path arrowok="t" textboxrect="0,0,1240549,9144"/>
                </v:shape>
                <v:rect id="Rectangle 33151" o:spid="_x0000_s1299" style="position:absolute;left:31958;top:1858;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" filled="f" stroked="f">
                  <v:textbox inset="0,0,0,0">
                    <w:txbxContent>
                      <w:p w:rsidR="004D6F0E" w:rsidRDefault="00490F21">
                        <w:pPr>
                          <w:spacing w:after="160" w:line="259" w:lineRule="auto"/>
                          <w:ind w:left="0" w:firstLine="0"/>
                        </w:pPr>
                        <w:r>
                          <w:rPr>
                            <w:sz w:val="18"/>
                          </w:rPr>
                          <w:t>管理費</w:t>
                        </w:r>
                      </w:p>
                    </w:txbxContent>
                  </v:textbox>
                </v:rect>
                <v:rect id="Rectangle 33152" o:spid="_x0000_s1300" style="position:absolute;left:35692;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33153" o:spid="_x0000_s1301" style="position:absolute;left:36103;top:1852;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8329" o:spid="_x0000_s1302" style="position:absolute;left:28285;top:3291;width:11506;height:92;visibility:visible;mso-wrap-style:square;v-text-anchor:top" coordsize="11506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" path="m,l1150608,r,9144l,9144,,e" fillcolor="black" stroked="f" strokeweight="0">
                  <v:stroke miterlimit="83231f" joinstyle="miter"/>
                  <v:path arrowok="t" textboxrect="0,0,1150608,9144"/>
                </v:shape>
                <v:rect id="Rectangle 33155" o:spid="_x0000_s1303" style="position:absolute;left:46375;top:1858;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" filled="f" stroked="f">
                  <v:textbox inset="0,0,0,0">
                    <w:txbxContent>
                      <w:p w:rsidR="004D6F0E" w:rsidRDefault="00490F21">
                        <w:pPr>
                          <w:spacing w:after="160" w:line="259" w:lineRule="auto"/>
                          <w:ind w:left="0" w:firstLine="0"/>
                        </w:pPr>
                        <w:r>
                          <w:rPr>
                            <w:sz w:val="18"/>
                          </w:rPr>
                          <w:t>分銷費</w:t>
                        </w:r>
                      </w:p>
                    </w:txbxContent>
                  </v:textbox>
                </v:rect>
                <v:rect id="Rectangle 33156" o:spid="_x0000_s1304" style="position:absolute;left:50109;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33157" o:spid="_x0000_s1305" style="position:absolute;left:50520;top:1852;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8332" o:spid="_x0000_s1306" style="position:absolute;left:40888;top:3291;width:15119;height:92;visibility:visible;mso-wrap-style:square;v-text-anchor:top" coordsize="15118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" path="m,l1511808,r,9144l,9144,,e" fillcolor="black" stroked="f" strokeweight="0">
                  <v:stroke miterlimit="83231f" joinstyle="miter"/>
                  <v:path arrowok="t" textboxrect="0,0,1511808,9144"/>
                </v:shape>
                <v:rect id="Rectangle 33159" o:spid="_x0000_s1307" style="position:absolute;left:60091;top:1858;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" filled="f" stroked="f">
                  <v:textbox inset="0,0,0,0">
                    <w:txbxContent>
                      <w:p w:rsidR="004D6F0E" w:rsidRDefault="00490F21">
                        <w:pPr>
                          <w:spacing w:after="160" w:line="259" w:lineRule="auto"/>
                          <w:ind w:left="0" w:firstLine="0"/>
                        </w:pPr>
                        <w:r>
                          <w:rPr>
                            <w:sz w:val="18"/>
                          </w:rPr>
                          <w:t>或有遞延銷售費</w:t>
                        </w:r>
                      </w:p>
                    </w:txbxContent>
                  </v:textbox>
                </v:rect>
                <v:rect id="Rectangle 33160" o:spid="_x0000_s1308" style="position:absolute;left:68397;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33161" o:spid="_x0000_s1309" style="position:absolute;left:68808;top:1852;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0"/>
                          </w:rPr>
                          <w:t xml:space="preserve"> </w:t>
                        </w:r>
                      </w:p>
                    </w:txbxContent>
                  </v:textbox>
                </v:rect>
                <v:shape id="Shape 658335" o:spid="_x0000_s1310" style="position:absolute;left:57089;top:3291;width:14721;height:92;visibility:visible;mso-wrap-style:square;v-text-anchor:top" coordsize="14721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" path="m,l1472184,r,9144l,9144,,e" fillcolor="black" stroked="f" strokeweight="0">
                  <v:stroke miterlimit="83231f" joinstyle="miter"/>
                  <v:path arrowok="t" textboxrect="0,0,1472184,9144"/>
                </v:shape>
                <w10:anchorlock/>
              </v:group>
            </w:pict>
          </mc:Fallback>
        </mc:AlternateContent>
      </w:r>
      <w:r>
        <w:rPr>
          <w:rFonts w:ascii="Arial" w:eastAsia="Arial" w:hAnsi="Arial" w:cs="Arial"/>
          <w:b/>
          <w:sz w:val="18"/>
        </w:rPr>
        <w:t xml:space="preserve"> </w:t>
      </w:r>
    </w:p>
    <w:p w:rsidR="004D6F0E" w:rsidRDefault="00490F21">
      <w:pPr>
        <w:spacing w:after="111" w:line="259" w:lineRule="auto"/>
        <w:ind w:left="108" w:firstLine="0"/>
      </w:pPr>
      <w:r>
        <w:rPr>
          <w:rFonts w:ascii="Arial" w:eastAsia="Arial" w:hAnsi="Arial" w:cs="Arial"/>
          <w:sz w:val="6"/>
        </w:rPr>
        <w:t xml:space="preserve"> </w:t>
      </w:r>
    </w:p>
    <w:p w:rsidR="004D6F0E" w:rsidRDefault="00490F21">
      <w:pPr>
        <w:shd w:val="clear" w:color="auto" w:fill="D9D9D9"/>
        <w:spacing w:after="11" w:line="250" w:lineRule="auto"/>
        <w:ind w:left="110" w:right="552" w:hanging="10"/>
      </w:pPr>
      <w:r>
        <w:rPr>
          <w:sz w:val="18"/>
        </w:rPr>
        <w:t>歐元計價股份類別</w:t>
      </w:r>
      <w:r>
        <w:rPr>
          <w:rFonts w:ascii="Arial" w:eastAsia="Arial" w:hAnsi="Arial" w:cs="Arial"/>
          <w:sz w:val="18"/>
        </w:rPr>
        <w:t xml:space="preserve"> </w:t>
      </w:r>
    </w:p>
    <w:tbl>
      <w:tblPr>
        <w:tblStyle w:val="TableGrid"/>
        <w:tblpPr w:vertAnchor="page" w:horzAnchor="page" w:tblpX="540" w:tblpY="14453"/>
        <w:tblOverlap w:val="never"/>
        <w:tblW w:w="10173" w:type="dxa"/>
        <w:tblInd w:w="0" w:type="dxa"/>
        <w:tblCellMar>
          <w:top w:w="3" w:type="dxa"/>
          <w:left w:w="0" w:type="dxa"/>
          <w:bottom w:w="0" w:type="dxa"/>
          <w:right w:w="0" w:type="dxa"/>
        </w:tblCellMar>
        <w:tblLook w:val="04A0" w:firstRow="1" w:lastRow="0" w:firstColumn="1" w:lastColumn="0" w:noHBand="0" w:noVBand="1"/>
      </w:tblPr>
      <w:tblGrid>
        <w:gridCol w:w="2508"/>
        <w:gridCol w:w="2095"/>
        <w:gridCol w:w="2655"/>
        <w:gridCol w:w="744"/>
        <w:gridCol w:w="902"/>
        <w:gridCol w:w="1269"/>
      </w:tblGrid>
      <w:tr w:rsidR="004D6F0E">
        <w:trPr>
          <w:trHeight w:val="254"/>
        </w:trPr>
        <w:tc>
          <w:tcPr>
            <w:tcW w:w="250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2095" w:type="dxa"/>
            <w:tcBorders>
              <w:top w:val="nil"/>
              <w:left w:val="nil"/>
              <w:bottom w:val="nil"/>
              <w:right w:val="nil"/>
            </w:tcBorders>
          </w:tcPr>
          <w:p w:rsidR="004D6F0E" w:rsidRDefault="00490F21">
            <w:pPr>
              <w:spacing w:after="0" w:line="259" w:lineRule="auto"/>
              <w:ind w:left="151"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744" w:type="dxa"/>
            <w:tcBorders>
              <w:top w:val="nil"/>
              <w:left w:val="nil"/>
              <w:bottom w:val="nil"/>
              <w:right w:val="nil"/>
            </w:tcBorders>
          </w:tcPr>
          <w:p w:rsidR="004D6F0E" w:rsidRDefault="00490F21">
            <w:pPr>
              <w:spacing w:after="0" w:line="259" w:lineRule="auto"/>
              <w:ind w:left="197" w:firstLine="0"/>
            </w:pPr>
            <w:r>
              <w:rPr>
                <w:sz w:val="18"/>
              </w:rPr>
              <w:t>無</w:t>
            </w:r>
            <w:r>
              <w:rPr>
                <w:rFonts w:ascii="Arial" w:eastAsia="Arial" w:hAnsi="Arial" w:cs="Arial"/>
                <w:sz w:val="18"/>
              </w:rPr>
              <w:t xml:space="preserve"> </w:t>
            </w:r>
          </w:p>
        </w:tc>
        <w:tc>
          <w:tcPr>
            <w:tcW w:w="902" w:type="dxa"/>
            <w:tcBorders>
              <w:top w:val="nil"/>
              <w:left w:val="nil"/>
              <w:bottom w:val="nil"/>
              <w:right w:val="nil"/>
            </w:tcBorders>
          </w:tcPr>
          <w:p w:rsidR="004D6F0E" w:rsidRDefault="004D6F0E">
            <w:pPr>
              <w:spacing w:after="160" w:line="259" w:lineRule="auto"/>
              <w:ind w:left="0" w:firstLine="0"/>
            </w:pPr>
          </w:p>
        </w:tc>
        <w:tc>
          <w:tcPr>
            <w:tcW w:w="1269" w:type="dxa"/>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rPr>
          <w:trHeight w:val="229"/>
        </w:trPr>
        <w:tc>
          <w:tcPr>
            <w:tcW w:w="250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 </w:t>
            </w:r>
          </w:p>
        </w:tc>
        <w:tc>
          <w:tcPr>
            <w:tcW w:w="2095" w:type="dxa"/>
            <w:tcBorders>
              <w:top w:val="nil"/>
              <w:left w:val="nil"/>
              <w:bottom w:val="nil"/>
              <w:right w:val="nil"/>
            </w:tcBorders>
          </w:tcPr>
          <w:p w:rsidR="004D6F0E" w:rsidRDefault="00490F21">
            <w:pPr>
              <w:spacing w:after="0" w:line="259" w:lineRule="auto"/>
              <w:ind w:left="698" w:firstLine="0"/>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 </w:t>
            </w:r>
          </w:p>
        </w:tc>
        <w:tc>
          <w:tcPr>
            <w:tcW w:w="744" w:type="dxa"/>
            <w:tcBorders>
              <w:top w:val="nil"/>
              <w:left w:val="nil"/>
              <w:bottom w:val="nil"/>
              <w:right w:val="nil"/>
            </w:tcBorders>
          </w:tcPr>
          <w:p w:rsidR="004D6F0E" w:rsidRDefault="004D6F0E">
            <w:pPr>
              <w:spacing w:after="160" w:line="259" w:lineRule="auto"/>
              <w:ind w:left="0" w:firstLine="0"/>
            </w:pPr>
          </w:p>
        </w:tc>
        <w:tc>
          <w:tcPr>
            <w:tcW w:w="90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269" w:type="dxa"/>
            <w:tcBorders>
              <w:top w:val="nil"/>
              <w:left w:val="nil"/>
              <w:bottom w:val="nil"/>
              <w:right w:val="nil"/>
            </w:tcBorders>
          </w:tcPr>
          <w:p w:rsidR="004D6F0E" w:rsidRDefault="00490F21">
            <w:pPr>
              <w:spacing w:after="0" w:line="259" w:lineRule="auto"/>
              <w:ind w:left="0" w:right="89" w:firstLine="0"/>
              <w:jc w:val="right"/>
            </w:pPr>
            <w:r>
              <w:rPr>
                <w:rFonts w:ascii="Arial" w:eastAsia="Arial" w:hAnsi="Arial" w:cs="Arial"/>
                <w:sz w:val="18"/>
              </w:rPr>
              <w:t xml:space="preserve"> </w:t>
            </w:r>
          </w:p>
        </w:tc>
      </w:tr>
    </w:tbl>
    <w:tbl>
      <w:tblPr>
        <w:tblStyle w:val="TableGrid"/>
        <w:tblpPr w:vertAnchor="text" w:tblpX="-7"/>
        <w:tblOverlap w:val="never"/>
        <w:tblW w:w="11395" w:type="dxa"/>
        <w:tblInd w:w="0" w:type="dxa"/>
        <w:tblCellMar>
          <w:top w:w="0" w:type="dxa"/>
          <w:left w:w="0" w:type="dxa"/>
          <w:bottom w:w="0" w:type="dxa"/>
          <w:right w:w="84" w:type="dxa"/>
        </w:tblCellMar>
        <w:tblLook w:val="04A0" w:firstRow="1" w:lastRow="0" w:firstColumn="1" w:lastColumn="0" w:noHBand="0" w:noVBand="1"/>
      </w:tblPr>
      <w:tblGrid>
        <w:gridCol w:w="2757"/>
        <w:gridCol w:w="1961"/>
        <w:gridCol w:w="2655"/>
        <w:gridCol w:w="2054"/>
        <w:gridCol w:w="1968"/>
      </w:tblGrid>
      <w:tr w:rsidR="004D6F0E">
        <w:trPr>
          <w:trHeight w:val="419"/>
        </w:trPr>
        <w:tc>
          <w:tcPr>
            <w:tcW w:w="2758" w:type="dxa"/>
            <w:tcBorders>
              <w:top w:val="nil"/>
              <w:left w:val="nil"/>
              <w:bottom w:val="nil"/>
              <w:right w:val="nil"/>
            </w:tcBorders>
          </w:tcPr>
          <w:p w:rsidR="004D6F0E" w:rsidRDefault="00490F21">
            <w:pPr>
              <w:spacing w:after="30" w:line="259" w:lineRule="auto"/>
              <w:ind w:left="115" w:firstLine="0"/>
            </w:pPr>
            <w:r>
              <w:rPr>
                <w:rFonts w:ascii="Arial" w:eastAsia="Arial" w:hAnsi="Arial" w:cs="Arial"/>
                <w:sz w:val="18"/>
              </w:rPr>
              <w:t xml:space="preserve">WT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14" w:line="259" w:lineRule="auto"/>
              <w:ind w:left="94"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641" w:firstLine="0"/>
            </w:pP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9" w:line="259" w:lineRule="auto"/>
              <w:ind w:left="165"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9"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5"/>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961"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655" w:type="dxa"/>
            <w:tcBorders>
              <w:top w:val="nil"/>
              <w:left w:val="nil"/>
              <w:bottom w:val="nil"/>
              <w:right w:val="nil"/>
            </w:tcBorders>
            <w:shd w:val="clear" w:color="auto" w:fill="D9D9D9"/>
          </w:tcPr>
          <w:p w:rsidR="004D6F0E" w:rsidRDefault="00490F21">
            <w:pPr>
              <w:spacing w:after="0" w:line="259" w:lineRule="auto"/>
              <w:ind w:left="641" w:firstLine="0"/>
            </w:pPr>
            <w:r>
              <w:rPr>
                <w:rFonts w:ascii="Arial" w:eastAsia="Arial" w:hAnsi="Arial" w:cs="Arial"/>
                <w:sz w:val="18"/>
              </w:rPr>
              <w:t xml:space="preserve"> </w:t>
            </w:r>
          </w:p>
        </w:tc>
        <w:tc>
          <w:tcPr>
            <w:tcW w:w="205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968" w:type="dxa"/>
            <w:tcBorders>
              <w:top w:val="nil"/>
              <w:left w:val="nil"/>
              <w:bottom w:val="nil"/>
              <w:right w:val="nil"/>
            </w:tcBorders>
            <w:shd w:val="clear" w:color="auto" w:fill="D9D9D9"/>
          </w:tcPr>
          <w:p w:rsidR="004D6F0E" w:rsidRDefault="00490F21">
            <w:pPr>
              <w:spacing w:after="0" w:line="259" w:lineRule="auto"/>
              <w:ind w:left="723" w:firstLine="0"/>
            </w:pPr>
            <w:r>
              <w:rPr>
                <w:rFonts w:ascii="Arial" w:eastAsia="Arial" w:hAnsi="Arial" w:cs="Arial"/>
                <w:sz w:val="18"/>
              </w:rPr>
              <w:t xml:space="preserve"> </w:t>
            </w:r>
          </w:p>
        </w:tc>
      </w:tr>
      <w:tr w:rsidR="004D6F0E">
        <w:trPr>
          <w:trHeight w:val="290"/>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38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547" w:firstLine="0"/>
            </w:pPr>
            <w:r>
              <w:rPr>
                <w:rFonts w:ascii="Arial" w:eastAsia="Arial" w:hAnsi="Arial" w:cs="Arial"/>
                <w:sz w:val="18"/>
              </w:rPr>
              <w:t xml:space="preserve"> </w:t>
            </w:r>
          </w:p>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936"/>
        </w:trPr>
        <w:tc>
          <w:tcPr>
            <w:tcW w:w="275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 </w:t>
            </w:r>
            <w:r>
              <w:rPr>
                <w:sz w:val="18"/>
              </w:rPr>
              <w:t>類及</w:t>
            </w:r>
            <w:r>
              <w:rPr>
                <w:sz w:val="18"/>
              </w:rPr>
              <w:t xml:space="preserve"> </w:t>
            </w:r>
            <w:r>
              <w:rPr>
                <w:rFonts w:ascii="Arial" w:eastAsia="Arial" w:hAnsi="Arial" w:cs="Arial"/>
                <w:sz w:val="18"/>
              </w:rPr>
              <w:t xml:space="preserve">B2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tc>
        <w:tc>
          <w:tcPr>
            <w:tcW w:w="196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vAlign w:val="center"/>
          </w:tcPr>
          <w:p w:rsidR="004D6F0E" w:rsidRDefault="00490F21">
            <w:pPr>
              <w:spacing w:after="0" w:line="259" w:lineRule="auto"/>
              <w:ind w:left="387" w:firstLine="0"/>
            </w:pPr>
            <w:r>
              <w:rPr>
                <w:rFonts w:ascii="Arial" w:eastAsia="Arial" w:hAnsi="Arial" w:cs="Arial"/>
                <w:sz w:val="18"/>
              </w:rPr>
              <w:t xml:space="preserve">1.10% </w:t>
            </w:r>
          </w:p>
        </w:tc>
        <w:tc>
          <w:tcPr>
            <w:tcW w:w="205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0.70% </w:t>
            </w:r>
          </w:p>
        </w:tc>
        <w:tc>
          <w:tcPr>
            <w:tcW w:w="1968" w:type="dxa"/>
            <w:tcBorders>
              <w:top w:val="nil"/>
              <w:left w:val="nil"/>
              <w:bottom w:val="nil"/>
              <w:right w:val="nil"/>
            </w:tcBorders>
          </w:tcPr>
          <w:p w:rsidR="004D6F0E" w:rsidRDefault="00490F21">
            <w:pPr>
              <w:spacing w:after="22" w:line="259" w:lineRule="auto"/>
              <w:ind w:left="43" w:firstLine="0"/>
            </w:pPr>
            <w:r>
              <w:rPr>
                <w:sz w:val="18"/>
              </w:rPr>
              <w:t>持有</w:t>
            </w:r>
            <w:r>
              <w:rPr>
                <w:rFonts w:ascii="Arial" w:eastAsia="Arial" w:hAnsi="Arial" w:cs="Arial"/>
                <w:sz w:val="18"/>
              </w:rPr>
              <w:t>0–1</w:t>
            </w:r>
            <w:r>
              <w:rPr>
                <w:sz w:val="18"/>
              </w:rPr>
              <w:t>年</w:t>
            </w:r>
            <w:r>
              <w:rPr>
                <w:rFonts w:ascii="Arial" w:eastAsia="Arial" w:hAnsi="Arial" w:cs="Arial"/>
                <w:sz w:val="18"/>
              </w:rPr>
              <w:t xml:space="preserve">=3.0% </w:t>
            </w:r>
          </w:p>
          <w:p w:rsidR="004D6F0E" w:rsidRDefault="00490F21">
            <w:pPr>
              <w:spacing w:after="19" w:line="259" w:lineRule="auto"/>
              <w:ind w:left="245" w:firstLine="0"/>
            </w:pPr>
            <w:r>
              <w:rPr>
                <w:rFonts w:ascii="Arial" w:eastAsia="Arial" w:hAnsi="Arial" w:cs="Arial"/>
                <w:sz w:val="18"/>
              </w:rPr>
              <w:t>1-2</w:t>
            </w:r>
            <w:r>
              <w:rPr>
                <w:sz w:val="18"/>
              </w:rPr>
              <w:t>年</w:t>
            </w:r>
            <w:r>
              <w:rPr>
                <w:rFonts w:ascii="Arial" w:eastAsia="Arial" w:hAnsi="Arial" w:cs="Arial"/>
                <w:sz w:val="18"/>
              </w:rPr>
              <w:t xml:space="preserve">=2.0% </w:t>
            </w:r>
          </w:p>
          <w:p w:rsidR="004D6F0E" w:rsidRDefault="00490F21">
            <w:pPr>
              <w:spacing w:after="20" w:line="259" w:lineRule="auto"/>
              <w:ind w:left="245" w:firstLine="0"/>
            </w:pPr>
            <w:r>
              <w:rPr>
                <w:rFonts w:ascii="Arial" w:eastAsia="Arial" w:hAnsi="Arial" w:cs="Arial"/>
                <w:sz w:val="18"/>
              </w:rPr>
              <w:t>2-3</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66"/>
        </w:trPr>
        <w:tc>
          <w:tcPr>
            <w:tcW w:w="275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96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vAlign w:val="center"/>
          </w:tcPr>
          <w:p w:rsidR="004D6F0E" w:rsidRDefault="00490F21">
            <w:pPr>
              <w:spacing w:after="0" w:line="259" w:lineRule="auto"/>
              <w:ind w:left="386" w:firstLine="0"/>
            </w:pPr>
            <w:r>
              <w:rPr>
                <w:rFonts w:ascii="Arial" w:eastAsia="Arial" w:hAnsi="Arial" w:cs="Arial"/>
                <w:sz w:val="18"/>
              </w:rPr>
              <w:t xml:space="preserve">1.55% </w:t>
            </w:r>
          </w:p>
        </w:tc>
        <w:tc>
          <w:tcPr>
            <w:tcW w:w="2054"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360" w:hanging="317"/>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2"/>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36"/>
        </w:trPr>
        <w:tc>
          <w:tcPr>
            <w:tcW w:w="2758"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0.50% </w:t>
            </w:r>
          </w:p>
          <w:p w:rsidR="004D6F0E" w:rsidRDefault="00490F21">
            <w:pPr>
              <w:spacing w:after="0" w:line="259" w:lineRule="auto"/>
              <w:ind w:left="641" w:firstLine="0"/>
            </w:pP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9" w:line="259" w:lineRule="auto"/>
              <w:ind w:left="165"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9"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33"/>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美元對沖股份類別</w:t>
            </w:r>
            <w:r>
              <w:rPr>
                <w:rFonts w:ascii="Arial" w:eastAsia="Arial" w:hAnsi="Arial" w:cs="Arial"/>
                <w:sz w:val="18"/>
              </w:rPr>
              <w:t xml:space="preserve"> </w:t>
            </w:r>
          </w:p>
        </w:tc>
        <w:tc>
          <w:tcPr>
            <w:tcW w:w="1961"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tcBorders>
              <w:top w:val="nil"/>
              <w:left w:val="nil"/>
              <w:bottom w:val="nil"/>
              <w:right w:val="nil"/>
            </w:tcBorders>
            <w:shd w:val="clear" w:color="auto" w:fill="D9D9D9"/>
          </w:tcPr>
          <w:p w:rsidR="004D6F0E" w:rsidRDefault="004D6F0E">
            <w:pPr>
              <w:spacing w:after="160" w:line="259" w:lineRule="auto"/>
              <w:ind w:left="0" w:firstLine="0"/>
            </w:pPr>
          </w:p>
        </w:tc>
        <w:tc>
          <w:tcPr>
            <w:tcW w:w="2054" w:type="dxa"/>
            <w:tcBorders>
              <w:top w:val="nil"/>
              <w:left w:val="nil"/>
              <w:bottom w:val="nil"/>
              <w:right w:val="nil"/>
            </w:tcBorders>
            <w:shd w:val="clear" w:color="auto" w:fill="D9D9D9"/>
          </w:tcPr>
          <w:p w:rsidR="004D6F0E" w:rsidRDefault="004D6F0E">
            <w:pPr>
              <w:spacing w:after="160" w:line="259" w:lineRule="auto"/>
              <w:ind w:left="0" w:firstLine="0"/>
            </w:pPr>
          </w:p>
        </w:tc>
        <w:tc>
          <w:tcPr>
            <w:tcW w:w="196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63"/>
        </w:trPr>
        <w:tc>
          <w:tcPr>
            <w:tcW w:w="275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vAlign w:val="center"/>
          </w:tcPr>
          <w:p w:rsidR="004D6F0E" w:rsidRDefault="00490F21">
            <w:pPr>
              <w:spacing w:after="0" w:line="259" w:lineRule="auto"/>
              <w:ind w:left="386" w:firstLine="0"/>
            </w:pPr>
            <w:r>
              <w:rPr>
                <w:rFonts w:ascii="Arial" w:eastAsia="Arial" w:hAnsi="Arial" w:cs="Arial"/>
                <w:sz w:val="18"/>
              </w:rPr>
              <w:t xml:space="preserve">1.55% </w:t>
            </w:r>
          </w:p>
        </w:tc>
        <w:tc>
          <w:tcPr>
            <w:tcW w:w="2054"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466"/>
        </w:trPr>
        <w:tc>
          <w:tcPr>
            <w:tcW w:w="2758"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vAlign w:val="center"/>
          </w:tcPr>
          <w:p w:rsidR="004D6F0E" w:rsidRDefault="00490F21">
            <w:pPr>
              <w:spacing w:after="0" w:line="259" w:lineRule="auto"/>
              <w:ind w:left="386" w:firstLine="0"/>
            </w:pPr>
            <w:r>
              <w:rPr>
                <w:rFonts w:ascii="Arial" w:eastAsia="Arial" w:hAnsi="Arial" w:cs="Arial"/>
                <w:sz w:val="18"/>
              </w:rPr>
              <w:t xml:space="preserve">1.55% </w:t>
            </w:r>
          </w:p>
        </w:tc>
        <w:tc>
          <w:tcPr>
            <w:tcW w:w="2054" w:type="dxa"/>
            <w:tcBorders>
              <w:top w:val="nil"/>
              <w:left w:val="nil"/>
              <w:bottom w:val="nil"/>
              <w:right w:val="nil"/>
            </w:tcBorders>
            <w:vAlign w:val="center"/>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0"/>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6"/>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3.00%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1.65%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1"/>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386" w:firstLine="0"/>
            </w:pPr>
            <w:r>
              <w:rPr>
                <w:rFonts w:ascii="Arial" w:eastAsia="Arial" w:hAnsi="Arial" w:cs="Arial"/>
                <w:sz w:val="18"/>
              </w:rPr>
              <w:t xml:space="preserve">0.50%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29"/>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552" w:firstLine="0"/>
            </w:pPr>
            <w:r>
              <w:rPr>
                <w:sz w:val="18"/>
              </w:rPr>
              <w:t>無</w:t>
            </w: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94" w:firstLine="0"/>
            </w:pPr>
            <w:r>
              <w:rPr>
                <w:sz w:val="18"/>
              </w:rPr>
              <w:t>最高為</w:t>
            </w:r>
            <w:r>
              <w:rPr>
                <w:sz w:val="18"/>
              </w:rPr>
              <w:t xml:space="preserve"> </w:t>
            </w: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WA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94" w:firstLine="0"/>
            </w:pPr>
            <w:r>
              <w:rPr>
                <w:sz w:val="18"/>
              </w:rPr>
              <w:t>最高為</w:t>
            </w:r>
            <w:r>
              <w:rPr>
                <w:sz w:val="18"/>
              </w:rPr>
              <w:t xml:space="preserve"> </w:t>
            </w: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43"/>
        </w:trPr>
        <w:tc>
          <w:tcPr>
            <w:tcW w:w="2758" w:type="dxa"/>
            <w:tcBorders>
              <w:top w:val="nil"/>
              <w:left w:val="nil"/>
              <w:bottom w:val="nil"/>
              <w:right w:val="nil"/>
            </w:tcBorders>
          </w:tcPr>
          <w:p w:rsidR="004D6F0E" w:rsidRDefault="00490F21">
            <w:pPr>
              <w:spacing w:after="37"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美元股份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961"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0" w:right="101" w:firstLine="0"/>
              <w:jc w:val="right"/>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12" w:line="259" w:lineRule="auto"/>
              <w:ind w:left="94"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979" w:firstLine="0"/>
              <w:jc w:val="center"/>
            </w:pP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7" w:line="259" w:lineRule="auto"/>
              <w:ind w:left="165" w:firstLine="0"/>
            </w:pPr>
            <w:r>
              <w:rPr>
                <w:sz w:val="18"/>
              </w:rPr>
              <w:t>無</w:t>
            </w:r>
            <w:r>
              <w:rPr>
                <w:rFonts w:ascii="Arial" w:eastAsia="Arial" w:hAnsi="Arial" w:cs="Arial"/>
                <w:sz w:val="18"/>
              </w:rPr>
              <w:t xml:space="preserve"> </w:t>
            </w:r>
          </w:p>
          <w:p w:rsidR="004D6F0E" w:rsidRDefault="00490F21">
            <w:pPr>
              <w:spacing w:after="0" w:line="259" w:lineRule="auto"/>
              <w:ind w:left="1646" w:firstLine="0"/>
            </w:pP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3"/>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sz w:val="18"/>
              </w:rPr>
              <w:t xml:space="preserve"> </w:t>
            </w:r>
          </w:p>
        </w:tc>
        <w:tc>
          <w:tcPr>
            <w:tcW w:w="1961"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tcBorders>
              <w:top w:val="nil"/>
              <w:left w:val="nil"/>
              <w:bottom w:val="nil"/>
              <w:right w:val="nil"/>
            </w:tcBorders>
            <w:shd w:val="clear" w:color="auto" w:fill="D9D9D9"/>
          </w:tcPr>
          <w:p w:rsidR="004D6F0E" w:rsidRDefault="004D6F0E">
            <w:pPr>
              <w:spacing w:after="160" w:line="259" w:lineRule="auto"/>
              <w:ind w:left="0" w:firstLine="0"/>
            </w:pPr>
          </w:p>
        </w:tc>
        <w:tc>
          <w:tcPr>
            <w:tcW w:w="2054" w:type="dxa"/>
            <w:tcBorders>
              <w:top w:val="nil"/>
              <w:left w:val="nil"/>
              <w:bottom w:val="nil"/>
              <w:right w:val="nil"/>
            </w:tcBorders>
            <w:shd w:val="clear" w:color="auto" w:fill="D9D9D9"/>
          </w:tcPr>
          <w:p w:rsidR="004D6F0E" w:rsidRDefault="004D6F0E">
            <w:pPr>
              <w:spacing w:after="160" w:line="259" w:lineRule="auto"/>
              <w:ind w:left="0" w:firstLine="0"/>
            </w:pPr>
          </w:p>
        </w:tc>
        <w:tc>
          <w:tcPr>
            <w:tcW w:w="196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83"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4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83"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7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572"/>
        </w:trPr>
        <w:tc>
          <w:tcPr>
            <w:tcW w:w="2758" w:type="dxa"/>
            <w:tcBorders>
              <w:top w:val="nil"/>
              <w:left w:val="nil"/>
              <w:bottom w:val="nil"/>
              <w:right w:val="nil"/>
            </w:tcBorders>
          </w:tcPr>
          <w:p w:rsidR="004D6F0E" w:rsidRDefault="00490F21">
            <w:pPr>
              <w:spacing w:after="92"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82" w:line="259" w:lineRule="auto"/>
              <w:ind w:left="17"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64" w:firstLine="0"/>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64" w:line="259" w:lineRule="auto"/>
              <w:ind w:left="293" w:firstLine="0"/>
            </w:pP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2054" w:type="dxa"/>
            <w:tcBorders>
              <w:top w:val="nil"/>
              <w:left w:val="nil"/>
              <w:bottom w:val="nil"/>
              <w:right w:val="nil"/>
            </w:tcBorders>
          </w:tcPr>
          <w:p w:rsidR="004D6F0E" w:rsidRDefault="00490F21">
            <w:pPr>
              <w:spacing w:after="7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77" w:line="259" w:lineRule="auto"/>
              <w:ind w:left="632"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新加坡元對沖股份類別</w:t>
            </w:r>
            <w:r>
              <w:rPr>
                <w:rFonts w:ascii="Arial" w:eastAsia="Arial" w:hAnsi="Arial" w:cs="Arial"/>
                <w:sz w:val="18"/>
              </w:rPr>
              <w:t xml:space="preserve"> </w:t>
            </w:r>
          </w:p>
        </w:tc>
        <w:tc>
          <w:tcPr>
            <w:tcW w:w="1961"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tcBorders>
              <w:top w:val="nil"/>
              <w:left w:val="nil"/>
              <w:bottom w:val="nil"/>
              <w:right w:val="nil"/>
            </w:tcBorders>
            <w:shd w:val="clear" w:color="auto" w:fill="D9D9D9"/>
          </w:tcPr>
          <w:p w:rsidR="004D6F0E" w:rsidRDefault="004D6F0E">
            <w:pPr>
              <w:spacing w:after="160" w:line="259" w:lineRule="auto"/>
              <w:ind w:left="0" w:firstLine="0"/>
            </w:pPr>
          </w:p>
        </w:tc>
        <w:tc>
          <w:tcPr>
            <w:tcW w:w="2054" w:type="dxa"/>
            <w:tcBorders>
              <w:top w:val="nil"/>
              <w:left w:val="nil"/>
              <w:bottom w:val="nil"/>
              <w:right w:val="nil"/>
            </w:tcBorders>
            <w:shd w:val="clear" w:color="auto" w:fill="D9D9D9"/>
          </w:tcPr>
          <w:p w:rsidR="004D6F0E" w:rsidRDefault="004D6F0E">
            <w:pPr>
              <w:spacing w:after="160" w:line="259" w:lineRule="auto"/>
              <w:ind w:left="0" w:firstLine="0"/>
            </w:pPr>
          </w:p>
        </w:tc>
        <w:tc>
          <w:tcPr>
            <w:tcW w:w="196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9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86"/>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572"/>
        </w:trPr>
        <w:tc>
          <w:tcPr>
            <w:tcW w:w="2758" w:type="dxa"/>
            <w:tcBorders>
              <w:top w:val="nil"/>
              <w:left w:val="nil"/>
              <w:bottom w:val="nil"/>
              <w:right w:val="nil"/>
            </w:tcBorders>
          </w:tcPr>
          <w:p w:rsidR="004D6F0E" w:rsidRDefault="00490F21">
            <w:pPr>
              <w:spacing w:after="107"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jc w:val="center"/>
            </w:pPr>
            <w:r>
              <w:rPr>
                <w:rFonts w:ascii="Arial" w:eastAsia="Arial" w:hAnsi="Arial" w:cs="Arial"/>
                <w:sz w:val="18"/>
              </w:rPr>
              <w:t xml:space="preserve"> </w:t>
            </w:r>
            <w:r>
              <w:rPr>
                <w:rFonts w:ascii="Arial" w:eastAsia="Arial" w:hAnsi="Arial" w:cs="Arial"/>
                <w:sz w:val="18"/>
              </w:rPr>
              <w:tab/>
              <w:t xml:space="preserve"> </w:t>
            </w:r>
          </w:p>
        </w:tc>
        <w:tc>
          <w:tcPr>
            <w:tcW w:w="1961" w:type="dxa"/>
            <w:tcBorders>
              <w:top w:val="nil"/>
              <w:left w:val="nil"/>
              <w:bottom w:val="nil"/>
              <w:right w:val="nil"/>
            </w:tcBorders>
          </w:tcPr>
          <w:p w:rsidR="004D6F0E" w:rsidRDefault="00490F21">
            <w:pPr>
              <w:spacing w:after="77" w:line="259" w:lineRule="auto"/>
              <w:ind w:left="473" w:firstLine="0"/>
            </w:pPr>
            <w:r>
              <w:rPr>
                <w:sz w:val="18"/>
              </w:rPr>
              <w:t>無</w:t>
            </w:r>
            <w:r>
              <w:rPr>
                <w:rFonts w:ascii="Arial" w:eastAsia="Arial" w:hAnsi="Arial" w:cs="Arial"/>
                <w:sz w:val="18"/>
              </w:rPr>
              <w:t xml:space="preserve"> </w:t>
            </w:r>
          </w:p>
          <w:p w:rsidR="004D6F0E" w:rsidRDefault="00490F21">
            <w:pPr>
              <w:spacing w:after="0" w:line="259" w:lineRule="auto"/>
              <w:ind w:left="0" w:right="101" w:firstLine="0"/>
              <w:jc w:val="right"/>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7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69" w:firstLine="0"/>
            </w:pP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77"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港元對沖股份類別</w:t>
            </w:r>
            <w:r>
              <w:rPr>
                <w:rFonts w:ascii="Arial" w:eastAsia="Arial" w:hAnsi="Arial" w:cs="Arial"/>
                <w:sz w:val="18"/>
              </w:rPr>
              <w:t xml:space="preserve"> </w:t>
            </w:r>
          </w:p>
        </w:tc>
        <w:tc>
          <w:tcPr>
            <w:tcW w:w="1961"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tcBorders>
              <w:top w:val="nil"/>
              <w:left w:val="nil"/>
              <w:bottom w:val="nil"/>
              <w:right w:val="nil"/>
            </w:tcBorders>
            <w:shd w:val="clear" w:color="auto" w:fill="D9D9D9"/>
          </w:tcPr>
          <w:p w:rsidR="004D6F0E" w:rsidRDefault="004D6F0E">
            <w:pPr>
              <w:spacing w:after="160" w:line="259" w:lineRule="auto"/>
              <w:ind w:left="0" w:firstLine="0"/>
            </w:pPr>
          </w:p>
        </w:tc>
        <w:tc>
          <w:tcPr>
            <w:tcW w:w="2054" w:type="dxa"/>
            <w:tcBorders>
              <w:top w:val="nil"/>
              <w:left w:val="nil"/>
              <w:bottom w:val="nil"/>
              <w:right w:val="nil"/>
            </w:tcBorders>
            <w:shd w:val="clear" w:color="auto" w:fill="D9D9D9"/>
          </w:tcPr>
          <w:p w:rsidR="004D6F0E" w:rsidRDefault="004D6F0E">
            <w:pPr>
              <w:spacing w:after="160" w:line="259" w:lineRule="auto"/>
              <w:ind w:left="0" w:firstLine="0"/>
            </w:pPr>
          </w:p>
        </w:tc>
        <w:tc>
          <w:tcPr>
            <w:tcW w:w="196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92"/>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港元股份</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5.00%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港元股份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61" w:type="dxa"/>
            <w:tcBorders>
              <w:top w:val="nil"/>
              <w:left w:val="nil"/>
              <w:bottom w:val="nil"/>
              <w:right w:val="nil"/>
            </w:tcBorders>
          </w:tcPr>
          <w:p w:rsidR="004D6F0E" w:rsidRDefault="00490F21">
            <w:pPr>
              <w:spacing w:after="0" w:line="259" w:lineRule="auto"/>
              <w:ind w:left="17" w:firstLine="0"/>
            </w:pPr>
            <w:r>
              <w:rPr>
                <w:sz w:val="18"/>
              </w:rPr>
              <w:t>最高為</w:t>
            </w:r>
            <w:r>
              <w:rPr>
                <w:sz w:val="18"/>
              </w:rPr>
              <w:t xml:space="preserve"> </w:t>
            </w:r>
            <w:r>
              <w:rPr>
                <w:rFonts w:ascii="Arial" w:eastAsia="Arial" w:hAnsi="Arial" w:cs="Arial"/>
                <w:sz w:val="18"/>
              </w:rPr>
              <w:t xml:space="preserve">1.50% </w:t>
            </w:r>
          </w:p>
        </w:tc>
        <w:tc>
          <w:tcPr>
            <w:tcW w:w="2655"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0" w:line="259" w:lineRule="auto"/>
              <w:ind w:left="165" w:firstLine="0"/>
            </w:pPr>
            <w:r>
              <w:rPr>
                <w:sz w:val="18"/>
              </w:rPr>
              <w:t>無</w:t>
            </w:r>
            <w:r>
              <w:rPr>
                <w:rFonts w:ascii="Arial" w:eastAsia="Arial" w:hAnsi="Arial" w:cs="Arial"/>
                <w:sz w:val="18"/>
              </w:rPr>
              <w:t xml:space="preserve"> </w:t>
            </w:r>
          </w:p>
        </w:tc>
        <w:tc>
          <w:tcPr>
            <w:tcW w:w="1968"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572"/>
        </w:trPr>
        <w:tc>
          <w:tcPr>
            <w:tcW w:w="2758" w:type="dxa"/>
            <w:tcBorders>
              <w:top w:val="nil"/>
              <w:left w:val="nil"/>
              <w:bottom w:val="nil"/>
              <w:right w:val="nil"/>
            </w:tcBorders>
          </w:tcPr>
          <w:p w:rsidR="004D6F0E" w:rsidRDefault="00490F21">
            <w:pPr>
              <w:spacing w:after="107" w:line="259" w:lineRule="auto"/>
              <w:ind w:left="115" w:firstLine="0"/>
            </w:pPr>
            <w:r>
              <w:rPr>
                <w:rFonts w:ascii="Arial" w:eastAsia="Arial" w:hAnsi="Arial" w:cs="Arial"/>
                <w:sz w:val="18"/>
              </w:rPr>
              <w:t xml:space="preserve">WA </w:t>
            </w:r>
            <w:r>
              <w:rPr>
                <w:sz w:val="18"/>
              </w:rPr>
              <w:t>類</w:t>
            </w:r>
            <w:r>
              <w:rPr>
                <w:sz w:val="18"/>
              </w:rPr>
              <w:t xml:space="preserve"> </w:t>
            </w:r>
            <w:r>
              <w:rPr>
                <w:rFonts w:ascii="Arial" w:eastAsia="Arial" w:hAnsi="Arial" w:cs="Arial"/>
                <w:sz w:val="18"/>
              </w:rPr>
              <w:t xml:space="preserve">H </w:t>
            </w:r>
            <w:r>
              <w:rPr>
                <w:sz w:val="18"/>
              </w:rPr>
              <w:t>港元股份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jc w:val="center"/>
            </w:pPr>
            <w:r>
              <w:rPr>
                <w:rFonts w:ascii="Arial" w:eastAsia="Arial" w:hAnsi="Arial" w:cs="Arial"/>
                <w:sz w:val="18"/>
              </w:rPr>
              <w:t xml:space="preserve"> </w:t>
            </w:r>
            <w:r>
              <w:rPr>
                <w:rFonts w:ascii="Arial" w:eastAsia="Arial" w:hAnsi="Arial" w:cs="Arial"/>
                <w:sz w:val="18"/>
              </w:rPr>
              <w:tab/>
              <w:t xml:space="preserve"> </w:t>
            </w:r>
          </w:p>
        </w:tc>
        <w:tc>
          <w:tcPr>
            <w:tcW w:w="1961" w:type="dxa"/>
            <w:tcBorders>
              <w:top w:val="nil"/>
              <w:left w:val="nil"/>
              <w:bottom w:val="nil"/>
              <w:right w:val="nil"/>
            </w:tcBorders>
          </w:tcPr>
          <w:p w:rsidR="004D6F0E" w:rsidRDefault="00490F21">
            <w:pPr>
              <w:spacing w:after="77" w:line="259" w:lineRule="auto"/>
              <w:ind w:left="473" w:firstLine="0"/>
            </w:pPr>
            <w:r>
              <w:rPr>
                <w:sz w:val="18"/>
              </w:rPr>
              <w:t>無</w:t>
            </w:r>
            <w:r>
              <w:rPr>
                <w:rFonts w:ascii="Arial" w:eastAsia="Arial" w:hAnsi="Arial" w:cs="Arial"/>
                <w:sz w:val="18"/>
              </w:rPr>
              <w:t xml:space="preserve"> </w:t>
            </w:r>
          </w:p>
          <w:p w:rsidR="004D6F0E" w:rsidRDefault="00490F21">
            <w:pPr>
              <w:spacing w:after="0" w:line="259" w:lineRule="auto"/>
              <w:ind w:left="0" w:right="101" w:firstLine="0"/>
              <w:jc w:val="right"/>
            </w:pPr>
            <w:r>
              <w:rPr>
                <w:rFonts w:ascii="Arial" w:eastAsia="Arial" w:hAnsi="Arial" w:cs="Arial"/>
                <w:sz w:val="18"/>
              </w:rPr>
              <w:t xml:space="preserve"> </w:t>
            </w:r>
          </w:p>
        </w:tc>
        <w:tc>
          <w:tcPr>
            <w:tcW w:w="2655"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0.55% </w:t>
            </w:r>
          </w:p>
        </w:tc>
        <w:tc>
          <w:tcPr>
            <w:tcW w:w="2054" w:type="dxa"/>
            <w:tcBorders>
              <w:top w:val="nil"/>
              <w:left w:val="nil"/>
              <w:bottom w:val="nil"/>
              <w:right w:val="nil"/>
            </w:tcBorders>
          </w:tcPr>
          <w:p w:rsidR="004D6F0E" w:rsidRDefault="00490F21">
            <w:pPr>
              <w:spacing w:after="92"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69" w:firstLine="0"/>
            </w:pPr>
            <w:r>
              <w:rPr>
                <w:rFonts w:ascii="Arial" w:eastAsia="Arial" w:hAnsi="Arial" w:cs="Arial"/>
                <w:sz w:val="18"/>
              </w:rPr>
              <w:t xml:space="preserve"> </w:t>
            </w:r>
            <w:r>
              <w:rPr>
                <w:rFonts w:ascii="Arial" w:eastAsia="Arial" w:hAnsi="Arial" w:cs="Arial"/>
                <w:sz w:val="18"/>
              </w:rPr>
              <w:tab/>
              <w:t xml:space="preserve"> </w:t>
            </w:r>
          </w:p>
        </w:tc>
        <w:tc>
          <w:tcPr>
            <w:tcW w:w="1968" w:type="dxa"/>
            <w:tcBorders>
              <w:top w:val="nil"/>
              <w:left w:val="nil"/>
              <w:bottom w:val="nil"/>
              <w:right w:val="nil"/>
            </w:tcBorders>
          </w:tcPr>
          <w:p w:rsidR="004D6F0E" w:rsidRDefault="00490F21">
            <w:pPr>
              <w:spacing w:after="0" w:line="259" w:lineRule="auto"/>
              <w:ind w:left="632" w:firstLine="0"/>
            </w:pPr>
            <w:r>
              <w:rPr>
                <w:sz w:val="18"/>
              </w:rPr>
              <w:t>無</w:t>
            </w:r>
            <w:r>
              <w:rPr>
                <w:rFonts w:ascii="Arial" w:eastAsia="Arial" w:hAnsi="Arial" w:cs="Arial"/>
                <w:sz w:val="18"/>
              </w:rPr>
              <w:t xml:space="preserve"> </w:t>
            </w:r>
          </w:p>
        </w:tc>
      </w:tr>
      <w:tr w:rsidR="004D6F0E">
        <w:trPr>
          <w:trHeight w:val="288"/>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人民幣</w:t>
            </w:r>
            <w:r>
              <w:rPr>
                <w:rFonts w:ascii="Arial" w:eastAsia="Arial" w:hAnsi="Arial" w:cs="Arial"/>
                <w:b/>
                <w:sz w:val="18"/>
                <w:vertAlign w:val="superscript"/>
              </w:rPr>
              <w:t>*</w:t>
            </w:r>
            <w:r>
              <w:rPr>
                <w:sz w:val="18"/>
              </w:rPr>
              <w:t>對沖股份類別</w:t>
            </w:r>
            <w:r>
              <w:rPr>
                <w:rFonts w:ascii="Arial" w:eastAsia="Arial" w:hAnsi="Arial" w:cs="Arial"/>
                <w:sz w:val="18"/>
              </w:rPr>
              <w:t xml:space="preserve"> </w:t>
            </w:r>
          </w:p>
        </w:tc>
        <w:tc>
          <w:tcPr>
            <w:tcW w:w="1961" w:type="dxa"/>
            <w:tcBorders>
              <w:top w:val="nil"/>
              <w:left w:val="nil"/>
              <w:bottom w:val="nil"/>
              <w:right w:val="nil"/>
            </w:tcBorders>
            <w:shd w:val="clear" w:color="auto" w:fill="D9D9D9"/>
          </w:tcPr>
          <w:p w:rsidR="004D6F0E" w:rsidRDefault="004D6F0E">
            <w:pPr>
              <w:spacing w:after="160" w:line="259" w:lineRule="auto"/>
              <w:ind w:left="0" w:firstLine="0"/>
            </w:pPr>
          </w:p>
        </w:tc>
        <w:tc>
          <w:tcPr>
            <w:tcW w:w="2655" w:type="dxa"/>
            <w:tcBorders>
              <w:top w:val="nil"/>
              <w:left w:val="nil"/>
              <w:bottom w:val="nil"/>
              <w:right w:val="nil"/>
            </w:tcBorders>
            <w:shd w:val="clear" w:color="auto" w:fill="D9D9D9"/>
          </w:tcPr>
          <w:p w:rsidR="004D6F0E" w:rsidRDefault="004D6F0E">
            <w:pPr>
              <w:spacing w:after="160" w:line="259" w:lineRule="auto"/>
              <w:ind w:left="0" w:firstLine="0"/>
            </w:pPr>
          </w:p>
        </w:tc>
        <w:tc>
          <w:tcPr>
            <w:tcW w:w="2054" w:type="dxa"/>
            <w:tcBorders>
              <w:top w:val="nil"/>
              <w:left w:val="nil"/>
              <w:bottom w:val="nil"/>
              <w:right w:val="nil"/>
            </w:tcBorders>
            <w:shd w:val="clear" w:color="auto" w:fill="D9D9D9"/>
          </w:tcPr>
          <w:p w:rsidR="004D6F0E" w:rsidRDefault="004D6F0E">
            <w:pPr>
              <w:spacing w:after="160" w:line="259" w:lineRule="auto"/>
              <w:ind w:left="0" w:firstLine="0"/>
            </w:pPr>
          </w:p>
        </w:tc>
        <w:tc>
          <w:tcPr>
            <w:tcW w:w="196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after="0" w:line="259" w:lineRule="auto"/>
        <w:ind w:left="-432" w:right="10663" w:firstLine="0"/>
      </w:pPr>
      <w:r>
        <w:br w:type="page"/>
      </w:r>
    </w:p>
    <w:tbl>
      <w:tblPr>
        <w:tblStyle w:val="TableGrid"/>
        <w:tblW w:w="11395" w:type="dxa"/>
        <w:tblInd w:w="-7" w:type="dxa"/>
        <w:tblCellMar>
          <w:top w:w="52" w:type="dxa"/>
          <w:left w:w="0" w:type="dxa"/>
          <w:bottom w:w="0" w:type="dxa"/>
          <w:right w:w="115" w:type="dxa"/>
        </w:tblCellMar>
        <w:tblLook w:val="04A0" w:firstRow="1" w:lastRow="0" w:firstColumn="1" w:lastColumn="0" w:noHBand="0" w:noVBand="1"/>
      </w:tblPr>
      <w:tblGrid>
        <w:gridCol w:w="2774"/>
        <w:gridCol w:w="1944"/>
        <w:gridCol w:w="2820"/>
        <w:gridCol w:w="2520"/>
        <w:gridCol w:w="1337"/>
      </w:tblGrid>
      <w:tr w:rsidR="004D6F0E">
        <w:trPr>
          <w:trHeight w:val="288"/>
        </w:trPr>
        <w:tc>
          <w:tcPr>
            <w:tcW w:w="2774"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瑞士法郎對沖股份類別</w:t>
            </w:r>
            <w:r>
              <w:rPr>
                <w:rFonts w:ascii="Arial" w:eastAsia="Arial" w:hAnsi="Arial" w:cs="Arial"/>
                <w:sz w:val="18"/>
              </w:rPr>
              <w:t xml:space="preserve"> </w:t>
            </w:r>
          </w:p>
        </w:tc>
        <w:tc>
          <w:tcPr>
            <w:tcW w:w="1944" w:type="dxa"/>
            <w:tcBorders>
              <w:top w:val="nil"/>
              <w:left w:val="nil"/>
              <w:bottom w:val="nil"/>
              <w:right w:val="nil"/>
            </w:tcBorders>
            <w:shd w:val="clear" w:color="auto" w:fill="D9D9D9"/>
          </w:tcPr>
          <w:p w:rsidR="004D6F0E" w:rsidRDefault="004D6F0E">
            <w:pPr>
              <w:spacing w:after="160" w:line="259" w:lineRule="auto"/>
              <w:ind w:left="0" w:firstLine="0"/>
            </w:pPr>
          </w:p>
        </w:tc>
        <w:tc>
          <w:tcPr>
            <w:tcW w:w="2820" w:type="dxa"/>
            <w:tcBorders>
              <w:top w:val="nil"/>
              <w:left w:val="nil"/>
              <w:bottom w:val="nil"/>
              <w:right w:val="nil"/>
            </w:tcBorders>
            <w:shd w:val="clear" w:color="auto" w:fill="D9D9D9"/>
          </w:tcPr>
          <w:p w:rsidR="004D6F0E" w:rsidRDefault="004D6F0E">
            <w:pPr>
              <w:spacing w:after="160" w:line="259" w:lineRule="auto"/>
              <w:ind w:left="0" w:firstLine="0"/>
            </w:pPr>
          </w:p>
        </w:tc>
        <w:tc>
          <w:tcPr>
            <w:tcW w:w="2520" w:type="dxa"/>
            <w:tcBorders>
              <w:top w:val="nil"/>
              <w:left w:val="nil"/>
              <w:bottom w:val="nil"/>
              <w:right w:val="nil"/>
            </w:tcBorders>
            <w:shd w:val="clear" w:color="auto" w:fill="D9D9D9"/>
          </w:tcPr>
          <w:p w:rsidR="004D6F0E" w:rsidRDefault="004D6F0E">
            <w:pPr>
              <w:spacing w:after="160" w:line="259" w:lineRule="auto"/>
              <w:ind w:left="0" w:firstLine="0"/>
            </w:pPr>
          </w:p>
        </w:tc>
        <w:tc>
          <w:tcPr>
            <w:tcW w:w="133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93"/>
        </w:trPr>
        <w:tc>
          <w:tcPr>
            <w:tcW w:w="277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820"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520"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88"/>
        </w:trPr>
        <w:tc>
          <w:tcPr>
            <w:tcW w:w="277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820"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0.55% </w:t>
            </w:r>
          </w:p>
        </w:tc>
        <w:tc>
          <w:tcPr>
            <w:tcW w:w="2520"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571"/>
        </w:trPr>
        <w:tc>
          <w:tcPr>
            <w:tcW w:w="2774" w:type="dxa"/>
            <w:tcBorders>
              <w:top w:val="nil"/>
              <w:left w:val="nil"/>
              <w:bottom w:val="nil"/>
              <w:right w:val="nil"/>
            </w:tcBorders>
          </w:tcPr>
          <w:p w:rsidR="004D6F0E" w:rsidRDefault="00490F21">
            <w:pPr>
              <w:spacing w:after="88" w:line="259" w:lineRule="auto"/>
              <w:ind w:left="115"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74"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820" w:type="dxa"/>
            <w:tcBorders>
              <w:top w:val="nil"/>
              <w:left w:val="nil"/>
              <w:bottom w:val="nil"/>
              <w:right w:val="nil"/>
            </w:tcBorders>
          </w:tcPr>
          <w:p w:rsidR="004D6F0E" w:rsidRDefault="00490F21">
            <w:pPr>
              <w:spacing w:after="79" w:line="259" w:lineRule="auto"/>
              <w:ind w:left="0" w:firstLine="0"/>
            </w:pPr>
            <w:r>
              <w:rPr>
                <w:sz w:val="18"/>
              </w:rPr>
              <w:t>最高為</w:t>
            </w:r>
            <w:r>
              <w:rPr>
                <w:sz w:val="18"/>
              </w:rPr>
              <w:t xml:space="preserve"> </w:t>
            </w: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2520" w:type="dxa"/>
            <w:tcBorders>
              <w:top w:val="nil"/>
              <w:left w:val="nil"/>
              <w:bottom w:val="nil"/>
              <w:right w:val="nil"/>
            </w:tcBorders>
          </w:tcPr>
          <w:p w:rsidR="004D6F0E" w:rsidRDefault="00490F21">
            <w:pPr>
              <w:spacing w:after="7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8" w:firstLine="0"/>
            </w:pP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7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r>
      <w:tr w:rsidR="004D6F0E">
        <w:trPr>
          <w:trHeight w:val="288"/>
        </w:trPr>
        <w:tc>
          <w:tcPr>
            <w:tcW w:w="2774"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1944" w:type="dxa"/>
            <w:tcBorders>
              <w:top w:val="nil"/>
              <w:left w:val="nil"/>
              <w:bottom w:val="nil"/>
              <w:right w:val="nil"/>
            </w:tcBorders>
            <w:shd w:val="clear" w:color="auto" w:fill="D9D9D9"/>
          </w:tcPr>
          <w:p w:rsidR="004D6F0E" w:rsidRDefault="004D6F0E">
            <w:pPr>
              <w:spacing w:after="160" w:line="259" w:lineRule="auto"/>
              <w:ind w:left="0" w:firstLine="0"/>
            </w:pPr>
          </w:p>
        </w:tc>
        <w:tc>
          <w:tcPr>
            <w:tcW w:w="2820" w:type="dxa"/>
            <w:tcBorders>
              <w:top w:val="nil"/>
              <w:left w:val="nil"/>
              <w:bottom w:val="nil"/>
              <w:right w:val="nil"/>
            </w:tcBorders>
            <w:shd w:val="clear" w:color="auto" w:fill="D9D9D9"/>
          </w:tcPr>
          <w:p w:rsidR="004D6F0E" w:rsidRDefault="004D6F0E">
            <w:pPr>
              <w:spacing w:after="160" w:line="259" w:lineRule="auto"/>
              <w:ind w:left="0" w:firstLine="0"/>
            </w:pPr>
          </w:p>
        </w:tc>
        <w:tc>
          <w:tcPr>
            <w:tcW w:w="2520" w:type="dxa"/>
            <w:tcBorders>
              <w:top w:val="nil"/>
              <w:left w:val="nil"/>
              <w:bottom w:val="nil"/>
              <w:right w:val="nil"/>
            </w:tcBorders>
            <w:shd w:val="clear" w:color="auto" w:fill="D9D9D9"/>
          </w:tcPr>
          <w:p w:rsidR="004D6F0E" w:rsidRDefault="004D6F0E">
            <w:pPr>
              <w:spacing w:after="160" w:line="259" w:lineRule="auto"/>
              <w:ind w:left="0" w:firstLine="0"/>
            </w:pPr>
          </w:p>
        </w:tc>
        <w:tc>
          <w:tcPr>
            <w:tcW w:w="133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93"/>
        </w:trPr>
        <w:tc>
          <w:tcPr>
            <w:tcW w:w="277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820"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520"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571"/>
        </w:trPr>
        <w:tc>
          <w:tcPr>
            <w:tcW w:w="2774" w:type="dxa"/>
            <w:tcBorders>
              <w:top w:val="nil"/>
              <w:left w:val="nil"/>
              <w:bottom w:val="nil"/>
              <w:right w:val="nil"/>
            </w:tcBorders>
          </w:tcPr>
          <w:p w:rsidR="004D6F0E" w:rsidRDefault="00490F21">
            <w:pPr>
              <w:spacing w:after="88"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波蘭茲羅提股份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79"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820" w:type="dxa"/>
            <w:tcBorders>
              <w:top w:val="nil"/>
              <w:left w:val="nil"/>
              <w:bottom w:val="nil"/>
              <w:right w:val="nil"/>
            </w:tcBorders>
          </w:tcPr>
          <w:p w:rsidR="004D6F0E" w:rsidRDefault="00490F21">
            <w:pPr>
              <w:spacing w:after="64" w:line="259" w:lineRule="auto"/>
              <w:ind w:left="293" w:firstLine="0"/>
            </w:pP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2520" w:type="dxa"/>
            <w:tcBorders>
              <w:top w:val="nil"/>
              <w:left w:val="nil"/>
              <w:bottom w:val="nil"/>
              <w:right w:val="nil"/>
            </w:tcBorders>
          </w:tcPr>
          <w:p w:rsidR="004D6F0E" w:rsidRDefault="00490F21">
            <w:pPr>
              <w:spacing w:after="7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8" w:firstLine="0"/>
            </w:pP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7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r>
      <w:tr w:rsidR="004D6F0E">
        <w:trPr>
          <w:trHeight w:val="288"/>
        </w:trPr>
        <w:tc>
          <w:tcPr>
            <w:tcW w:w="2774" w:type="dxa"/>
            <w:tcBorders>
              <w:top w:val="nil"/>
              <w:left w:val="nil"/>
              <w:bottom w:val="nil"/>
              <w:right w:val="nil"/>
            </w:tcBorders>
            <w:shd w:val="clear" w:color="auto" w:fill="D9D9D9"/>
          </w:tcPr>
          <w:p w:rsidR="004D6F0E" w:rsidRDefault="00490F21">
            <w:pPr>
              <w:spacing w:after="0" w:line="259" w:lineRule="auto"/>
              <w:ind w:left="115" w:firstLine="0"/>
            </w:pPr>
            <w:r>
              <w:rPr>
                <w:sz w:val="18"/>
              </w:rPr>
              <w:t>捷克克朗對沖股份類別</w:t>
            </w:r>
            <w:r>
              <w:rPr>
                <w:rFonts w:ascii="Arial" w:eastAsia="Arial" w:hAnsi="Arial" w:cs="Arial"/>
                <w:sz w:val="18"/>
              </w:rPr>
              <w:t xml:space="preserve"> </w:t>
            </w:r>
          </w:p>
        </w:tc>
        <w:tc>
          <w:tcPr>
            <w:tcW w:w="1944" w:type="dxa"/>
            <w:tcBorders>
              <w:top w:val="nil"/>
              <w:left w:val="nil"/>
              <w:bottom w:val="nil"/>
              <w:right w:val="nil"/>
            </w:tcBorders>
            <w:shd w:val="clear" w:color="auto" w:fill="D9D9D9"/>
          </w:tcPr>
          <w:p w:rsidR="004D6F0E" w:rsidRDefault="004D6F0E">
            <w:pPr>
              <w:spacing w:after="160" w:line="259" w:lineRule="auto"/>
              <w:ind w:left="0" w:firstLine="0"/>
            </w:pPr>
          </w:p>
        </w:tc>
        <w:tc>
          <w:tcPr>
            <w:tcW w:w="2820" w:type="dxa"/>
            <w:tcBorders>
              <w:top w:val="nil"/>
              <w:left w:val="nil"/>
              <w:bottom w:val="nil"/>
              <w:right w:val="nil"/>
            </w:tcBorders>
            <w:shd w:val="clear" w:color="auto" w:fill="D9D9D9"/>
          </w:tcPr>
          <w:p w:rsidR="004D6F0E" w:rsidRDefault="004D6F0E">
            <w:pPr>
              <w:spacing w:after="160" w:line="259" w:lineRule="auto"/>
              <w:ind w:left="0" w:firstLine="0"/>
            </w:pPr>
          </w:p>
        </w:tc>
        <w:tc>
          <w:tcPr>
            <w:tcW w:w="2520" w:type="dxa"/>
            <w:tcBorders>
              <w:top w:val="nil"/>
              <w:left w:val="nil"/>
              <w:bottom w:val="nil"/>
              <w:right w:val="nil"/>
            </w:tcBorders>
            <w:shd w:val="clear" w:color="auto" w:fill="D9D9D9"/>
          </w:tcPr>
          <w:p w:rsidR="004D6F0E" w:rsidRDefault="004D6F0E">
            <w:pPr>
              <w:spacing w:after="160" w:line="259" w:lineRule="auto"/>
              <w:ind w:left="0" w:firstLine="0"/>
            </w:pPr>
          </w:p>
        </w:tc>
        <w:tc>
          <w:tcPr>
            <w:tcW w:w="133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93"/>
        </w:trPr>
        <w:tc>
          <w:tcPr>
            <w:tcW w:w="277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820" w:type="dxa"/>
            <w:tcBorders>
              <w:top w:val="nil"/>
              <w:left w:val="nil"/>
              <w:bottom w:val="nil"/>
              <w:right w:val="nil"/>
            </w:tcBorders>
          </w:tcPr>
          <w:p w:rsidR="004D6F0E" w:rsidRDefault="00490F21">
            <w:pPr>
              <w:spacing w:after="0" w:line="259" w:lineRule="auto"/>
              <w:ind w:left="293" w:firstLine="0"/>
            </w:pPr>
            <w:r>
              <w:rPr>
                <w:rFonts w:ascii="Arial" w:eastAsia="Arial" w:hAnsi="Arial" w:cs="Arial"/>
                <w:sz w:val="18"/>
              </w:rPr>
              <w:t xml:space="preserve">1.10% </w:t>
            </w:r>
          </w:p>
        </w:tc>
        <w:tc>
          <w:tcPr>
            <w:tcW w:w="2520"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571"/>
        </w:trPr>
        <w:tc>
          <w:tcPr>
            <w:tcW w:w="2774" w:type="dxa"/>
            <w:tcBorders>
              <w:top w:val="nil"/>
              <w:left w:val="nil"/>
              <w:bottom w:val="nil"/>
              <w:right w:val="nil"/>
            </w:tcBorders>
          </w:tcPr>
          <w:p w:rsidR="004D6F0E" w:rsidRDefault="00490F21">
            <w:pPr>
              <w:spacing w:after="89"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捷克克朗股份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944" w:type="dxa"/>
            <w:tcBorders>
              <w:top w:val="nil"/>
              <w:left w:val="nil"/>
              <w:bottom w:val="nil"/>
              <w:right w:val="nil"/>
            </w:tcBorders>
          </w:tcPr>
          <w:p w:rsidR="004D6F0E" w:rsidRDefault="00490F21">
            <w:pPr>
              <w:spacing w:after="79"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547" w:firstLine="0"/>
            </w:pPr>
            <w:r>
              <w:rPr>
                <w:rFonts w:ascii="Arial" w:eastAsia="Arial" w:hAnsi="Arial" w:cs="Arial"/>
                <w:sz w:val="18"/>
              </w:rPr>
              <w:t xml:space="preserve"> </w:t>
            </w:r>
          </w:p>
        </w:tc>
        <w:tc>
          <w:tcPr>
            <w:tcW w:w="2820" w:type="dxa"/>
            <w:tcBorders>
              <w:top w:val="nil"/>
              <w:left w:val="nil"/>
              <w:bottom w:val="nil"/>
              <w:right w:val="nil"/>
            </w:tcBorders>
          </w:tcPr>
          <w:p w:rsidR="004D6F0E" w:rsidRDefault="00490F21">
            <w:pPr>
              <w:spacing w:after="64" w:line="259" w:lineRule="auto"/>
              <w:ind w:left="293" w:firstLine="0"/>
            </w:pPr>
            <w:r>
              <w:rPr>
                <w:rFonts w:ascii="Arial" w:eastAsia="Arial" w:hAnsi="Arial" w:cs="Arial"/>
                <w:sz w:val="18"/>
              </w:rPr>
              <w:t xml:space="preserve">0.55% </w:t>
            </w:r>
          </w:p>
          <w:p w:rsidR="004D6F0E" w:rsidRDefault="00490F21">
            <w:pPr>
              <w:spacing w:after="0" w:line="259" w:lineRule="auto"/>
              <w:ind w:left="547" w:firstLine="0"/>
            </w:pPr>
            <w:r>
              <w:rPr>
                <w:rFonts w:ascii="Arial" w:eastAsia="Arial" w:hAnsi="Arial" w:cs="Arial"/>
                <w:sz w:val="18"/>
              </w:rPr>
              <w:t xml:space="preserve"> </w:t>
            </w:r>
          </w:p>
        </w:tc>
        <w:tc>
          <w:tcPr>
            <w:tcW w:w="2520" w:type="dxa"/>
            <w:tcBorders>
              <w:top w:val="nil"/>
              <w:left w:val="nil"/>
              <w:bottom w:val="nil"/>
              <w:right w:val="nil"/>
            </w:tcBorders>
          </w:tcPr>
          <w:p w:rsidR="004D6F0E" w:rsidRDefault="00490F21">
            <w:pPr>
              <w:spacing w:after="7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8" w:firstLine="0"/>
            </w:pPr>
            <w:r>
              <w:rPr>
                <w:rFonts w:ascii="Arial" w:eastAsia="Arial" w:hAnsi="Arial" w:cs="Arial"/>
                <w:sz w:val="18"/>
              </w:rPr>
              <w:t xml:space="preserve"> </w:t>
            </w:r>
          </w:p>
        </w:tc>
        <w:tc>
          <w:tcPr>
            <w:tcW w:w="1337" w:type="dxa"/>
            <w:tcBorders>
              <w:top w:val="nil"/>
              <w:left w:val="nil"/>
              <w:bottom w:val="nil"/>
              <w:right w:val="nil"/>
            </w:tcBorders>
          </w:tcPr>
          <w:p w:rsidR="004D6F0E" w:rsidRDefault="00490F21">
            <w:pPr>
              <w:spacing w:after="74"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r>
      <w:tr w:rsidR="004D6F0E">
        <w:trPr>
          <w:trHeight w:val="288"/>
        </w:trPr>
        <w:tc>
          <w:tcPr>
            <w:tcW w:w="2774" w:type="dxa"/>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sz w:val="18"/>
              </w:rPr>
              <w:t xml:space="preserve"> </w:t>
            </w:r>
          </w:p>
        </w:tc>
        <w:tc>
          <w:tcPr>
            <w:tcW w:w="1944" w:type="dxa"/>
            <w:tcBorders>
              <w:top w:val="nil"/>
              <w:left w:val="nil"/>
              <w:bottom w:val="nil"/>
              <w:right w:val="nil"/>
            </w:tcBorders>
            <w:shd w:val="clear" w:color="auto" w:fill="D9D9D9"/>
          </w:tcPr>
          <w:p w:rsidR="004D6F0E" w:rsidRDefault="004D6F0E">
            <w:pPr>
              <w:spacing w:after="160" w:line="259" w:lineRule="auto"/>
              <w:ind w:left="0" w:firstLine="0"/>
            </w:pPr>
          </w:p>
        </w:tc>
        <w:tc>
          <w:tcPr>
            <w:tcW w:w="2820" w:type="dxa"/>
            <w:tcBorders>
              <w:top w:val="nil"/>
              <w:left w:val="nil"/>
              <w:bottom w:val="nil"/>
              <w:right w:val="nil"/>
            </w:tcBorders>
            <w:shd w:val="clear" w:color="auto" w:fill="D9D9D9"/>
          </w:tcPr>
          <w:p w:rsidR="004D6F0E" w:rsidRDefault="004D6F0E">
            <w:pPr>
              <w:spacing w:after="160" w:line="259" w:lineRule="auto"/>
              <w:ind w:left="0" w:firstLine="0"/>
            </w:pPr>
          </w:p>
        </w:tc>
        <w:tc>
          <w:tcPr>
            <w:tcW w:w="2520" w:type="dxa"/>
            <w:tcBorders>
              <w:top w:val="nil"/>
              <w:left w:val="nil"/>
              <w:bottom w:val="nil"/>
              <w:right w:val="nil"/>
            </w:tcBorders>
            <w:shd w:val="clear" w:color="auto" w:fill="D9D9D9"/>
          </w:tcPr>
          <w:p w:rsidR="004D6F0E" w:rsidRDefault="004D6F0E">
            <w:pPr>
              <w:spacing w:after="160" w:line="259" w:lineRule="auto"/>
              <w:ind w:left="0" w:firstLine="0"/>
            </w:pPr>
          </w:p>
        </w:tc>
        <w:tc>
          <w:tcPr>
            <w:tcW w:w="1337"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315"/>
          <w:tab w:val="center" w:pos="5260"/>
          <w:tab w:val="center" w:pos="7621"/>
          <w:tab w:val="right" w:pos="10231"/>
        </w:tabs>
        <w:spacing w:after="20"/>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1.10%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D6F0E">
      <w:pPr>
        <w:sectPr w:rsidR="004D6F0E">
          <w:headerReference w:type="even" r:id="rId207"/>
          <w:headerReference w:type="default" r:id="rId208"/>
          <w:footerReference w:type="even" r:id="rId209"/>
          <w:footerReference w:type="default" r:id="rId210"/>
          <w:headerReference w:type="first" r:id="rId211"/>
          <w:footerReference w:type="first" r:id="rId212"/>
          <w:pgSz w:w="12240" w:h="15840"/>
          <w:pgMar w:top="1183" w:right="1577" w:bottom="891" w:left="432" w:header="746" w:footer="354" w:gutter="0"/>
          <w:cols w:space="720"/>
        </w:sectPr>
      </w:pPr>
    </w:p>
    <w:p w:rsidR="004D6F0E" w:rsidRDefault="00490F21">
      <w:pPr>
        <w:spacing w:after="0" w:line="259" w:lineRule="auto"/>
        <w:ind w:left="1" w:firstLine="0"/>
      </w:pP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16"/>
        </w:rPr>
        <w:t xml:space="preserve"> </w:t>
      </w:r>
    </w:p>
    <w:p w:rsidR="004D6F0E" w:rsidRDefault="00490F21">
      <w:pPr>
        <w:numPr>
          <w:ilvl w:val="0"/>
          <w:numId w:val="20"/>
        </w:numPr>
        <w:ind w:right="13" w:hanging="361"/>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A(1.41%)</w:t>
      </w:r>
      <w:r>
        <w:rPr>
          <w:sz w:val="16"/>
        </w:rPr>
        <w:t>、</w:t>
      </w:r>
      <w:r>
        <w:rPr>
          <w:rFonts w:ascii="Arial" w:eastAsia="Arial" w:hAnsi="Arial" w:cs="Arial"/>
          <w:sz w:val="16"/>
        </w:rPr>
        <w:t>AT(1.41%)</w:t>
      </w:r>
      <w:r>
        <w:rPr>
          <w:sz w:val="16"/>
        </w:rPr>
        <w:t>、</w:t>
      </w:r>
      <w:r>
        <w:rPr>
          <w:rFonts w:ascii="Arial" w:eastAsia="Arial" w:hAnsi="Arial" w:cs="Arial"/>
          <w:sz w:val="16"/>
        </w:rPr>
        <w:t>A2(1.41%)</w:t>
      </w:r>
      <w:r>
        <w:rPr>
          <w:sz w:val="16"/>
        </w:rPr>
        <w:t>、</w:t>
      </w:r>
      <w:r>
        <w:rPr>
          <w:rFonts w:ascii="Arial" w:eastAsia="Arial" w:hAnsi="Arial" w:cs="Arial"/>
          <w:sz w:val="16"/>
        </w:rPr>
        <w:t xml:space="preserve">AK(1.41%) </w:t>
      </w:r>
      <w:r>
        <w:rPr>
          <w:sz w:val="16"/>
        </w:rPr>
        <w:t>、</w:t>
      </w:r>
      <w:r>
        <w:rPr>
          <w:rFonts w:ascii="Arial" w:eastAsia="Arial" w:hAnsi="Arial" w:cs="Arial"/>
          <w:sz w:val="16"/>
        </w:rPr>
        <w:t>AA(1.41%</w:t>
      </w:r>
      <w:r>
        <w:rPr>
          <w:rFonts w:ascii="Arial" w:eastAsia="Arial" w:hAnsi="Arial" w:cs="Arial"/>
          <w:sz w:val="16"/>
        </w:rPr>
        <w:t>)</w:t>
      </w:r>
      <w:r>
        <w:rPr>
          <w:sz w:val="16"/>
        </w:rPr>
        <w:t>、</w:t>
      </w:r>
      <w:r>
        <w:rPr>
          <w:rFonts w:ascii="Arial" w:eastAsia="Arial" w:hAnsi="Arial" w:cs="Arial"/>
          <w:sz w:val="16"/>
        </w:rPr>
        <w:t>AR(1.41%)</w:t>
      </w:r>
      <w:r>
        <w:rPr>
          <w:sz w:val="16"/>
        </w:rPr>
        <w:t>、</w:t>
      </w:r>
      <w:r>
        <w:rPr>
          <w:rFonts w:ascii="Arial" w:eastAsia="Arial" w:hAnsi="Arial" w:cs="Arial"/>
          <w:sz w:val="16"/>
        </w:rPr>
        <w:t>B(2.11%)</w:t>
      </w:r>
      <w:r>
        <w:rPr>
          <w:sz w:val="16"/>
        </w:rPr>
        <w:t>、</w:t>
      </w:r>
      <w:r>
        <w:rPr>
          <w:rFonts w:ascii="Arial" w:eastAsia="Arial" w:hAnsi="Arial" w:cs="Arial"/>
          <w:sz w:val="16"/>
        </w:rPr>
        <w:t>B2(2.11%)</w:t>
      </w:r>
      <w:r>
        <w:rPr>
          <w:sz w:val="16"/>
        </w:rPr>
        <w:t>、</w:t>
      </w:r>
      <w:r>
        <w:rPr>
          <w:rFonts w:ascii="Arial" w:eastAsia="Arial" w:hAnsi="Arial" w:cs="Arial"/>
          <w:sz w:val="16"/>
        </w:rPr>
        <w:t>C(1.86%)</w:t>
      </w:r>
      <w:r>
        <w:rPr>
          <w:sz w:val="16"/>
        </w:rPr>
        <w:t>、</w:t>
      </w:r>
      <w:r>
        <w:rPr>
          <w:sz w:val="16"/>
        </w:rPr>
        <w:t xml:space="preserve"> </w:t>
      </w:r>
      <w:r>
        <w:rPr>
          <w:rFonts w:ascii="Arial" w:eastAsia="Arial" w:hAnsi="Arial" w:cs="Arial"/>
          <w:sz w:val="16"/>
        </w:rPr>
        <w:t>C2(1.86%)</w:t>
      </w:r>
      <w:r>
        <w:rPr>
          <w:sz w:val="16"/>
        </w:rPr>
        <w:t>、</w:t>
      </w:r>
      <w:r>
        <w:rPr>
          <w:rFonts w:ascii="Arial" w:eastAsia="Arial" w:hAnsi="Arial" w:cs="Arial"/>
          <w:sz w:val="16"/>
        </w:rPr>
        <w:t>CT(1.86%)</w:t>
      </w:r>
      <w:r>
        <w:rPr>
          <w:sz w:val="16"/>
        </w:rPr>
        <w:t>、</w:t>
      </w:r>
      <w:r>
        <w:rPr>
          <w:rFonts w:ascii="Arial" w:eastAsia="Arial" w:hAnsi="Arial" w:cs="Arial"/>
          <w:sz w:val="16"/>
        </w:rPr>
        <w:t>CK(1.86%)</w:t>
      </w:r>
      <w:r>
        <w:rPr>
          <w:sz w:val="16"/>
        </w:rPr>
        <w:t>、</w:t>
      </w:r>
      <w:r>
        <w:rPr>
          <w:rFonts w:ascii="Arial" w:eastAsia="Arial" w:hAnsi="Arial" w:cs="Arial"/>
          <w:sz w:val="16"/>
        </w:rPr>
        <w:t>I(0.86%)</w:t>
      </w:r>
      <w:r>
        <w:rPr>
          <w:sz w:val="16"/>
        </w:rPr>
        <w:t>、</w:t>
      </w:r>
      <w:r>
        <w:rPr>
          <w:rFonts w:ascii="Arial" w:eastAsia="Arial" w:hAnsi="Arial" w:cs="Arial"/>
          <w:sz w:val="16"/>
        </w:rPr>
        <w:t>I2(0.86%)</w:t>
      </w:r>
      <w:r>
        <w:rPr>
          <w:sz w:val="16"/>
        </w:rPr>
        <w:t>、</w:t>
      </w:r>
      <w:r>
        <w:rPr>
          <w:rFonts w:ascii="Arial" w:eastAsia="Arial" w:hAnsi="Arial" w:cs="Arial"/>
          <w:sz w:val="16"/>
        </w:rPr>
        <w:t>IT(0.86%)</w:t>
      </w:r>
    </w:p>
    <w:p w:rsidR="004D6F0E" w:rsidRDefault="00490F21">
      <w:pPr>
        <w:spacing w:after="9" w:line="269" w:lineRule="auto"/>
        <w:ind w:left="354"/>
        <w:jc w:val="both"/>
      </w:pPr>
      <w:r>
        <w:rPr>
          <w:sz w:val="16"/>
        </w:rPr>
        <w:t>、</w:t>
      </w:r>
      <w:r>
        <w:rPr>
          <w:rFonts w:ascii="Arial" w:eastAsia="Arial" w:hAnsi="Arial" w:cs="Arial"/>
          <w:sz w:val="16"/>
        </w:rPr>
        <w:t>IA(0.86%)</w:t>
      </w:r>
      <w:r>
        <w:rPr>
          <w:sz w:val="16"/>
        </w:rPr>
        <w:t>、</w:t>
      </w:r>
      <w:r>
        <w:rPr>
          <w:rFonts w:ascii="Arial" w:eastAsia="Arial" w:hAnsi="Arial" w:cs="Arial"/>
          <w:sz w:val="16"/>
        </w:rPr>
        <w:t>NT (1.96%)</w:t>
      </w:r>
      <w:r>
        <w:rPr>
          <w:sz w:val="16"/>
        </w:rPr>
        <w:t>、</w:t>
      </w:r>
      <w:r>
        <w:rPr>
          <w:rFonts w:ascii="Arial" w:eastAsia="Arial" w:hAnsi="Arial" w:cs="Arial"/>
          <w:sz w:val="16"/>
        </w:rPr>
        <w:t>S(0.15%)</w:t>
      </w:r>
      <w:r>
        <w:rPr>
          <w:sz w:val="16"/>
        </w:rPr>
        <w:t>、</w:t>
      </w:r>
      <w:r>
        <w:rPr>
          <w:rFonts w:ascii="Arial" w:eastAsia="Arial" w:hAnsi="Arial" w:cs="Arial"/>
          <w:sz w:val="16"/>
        </w:rPr>
        <w:t>SHK (0.15%)</w:t>
      </w:r>
      <w:r>
        <w:rPr>
          <w:sz w:val="16"/>
        </w:rPr>
        <w:t>、</w:t>
      </w:r>
      <w:r>
        <w:rPr>
          <w:rFonts w:ascii="Arial" w:eastAsia="Arial" w:hAnsi="Arial" w:cs="Arial"/>
          <w:sz w:val="16"/>
        </w:rPr>
        <w:t>S1(0.65%)</w:t>
      </w:r>
      <w:r>
        <w:rPr>
          <w:sz w:val="16"/>
        </w:rPr>
        <w:t>、</w:t>
      </w:r>
      <w:r>
        <w:rPr>
          <w:sz w:val="16"/>
        </w:rPr>
        <w:t xml:space="preserve"> </w:t>
      </w:r>
      <w:r>
        <w:rPr>
          <w:rFonts w:ascii="Arial" w:eastAsia="Arial" w:hAnsi="Arial" w:cs="Arial"/>
          <w:sz w:val="16"/>
        </w:rPr>
        <w:t>S1D(0.65%)</w:t>
      </w:r>
      <w:r>
        <w:rPr>
          <w:sz w:val="16"/>
        </w:rPr>
        <w:t>、</w:t>
      </w:r>
      <w:r>
        <w:rPr>
          <w:rFonts w:ascii="Arial" w:eastAsia="Arial" w:hAnsi="Arial" w:cs="Arial"/>
          <w:sz w:val="16"/>
        </w:rPr>
        <w:t>SA (0.15%)</w:t>
      </w:r>
      <w:r>
        <w:rPr>
          <w:sz w:val="16"/>
        </w:rPr>
        <w:t>、</w:t>
      </w:r>
      <w:r>
        <w:rPr>
          <w:rFonts w:ascii="Arial" w:eastAsia="Arial" w:hAnsi="Arial" w:cs="Arial"/>
          <w:sz w:val="16"/>
        </w:rPr>
        <w:t>W2 (0.86%)</w:t>
      </w:r>
      <w:r>
        <w:rPr>
          <w:sz w:val="16"/>
        </w:rPr>
        <w:t>、</w:t>
      </w:r>
      <w:r>
        <w:rPr>
          <w:rFonts w:ascii="Arial" w:eastAsia="Arial" w:hAnsi="Arial" w:cs="Arial"/>
          <w:sz w:val="16"/>
        </w:rPr>
        <w:t>WA (0.86%)</w:t>
      </w:r>
      <w:r>
        <w:rPr>
          <w:sz w:val="16"/>
        </w:rPr>
        <w:t>及</w:t>
      </w:r>
      <w:r>
        <w:rPr>
          <w:sz w:val="16"/>
        </w:rPr>
        <w:t xml:space="preserve"> </w:t>
      </w:r>
      <w:r>
        <w:rPr>
          <w:rFonts w:ascii="Arial" w:eastAsia="Arial" w:hAnsi="Arial" w:cs="Arial"/>
          <w:sz w:val="16"/>
        </w:rPr>
        <w:t xml:space="preserve">WT (0.86%) </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20"/>
        </w:numPr>
        <w:ind w:right="13" w:hanging="361"/>
        <w:jc w:val="both"/>
      </w:pPr>
      <w:r>
        <w:rPr>
          <w:rFonts w:ascii="Arial" w:eastAsia="Arial" w:hAnsi="Arial" w:cs="Arial"/>
          <w:sz w:val="16"/>
        </w:rPr>
        <w:t xml:space="preserve">B </w:t>
      </w:r>
      <w:r>
        <w:rPr>
          <w:sz w:val="16"/>
        </w:rPr>
        <w:t>類股份和</w:t>
      </w:r>
      <w:r>
        <w:rPr>
          <w:sz w:val="16"/>
        </w:rPr>
        <w:t xml:space="preserve"> </w:t>
      </w:r>
      <w:r>
        <w:rPr>
          <w:rFonts w:ascii="Arial" w:eastAsia="Arial" w:hAnsi="Arial" w:cs="Arial"/>
          <w:sz w:val="16"/>
        </w:rPr>
        <w:t xml:space="preserve">B2 </w:t>
      </w:r>
      <w:r>
        <w:rPr>
          <w:sz w:val="16"/>
        </w:rPr>
        <w:t>類股份自認購日起六年後合資格分別轉入</w:t>
      </w:r>
      <w:r>
        <w:rPr>
          <w:sz w:val="16"/>
        </w:rPr>
        <w:t xml:space="preserve"> </w:t>
      </w:r>
      <w:r>
        <w:rPr>
          <w:rFonts w:ascii="Arial" w:eastAsia="Arial" w:hAnsi="Arial" w:cs="Arial"/>
          <w:sz w:val="16"/>
        </w:rPr>
        <w:t xml:space="preserve">A </w:t>
      </w:r>
      <w:r>
        <w:rPr>
          <w:sz w:val="16"/>
        </w:rPr>
        <w:t>類股份和</w:t>
      </w:r>
      <w:r>
        <w:rPr>
          <w:sz w:val="16"/>
        </w:rPr>
        <w:t xml:space="preserve"> </w:t>
      </w:r>
      <w:r>
        <w:rPr>
          <w:rFonts w:ascii="Arial" w:eastAsia="Arial" w:hAnsi="Arial" w:cs="Arial"/>
          <w:sz w:val="16"/>
        </w:rPr>
        <w:t xml:space="preserve">A2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20"/>
        </w:numPr>
        <w:spacing w:after="143"/>
        <w:ind w:right="13" w:hanging="361"/>
        <w:jc w:val="both"/>
      </w:pPr>
      <w:r>
        <w:rPr>
          <w:sz w:val="16"/>
        </w:rPr>
        <w:t>佔購買價的百分比。</w:t>
      </w: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p>
    <w:p w:rsidR="004D6F0E" w:rsidRDefault="00490F21">
      <w:pPr>
        <w:numPr>
          <w:ilvl w:val="0"/>
          <w:numId w:val="20"/>
        </w:numPr>
        <w:ind w:right="13" w:hanging="361"/>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numPr>
          <w:ilvl w:val="0"/>
          <w:numId w:val="20"/>
        </w:numPr>
        <w:ind w:right="13" w:hanging="361"/>
        <w:jc w:val="both"/>
      </w:pPr>
      <w:r>
        <w:rPr>
          <w:sz w:val="16"/>
        </w:rPr>
        <w:t>佔每日平均資產淨值的年百分比。</w:t>
      </w:r>
      <w:r>
        <w:rPr>
          <w:rFonts w:ascii="Arial" w:eastAsia="Arial" w:hAnsi="Arial" w:cs="Arial"/>
          <w:sz w:val="16"/>
        </w:rPr>
        <w:t xml:space="preserve"> </w:t>
      </w:r>
    </w:p>
    <w:p w:rsidR="004D6F0E" w:rsidRDefault="00490F21">
      <w:pPr>
        <w:numPr>
          <w:ilvl w:val="0"/>
          <w:numId w:val="20"/>
        </w:numPr>
        <w:ind w:right="13" w:hanging="361"/>
        <w:jc w:val="both"/>
      </w:pPr>
      <w:r>
        <w:rPr>
          <w:sz w:val="16"/>
        </w:rPr>
        <w:t>佔所贖回股份的現行資產淨值或原始成本此兩數字中較低者的有關百分比，並視乎該等股份的持有時間而定。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w:t>
      </w:r>
      <w:r>
        <w:rPr>
          <w:rFonts w:ascii="Arial" w:eastAsia="Arial" w:hAnsi="Arial" w:cs="Arial"/>
          <w:sz w:val="16"/>
        </w:rPr>
        <w:t xml:space="preserve">C2 </w:t>
      </w:r>
      <w:r>
        <w:rPr>
          <w:sz w:val="16"/>
        </w:rPr>
        <w:t>類股份、</w:t>
      </w:r>
      <w:r>
        <w:rPr>
          <w:rFonts w:ascii="Arial" w:eastAsia="Arial" w:hAnsi="Arial" w:cs="Arial"/>
          <w:sz w:val="16"/>
        </w:rPr>
        <w:t xml:space="preserve">CK </w:t>
      </w:r>
      <w:r>
        <w:rPr>
          <w:sz w:val="16"/>
        </w:rPr>
        <w:t>類股份和</w:t>
      </w:r>
      <w:r>
        <w:rPr>
          <w:sz w:val="16"/>
        </w:rPr>
        <w:t xml:space="preserve"> </w:t>
      </w:r>
      <w:r>
        <w:rPr>
          <w:rFonts w:ascii="Arial" w:eastAsia="Arial" w:hAnsi="Arial" w:cs="Arial"/>
          <w:sz w:val="16"/>
        </w:rPr>
        <w:t xml:space="preserve">CT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類股份）而言，交易商可在某些情況下選擇減免或有遞延銷售費。</w:t>
      </w:r>
      <w:r>
        <w:rPr>
          <w:rFonts w:ascii="Arial" w:eastAsia="Arial" w:hAnsi="Arial" w:cs="Arial"/>
          <w:sz w:val="16"/>
        </w:rPr>
        <w:t xml:space="preserve"> </w:t>
      </w:r>
    </w:p>
    <w:p w:rsidR="004D6F0E" w:rsidRDefault="00490F21">
      <w:pPr>
        <w:numPr>
          <w:ilvl w:val="0"/>
          <w:numId w:val="20"/>
        </w:numPr>
        <w:spacing w:after="30"/>
        <w:ind w:right="13" w:hanging="361"/>
        <w:jc w:val="both"/>
      </w:pPr>
      <w:r>
        <w:rPr>
          <w:rFonts w:ascii="Arial" w:eastAsia="Arial" w:hAnsi="Arial" w:cs="Arial"/>
          <w:sz w:val="16"/>
        </w:rPr>
        <w:t xml:space="preserve">S </w:t>
      </w:r>
      <w:r>
        <w:rPr>
          <w:sz w:val="16"/>
        </w:rPr>
        <w:t>類及</w:t>
      </w:r>
      <w:r>
        <w:rPr>
          <w:sz w:val="16"/>
        </w:rPr>
        <w:t xml:space="preserve"> </w:t>
      </w:r>
      <w:r>
        <w:rPr>
          <w:rFonts w:ascii="Arial" w:eastAsia="Arial" w:hAnsi="Arial" w:cs="Arial"/>
          <w:sz w:val="16"/>
        </w:rPr>
        <w:t xml:space="preserve">SA </w:t>
      </w:r>
      <w:r>
        <w:rPr>
          <w:sz w:val="16"/>
        </w:rPr>
        <w:t>類</w:t>
      </w:r>
      <w:r>
        <w:rPr>
          <w:sz w:val="16"/>
        </w:rPr>
        <w:t xml:space="preserve"> </w:t>
      </w:r>
      <w:r>
        <w:rPr>
          <w:rFonts w:ascii="Arial" w:eastAsia="Arial" w:hAnsi="Arial" w:cs="Arial"/>
          <w:sz w:val="16"/>
        </w:rPr>
        <w:t xml:space="preserve">H </w:t>
      </w:r>
      <w:r>
        <w:rPr>
          <w:sz w:val="16"/>
        </w:rPr>
        <w:t>美元股份乃保留給已與管理公司訂立協議且被另行收取投資管理費的機構投資者。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20"/>
        </w:numPr>
        <w:ind w:right="13" w:hanging="361"/>
        <w:jc w:val="both"/>
      </w:pPr>
      <w:r>
        <w:rPr>
          <w:sz w:val="16"/>
        </w:rPr>
        <w:t>有關此</w:t>
      </w:r>
      <w:r>
        <w:rPr>
          <w:sz w:val="18"/>
        </w:rPr>
        <w:t>股份</w:t>
      </w:r>
      <w:r>
        <w:rPr>
          <w:sz w:val="16"/>
        </w:rPr>
        <w:t>類別</w:t>
      </w:r>
      <w:r>
        <w:rPr>
          <w:sz w:val="18"/>
        </w:rPr>
        <w:t>的</w:t>
      </w:r>
      <w:r>
        <w:rPr>
          <w:sz w:val="16"/>
        </w:rPr>
        <w:t>進一步資料，請參閱第</w:t>
      </w:r>
      <w:r>
        <w:rPr>
          <w:sz w:val="16"/>
        </w:rPr>
        <w:t xml:space="preserve"> </w:t>
      </w:r>
      <w:r>
        <w:rPr>
          <w:rFonts w:ascii="Arial" w:eastAsia="Arial" w:hAnsi="Arial" w:cs="Arial"/>
          <w:sz w:val="16"/>
        </w:rPr>
        <w:t xml:space="preserve">II </w:t>
      </w:r>
      <w:r>
        <w:rPr>
          <w:sz w:val="16"/>
        </w:rPr>
        <w:t>部分「附加</w:t>
      </w:r>
      <w:r>
        <w:rPr>
          <w:sz w:val="18"/>
        </w:rPr>
        <w:t>股份</w:t>
      </w:r>
      <w:r>
        <w:rPr>
          <w:sz w:val="16"/>
        </w:rPr>
        <w:t>類別資料</w:t>
      </w:r>
    </w:p>
    <w:p w:rsidR="004D6F0E" w:rsidRDefault="00490F21">
      <w:pPr>
        <w:ind w:left="371" w:right="13" w:hanging="10"/>
        <w:jc w:val="both"/>
      </w:pPr>
      <w:r>
        <w:rPr>
          <w:sz w:val="16"/>
        </w:rPr>
        <w:t>」</w:t>
      </w:r>
      <w:r>
        <w:rPr>
          <w:sz w:val="18"/>
        </w:rPr>
        <w:t>。</w:t>
      </w:r>
      <w:r>
        <w:rPr>
          <w:rFonts w:ascii="Arial" w:eastAsia="Arial" w:hAnsi="Arial" w:cs="Arial"/>
          <w:sz w:val="16"/>
        </w:rPr>
        <w:t xml:space="preserve"> </w:t>
      </w:r>
    </w:p>
    <w:p w:rsidR="004D6F0E" w:rsidRDefault="00490F21">
      <w:pPr>
        <w:numPr>
          <w:ilvl w:val="0"/>
          <w:numId w:val="20"/>
        </w:numPr>
        <w:ind w:right="13" w:hanging="361"/>
        <w:jc w:val="both"/>
      </w:pPr>
      <w:r>
        <w:rPr>
          <w:rFonts w:ascii="Arial" w:eastAsia="Arial" w:hAnsi="Arial" w:cs="Arial"/>
          <w:sz w:val="16"/>
        </w:rPr>
        <w:lastRenderedPageBreak/>
        <w:t xml:space="preserve">SHK </w:t>
      </w:r>
      <w:r>
        <w:rPr>
          <w:sz w:val="16"/>
        </w:rPr>
        <w:t>類股份僅供聯博基金投資。</w:t>
      </w:r>
      <w:r>
        <w:rPr>
          <w:rFonts w:ascii="Arial" w:eastAsia="Arial" w:hAnsi="Arial" w:cs="Arial"/>
          <w:sz w:val="16"/>
        </w:rPr>
        <w:t xml:space="preserve"> </w:t>
      </w:r>
    </w:p>
    <w:p w:rsidR="004D6F0E" w:rsidRDefault="00490F21">
      <w:pPr>
        <w:spacing w:after="0" w:line="259" w:lineRule="auto"/>
        <w:ind w:left="1" w:firstLine="0"/>
      </w:pPr>
      <w:r>
        <w:rPr>
          <w:rFonts w:ascii="Arial" w:eastAsia="Arial" w:hAnsi="Arial" w:cs="Arial"/>
          <w:sz w:val="16"/>
        </w:rPr>
        <w:t xml:space="preserve"> </w:t>
      </w:r>
      <w:r>
        <w:rPr>
          <w:rFonts w:ascii="Arial" w:eastAsia="Arial" w:hAnsi="Arial" w:cs="Arial"/>
          <w:sz w:val="16"/>
        </w:rPr>
        <w:tab/>
        <w:t xml:space="preserve"> </w:t>
      </w:r>
    </w:p>
    <w:p w:rsidR="004D6F0E" w:rsidRDefault="00490F21">
      <w:pPr>
        <w:ind w:left="347" w:right="13" w:hanging="360"/>
        <w:jc w:val="both"/>
      </w:pP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」），而並非稱為</w:t>
      </w:r>
      <w:r>
        <w:rPr>
          <w:sz w:val="16"/>
        </w:rPr>
        <w:t xml:space="preserve"> </w:t>
      </w:r>
      <w:r>
        <w:rPr>
          <w:rFonts w:ascii="Arial" w:eastAsia="Arial" w:hAnsi="Arial" w:cs="Arial"/>
          <w:sz w:val="16"/>
        </w:rPr>
        <w:t xml:space="preserve">CNY </w:t>
      </w:r>
      <w:r>
        <w:rPr>
          <w:sz w:val="16"/>
        </w:rPr>
        <w:t>的在岸人民幣。</w:t>
      </w:r>
      <w:r>
        <w:rPr>
          <w:rFonts w:ascii="Arial" w:eastAsia="Arial" w:hAnsi="Arial" w:cs="Arial"/>
          <w:sz w:val="16"/>
        </w:rPr>
        <w:t xml:space="preserve"> </w:t>
      </w:r>
    </w:p>
    <w:p w:rsidR="004D6F0E" w:rsidRDefault="00490F21">
      <w:pPr>
        <w:spacing w:after="4" w:line="275" w:lineRule="auto"/>
        <w:ind w:left="413" w:hanging="427"/>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p>
    <w:p w:rsidR="004D6F0E" w:rsidRDefault="004D6F0E">
      <w:pPr>
        <w:sectPr w:rsidR="004D6F0E">
          <w:type w:val="continuous"/>
          <w:pgSz w:w="12240" w:h="15840"/>
          <w:pgMar w:top="1440" w:right="612" w:bottom="1440" w:left="431" w:header="720" w:footer="720" w:gutter="0"/>
          <w:cols w:num="2" w:space="714"/>
        </w:sectPr>
      </w:pPr>
    </w:p>
    <w:p w:rsidR="004D6F0E" w:rsidRDefault="00490F21">
      <w:pPr>
        <w:spacing w:after="0" w:line="259" w:lineRule="auto"/>
        <w:ind w:right="75" w:hanging="10"/>
        <w:jc w:val="right"/>
      </w:pPr>
      <w:r>
        <w:rPr>
          <w:sz w:val="18"/>
        </w:rPr>
        <w:lastRenderedPageBreak/>
        <w:t>聯博</w:t>
      </w:r>
      <w:r>
        <w:rPr>
          <w:rFonts w:ascii="Times New Roman" w:eastAsia="Times New Roman" w:hAnsi="Times New Roman" w:cs="Times New Roman"/>
          <w:sz w:val="18"/>
        </w:rPr>
        <w:t>—</w:t>
      </w:r>
      <w:r>
        <w:rPr>
          <w:sz w:val="18"/>
        </w:rPr>
        <w:t>歐洲收益基金</w:t>
      </w: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26" w:line="259" w:lineRule="auto"/>
        <w:ind w:left="0" w:right="-170" w:firstLine="0"/>
      </w:pPr>
      <w:r>
        <w:rPr>
          <w:rFonts w:ascii="Calibri" w:eastAsia="Calibri" w:hAnsi="Calibri" w:cs="Calibri"/>
          <w:noProof/>
          <w:sz w:val="22"/>
        </w:rPr>
        <mc:AlternateContent>
          <mc:Choice Requires="wpg">
            <w:drawing>
              <wp:inline distT="0" distB="0" distL="0" distR="0">
                <wp:extent cx="7200900" cy="18288"/>
                <wp:effectExtent l="0" t="0" r="0" b="0"/>
                <wp:docPr id="544288" name="Group 544288"/>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8359" name="Shape 658359"/>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288" style="width:567pt;height:1.44pt;mso-position-horizontal-relative:char;mso-position-vertical-relative:line" coordsize="72009,182">
                <v:shape id="Shape 658360" style="position:absolute;width:72009;height:182;left:0;top:0;" coordsize="7200900,18288" path="m0,0l7200900,0l7200900,18288l0,18288l0,0">
                  <v:stroke weight="0pt" endcap="flat" joinstyle="miter" miterlimit="10" on="false" color="#000000" opacity="0"/>
                  <v:fill on="true" color="#000000"/>
                </v:shape>
              </v:group>
            </w:pict>
          </mc:Fallback>
        </mc:AlternateContent>
      </w:r>
    </w:p>
    <w:p w:rsidR="004D6F0E" w:rsidRDefault="00490F21">
      <w:pPr>
        <w:spacing w:after="60"/>
        <w:ind w:left="124" w:right="2"/>
      </w:pPr>
      <w:r>
        <w:t>其他股份類別特色</w:t>
      </w:r>
      <w:r>
        <w:rPr>
          <w:rFonts w:ascii="Arial" w:eastAsia="Arial" w:hAnsi="Arial" w:cs="Arial"/>
          <w:b/>
        </w:rPr>
        <w:t xml:space="preserve"> </w:t>
      </w:r>
    </w:p>
    <w:p w:rsidR="004D6F0E" w:rsidRDefault="00490F21">
      <w:pPr>
        <w:spacing w:after="92"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tabs>
          <w:tab w:val="center" w:pos="3048"/>
          <w:tab w:val="center" w:pos="4891"/>
          <w:tab w:val="center" w:pos="6735"/>
          <w:tab w:val="center" w:pos="8507"/>
          <w:tab w:val="right" w:pos="11170"/>
        </w:tabs>
        <w:ind w:left="0" w:firstLine="0"/>
      </w:pPr>
      <w:r>
        <w:rPr>
          <w:rFonts w:ascii="Arial" w:eastAsia="Arial" w:hAnsi="Arial" w:cs="Arial"/>
          <w:b/>
          <w:sz w:val="29"/>
          <w:vertAlign w:val="superscript"/>
        </w:rPr>
        <w:t xml:space="preserve"> </w:t>
      </w:r>
      <w:r>
        <w:rPr>
          <w:rFonts w:ascii="Arial" w:eastAsia="Arial" w:hAnsi="Arial" w:cs="Arial"/>
          <w:b/>
          <w:sz w:val="29"/>
          <w:vertAlign w:val="superscript"/>
        </w:rPr>
        <w:tab/>
      </w:r>
      <w:r>
        <w:rPr>
          <w:sz w:val="18"/>
        </w:rPr>
        <w:t>發售貨幣</w:t>
      </w:r>
      <w:r>
        <w:rPr>
          <w:rFonts w:ascii="Arial" w:eastAsia="Arial" w:hAnsi="Arial" w:cs="Arial"/>
          <w:sz w:val="24"/>
        </w:rPr>
        <w:t xml:space="preserve"> </w:t>
      </w:r>
      <w:r>
        <w:rPr>
          <w:rFonts w:ascii="Arial" w:eastAsia="Arial" w:hAnsi="Arial" w:cs="Arial"/>
          <w:sz w:val="24"/>
        </w:rPr>
        <w:tab/>
      </w:r>
      <w:r>
        <w:rPr>
          <w:sz w:val="18"/>
        </w:rPr>
        <w:t>最低首次投資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最低後續投資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最高投資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24"/>
        </w:rPr>
        <w:t xml:space="preserve"> </w:t>
      </w:r>
    </w:p>
    <w:p w:rsidR="004D6F0E" w:rsidRDefault="00490F21">
      <w:pPr>
        <w:spacing w:after="12" w:line="259" w:lineRule="auto"/>
        <w:ind w:left="2213" w:right="-83" w:firstLine="0"/>
      </w:pPr>
      <w:r>
        <w:rPr>
          <w:rFonts w:ascii="Calibri" w:eastAsia="Calibri" w:hAnsi="Calibri" w:cs="Calibri"/>
          <w:noProof/>
          <w:sz w:val="22"/>
        </w:rPr>
        <mc:AlternateContent>
          <mc:Choice Requires="wpg">
            <w:drawing>
              <wp:inline distT="0" distB="0" distL="0" distR="0">
                <wp:extent cx="5740908" cy="6096"/>
                <wp:effectExtent l="0" t="0" r="0" b="0"/>
                <wp:docPr id="544289" name="Group 544289"/>
                <wp:cNvGraphicFramePr/>
                <a:graphic xmlns:a="http://schemas.openxmlformats.org/drawingml/2006/main">
                  <a:graphicData uri="http://schemas.microsoft.com/office/word/2010/wordprocessingGroup">
                    <wpg:wgp>
                      <wpg:cNvGrpSpPr/>
                      <wpg:grpSpPr>
                        <a:xfrm>
                          <a:off x="0" y="0"/>
                          <a:ext cx="5740908" cy="6096"/>
                          <a:chOff x="0" y="0"/>
                          <a:chExt cx="5740908" cy="6096"/>
                        </a:xfrm>
                      </wpg:grpSpPr>
                      <wps:wsp>
                        <wps:cNvPr id="658361" name="Shape 658361"/>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62" name="Shape 658362"/>
                        <wps:cNvSpPr/>
                        <wps:spPr>
                          <a:xfrm>
                            <a:off x="1170432"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63" name="Shape 658363"/>
                        <wps:cNvSpPr/>
                        <wps:spPr>
                          <a:xfrm>
                            <a:off x="2340864"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64" name="Shape 658364"/>
                        <wps:cNvSpPr/>
                        <wps:spPr>
                          <a:xfrm>
                            <a:off x="3511296"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65" name="Shape 658365"/>
                        <wps:cNvSpPr/>
                        <wps:spPr>
                          <a:xfrm>
                            <a:off x="4590288"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289" style="width:452.04pt;height:0.47998pt;mso-position-horizontal-relative:char;mso-position-vertical-relative:line" coordsize="57409,60">
                <v:shape id="Shape 658366" style="position:absolute;width:10607;height:91;left:0;top:0;" coordsize="1060704,9144" path="m0,0l1060704,0l1060704,9144l0,9144l0,0">
                  <v:stroke weight="0pt" endcap="flat" joinstyle="miter" miterlimit="10" on="false" color="#000000" opacity="0"/>
                  <v:fill on="true" color="#000000"/>
                </v:shape>
                <v:shape id="Shape 658367" style="position:absolute;width:10607;height:91;left:11704;top:0;" coordsize="1060704,9144" path="m0,0l1060704,0l1060704,9144l0,9144l0,0">
                  <v:stroke weight="0pt" endcap="flat" joinstyle="miter" miterlimit="10" on="false" color="#000000" opacity="0"/>
                  <v:fill on="true" color="#000000"/>
                </v:shape>
                <v:shape id="Shape 658368" style="position:absolute;width:10607;height:91;left:23408;top:0;" coordsize="1060704,9144" path="m0,0l1060704,0l1060704,9144l0,9144l0,0">
                  <v:stroke weight="0pt" endcap="flat" joinstyle="miter" miterlimit="10" on="false" color="#000000" opacity="0"/>
                  <v:fill on="true" color="#000000"/>
                </v:shape>
                <v:shape id="Shape 658369" style="position:absolute;width:9708;height:91;left:35112;top:0;" coordsize="970801,9144" path="m0,0l970801,0l970801,9144l0,9144l0,0">
                  <v:stroke weight="0pt" endcap="flat" joinstyle="miter" miterlimit="10" on="false" color="#000000" opacity="0"/>
                  <v:fill on="true" color="#000000"/>
                </v:shape>
                <v:shape id="Shape 658370" style="position:absolute;width:11506;height:91;left:45902;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p>
    <w:tbl>
      <w:tblPr>
        <w:tblStyle w:val="TableGrid"/>
        <w:tblW w:w="11340" w:type="dxa"/>
        <w:tblInd w:w="0" w:type="dxa"/>
        <w:tblCellMar>
          <w:top w:w="27" w:type="dxa"/>
          <w:left w:w="0" w:type="dxa"/>
          <w:bottom w:w="0" w:type="dxa"/>
          <w:right w:w="115" w:type="dxa"/>
        </w:tblCellMar>
        <w:tblLook w:val="04A0" w:firstRow="1" w:lastRow="0" w:firstColumn="1" w:lastColumn="0" w:noHBand="0" w:noVBand="1"/>
      </w:tblPr>
      <w:tblGrid>
        <w:gridCol w:w="116"/>
        <w:gridCol w:w="2126"/>
        <w:gridCol w:w="446"/>
        <w:gridCol w:w="181"/>
        <w:gridCol w:w="1216"/>
        <w:gridCol w:w="82"/>
        <w:gridCol w:w="1761"/>
        <w:gridCol w:w="230"/>
        <w:gridCol w:w="224"/>
        <w:gridCol w:w="1389"/>
        <w:gridCol w:w="207"/>
        <w:gridCol w:w="1490"/>
        <w:gridCol w:w="624"/>
        <w:gridCol w:w="1128"/>
        <w:gridCol w:w="120"/>
      </w:tblGrid>
      <w:tr w:rsidR="004D6F0E">
        <w:trPr>
          <w:trHeight w:val="293"/>
        </w:trPr>
        <w:tc>
          <w:tcPr>
            <w:tcW w:w="2868" w:type="dxa"/>
            <w:gridSpan w:val="4"/>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b/>
                <w:sz w:val="18"/>
              </w:rPr>
              <w:t xml:space="preserve"> </w:t>
            </w:r>
          </w:p>
        </w:tc>
        <w:tc>
          <w:tcPr>
            <w:tcW w:w="12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1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59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1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70"/>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87"/>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AK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6"/>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B2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歐元</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86"/>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CK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298"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8"/>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SHK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2"/>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S1D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2"/>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W2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868" w:type="dxa"/>
            <w:gridSpan w:val="4"/>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WA </w:t>
            </w:r>
            <w:r>
              <w:rPr>
                <w:sz w:val="18"/>
              </w:rPr>
              <w:t>類股份</w:t>
            </w: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0" w:line="259" w:lineRule="auto"/>
              <w:ind w:left="262" w:firstLine="0"/>
            </w:pPr>
            <w:r>
              <w:rPr>
                <w:sz w:val="18"/>
              </w:rPr>
              <w:t>無</w:t>
            </w: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0" w:line="259" w:lineRule="auto"/>
              <w:ind w:left="439"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580"/>
        </w:trPr>
        <w:tc>
          <w:tcPr>
            <w:tcW w:w="2868" w:type="dxa"/>
            <w:gridSpan w:val="4"/>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t xml:space="preserve">WT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298" w:type="dxa"/>
            <w:gridSpan w:val="2"/>
            <w:tcBorders>
              <w:top w:val="nil"/>
              <w:left w:val="nil"/>
              <w:bottom w:val="nil"/>
              <w:right w:val="nil"/>
            </w:tcBorders>
          </w:tcPr>
          <w:p w:rsidR="004D6F0E" w:rsidRDefault="00490F21">
            <w:pPr>
              <w:spacing w:after="67"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215" w:type="dxa"/>
            <w:gridSpan w:val="3"/>
            <w:tcBorders>
              <w:top w:val="nil"/>
              <w:left w:val="nil"/>
              <w:bottom w:val="nil"/>
              <w:right w:val="nil"/>
            </w:tcBorders>
          </w:tcPr>
          <w:p w:rsidR="004D6F0E" w:rsidRDefault="00490F21">
            <w:pPr>
              <w:spacing w:after="71"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p w:rsidR="004D6F0E" w:rsidRDefault="00490F21">
            <w:pPr>
              <w:spacing w:after="0" w:line="259" w:lineRule="auto"/>
              <w:ind w:left="725" w:firstLine="0"/>
            </w:pPr>
            <w:r>
              <w:rPr>
                <w:rFonts w:ascii="Arial" w:eastAsia="Arial" w:hAnsi="Arial" w:cs="Arial"/>
                <w:sz w:val="18"/>
              </w:rPr>
              <w:t xml:space="preserve"> </w:t>
            </w:r>
          </w:p>
        </w:tc>
        <w:tc>
          <w:tcPr>
            <w:tcW w:w="1596" w:type="dxa"/>
            <w:gridSpan w:val="2"/>
            <w:tcBorders>
              <w:top w:val="nil"/>
              <w:left w:val="nil"/>
              <w:bottom w:val="nil"/>
              <w:right w:val="nil"/>
            </w:tcBorders>
          </w:tcPr>
          <w:p w:rsidR="004D6F0E" w:rsidRDefault="00490F21">
            <w:pPr>
              <w:spacing w:after="67" w:line="259" w:lineRule="auto"/>
              <w:ind w:left="262" w:firstLine="0"/>
            </w:pPr>
            <w:r>
              <w:rPr>
                <w:sz w:val="18"/>
              </w:rPr>
              <w:t>無</w:t>
            </w:r>
            <w:r>
              <w:rPr>
                <w:rFonts w:ascii="Arial" w:eastAsia="Arial" w:hAnsi="Arial" w:cs="Arial"/>
                <w:sz w:val="18"/>
              </w:rPr>
              <w:t xml:space="preserve"> </w:t>
            </w:r>
          </w:p>
          <w:p w:rsidR="004D6F0E" w:rsidRDefault="00490F21">
            <w:pPr>
              <w:spacing w:after="0" w:line="259" w:lineRule="auto"/>
              <w:ind w:left="353" w:firstLine="0"/>
            </w:pPr>
            <w:r>
              <w:rPr>
                <w:rFonts w:ascii="Arial" w:eastAsia="Arial" w:hAnsi="Arial" w:cs="Arial"/>
                <w:sz w:val="18"/>
              </w:rPr>
              <w:t xml:space="preserve"> </w:t>
            </w:r>
          </w:p>
        </w:tc>
        <w:tc>
          <w:tcPr>
            <w:tcW w:w="2114" w:type="dxa"/>
            <w:gridSpan w:val="2"/>
            <w:tcBorders>
              <w:top w:val="nil"/>
              <w:left w:val="nil"/>
              <w:bottom w:val="nil"/>
              <w:right w:val="nil"/>
            </w:tcBorders>
          </w:tcPr>
          <w:p w:rsidR="004D6F0E" w:rsidRDefault="00490F21">
            <w:pPr>
              <w:spacing w:after="67" w:line="259" w:lineRule="auto"/>
              <w:ind w:left="439"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93"/>
        </w:trPr>
        <w:tc>
          <w:tcPr>
            <w:tcW w:w="2868" w:type="dxa"/>
            <w:gridSpan w:val="4"/>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298"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1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59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11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Before w:val="1"/>
          <w:gridAfter w:val="1"/>
          <w:wBefore w:w="115" w:type="dxa"/>
          <w:wAfter w:w="120" w:type="dxa"/>
          <w:trHeight w:val="244"/>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37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97" w:type="dxa"/>
            <w:gridSpan w:val="2"/>
            <w:tcBorders>
              <w:top w:val="nil"/>
              <w:left w:val="nil"/>
              <w:bottom w:val="nil"/>
              <w:right w:val="nil"/>
            </w:tcBorders>
          </w:tcPr>
          <w:p w:rsidR="004D6F0E" w:rsidRDefault="00490F21">
            <w:pPr>
              <w:spacing w:after="0" w:line="259" w:lineRule="auto"/>
              <w:ind w:left="0" w:right="226" w:firstLine="0"/>
              <w:jc w:val="center"/>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112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0" w:type="dxa"/>
          <w:trHeight w:val="290"/>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37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97" w:type="dxa"/>
            <w:gridSpan w:val="2"/>
            <w:tcBorders>
              <w:top w:val="nil"/>
              <w:left w:val="nil"/>
              <w:bottom w:val="nil"/>
              <w:right w:val="nil"/>
            </w:tcBorders>
          </w:tcPr>
          <w:p w:rsidR="004D6F0E" w:rsidRDefault="00490F21">
            <w:pPr>
              <w:spacing w:after="0" w:line="259" w:lineRule="auto"/>
              <w:ind w:left="0" w:right="226" w:firstLine="0"/>
              <w:jc w:val="center"/>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112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0" w:type="dxa"/>
          <w:trHeight w:val="293"/>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B </w:t>
            </w:r>
            <w:r>
              <w:rPr>
                <w:sz w:val="18"/>
              </w:rPr>
              <w:t>類及</w:t>
            </w:r>
            <w:r>
              <w:rPr>
                <w:sz w:val="18"/>
              </w:rPr>
              <w:t xml:space="preserve"> </w:t>
            </w:r>
            <w:r>
              <w:rPr>
                <w:rFonts w:ascii="Arial" w:eastAsia="Arial" w:hAnsi="Arial" w:cs="Arial"/>
                <w:sz w:val="18"/>
              </w:rPr>
              <w:t xml:space="preserve">B2 </w:t>
            </w:r>
            <w:r>
              <w:rPr>
                <w:sz w:val="18"/>
              </w:rPr>
              <w:t>類股份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37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97" w:type="dxa"/>
            <w:gridSpan w:val="2"/>
            <w:tcBorders>
              <w:top w:val="nil"/>
              <w:left w:val="nil"/>
              <w:bottom w:val="nil"/>
              <w:right w:val="nil"/>
            </w:tcBorders>
          </w:tcPr>
          <w:p w:rsidR="004D6F0E" w:rsidRDefault="00490F21">
            <w:pPr>
              <w:spacing w:after="0" w:line="259" w:lineRule="auto"/>
              <w:ind w:left="206"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112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0" w:type="dxa"/>
          <w:trHeight w:val="293"/>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379"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97" w:type="dxa"/>
            <w:gridSpan w:val="2"/>
            <w:tcBorders>
              <w:top w:val="nil"/>
              <w:left w:val="nil"/>
              <w:bottom w:val="nil"/>
              <w:right w:val="nil"/>
            </w:tcBorders>
          </w:tcPr>
          <w:p w:rsidR="004D6F0E" w:rsidRDefault="00490F21">
            <w:pPr>
              <w:spacing w:after="0" w:line="259" w:lineRule="auto"/>
              <w:ind w:left="0" w:right="226" w:firstLine="0"/>
              <w:jc w:val="center"/>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112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0" w:type="dxa"/>
          <w:trHeight w:val="290"/>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I </w:t>
            </w:r>
            <w:r>
              <w:rPr>
                <w:sz w:val="18"/>
              </w:rPr>
              <w:t>類及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132"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tcPr>
          <w:p w:rsidR="004D6F0E" w:rsidRDefault="00490F21">
            <w:pPr>
              <w:spacing w:after="0" w:line="259" w:lineRule="auto"/>
              <w:ind w:left="485" w:firstLine="0"/>
            </w:pPr>
            <w:r>
              <w:rPr>
                <w:sz w:val="18"/>
              </w:rPr>
              <w:t>無</w:t>
            </w:r>
            <w:r>
              <w:rPr>
                <w:rFonts w:ascii="Arial" w:eastAsia="Arial" w:hAnsi="Arial" w:cs="Arial"/>
                <w:sz w:val="18"/>
              </w:rPr>
              <w:t xml:space="preserve"> </w:t>
            </w:r>
          </w:p>
        </w:tc>
        <w:tc>
          <w:tcPr>
            <w:tcW w:w="1697" w:type="dxa"/>
            <w:gridSpan w:val="2"/>
            <w:tcBorders>
              <w:top w:val="nil"/>
              <w:left w:val="nil"/>
              <w:bottom w:val="nil"/>
              <w:right w:val="nil"/>
            </w:tcBorders>
          </w:tcPr>
          <w:p w:rsidR="004D6F0E" w:rsidRDefault="00490F21">
            <w:pPr>
              <w:spacing w:after="0" w:line="259" w:lineRule="auto"/>
              <w:ind w:left="0" w:right="226" w:firstLine="0"/>
              <w:jc w:val="center"/>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112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blPrEx>
          <w:tblCellMar>
            <w:top w:w="2" w:type="dxa"/>
            <w:right w:w="0" w:type="dxa"/>
          </w:tblCellMar>
        </w:tblPrEx>
        <w:trPr>
          <w:gridBefore w:val="1"/>
          <w:gridAfter w:val="1"/>
          <w:wBefore w:w="115" w:type="dxa"/>
          <w:wAfter w:w="120" w:type="dxa"/>
          <w:trHeight w:val="296"/>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1843" w:type="dxa"/>
            <w:gridSpan w:val="2"/>
            <w:tcBorders>
              <w:top w:val="nil"/>
              <w:left w:val="nil"/>
              <w:bottom w:val="nil"/>
              <w:right w:val="nil"/>
            </w:tcBorders>
          </w:tcPr>
          <w:p w:rsidR="004D6F0E" w:rsidRDefault="00490F21">
            <w:pPr>
              <w:spacing w:after="0" w:line="259" w:lineRule="auto"/>
              <w:ind w:left="82"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tcPr>
          <w:p w:rsidR="004D6F0E" w:rsidRDefault="00490F21">
            <w:pPr>
              <w:spacing w:after="0" w:line="259" w:lineRule="auto"/>
              <w:ind w:left="485" w:firstLine="0"/>
            </w:pPr>
            <w:r>
              <w:rPr>
                <w:sz w:val="18"/>
              </w:rPr>
              <w:t>無</w:t>
            </w:r>
            <w:r>
              <w:rPr>
                <w:rFonts w:ascii="Arial" w:eastAsia="Arial" w:hAnsi="Arial" w:cs="Arial"/>
                <w:sz w:val="18"/>
              </w:rPr>
              <w:t xml:space="preserve"> </w:t>
            </w:r>
          </w:p>
        </w:tc>
        <w:tc>
          <w:tcPr>
            <w:tcW w:w="1697" w:type="dxa"/>
            <w:gridSpan w:val="2"/>
            <w:tcBorders>
              <w:top w:val="nil"/>
              <w:left w:val="nil"/>
              <w:bottom w:val="nil"/>
              <w:right w:val="nil"/>
            </w:tcBorders>
          </w:tcPr>
          <w:p w:rsidR="004D6F0E" w:rsidRDefault="00490F21">
            <w:pPr>
              <w:spacing w:after="0" w:line="259" w:lineRule="auto"/>
              <w:ind w:left="0" w:right="226" w:firstLine="0"/>
              <w:jc w:val="center"/>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112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blPrEx>
          <w:tblCellMar>
            <w:top w:w="2" w:type="dxa"/>
            <w:right w:w="0" w:type="dxa"/>
          </w:tblCellMar>
        </w:tblPrEx>
        <w:trPr>
          <w:gridBefore w:val="1"/>
          <w:gridAfter w:val="1"/>
          <w:wBefore w:w="115" w:type="dxa"/>
          <w:wAfter w:w="120" w:type="dxa"/>
          <w:trHeight w:val="237"/>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446" w:type="dxa"/>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1397" w:type="dxa"/>
            <w:gridSpan w:val="2"/>
            <w:tcBorders>
              <w:top w:val="nil"/>
              <w:left w:val="nil"/>
              <w:bottom w:val="nil"/>
              <w:right w:val="nil"/>
            </w:tcBorders>
          </w:tcPr>
          <w:p w:rsidR="004D6F0E" w:rsidRDefault="004D6F0E">
            <w:pPr>
              <w:spacing w:after="160" w:line="259" w:lineRule="auto"/>
              <w:ind w:left="0" w:firstLine="0"/>
            </w:pPr>
          </w:p>
        </w:tc>
        <w:tc>
          <w:tcPr>
            <w:tcW w:w="1843"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230" w:type="dxa"/>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1613" w:type="dxa"/>
            <w:gridSpan w:val="2"/>
            <w:tcBorders>
              <w:top w:val="nil"/>
              <w:left w:val="nil"/>
              <w:bottom w:val="nil"/>
              <w:right w:val="nil"/>
            </w:tcBorders>
          </w:tcPr>
          <w:p w:rsidR="004D6F0E" w:rsidRDefault="004D6F0E">
            <w:pPr>
              <w:spacing w:after="160" w:line="259" w:lineRule="auto"/>
              <w:ind w:left="0" w:firstLine="0"/>
            </w:pPr>
          </w:p>
        </w:tc>
        <w:tc>
          <w:tcPr>
            <w:tcW w:w="1697"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624" w:type="dxa"/>
            <w:tcBorders>
              <w:top w:val="nil"/>
              <w:left w:val="nil"/>
              <w:bottom w:val="nil"/>
              <w:right w:val="nil"/>
            </w:tcBorders>
          </w:tcPr>
          <w:p w:rsidR="004D6F0E" w:rsidRDefault="00490F21">
            <w:pPr>
              <w:spacing w:after="0" w:line="259" w:lineRule="auto"/>
              <w:ind w:left="2" w:firstLine="0"/>
            </w:pPr>
            <w:r>
              <w:rPr>
                <w:rFonts w:ascii="Arial" w:eastAsia="Arial" w:hAnsi="Arial" w:cs="Arial"/>
                <w:b/>
                <w:sz w:val="18"/>
              </w:rPr>
              <w:t xml:space="preserve"> </w:t>
            </w:r>
          </w:p>
        </w:tc>
        <w:tc>
          <w:tcPr>
            <w:tcW w:w="1128" w:type="dxa"/>
            <w:tcBorders>
              <w:top w:val="nil"/>
              <w:left w:val="nil"/>
              <w:bottom w:val="nil"/>
              <w:right w:val="nil"/>
            </w:tcBorders>
          </w:tcPr>
          <w:p w:rsidR="004D6F0E" w:rsidRDefault="004D6F0E">
            <w:pPr>
              <w:spacing w:after="160" w:line="259" w:lineRule="auto"/>
              <w:ind w:left="0" w:firstLine="0"/>
            </w:pPr>
          </w:p>
        </w:tc>
      </w:tr>
      <w:tr w:rsidR="004D6F0E">
        <w:tblPrEx>
          <w:tblCellMar>
            <w:top w:w="2" w:type="dxa"/>
            <w:right w:w="0" w:type="dxa"/>
          </w:tblCellMar>
        </w:tblPrEx>
        <w:trPr>
          <w:gridBefore w:val="1"/>
          <w:gridAfter w:val="1"/>
          <w:wBefore w:w="115" w:type="dxa"/>
          <w:wAfter w:w="120" w:type="dxa"/>
          <w:trHeight w:val="436"/>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b/>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gridSpan w:val="2"/>
            <w:tcBorders>
              <w:top w:val="nil"/>
              <w:left w:val="nil"/>
              <w:bottom w:val="nil"/>
              <w:right w:val="nil"/>
            </w:tcBorders>
            <w:vAlign w:val="bottom"/>
          </w:tcPr>
          <w:p w:rsidR="004D6F0E" w:rsidRDefault="00490F21">
            <w:pPr>
              <w:spacing w:after="0" w:line="259" w:lineRule="auto"/>
              <w:ind w:left="0" w:firstLine="0"/>
            </w:pPr>
            <w:r>
              <w:rPr>
                <w:sz w:val="18"/>
              </w:rPr>
              <w:t>對沖貨幣</w:t>
            </w:r>
            <w:r>
              <w:rPr>
                <w:rFonts w:ascii="Arial" w:eastAsia="Arial" w:hAnsi="Arial" w:cs="Arial"/>
                <w:sz w:val="18"/>
              </w:rPr>
              <w:t xml:space="preserve"> </w:t>
            </w:r>
          </w:p>
        </w:tc>
        <w:tc>
          <w:tcPr>
            <w:tcW w:w="1843" w:type="dxa"/>
            <w:gridSpan w:val="2"/>
            <w:tcBorders>
              <w:top w:val="nil"/>
              <w:left w:val="nil"/>
              <w:bottom w:val="nil"/>
              <w:right w:val="nil"/>
            </w:tcBorders>
            <w:vAlign w:val="bottom"/>
          </w:tcPr>
          <w:p w:rsidR="004D6F0E" w:rsidRDefault="00490F21">
            <w:pPr>
              <w:spacing w:after="0" w:line="259" w:lineRule="auto"/>
              <w:ind w:left="230" w:firstLine="0"/>
            </w:pPr>
            <w:r>
              <w:rPr>
                <w:sz w:val="18"/>
              </w:rPr>
              <w:t>最低首次投資</w:t>
            </w:r>
            <w:r>
              <w:rPr>
                <w:rFonts w:ascii="Arial" w:eastAsia="Arial" w:hAnsi="Arial" w:cs="Arial"/>
                <w:b/>
                <w:sz w:val="18"/>
              </w:rPr>
              <w:t>*</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gridSpan w:val="2"/>
            <w:tcBorders>
              <w:top w:val="nil"/>
              <w:left w:val="nil"/>
              <w:bottom w:val="nil"/>
              <w:right w:val="nil"/>
            </w:tcBorders>
            <w:vAlign w:val="bottom"/>
          </w:tcPr>
          <w:p w:rsidR="004D6F0E" w:rsidRDefault="00490F21">
            <w:pPr>
              <w:spacing w:after="0" w:line="259" w:lineRule="auto"/>
              <w:ind w:left="0" w:firstLine="0"/>
            </w:pPr>
            <w:r>
              <w:rPr>
                <w:sz w:val="18"/>
              </w:rPr>
              <w:t>最低後續投資</w:t>
            </w:r>
            <w:r>
              <w:rPr>
                <w:rFonts w:ascii="Arial" w:eastAsia="Arial" w:hAnsi="Arial" w:cs="Arial"/>
                <w:b/>
                <w:sz w:val="18"/>
              </w:rPr>
              <w:t>*</w:t>
            </w:r>
            <w:r>
              <w:rPr>
                <w:rFonts w:ascii="Arial" w:eastAsia="Arial" w:hAnsi="Arial" w:cs="Arial"/>
                <w:sz w:val="18"/>
              </w:rPr>
              <w:t xml:space="preserve"> </w:t>
            </w:r>
          </w:p>
        </w:tc>
        <w:tc>
          <w:tcPr>
            <w:tcW w:w="1697" w:type="dxa"/>
            <w:gridSpan w:val="2"/>
            <w:tcBorders>
              <w:top w:val="nil"/>
              <w:left w:val="nil"/>
              <w:bottom w:val="nil"/>
              <w:right w:val="nil"/>
            </w:tcBorders>
            <w:vAlign w:val="bottom"/>
          </w:tcPr>
          <w:p w:rsidR="004D6F0E" w:rsidRDefault="00490F21">
            <w:pPr>
              <w:spacing w:after="0" w:line="259" w:lineRule="auto"/>
              <w:ind w:left="305" w:firstLine="0"/>
            </w:pPr>
            <w:r>
              <w:rPr>
                <w:sz w:val="18"/>
              </w:rPr>
              <w:t>最高投資</w:t>
            </w:r>
            <w:r>
              <w:rPr>
                <w:rFonts w:ascii="Arial" w:eastAsia="Arial" w:hAnsi="Arial" w:cs="Arial"/>
                <w:b/>
                <w:sz w:val="18"/>
              </w:rPr>
              <w:t>**</w:t>
            </w:r>
            <w:r>
              <w:rPr>
                <w:rFonts w:ascii="Arial" w:eastAsia="Arial" w:hAnsi="Arial" w:cs="Arial"/>
                <w:sz w:val="18"/>
              </w:rPr>
              <w:t xml:space="preserve"> </w:t>
            </w:r>
          </w:p>
        </w:tc>
        <w:tc>
          <w:tcPr>
            <w:tcW w:w="1752" w:type="dxa"/>
            <w:gridSpan w:val="2"/>
            <w:tcBorders>
              <w:top w:val="nil"/>
              <w:left w:val="nil"/>
              <w:bottom w:val="nil"/>
              <w:right w:val="nil"/>
            </w:tcBorders>
          </w:tcPr>
          <w:p w:rsidR="004D6F0E" w:rsidRDefault="00490F21">
            <w:pPr>
              <w:spacing w:after="13" w:line="259" w:lineRule="auto"/>
              <w:ind w:left="132" w:firstLine="0"/>
              <w:jc w:val="both"/>
            </w:pPr>
            <w:r>
              <w:rPr>
                <w:sz w:val="18"/>
              </w:rPr>
              <w:t>盧森堡年稅</w:t>
            </w:r>
            <w:r>
              <w:t>（</w:t>
            </w:r>
            <w:r>
              <w:rPr>
                <w:rFonts w:ascii="Arial" w:eastAsia="Arial" w:hAnsi="Arial" w:cs="Arial"/>
                <w:b/>
                <w:i/>
                <w:sz w:val="18"/>
              </w:rPr>
              <w:t xml:space="preserve">Taxe </w:t>
            </w:r>
          </w:p>
          <w:p w:rsidR="004D6F0E" w:rsidRDefault="00490F21">
            <w:pPr>
              <w:spacing w:after="0" w:line="259" w:lineRule="auto"/>
              <w:ind w:left="58" w:firstLine="0"/>
              <w:jc w:val="both"/>
            </w:pP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tc>
      </w:tr>
    </w:tbl>
    <w:p w:rsidR="004D6F0E" w:rsidRDefault="00490F21">
      <w:pPr>
        <w:spacing w:after="12" w:line="259" w:lineRule="auto"/>
        <w:ind w:left="2213" w:right="-83" w:firstLine="0"/>
      </w:pPr>
      <w:r>
        <w:rPr>
          <w:rFonts w:ascii="Calibri" w:eastAsia="Calibri" w:hAnsi="Calibri" w:cs="Calibri"/>
          <w:noProof/>
          <w:sz w:val="22"/>
        </w:rPr>
        <mc:AlternateContent>
          <mc:Choice Requires="wpg">
            <w:drawing>
              <wp:inline distT="0" distB="0" distL="0" distR="0">
                <wp:extent cx="5740908" cy="6096"/>
                <wp:effectExtent l="0" t="0" r="0" b="0"/>
                <wp:docPr id="544290" name="Group 544290"/>
                <wp:cNvGraphicFramePr/>
                <a:graphic xmlns:a="http://schemas.openxmlformats.org/drawingml/2006/main">
                  <a:graphicData uri="http://schemas.microsoft.com/office/word/2010/wordprocessingGroup">
                    <wpg:wgp>
                      <wpg:cNvGrpSpPr/>
                      <wpg:grpSpPr>
                        <a:xfrm>
                          <a:off x="0" y="0"/>
                          <a:ext cx="5740908" cy="6096"/>
                          <a:chOff x="0" y="0"/>
                          <a:chExt cx="5740908" cy="6096"/>
                        </a:xfrm>
                      </wpg:grpSpPr>
                      <wps:wsp>
                        <wps:cNvPr id="658371" name="Shape 658371"/>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72" name="Shape 658372"/>
                        <wps:cNvSpPr/>
                        <wps:spPr>
                          <a:xfrm>
                            <a:off x="1170432"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73" name="Shape 658373"/>
                        <wps:cNvSpPr/>
                        <wps:spPr>
                          <a:xfrm>
                            <a:off x="2340864"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74" name="Shape 658374"/>
                        <wps:cNvSpPr/>
                        <wps:spPr>
                          <a:xfrm>
                            <a:off x="3511296"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75" name="Shape 658375"/>
                        <wps:cNvSpPr/>
                        <wps:spPr>
                          <a:xfrm>
                            <a:off x="4590288"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290" style="width:452.04pt;height:0.47998pt;mso-position-horizontal-relative:char;mso-position-vertical-relative:line" coordsize="57409,60">
                <v:shape id="Shape 658376" style="position:absolute;width:10607;height:91;left:0;top:0;" coordsize="1060704,9144" path="m0,0l1060704,0l1060704,9144l0,9144l0,0">
                  <v:stroke weight="0pt" endcap="flat" joinstyle="miter" miterlimit="10" on="false" color="#000000" opacity="0"/>
                  <v:fill on="true" color="#000000"/>
                </v:shape>
                <v:shape id="Shape 658377" style="position:absolute;width:10607;height:91;left:11704;top:0;" coordsize="1060704,9144" path="m0,0l1060704,0l1060704,9144l0,9144l0,0">
                  <v:stroke weight="0pt" endcap="flat" joinstyle="miter" miterlimit="10" on="false" color="#000000" opacity="0"/>
                  <v:fill on="true" color="#000000"/>
                </v:shape>
                <v:shape id="Shape 658378" style="position:absolute;width:10607;height:91;left:23408;top:0;" coordsize="1060704,9144" path="m0,0l1060704,0l1060704,9144l0,9144l0,0">
                  <v:stroke weight="0pt" endcap="flat" joinstyle="miter" miterlimit="10" on="false" color="#000000" opacity="0"/>
                  <v:fill on="true" color="#000000"/>
                </v:shape>
                <v:shape id="Shape 658379" style="position:absolute;width:9708;height:91;left:35112;top:0;" coordsize="970801,9144" path="m0,0l970801,0l970801,9144l0,9144l0,0">
                  <v:stroke weight="0pt" endcap="flat" joinstyle="miter" miterlimit="10" on="false" color="#000000" opacity="0"/>
                  <v:fill on="true" color="#000000"/>
                </v:shape>
                <v:shape id="Shape 658380" style="position:absolute;width:11506;height:91;left:45902;top:0;" coordsize="1150620,9144" path="m0,0l1150620,0l1150620,9144l0,9144l0,0">
                  <v:stroke weight="0pt" endcap="flat" joinstyle="miter" miterlimit="10" on="false" color="#000000" opacity="0"/>
                  <v:fill on="true" color="#000000"/>
                </v:shape>
              </v:group>
            </w:pict>
          </mc:Fallback>
        </mc:AlternateContent>
      </w:r>
    </w:p>
    <w:p w:rsidR="004D6F0E" w:rsidRDefault="00490F21">
      <w:pPr>
        <w:shd w:val="clear" w:color="auto" w:fill="D9D9D9"/>
        <w:spacing w:after="11" w:line="250" w:lineRule="auto"/>
        <w:ind w:left="110" w:right="552" w:hanging="10"/>
      </w:pPr>
      <w:r>
        <w:rPr>
          <w:rFonts w:ascii="Arial" w:eastAsia="Arial" w:hAnsi="Arial" w:cs="Arial"/>
          <w:sz w:val="6"/>
        </w:rPr>
        <w:t xml:space="preserve">      </w:t>
      </w:r>
      <w:r>
        <w:rPr>
          <w:sz w:val="18"/>
        </w:rPr>
        <w:t>澳元對沖股份類別</w:t>
      </w: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0538" w:type="dxa"/>
        <w:tblInd w:w="115" w:type="dxa"/>
        <w:tblCellMar>
          <w:top w:w="2" w:type="dxa"/>
          <w:left w:w="0" w:type="dxa"/>
          <w:bottom w:w="0" w:type="dxa"/>
          <w:right w:w="0" w:type="dxa"/>
        </w:tblCellMar>
        <w:tblLook w:val="04A0" w:firstRow="1" w:lastRow="0" w:firstColumn="1" w:lastColumn="0" w:noHBand="0" w:noVBand="1"/>
      </w:tblPr>
      <w:tblGrid>
        <w:gridCol w:w="2127"/>
        <w:gridCol w:w="446"/>
        <w:gridCol w:w="1397"/>
        <w:gridCol w:w="1843"/>
        <w:gridCol w:w="230"/>
        <w:gridCol w:w="1613"/>
        <w:gridCol w:w="305"/>
        <w:gridCol w:w="1392"/>
        <w:gridCol w:w="624"/>
        <w:gridCol w:w="561"/>
      </w:tblGrid>
      <w:tr w:rsidR="004D6F0E">
        <w:trPr>
          <w:trHeight w:val="215"/>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843" w:type="dxa"/>
            <w:tcBorders>
              <w:top w:val="nil"/>
              <w:left w:val="nil"/>
              <w:bottom w:val="nil"/>
              <w:right w:val="nil"/>
            </w:tcBorders>
          </w:tcPr>
          <w:p w:rsidR="004D6F0E" w:rsidRDefault="00490F21">
            <w:pPr>
              <w:spacing w:after="0" w:line="259" w:lineRule="auto"/>
              <w:ind w:left="379"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305" w:type="dxa"/>
            <w:tcBorders>
              <w:top w:val="nil"/>
              <w:left w:val="nil"/>
              <w:bottom w:val="nil"/>
              <w:right w:val="nil"/>
            </w:tcBorders>
          </w:tcPr>
          <w:p w:rsidR="004D6F0E" w:rsidRDefault="004D6F0E">
            <w:pPr>
              <w:spacing w:after="160" w:line="259" w:lineRule="auto"/>
              <w:ind w:left="0" w:firstLine="0"/>
            </w:pPr>
          </w:p>
        </w:tc>
        <w:tc>
          <w:tcPr>
            <w:tcW w:w="1392" w:type="dxa"/>
            <w:tcBorders>
              <w:top w:val="nil"/>
              <w:left w:val="nil"/>
              <w:bottom w:val="nil"/>
              <w:right w:val="nil"/>
            </w:tcBorders>
          </w:tcPr>
          <w:p w:rsidR="004D6F0E" w:rsidRDefault="00490F21">
            <w:pPr>
              <w:spacing w:after="0" w:line="259" w:lineRule="auto"/>
              <w:ind w:left="341" w:firstLine="0"/>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234"/>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843" w:type="dxa"/>
            <w:tcBorders>
              <w:top w:val="nil"/>
              <w:left w:val="nil"/>
              <w:bottom w:val="nil"/>
              <w:right w:val="nil"/>
            </w:tcBorders>
          </w:tcPr>
          <w:p w:rsidR="004D6F0E" w:rsidRDefault="00490F21">
            <w:pPr>
              <w:spacing w:after="0" w:line="259" w:lineRule="auto"/>
              <w:ind w:left="379"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tcBorders>
              <w:top w:val="nil"/>
              <w:left w:val="nil"/>
              <w:bottom w:val="nil"/>
              <w:right w:val="nil"/>
            </w:tcBorders>
          </w:tcPr>
          <w:p w:rsidR="004D6F0E" w:rsidRDefault="00490F21">
            <w:pPr>
              <w:spacing w:after="0" w:line="259" w:lineRule="auto"/>
              <w:ind w:left="223"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305" w:type="dxa"/>
            <w:tcBorders>
              <w:top w:val="nil"/>
              <w:left w:val="nil"/>
              <w:bottom w:val="nil"/>
              <w:right w:val="nil"/>
            </w:tcBorders>
          </w:tcPr>
          <w:p w:rsidR="004D6F0E" w:rsidRDefault="004D6F0E">
            <w:pPr>
              <w:spacing w:after="160" w:line="259" w:lineRule="auto"/>
              <w:ind w:left="0" w:firstLine="0"/>
            </w:pPr>
          </w:p>
        </w:tc>
        <w:tc>
          <w:tcPr>
            <w:tcW w:w="1392" w:type="dxa"/>
            <w:tcBorders>
              <w:top w:val="nil"/>
              <w:left w:val="nil"/>
              <w:bottom w:val="nil"/>
              <w:right w:val="nil"/>
            </w:tcBorders>
          </w:tcPr>
          <w:p w:rsidR="004D6F0E" w:rsidRDefault="00490F21">
            <w:pPr>
              <w:spacing w:after="0" w:line="259" w:lineRule="auto"/>
              <w:ind w:left="341" w:firstLine="0"/>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234"/>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843" w:type="dxa"/>
            <w:tcBorders>
              <w:top w:val="nil"/>
              <w:left w:val="nil"/>
              <w:bottom w:val="nil"/>
              <w:right w:val="nil"/>
            </w:tcBorders>
          </w:tcPr>
          <w:p w:rsidR="004D6F0E" w:rsidRDefault="00490F21">
            <w:pPr>
              <w:spacing w:after="0" w:line="259" w:lineRule="auto"/>
              <w:ind w:left="132"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tcBorders>
              <w:top w:val="nil"/>
              <w:left w:val="nil"/>
              <w:bottom w:val="nil"/>
              <w:right w:val="nil"/>
            </w:tcBorders>
          </w:tcPr>
          <w:p w:rsidR="004D6F0E" w:rsidRDefault="00490F21">
            <w:pPr>
              <w:spacing w:after="0" w:line="259" w:lineRule="auto"/>
              <w:ind w:left="485" w:firstLine="0"/>
            </w:pPr>
            <w:r>
              <w:rPr>
                <w:sz w:val="18"/>
              </w:rPr>
              <w:t>無</w:t>
            </w:r>
            <w:r>
              <w:rPr>
                <w:rFonts w:ascii="Arial" w:eastAsia="Arial" w:hAnsi="Arial" w:cs="Arial"/>
                <w:sz w:val="18"/>
              </w:rPr>
              <w:t xml:space="preserve"> </w:t>
            </w:r>
          </w:p>
        </w:tc>
        <w:tc>
          <w:tcPr>
            <w:tcW w:w="305" w:type="dxa"/>
            <w:tcBorders>
              <w:top w:val="nil"/>
              <w:left w:val="nil"/>
              <w:bottom w:val="nil"/>
              <w:right w:val="nil"/>
            </w:tcBorders>
          </w:tcPr>
          <w:p w:rsidR="004D6F0E" w:rsidRDefault="004D6F0E">
            <w:pPr>
              <w:spacing w:after="160" w:line="259" w:lineRule="auto"/>
              <w:ind w:left="0" w:firstLine="0"/>
            </w:pPr>
          </w:p>
        </w:tc>
        <w:tc>
          <w:tcPr>
            <w:tcW w:w="1392" w:type="dxa"/>
            <w:tcBorders>
              <w:top w:val="nil"/>
              <w:left w:val="nil"/>
              <w:bottom w:val="nil"/>
              <w:right w:val="nil"/>
            </w:tcBorders>
          </w:tcPr>
          <w:p w:rsidR="004D6F0E" w:rsidRDefault="00490F21">
            <w:pPr>
              <w:spacing w:after="0" w:line="259" w:lineRule="auto"/>
              <w:ind w:left="341" w:firstLine="0"/>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244"/>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446" w:type="dxa"/>
            <w:tcBorders>
              <w:top w:val="nil"/>
              <w:left w:val="nil"/>
              <w:bottom w:val="nil"/>
              <w:right w:val="nil"/>
            </w:tcBorders>
          </w:tcPr>
          <w:p w:rsidR="004D6F0E" w:rsidRDefault="004D6F0E">
            <w:pPr>
              <w:spacing w:after="160" w:line="259" w:lineRule="auto"/>
              <w:ind w:left="0" w:firstLine="0"/>
            </w:pPr>
          </w:p>
        </w:tc>
        <w:tc>
          <w:tcPr>
            <w:tcW w:w="1397"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1843" w:type="dxa"/>
            <w:tcBorders>
              <w:top w:val="nil"/>
              <w:left w:val="nil"/>
              <w:bottom w:val="nil"/>
              <w:right w:val="nil"/>
            </w:tcBorders>
          </w:tcPr>
          <w:p w:rsidR="004D6F0E" w:rsidRDefault="00490F21">
            <w:pPr>
              <w:spacing w:after="0" w:line="259" w:lineRule="auto"/>
              <w:ind w:left="132" w:firstLine="0"/>
            </w:pPr>
            <w:r>
              <w:rPr>
                <w:rFonts w:ascii="Arial" w:eastAsia="Arial" w:hAnsi="Arial" w:cs="Arial"/>
                <w:sz w:val="18"/>
              </w:rPr>
              <w:t xml:space="preserve">1,000,000 </w:t>
            </w:r>
            <w:r>
              <w:rPr>
                <w:sz w:val="18"/>
              </w:rPr>
              <w:t>澳元</w:t>
            </w:r>
            <w:r>
              <w:rPr>
                <w:rFonts w:ascii="Arial" w:eastAsia="Arial" w:hAnsi="Arial" w:cs="Arial"/>
                <w:sz w:val="18"/>
              </w:rPr>
              <w:t xml:space="preserve">** </w:t>
            </w:r>
          </w:p>
        </w:tc>
        <w:tc>
          <w:tcPr>
            <w:tcW w:w="230" w:type="dxa"/>
            <w:tcBorders>
              <w:top w:val="nil"/>
              <w:left w:val="nil"/>
              <w:bottom w:val="nil"/>
              <w:right w:val="nil"/>
            </w:tcBorders>
          </w:tcPr>
          <w:p w:rsidR="004D6F0E" w:rsidRDefault="004D6F0E">
            <w:pPr>
              <w:spacing w:after="160" w:line="259" w:lineRule="auto"/>
              <w:ind w:left="0" w:firstLine="0"/>
            </w:pPr>
          </w:p>
        </w:tc>
        <w:tc>
          <w:tcPr>
            <w:tcW w:w="1613" w:type="dxa"/>
            <w:tcBorders>
              <w:top w:val="nil"/>
              <w:left w:val="nil"/>
              <w:bottom w:val="nil"/>
              <w:right w:val="nil"/>
            </w:tcBorders>
          </w:tcPr>
          <w:p w:rsidR="004D6F0E" w:rsidRDefault="00490F21">
            <w:pPr>
              <w:spacing w:after="0" w:line="259" w:lineRule="auto"/>
              <w:ind w:left="485" w:firstLine="0"/>
            </w:pPr>
            <w:r>
              <w:rPr>
                <w:sz w:val="18"/>
              </w:rPr>
              <w:t>無</w:t>
            </w:r>
            <w:r>
              <w:rPr>
                <w:rFonts w:ascii="Arial" w:eastAsia="Arial" w:hAnsi="Arial" w:cs="Arial"/>
                <w:sz w:val="18"/>
              </w:rPr>
              <w:t xml:space="preserve"> </w:t>
            </w:r>
          </w:p>
        </w:tc>
        <w:tc>
          <w:tcPr>
            <w:tcW w:w="305" w:type="dxa"/>
            <w:tcBorders>
              <w:top w:val="nil"/>
              <w:left w:val="nil"/>
              <w:bottom w:val="nil"/>
              <w:right w:val="nil"/>
            </w:tcBorders>
          </w:tcPr>
          <w:p w:rsidR="004D6F0E" w:rsidRDefault="004D6F0E">
            <w:pPr>
              <w:spacing w:after="160" w:line="259" w:lineRule="auto"/>
              <w:ind w:left="0" w:firstLine="0"/>
            </w:pPr>
          </w:p>
        </w:tc>
        <w:tc>
          <w:tcPr>
            <w:tcW w:w="1392" w:type="dxa"/>
            <w:tcBorders>
              <w:top w:val="nil"/>
              <w:left w:val="nil"/>
              <w:bottom w:val="nil"/>
              <w:right w:val="nil"/>
            </w:tcBorders>
          </w:tcPr>
          <w:p w:rsidR="004D6F0E" w:rsidRDefault="00490F21">
            <w:pPr>
              <w:spacing w:after="0" w:line="259" w:lineRule="auto"/>
              <w:ind w:left="341" w:firstLine="0"/>
            </w:pPr>
            <w:r>
              <w:rPr>
                <w:sz w:val="18"/>
              </w:rPr>
              <w:t>無</w:t>
            </w:r>
            <w:r>
              <w:rPr>
                <w:rFonts w:ascii="Arial" w:eastAsia="Arial" w:hAnsi="Arial" w:cs="Arial"/>
                <w:sz w:val="18"/>
              </w:rPr>
              <w:t xml:space="preserve"> </w:t>
            </w:r>
          </w:p>
        </w:tc>
        <w:tc>
          <w:tcPr>
            <w:tcW w:w="624" w:type="dxa"/>
            <w:tcBorders>
              <w:top w:val="nil"/>
              <w:left w:val="nil"/>
              <w:bottom w:val="nil"/>
              <w:right w:val="nil"/>
            </w:tcBorders>
          </w:tcPr>
          <w:p w:rsidR="004D6F0E" w:rsidRDefault="004D6F0E">
            <w:pPr>
              <w:spacing w:after="160" w:line="259" w:lineRule="auto"/>
              <w:ind w:left="0" w:firstLine="0"/>
            </w:pPr>
          </w:p>
        </w:tc>
        <w:tc>
          <w:tcPr>
            <w:tcW w:w="561" w:type="dxa"/>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8"/>
              </w:rPr>
              <w:t xml:space="preserve">0.05% </w:t>
            </w:r>
          </w:p>
        </w:tc>
      </w:tr>
      <w:tr w:rsidR="004D6F0E">
        <w:trPr>
          <w:trHeight w:val="199"/>
        </w:trPr>
        <w:tc>
          <w:tcPr>
            <w:tcW w:w="212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4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397" w:type="dxa"/>
            <w:tcBorders>
              <w:top w:val="nil"/>
              <w:left w:val="nil"/>
              <w:bottom w:val="nil"/>
              <w:right w:val="nil"/>
            </w:tcBorders>
          </w:tcPr>
          <w:p w:rsidR="004D6F0E" w:rsidRDefault="004D6F0E">
            <w:pPr>
              <w:spacing w:after="160" w:line="259" w:lineRule="auto"/>
              <w:ind w:left="0" w:firstLine="0"/>
            </w:pPr>
          </w:p>
        </w:tc>
        <w:tc>
          <w:tcPr>
            <w:tcW w:w="184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23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613" w:type="dxa"/>
            <w:tcBorders>
              <w:top w:val="nil"/>
              <w:left w:val="nil"/>
              <w:bottom w:val="nil"/>
              <w:right w:val="nil"/>
            </w:tcBorders>
          </w:tcPr>
          <w:p w:rsidR="004D6F0E" w:rsidRDefault="004D6F0E">
            <w:pPr>
              <w:spacing w:after="160" w:line="259" w:lineRule="auto"/>
              <w:ind w:left="0" w:firstLine="0"/>
            </w:pPr>
          </w:p>
        </w:tc>
        <w:tc>
          <w:tcPr>
            <w:tcW w:w="30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392" w:type="dxa"/>
            <w:tcBorders>
              <w:top w:val="nil"/>
              <w:left w:val="nil"/>
              <w:bottom w:val="nil"/>
              <w:right w:val="nil"/>
            </w:tcBorders>
          </w:tcPr>
          <w:p w:rsidR="004D6F0E" w:rsidRDefault="004D6F0E">
            <w:pPr>
              <w:spacing w:after="160" w:line="259" w:lineRule="auto"/>
              <w:ind w:left="0" w:firstLine="0"/>
            </w:pPr>
          </w:p>
        </w:tc>
        <w:tc>
          <w:tcPr>
            <w:tcW w:w="624" w:type="dxa"/>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 </w:t>
            </w:r>
          </w:p>
        </w:tc>
        <w:tc>
          <w:tcPr>
            <w:tcW w:w="561" w:type="dxa"/>
            <w:tcBorders>
              <w:top w:val="nil"/>
              <w:left w:val="nil"/>
              <w:bottom w:val="nil"/>
              <w:right w:val="nil"/>
            </w:tcBorders>
          </w:tcPr>
          <w:p w:rsidR="004D6F0E" w:rsidRDefault="004D6F0E">
            <w:pPr>
              <w:spacing w:after="160" w:line="259" w:lineRule="auto"/>
              <w:ind w:left="0" w:firstLine="0"/>
            </w:pPr>
          </w:p>
        </w:tc>
      </w:tr>
    </w:tbl>
    <w:p w:rsidR="004D6F0E" w:rsidRDefault="00490F21">
      <w:pPr>
        <w:spacing w:after="188" w:line="259" w:lineRule="auto"/>
        <w:ind w:right="86" w:hanging="10"/>
        <w:jc w:val="center"/>
      </w:pPr>
      <w:r>
        <w:rPr>
          <w:rFonts w:ascii="Times New Roman" w:eastAsia="Times New Roman" w:hAnsi="Times New Roman" w:cs="Times New Roman"/>
          <w:sz w:val="20"/>
        </w:rPr>
        <w:t xml:space="preserve">I-72 </w:t>
      </w:r>
    </w:p>
    <w:p w:rsidR="004D6F0E" w:rsidRDefault="00490F21">
      <w:pPr>
        <w:spacing w:after="271"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right="75" w:hanging="10"/>
        <w:jc w:val="right"/>
      </w:pPr>
      <w:r>
        <w:rPr>
          <w:sz w:val="18"/>
        </w:rPr>
        <w:t>聯博</w:t>
      </w:r>
      <w:r>
        <w:rPr>
          <w:rFonts w:ascii="Times New Roman" w:eastAsia="Times New Roman" w:hAnsi="Times New Roman" w:cs="Times New Roman"/>
          <w:sz w:val="18"/>
        </w:rPr>
        <w:t>—</w:t>
      </w:r>
      <w:r>
        <w:rPr>
          <w:sz w:val="18"/>
        </w:rPr>
        <w:t>歐洲收益基金</w:t>
      </w:r>
      <w:r>
        <w:rPr>
          <w:rFonts w:ascii="Arial" w:eastAsia="Arial" w:hAnsi="Arial" w:cs="Arial"/>
          <w:sz w:val="20"/>
        </w:rPr>
        <w:t xml:space="preserve"> </w:t>
      </w:r>
    </w:p>
    <w:tbl>
      <w:tblPr>
        <w:tblStyle w:val="TableGrid"/>
        <w:tblW w:w="11340" w:type="dxa"/>
        <w:tblInd w:w="0" w:type="dxa"/>
        <w:tblCellMar>
          <w:top w:w="20" w:type="dxa"/>
          <w:left w:w="0" w:type="dxa"/>
          <w:bottom w:w="0" w:type="dxa"/>
          <w:right w:w="125" w:type="dxa"/>
        </w:tblCellMar>
        <w:tblLook w:val="04A0" w:firstRow="1" w:lastRow="0" w:firstColumn="1" w:lastColumn="0" w:noHBand="0" w:noVBand="1"/>
      </w:tblPr>
      <w:tblGrid>
        <w:gridCol w:w="2631"/>
        <w:gridCol w:w="1478"/>
        <w:gridCol w:w="1994"/>
        <w:gridCol w:w="2314"/>
        <w:gridCol w:w="1675"/>
        <w:gridCol w:w="1248"/>
      </w:tblGrid>
      <w:tr w:rsidR="004D6F0E">
        <w:trPr>
          <w:trHeight w:val="233"/>
        </w:trPr>
        <w:tc>
          <w:tcPr>
            <w:tcW w:w="2630"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美元對沖股份類別</w:t>
            </w:r>
            <w:r>
              <w:rPr>
                <w:rFonts w:ascii="Arial" w:eastAsia="Arial" w:hAnsi="Arial" w:cs="Arial"/>
                <w:sz w:val="18"/>
              </w:rPr>
              <w:t xml:space="preserve"> </w:t>
            </w:r>
            <w:r>
              <w:rPr>
                <w:rFonts w:ascii="Arial" w:eastAsia="Arial" w:hAnsi="Arial" w:cs="Arial"/>
                <w:sz w:val="18"/>
              </w:rPr>
              <w:tab/>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58"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58"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WA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30" w:type="dxa"/>
            <w:tcBorders>
              <w:top w:val="nil"/>
              <w:left w:val="nil"/>
              <w:bottom w:val="nil"/>
              <w:right w:val="nil"/>
            </w:tcBorders>
          </w:tcPr>
          <w:p w:rsidR="004D6F0E" w:rsidRDefault="00490F21">
            <w:pPr>
              <w:spacing w:after="30" w:line="259" w:lineRule="auto"/>
              <w:ind w:left="115" w:firstLine="0"/>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美元股份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美元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30" w:line="259" w:lineRule="auto"/>
              <w:ind w:left="108" w:firstLine="0"/>
            </w:pPr>
            <w:r>
              <w:rPr>
                <w:rFonts w:ascii="Arial" w:eastAsia="Arial" w:hAnsi="Arial" w:cs="Arial"/>
                <w:sz w:val="18"/>
              </w:rPr>
              <w:t xml:space="preserve">1,000,000 </w:t>
            </w:r>
            <w:r>
              <w:rPr>
                <w:sz w:val="18"/>
              </w:rPr>
              <w:t>美元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tcPr>
          <w:p w:rsidR="004D6F0E" w:rsidRDefault="00490F21">
            <w:pPr>
              <w:spacing w:after="9" w:line="259" w:lineRule="auto"/>
              <w:ind w:left="540" w:firstLine="0"/>
            </w:pPr>
            <w:r>
              <w:rPr>
                <w:sz w:val="18"/>
              </w:rPr>
              <w:t>無</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新加坡元對沖股份類別</w:t>
            </w:r>
            <w:r>
              <w:rPr>
                <w:rFonts w:ascii="Arial" w:eastAsia="Arial" w:hAnsi="Arial" w:cs="Arial"/>
                <w:sz w:val="18"/>
              </w:rPr>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7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7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7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54"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54"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630" w:type="dxa"/>
            <w:tcBorders>
              <w:top w:val="nil"/>
              <w:left w:val="nil"/>
              <w:bottom w:val="nil"/>
              <w:right w:val="nil"/>
            </w:tcBorders>
          </w:tcPr>
          <w:p w:rsidR="004D6F0E" w:rsidRDefault="00490F21">
            <w:pPr>
              <w:spacing w:after="0" w:line="259" w:lineRule="auto"/>
              <w:ind w:left="115" w:right="214" w:firstLine="0"/>
              <w:jc w:val="right"/>
            </w:pPr>
            <w:r>
              <w:rPr>
                <w:rFonts w:ascii="Arial" w:eastAsia="Arial" w:hAnsi="Arial" w:cs="Arial"/>
                <w:sz w:val="18"/>
              </w:rPr>
              <w:t xml:space="preserve">WT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r>
              <w:rPr>
                <w:rFonts w:ascii="Arial" w:eastAsia="Arial" w:hAnsi="Arial" w:cs="Arial"/>
                <w:sz w:val="18"/>
              </w:rPr>
              <w:tab/>
              <w:t xml:space="preserve"> </w:t>
            </w:r>
          </w:p>
        </w:tc>
        <w:tc>
          <w:tcPr>
            <w:tcW w:w="1478"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28"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tcPr>
          <w:p w:rsidR="004D6F0E" w:rsidRDefault="00490F21">
            <w:pPr>
              <w:spacing w:after="7" w:line="259" w:lineRule="auto"/>
              <w:ind w:left="554" w:firstLine="0"/>
            </w:pPr>
            <w:r>
              <w:rPr>
                <w:sz w:val="18"/>
              </w:rPr>
              <w:t>無</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港元對沖股份類別</w:t>
            </w:r>
            <w:r>
              <w:rPr>
                <w:rFonts w:ascii="Arial" w:eastAsia="Arial" w:hAnsi="Arial" w:cs="Arial"/>
                <w:sz w:val="18"/>
              </w:rPr>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港元股份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港元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204"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IA </w:t>
            </w:r>
            <w:r>
              <w:rPr>
                <w:sz w:val="18"/>
              </w:rPr>
              <w:t>類</w:t>
            </w:r>
            <w:r>
              <w:rPr>
                <w:sz w:val="18"/>
              </w:rPr>
              <w:t xml:space="preserve"> </w:t>
            </w:r>
            <w:r>
              <w:rPr>
                <w:rFonts w:ascii="Arial" w:eastAsia="Arial" w:hAnsi="Arial" w:cs="Arial"/>
                <w:sz w:val="18"/>
              </w:rPr>
              <w:t xml:space="preserve">H </w:t>
            </w:r>
            <w:r>
              <w:rPr>
                <w:sz w:val="18"/>
              </w:rPr>
              <w:t>港元股份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港元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8,000,000 </w:t>
            </w:r>
            <w:r>
              <w:rPr>
                <w:sz w:val="18"/>
              </w:rPr>
              <w:t>港元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30" w:type="dxa"/>
            <w:tcBorders>
              <w:top w:val="nil"/>
              <w:left w:val="nil"/>
              <w:bottom w:val="nil"/>
              <w:right w:val="nil"/>
            </w:tcBorders>
          </w:tcPr>
          <w:p w:rsidR="004D6F0E" w:rsidRDefault="00490F21">
            <w:pPr>
              <w:spacing w:after="10" w:line="259" w:lineRule="auto"/>
              <w:ind w:left="115" w:firstLine="0"/>
            </w:pPr>
            <w:r>
              <w:rPr>
                <w:rFonts w:ascii="Arial" w:eastAsia="Arial" w:hAnsi="Arial" w:cs="Arial"/>
                <w:sz w:val="18"/>
              </w:rPr>
              <w:t xml:space="preserve">WA </w:t>
            </w:r>
            <w:r>
              <w:rPr>
                <w:sz w:val="18"/>
              </w:rPr>
              <w:t>類</w:t>
            </w:r>
            <w:r>
              <w:rPr>
                <w:sz w:val="18"/>
              </w:rPr>
              <w:t xml:space="preserve"> </w:t>
            </w:r>
            <w:r>
              <w:rPr>
                <w:rFonts w:ascii="Arial" w:eastAsia="Arial" w:hAnsi="Arial" w:cs="Arial"/>
                <w:sz w:val="18"/>
              </w:rPr>
              <w:t xml:space="preserve">H </w:t>
            </w:r>
            <w:r>
              <w:rPr>
                <w:sz w:val="18"/>
              </w:rPr>
              <w:t>港元股份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b/>
                <w:sz w:val="18"/>
              </w:rPr>
              <w:t xml:space="preserve"> </w:t>
            </w:r>
          </w:p>
        </w:tc>
        <w:tc>
          <w:tcPr>
            <w:tcW w:w="1478" w:type="dxa"/>
            <w:tcBorders>
              <w:top w:val="nil"/>
              <w:left w:val="nil"/>
              <w:bottom w:val="nil"/>
              <w:right w:val="nil"/>
            </w:tcBorders>
          </w:tcPr>
          <w:p w:rsidR="004D6F0E" w:rsidRDefault="00490F21">
            <w:pPr>
              <w:spacing w:after="0" w:line="259" w:lineRule="auto"/>
              <w:ind w:left="238" w:firstLine="0"/>
            </w:pPr>
            <w:r>
              <w:rPr>
                <w:sz w:val="18"/>
              </w:rPr>
              <w:t>港元</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t xml:space="preserve">8,000,000 </w:t>
            </w:r>
            <w:r>
              <w:rPr>
                <w:sz w:val="18"/>
              </w:rPr>
              <w:t>港元</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30" w:type="dxa"/>
            <w:tcBorders>
              <w:top w:val="nil"/>
              <w:left w:val="nil"/>
              <w:bottom w:val="nil"/>
              <w:right w:val="nil"/>
            </w:tcBorders>
            <w:shd w:val="clear" w:color="auto" w:fill="D9D9D9"/>
          </w:tcPr>
          <w:p w:rsidR="004D6F0E" w:rsidRDefault="00490F21">
            <w:pPr>
              <w:spacing w:after="0" w:line="259" w:lineRule="auto"/>
              <w:ind w:left="115" w:firstLine="0"/>
            </w:pPr>
            <w:r>
              <w:rPr>
                <w:sz w:val="18"/>
              </w:rPr>
              <w:t>人民幣對沖股份類別</w:t>
            </w:r>
            <w:r>
              <w:rPr>
                <w:rFonts w:ascii="Arial" w:eastAsia="Arial" w:hAnsi="Arial" w:cs="Arial"/>
                <w:sz w:val="18"/>
              </w:rPr>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630"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78" w:type="dxa"/>
            <w:tcBorders>
              <w:top w:val="nil"/>
              <w:left w:val="nil"/>
              <w:bottom w:val="nil"/>
              <w:right w:val="nil"/>
            </w:tcBorders>
          </w:tcPr>
          <w:p w:rsidR="004D6F0E" w:rsidRDefault="00490F21">
            <w:pPr>
              <w:spacing w:after="0" w:line="259" w:lineRule="auto"/>
              <w:ind w:left="146" w:firstLine="0"/>
            </w:pPr>
            <w:r>
              <w:rPr>
                <w:sz w:val="18"/>
              </w:rPr>
              <w:t>人民幣</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30" w:line="259" w:lineRule="auto"/>
              <w:ind w:left="101"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tcPr>
          <w:p w:rsidR="004D6F0E" w:rsidRDefault="00490F21">
            <w:pPr>
              <w:spacing w:after="15" w:line="259" w:lineRule="auto"/>
              <w:ind w:left="0"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shd w:val="clear" w:color="auto" w:fill="D9D9D9"/>
          </w:tcPr>
          <w:p w:rsidR="004D6F0E" w:rsidRDefault="00490F21">
            <w:pPr>
              <w:spacing w:after="0" w:line="259" w:lineRule="auto"/>
              <w:ind w:left="115" w:firstLine="0"/>
            </w:pPr>
            <w:r>
              <w:rPr>
                <w:sz w:val="18"/>
              </w:rPr>
              <w:t>瑞士法郎對沖股份類別</w:t>
            </w:r>
            <w:r>
              <w:rPr>
                <w:rFonts w:ascii="Arial" w:eastAsia="Arial" w:hAnsi="Arial" w:cs="Arial"/>
                <w:sz w:val="18"/>
              </w:rPr>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4"/>
        </w:trPr>
        <w:tc>
          <w:tcPr>
            <w:tcW w:w="26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0" w:line="259" w:lineRule="auto"/>
              <w:ind w:left="58" w:firstLine="0"/>
            </w:pPr>
            <w:r>
              <w:rPr>
                <w:sz w:val="18"/>
              </w:rPr>
              <w:t>瑞士法郎</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175" w:firstLine="0"/>
            </w:pPr>
            <w:r>
              <w:rPr>
                <w:rFonts w:ascii="Arial" w:eastAsia="Arial" w:hAnsi="Arial" w:cs="Arial"/>
                <w:sz w:val="18"/>
              </w:rPr>
              <w:t xml:space="preserve">2,000 </w:t>
            </w:r>
            <w:r>
              <w:rPr>
                <w:sz w:val="18"/>
              </w:rPr>
              <w:t>瑞士法郎</w:t>
            </w: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0" w:line="259" w:lineRule="auto"/>
              <w:ind w:left="98" w:firstLine="0"/>
            </w:pPr>
            <w:r>
              <w:rPr>
                <w:rFonts w:ascii="Arial" w:eastAsia="Arial" w:hAnsi="Arial" w:cs="Arial"/>
                <w:sz w:val="18"/>
              </w:rPr>
              <w:t xml:space="preserve">750 </w:t>
            </w:r>
            <w:r>
              <w:rPr>
                <w:sz w:val="18"/>
              </w:rPr>
              <w:t>瑞士法郎</w:t>
            </w: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7"/>
        </w:trPr>
        <w:tc>
          <w:tcPr>
            <w:tcW w:w="2630"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478" w:type="dxa"/>
            <w:tcBorders>
              <w:top w:val="nil"/>
              <w:left w:val="nil"/>
              <w:bottom w:val="nil"/>
              <w:right w:val="nil"/>
            </w:tcBorders>
            <w:vAlign w:val="center"/>
          </w:tcPr>
          <w:p w:rsidR="004D6F0E" w:rsidRDefault="00490F21">
            <w:pPr>
              <w:spacing w:after="0" w:line="259" w:lineRule="auto"/>
              <w:ind w:left="58" w:firstLine="0"/>
            </w:pPr>
            <w:r>
              <w:rPr>
                <w:sz w:val="18"/>
              </w:rPr>
              <w:t>瑞士法郎</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0" w:line="259" w:lineRule="auto"/>
              <w:ind w:left="353" w:firstLine="29"/>
            </w:pPr>
            <w:r>
              <w:rPr>
                <w:rFonts w:ascii="Arial" w:eastAsia="Arial" w:hAnsi="Arial" w:cs="Arial"/>
                <w:sz w:val="18"/>
              </w:rPr>
              <w:t xml:space="preserve">1,000,000 </w:t>
            </w:r>
            <w:r>
              <w:rPr>
                <w:sz w:val="18"/>
              </w:rPr>
              <w:t>瑞士法郎</w:t>
            </w:r>
            <w:r>
              <w:rPr>
                <w:rFonts w:ascii="Arial" w:eastAsia="Arial" w:hAnsi="Arial" w:cs="Arial"/>
                <w:sz w:val="18"/>
              </w:rPr>
              <w:t xml:space="preserve">** </w:t>
            </w:r>
          </w:p>
        </w:tc>
        <w:tc>
          <w:tcPr>
            <w:tcW w:w="2314" w:type="dxa"/>
            <w:tcBorders>
              <w:top w:val="nil"/>
              <w:left w:val="nil"/>
              <w:bottom w:val="nil"/>
              <w:right w:val="nil"/>
            </w:tcBorders>
            <w:vAlign w:val="center"/>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75" w:type="dxa"/>
            <w:tcBorders>
              <w:top w:val="nil"/>
              <w:left w:val="nil"/>
              <w:bottom w:val="nil"/>
              <w:right w:val="nil"/>
            </w:tcBorders>
            <w:vAlign w:val="center"/>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642"/>
        </w:trPr>
        <w:tc>
          <w:tcPr>
            <w:tcW w:w="2630" w:type="dxa"/>
            <w:tcBorders>
              <w:top w:val="nil"/>
              <w:left w:val="nil"/>
              <w:bottom w:val="nil"/>
              <w:right w:val="nil"/>
            </w:tcBorders>
            <w:vAlign w:val="bottom"/>
          </w:tcPr>
          <w:p w:rsidR="004D6F0E" w:rsidRDefault="00490F21">
            <w:pPr>
              <w:spacing w:after="0" w:line="259" w:lineRule="auto"/>
              <w:ind w:left="115" w:right="214" w:firstLine="0"/>
              <w:jc w:val="right"/>
            </w:pPr>
            <w:r>
              <w:rPr>
                <w:rFonts w:ascii="Arial" w:eastAsia="Arial" w:hAnsi="Arial" w:cs="Arial"/>
                <w:sz w:val="18"/>
              </w:rPr>
              <w:t xml:space="preserve">W2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r>
              <w:rPr>
                <w:rFonts w:ascii="Arial" w:eastAsia="Arial" w:hAnsi="Arial" w:cs="Arial"/>
                <w:sz w:val="18"/>
              </w:rPr>
              <w:tab/>
              <w:t xml:space="preserve"> </w:t>
            </w:r>
          </w:p>
        </w:tc>
        <w:tc>
          <w:tcPr>
            <w:tcW w:w="1478" w:type="dxa"/>
            <w:tcBorders>
              <w:top w:val="nil"/>
              <w:left w:val="nil"/>
              <w:bottom w:val="nil"/>
              <w:right w:val="nil"/>
            </w:tcBorders>
          </w:tcPr>
          <w:p w:rsidR="004D6F0E" w:rsidRDefault="00490F21">
            <w:pPr>
              <w:spacing w:after="0" w:line="259" w:lineRule="auto"/>
              <w:ind w:left="57" w:firstLine="0"/>
            </w:pPr>
            <w:r>
              <w:rPr>
                <w:sz w:val="18"/>
              </w:rPr>
              <w:t>瑞士法郎</w:t>
            </w: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39" w:line="243" w:lineRule="auto"/>
              <w:ind w:left="353" w:firstLine="29"/>
            </w:pPr>
            <w:r>
              <w:rPr>
                <w:rFonts w:ascii="Arial" w:eastAsia="Arial" w:hAnsi="Arial" w:cs="Arial"/>
                <w:sz w:val="18"/>
              </w:rPr>
              <w:t xml:space="preserve">1,000,000 </w:t>
            </w:r>
            <w:r>
              <w:rPr>
                <w:sz w:val="18"/>
              </w:rPr>
              <w:t>瑞士法郎</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vAlign w:val="bottom"/>
          </w:tcPr>
          <w:p w:rsidR="004D6F0E" w:rsidRDefault="00490F21">
            <w:pPr>
              <w:spacing w:after="113" w:line="259" w:lineRule="auto"/>
              <w:ind w:left="540" w:firstLine="0"/>
            </w:pPr>
            <w:r>
              <w:rPr>
                <w:sz w:val="18"/>
              </w:rPr>
              <w:t>無</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vAlign w:val="bottom"/>
          </w:tcPr>
          <w:p w:rsidR="004D6F0E" w:rsidRDefault="00490F21">
            <w:pPr>
              <w:spacing w:after="113"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30" w:type="dxa"/>
            <w:tcBorders>
              <w:top w:val="nil"/>
              <w:left w:val="nil"/>
              <w:bottom w:val="nil"/>
              <w:right w:val="nil"/>
            </w:tcBorders>
            <w:shd w:val="clear" w:color="auto" w:fill="D9D9D9"/>
          </w:tcPr>
          <w:p w:rsidR="004D6F0E" w:rsidRDefault="00490F21">
            <w:pPr>
              <w:tabs>
                <w:tab w:val="center" w:pos="2242"/>
              </w:tabs>
              <w:spacing w:after="0" w:line="259" w:lineRule="auto"/>
              <w:ind w:left="0" w:firstLine="0"/>
            </w:pPr>
            <w:r>
              <w:rPr>
                <w:sz w:val="18"/>
              </w:rPr>
              <w:t>英鎊對沖股份類別</w:t>
            </w:r>
            <w:r>
              <w:rPr>
                <w:rFonts w:ascii="Arial" w:eastAsia="Arial" w:hAnsi="Arial" w:cs="Arial"/>
                <w:sz w:val="18"/>
              </w:rPr>
              <w:t xml:space="preserve"> </w:t>
            </w:r>
            <w:r>
              <w:rPr>
                <w:rFonts w:ascii="Arial" w:eastAsia="Arial" w:hAnsi="Arial" w:cs="Arial"/>
                <w:sz w:val="18"/>
              </w:rPr>
              <w:tab/>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314"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675" w:type="dxa"/>
            <w:tcBorders>
              <w:top w:val="nil"/>
              <w:left w:val="nil"/>
              <w:bottom w:val="nil"/>
              <w:right w:val="nil"/>
            </w:tcBorders>
            <w:shd w:val="clear" w:color="auto" w:fill="D9D9D9"/>
          </w:tcPr>
          <w:p w:rsidR="004D6F0E" w:rsidRDefault="00490F21">
            <w:pPr>
              <w:spacing w:after="0" w:line="259" w:lineRule="auto"/>
              <w:ind w:left="607"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630"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78" w:type="dxa"/>
            <w:tcBorders>
              <w:top w:val="nil"/>
              <w:left w:val="nil"/>
              <w:bottom w:val="nil"/>
              <w:right w:val="nil"/>
            </w:tcBorders>
          </w:tcPr>
          <w:p w:rsidR="004D6F0E" w:rsidRDefault="00490F21">
            <w:pPr>
              <w:spacing w:after="7" w:line="259" w:lineRule="auto"/>
              <w:ind w:left="238" w:firstLine="0"/>
            </w:pPr>
            <w:r>
              <w:rPr>
                <w:sz w:val="18"/>
              </w:rPr>
              <w:t>英鎊</w:t>
            </w:r>
            <w:r>
              <w:rPr>
                <w:rFonts w:ascii="Arial" w:eastAsia="Arial" w:hAnsi="Arial" w:cs="Arial"/>
                <w:sz w:val="18"/>
              </w:rPr>
              <w:t xml:space="preserve"> </w:t>
            </w:r>
          </w:p>
          <w:p w:rsidR="004D6F0E" w:rsidRDefault="00490F21">
            <w:pPr>
              <w:spacing w:after="0" w:line="259" w:lineRule="auto"/>
              <w:ind w:left="418" w:firstLine="0"/>
            </w:pPr>
            <w:r>
              <w:rPr>
                <w:rFonts w:ascii="Arial" w:eastAsia="Arial" w:hAnsi="Arial" w:cs="Arial"/>
                <w:sz w:val="18"/>
              </w:rPr>
              <w:t xml:space="preserve"> </w:t>
            </w:r>
          </w:p>
        </w:tc>
        <w:tc>
          <w:tcPr>
            <w:tcW w:w="1994" w:type="dxa"/>
            <w:tcBorders>
              <w:top w:val="nil"/>
              <w:left w:val="nil"/>
              <w:bottom w:val="nil"/>
              <w:right w:val="nil"/>
            </w:tcBorders>
          </w:tcPr>
          <w:p w:rsidR="004D6F0E" w:rsidRDefault="00490F21">
            <w:pPr>
              <w:spacing w:after="12" w:line="259" w:lineRule="auto"/>
              <w:ind w:left="355" w:firstLine="0"/>
            </w:pPr>
            <w:r>
              <w:rPr>
                <w:rFonts w:ascii="Arial" w:eastAsia="Arial" w:hAnsi="Arial" w:cs="Arial"/>
                <w:sz w:val="18"/>
              </w:rPr>
              <w:t xml:space="preserve">2,000 </w:t>
            </w:r>
            <w:r>
              <w:rPr>
                <w:sz w:val="18"/>
              </w:rPr>
              <w:t>英鎊</w:t>
            </w:r>
            <w:r>
              <w:rPr>
                <w:rFonts w:ascii="Arial" w:eastAsia="Arial" w:hAnsi="Arial" w:cs="Arial"/>
                <w:sz w:val="18"/>
              </w:rPr>
              <w:t xml:space="preserve"> </w:t>
            </w:r>
          </w:p>
          <w:p w:rsidR="004D6F0E" w:rsidRDefault="00490F21">
            <w:pPr>
              <w:spacing w:after="0" w:line="259" w:lineRule="auto"/>
              <w:ind w:left="782" w:firstLine="0"/>
            </w:pPr>
            <w:r>
              <w:rPr>
                <w:rFonts w:ascii="Arial" w:eastAsia="Arial" w:hAnsi="Arial" w:cs="Arial"/>
                <w:sz w:val="18"/>
              </w:rPr>
              <w:t xml:space="preserve"> </w:t>
            </w:r>
          </w:p>
        </w:tc>
        <w:tc>
          <w:tcPr>
            <w:tcW w:w="2314" w:type="dxa"/>
            <w:tcBorders>
              <w:top w:val="nil"/>
              <w:left w:val="nil"/>
              <w:bottom w:val="nil"/>
              <w:right w:val="nil"/>
            </w:tcBorders>
          </w:tcPr>
          <w:p w:rsidR="004D6F0E" w:rsidRDefault="00490F21">
            <w:pPr>
              <w:spacing w:after="12" w:line="259" w:lineRule="auto"/>
              <w:ind w:left="278" w:firstLine="0"/>
            </w:pPr>
            <w:r>
              <w:rPr>
                <w:rFonts w:ascii="Arial" w:eastAsia="Arial" w:hAnsi="Arial" w:cs="Arial"/>
                <w:sz w:val="18"/>
              </w:rPr>
              <w:t xml:space="preserve">750 </w:t>
            </w:r>
            <w:r>
              <w:rPr>
                <w:sz w:val="18"/>
              </w:rPr>
              <w:t>英鎊</w:t>
            </w:r>
            <w:r>
              <w:rPr>
                <w:rFonts w:ascii="Arial" w:eastAsia="Arial" w:hAnsi="Arial" w:cs="Arial"/>
                <w:sz w:val="18"/>
              </w:rPr>
              <w:t xml:space="preserve"> </w:t>
            </w:r>
          </w:p>
          <w:p w:rsidR="004D6F0E" w:rsidRDefault="00490F21">
            <w:pPr>
              <w:spacing w:after="0" w:line="259" w:lineRule="auto"/>
              <w:ind w:left="631" w:firstLine="0"/>
            </w:pPr>
            <w:r>
              <w:rPr>
                <w:rFonts w:ascii="Arial" w:eastAsia="Arial" w:hAnsi="Arial" w:cs="Arial"/>
                <w:sz w:val="18"/>
              </w:rPr>
              <w:t xml:space="preserve"> </w:t>
            </w:r>
          </w:p>
        </w:tc>
        <w:tc>
          <w:tcPr>
            <w:tcW w:w="1675"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89"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630"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1478" w:type="dxa"/>
            <w:tcBorders>
              <w:top w:val="nil"/>
              <w:left w:val="nil"/>
              <w:bottom w:val="nil"/>
              <w:right w:val="nil"/>
            </w:tcBorders>
            <w:shd w:val="clear" w:color="auto" w:fill="D9D9D9"/>
          </w:tcPr>
          <w:p w:rsidR="004D6F0E" w:rsidRDefault="004D6F0E">
            <w:pPr>
              <w:spacing w:after="160" w:line="259" w:lineRule="auto"/>
              <w:ind w:left="0" w:firstLine="0"/>
            </w:pPr>
          </w:p>
        </w:tc>
        <w:tc>
          <w:tcPr>
            <w:tcW w:w="1994" w:type="dxa"/>
            <w:tcBorders>
              <w:top w:val="nil"/>
              <w:left w:val="nil"/>
              <w:bottom w:val="nil"/>
              <w:right w:val="nil"/>
            </w:tcBorders>
            <w:shd w:val="clear" w:color="auto" w:fill="D9D9D9"/>
          </w:tcPr>
          <w:p w:rsidR="004D6F0E" w:rsidRDefault="004D6F0E">
            <w:pPr>
              <w:spacing w:after="160" w:line="259" w:lineRule="auto"/>
              <w:ind w:left="0" w:firstLine="0"/>
            </w:pPr>
          </w:p>
        </w:tc>
        <w:tc>
          <w:tcPr>
            <w:tcW w:w="2314" w:type="dxa"/>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4891"/>
          <w:tab w:val="center" w:pos="6734"/>
          <w:tab w:val="center" w:pos="8507"/>
          <w:tab w:val="center" w:pos="10348"/>
        </w:tabs>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sz w:val="18"/>
        </w:rPr>
        <w:t>波蘭茲羅提</w:t>
      </w:r>
      <w:r>
        <w:rPr>
          <w:rFonts w:ascii="Arial" w:eastAsia="Arial" w:hAnsi="Arial" w:cs="Arial"/>
          <w:sz w:val="18"/>
        </w:rPr>
        <w:t xml:space="preserve"> </w:t>
      </w:r>
      <w:r>
        <w:rPr>
          <w:rFonts w:ascii="Arial" w:eastAsia="Arial" w:hAnsi="Arial" w:cs="Arial"/>
          <w:sz w:val="18"/>
        </w:rPr>
        <w:tab/>
        <w:t xml:space="preserve">7,500 </w:t>
      </w:r>
      <w:r>
        <w:rPr>
          <w:sz w:val="18"/>
        </w:rPr>
        <w:t>波蘭茲羅提</w:t>
      </w:r>
      <w:r>
        <w:rPr>
          <w:rFonts w:ascii="Arial" w:eastAsia="Arial" w:hAnsi="Arial" w:cs="Arial"/>
          <w:sz w:val="18"/>
        </w:rPr>
        <w:t xml:space="preserve"> </w:t>
      </w:r>
      <w:r>
        <w:rPr>
          <w:rFonts w:ascii="Arial" w:eastAsia="Arial" w:hAnsi="Arial" w:cs="Arial"/>
          <w:sz w:val="18"/>
        </w:rPr>
        <w:tab/>
        <w:t xml:space="preserve">3,000 </w:t>
      </w:r>
      <w:r>
        <w:rPr>
          <w:sz w:val="18"/>
        </w:rPr>
        <w:t>波蘭茲羅提</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tbl>
      <w:tblPr>
        <w:tblStyle w:val="TableGrid"/>
        <w:tblW w:w="11198" w:type="dxa"/>
        <w:tblInd w:w="0" w:type="dxa"/>
        <w:tblCellMar>
          <w:top w:w="0" w:type="dxa"/>
          <w:left w:w="0" w:type="dxa"/>
          <w:bottom w:w="0" w:type="dxa"/>
          <w:right w:w="236" w:type="dxa"/>
        </w:tblCellMar>
        <w:tblLook w:val="04A0" w:firstRow="1" w:lastRow="0" w:firstColumn="1" w:lastColumn="0" w:noHBand="0" w:noVBand="1"/>
      </w:tblPr>
      <w:tblGrid>
        <w:gridCol w:w="2597"/>
        <w:gridCol w:w="1259"/>
        <w:gridCol w:w="514"/>
        <w:gridCol w:w="2273"/>
        <w:gridCol w:w="14"/>
        <w:gridCol w:w="1114"/>
        <w:gridCol w:w="646"/>
        <w:gridCol w:w="1051"/>
        <w:gridCol w:w="362"/>
        <w:gridCol w:w="262"/>
        <w:gridCol w:w="489"/>
        <w:gridCol w:w="617"/>
      </w:tblGrid>
      <w:tr w:rsidR="004D6F0E">
        <w:trPr>
          <w:trHeight w:val="611"/>
        </w:trPr>
        <w:tc>
          <w:tcPr>
            <w:tcW w:w="2597" w:type="dxa"/>
            <w:tcBorders>
              <w:top w:val="nil"/>
              <w:left w:val="nil"/>
              <w:bottom w:val="nil"/>
              <w:right w:val="nil"/>
            </w:tcBorders>
          </w:tcPr>
          <w:p w:rsidR="004D6F0E" w:rsidRDefault="00490F21">
            <w:pPr>
              <w:spacing w:after="0" w:line="259" w:lineRule="auto"/>
              <w:ind w:left="115" w:right="69" w:firstLine="0"/>
              <w:jc w:val="right"/>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rFonts w:ascii="Arial" w:eastAsia="Arial" w:hAnsi="Arial" w:cs="Arial"/>
                <w:sz w:val="18"/>
              </w:rPr>
              <w:tab/>
              <w:t xml:space="preserve"> </w:t>
            </w:r>
          </w:p>
        </w:tc>
        <w:tc>
          <w:tcPr>
            <w:tcW w:w="1774" w:type="dxa"/>
            <w:gridSpan w:val="2"/>
            <w:tcBorders>
              <w:top w:val="nil"/>
              <w:left w:val="nil"/>
              <w:bottom w:val="nil"/>
              <w:right w:val="nil"/>
            </w:tcBorders>
          </w:tcPr>
          <w:p w:rsidR="004D6F0E" w:rsidRDefault="00490F21">
            <w:pPr>
              <w:spacing w:after="111" w:line="259" w:lineRule="auto"/>
              <w:ind w:left="0" w:firstLine="0"/>
            </w:pPr>
            <w:r>
              <w:rPr>
                <w:sz w:val="18"/>
              </w:rPr>
              <w:t>波蘭茲羅提</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273" w:type="dxa"/>
            <w:tcBorders>
              <w:top w:val="nil"/>
              <w:left w:val="nil"/>
              <w:bottom w:val="nil"/>
              <w:right w:val="nil"/>
            </w:tcBorders>
          </w:tcPr>
          <w:p w:rsidR="004D6F0E" w:rsidRDefault="00490F21">
            <w:pPr>
              <w:spacing w:after="0" w:line="259" w:lineRule="auto"/>
              <w:ind w:left="120" w:firstLine="0"/>
            </w:pPr>
            <w:r>
              <w:rPr>
                <w:rFonts w:ascii="Arial" w:eastAsia="Arial" w:hAnsi="Arial" w:cs="Arial"/>
                <w:sz w:val="18"/>
              </w:rPr>
              <w:t xml:space="preserve">4,000,000 </w:t>
            </w:r>
          </w:p>
          <w:p w:rsidR="004D6F0E" w:rsidRDefault="00490F21">
            <w:pPr>
              <w:spacing w:after="7" w:line="259" w:lineRule="auto"/>
              <w:ind w:left="0" w:firstLine="0"/>
            </w:pPr>
            <w:r>
              <w:rPr>
                <w:sz w:val="18"/>
              </w:rPr>
              <w:t>波蘭茲羅提</w:t>
            </w:r>
            <w:r>
              <w:rPr>
                <w:rFonts w:ascii="Arial" w:eastAsia="Arial" w:hAnsi="Arial" w:cs="Arial"/>
                <w:sz w:val="18"/>
              </w:rPr>
              <w:t xml:space="preserve">** </w:t>
            </w:r>
          </w:p>
          <w:p w:rsidR="004D6F0E" w:rsidRDefault="00490F21">
            <w:pPr>
              <w:spacing w:after="0" w:line="259" w:lineRule="auto"/>
              <w:ind w:left="1128" w:firstLine="0"/>
              <w:jc w:val="center"/>
            </w:pPr>
            <w:r>
              <w:rPr>
                <w:rFonts w:ascii="Arial" w:eastAsia="Arial" w:hAnsi="Arial" w:cs="Arial"/>
                <w:sz w:val="18"/>
              </w:rPr>
              <w:t xml:space="preserve"> </w:t>
            </w:r>
          </w:p>
        </w:tc>
        <w:tc>
          <w:tcPr>
            <w:tcW w:w="1774" w:type="dxa"/>
            <w:gridSpan w:val="3"/>
            <w:tcBorders>
              <w:top w:val="nil"/>
              <w:left w:val="nil"/>
              <w:bottom w:val="nil"/>
              <w:right w:val="nil"/>
            </w:tcBorders>
          </w:tcPr>
          <w:p w:rsidR="004D6F0E" w:rsidRDefault="00490F21">
            <w:pPr>
              <w:spacing w:after="110"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768" w:firstLine="0"/>
              <w:jc w:val="center"/>
            </w:pPr>
            <w:r>
              <w:rPr>
                <w:rFonts w:ascii="Arial" w:eastAsia="Arial" w:hAnsi="Arial" w:cs="Arial"/>
                <w:sz w:val="18"/>
              </w:rPr>
              <w:t xml:space="preserve"> </w:t>
            </w:r>
          </w:p>
        </w:tc>
        <w:tc>
          <w:tcPr>
            <w:tcW w:w="1675" w:type="dxa"/>
            <w:gridSpan w:val="3"/>
            <w:tcBorders>
              <w:top w:val="nil"/>
              <w:left w:val="nil"/>
              <w:bottom w:val="nil"/>
              <w:right w:val="nil"/>
            </w:tcBorders>
          </w:tcPr>
          <w:p w:rsidR="004D6F0E" w:rsidRDefault="00490F21">
            <w:pPr>
              <w:spacing w:after="110"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718" w:firstLine="0"/>
              <w:jc w:val="center"/>
            </w:pPr>
            <w:r>
              <w:rPr>
                <w:rFonts w:ascii="Arial" w:eastAsia="Arial" w:hAnsi="Arial" w:cs="Arial"/>
                <w:sz w:val="18"/>
              </w:rPr>
              <w:t xml:space="preserve"> </w:t>
            </w:r>
          </w:p>
        </w:tc>
        <w:tc>
          <w:tcPr>
            <w:tcW w:w="11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597" w:type="dxa"/>
            <w:tcBorders>
              <w:top w:val="nil"/>
              <w:left w:val="nil"/>
              <w:bottom w:val="nil"/>
              <w:right w:val="nil"/>
            </w:tcBorders>
            <w:shd w:val="clear" w:color="auto" w:fill="D9D9D9"/>
          </w:tcPr>
          <w:p w:rsidR="004D6F0E" w:rsidRDefault="00490F21">
            <w:pPr>
              <w:spacing w:after="0" w:line="259" w:lineRule="auto"/>
              <w:ind w:left="115" w:firstLine="0"/>
            </w:pPr>
            <w:r>
              <w:rPr>
                <w:sz w:val="18"/>
              </w:rPr>
              <w:t>捷克克朗對沖股份類別</w:t>
            </w:r>
            <w:r>
              <w:rPr>
                <w:rFonts w:ascii="Arial" w:eastAsia="Arial" w:hAnsi="Arial" w:cs="Arial"/>
                <w:sz w:val="18"/>
              </w:rPr>
              <w:t xml:space="preserve"> </w:t>
            </w:r>
          </w:p>
        </w:tc>
        <w:tc>
          <w:tcPr>
            <w:tcW w:w="177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73" w:type="dxa"/>
            <w:tcBorders>
              <w:top w:val="nil"/>
              <w:left w:val="nil"/>
              <w:bottom w:val="nil"/>
              <w:right w:val="nil"/>
            </w:tcBorders>
            <w:shd w:val="clear" w:color="auto" w:fill="D9D9D9"/>
          </w:tcPr>
          <w:p w:rsidR="004D6F0E" w:rsidRDefault="004D6F0E">
            <w:pPr>
              <w:spacing w:after="160" w:line="259" w:lineRule="auto"/>
              <w:ind w:left="0" w:firstLine="0"/>
            </w:pPr>
          </w:p>
        </w:tc>
        <w:tc>
          <w:tcPr>
            <w:tcW w:w="1774"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675" w:type="dxa"/>
            <w:gridSpan w:val="3"/>
            <w:tcBorders>
              <w:top w:val="nil"/>
              <w:left w:val="nil"/>
              <w:bottom w:val="nil"/>
              <w:right w:val="nil"/>
            </w:tcBorders>
            <w:shd w:val="clear" w:color="auto" w:fill="D9D9D9"/>
          </w:tcPr>
          <w:p w:rsidR="004D6F0E" w:rsidRDefault="004D6F0E">
            <w:pPr>
              <w:spacing w:after="160" w:line="259" w:lineRule="auto"/>
              <w:ind w:left="0" w:firstLine="0"/>
            </w:pPr>
          </w:p>
        </w:tc>
        <w:tc>
          <w:tcPr>
            <w:tcW w:w="1106"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After w:val="1"/>
          <w:wAfter w:w="617" w:type="dxa"/>
          <w:trHeight w:val="215"/>
        </w:trPr>
        <w:tc>
          <w:tcPr>
            <w:tcW w:w="3857" w:type="dxa"/>
            <w:gridSpan w:val="2"/>
            <w:tcBorders>
              <w:top w:val="nil"/>
              <w:left w:val="nil"/>
              <w:bottom w:val="nil"/>
              <w:right w:val="nil"/>
            </w:tcBorders>
          </w:tcPr>
          <w:p w:rsidR="004D6F0E" w:rsidRDefault="00490F21">
            <w:pPr>
              <w:tabs>
                <w:tab w:val="center" w:pos="3048"/>
              </w:tabs>
              <w:spacing w:after="0" w:line="259" w:lineRule="auto"/>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r>
              <w:rPr>
                <w:rFonts w:ascii="Arial" w:eastAsia="Arial" w:hAnsi="Arial" w:cs="Arial"/>
                <w:sz w:val="18"/>
              </w:rPr>
              <w:tab/>
            </w:r>
            <w:r>
              <w:rPr>
                <w:sz w:val="18"/>
              </w:rPr>
              <w:t>捷克克朗</w:t>
            </w:r>
            <w:r>
              <w:rPr>
                <w:rFonts w:ascii="Arial" w:eastAsia="Arial" w:hAnsi="Arial" w:cs="Arial"/>
                <w:sz w:val="18"/>
              </w:rPr>
              <w:t xml:space="preserve"> </w:t>
            </w:r>
          </w:p>
        </w:tc>
        <w:tc>
          <w:tcPr>
            <w:tcW w:w="3914" w:type="dxa"/>
            <w:gridSpan w:val="4"/>
            <w:tcBorders>
              <w:top w:val="nil"/>
              <w:left w:val="nil"/>
              <w:bottom w:val="nil"/>
              <w:right w:val="nil"/>
            </w:tcBorders>
          </w:tcPr>
          <w:p w:rsidR="004D6F0E" w:rsidRDefault="00490F21">
            <w:pPr>
              <w:tabs>
                <w:tab w:val="center" w:pos="1036"/>
                <w:tab w:val="center" w:pos="2879"/>
              </w:tabs>
              <w:spacing w:after="0" w:line="259" w:lineRule="auto"/>
              <w:ind w:left="0" w:firstLine="0"/>
            </w:pPr>
            <w:r>
              <w:rPr>
                <w:rFonts w:ascii="Calibri" w:eastAsia="Calibri" w:hAnsi="Calibri" w:cs="Calibri"/>
                <w:sz w:val="22"/>
              </w:rPr>
              <w:tab/>
            </w:r>
            <w:r>
              <w:rPr>
                <w:rFonts w:ascii="Arial" w:eastAsia="Arial" w:hAnsi="Arial" w:cs="Arial"/>
                <w:sz w:val="18"/>
              </w:rPr>
              <w:t xml:space="preserve">50,000 </w:t>
            </w:r>
            <w:r>
              <w:rPr>
                <w:sz w:val="18"/>
              </w:rPr>
              <w:t>捷克克朗</w:t>
            </w:r>
            <w:r>
              <w:rPr>
                <w:rFonts w:ascii="Arial" w:eastAsia="Arial" w:hAnsi="Arial" w:cs="Arial"/>
                <w:sz w:val="18"/>
              </w:rPr>
              <w:t xml:space="preserve"> </w:t>
            </w:r>
            <w:r>
              <w:rPr>
                <w:rFonts w:ascii="Arial" w:eastAsia="Arial" w:hAnsi="Arial" w:cs="Arial"/>
                <w:sz w:val="18"/>
              </w:rPr>
              <w:tab/>
              <w:t xml:space="preserve">20,000 </w:t>
            </w:r>
            <w:r>
              <w:rPr>
                <w:sz w:val="18"/>
              </w:rPr>
              <w:t>捷克克朗</w:t>
            </w:r>
            <w:r>
              <w:rPr>
                <w:rFonts w:ascii="Arial" w:eastAsia="Arial" w:hAnsi="Arial" w:cs="Arial"/>
                <w:sz w:val="18"/>
              </w:rPr>
              <w:t xml:space="preserve"> </w:t>
            </w:r>
          </w:p>
        </w:tc>
        <w:tc>
          <w:tcPr>
            <w:tcW w:w="646" w:type="dxa"/>
            <w:tcBorders>
              <w:top w:val="nil"/>
              <w:left w:val="nil"/>
              <w:bottom w:val="nil"/>
              <w:right w:val="nil"/>
            </w:tcBorders>
          </w:tcPr>
          <w:p w:rsidR="004D6F0E" w:rsidRDefault="004D6F0E">
            <w:pPr>
              <w:spacing w:after="160" w:line="259" w:lineRule="auto"/>
              <w:ind w:left="0" w:firstLine="0"/>
            </w:pPr>
          </w:p>
        </w:tc>
        <w:tc>
          <w:tcPr>
            <w:tcW w:w="1051"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362" w:type="dxa"/>
            <w:tcBorders>
              <w:top w:val="nil"/>
              <w:left w:val="nil"/>
              <w:bottom w:val="nil"/>
              <w:right w:val="nil"/>
            </w:tcBorders>
          </w:tcPr>
          <w:p w:rsidR="004D6F0E" w:rsidRDefault="004D6F0E">
            <w:pPr>
              <w:spacing w:after="160" w:line="259" w:lineRule="auto"/>
              <w:ind w:left="0" w:firstLine="0"/>
            </w:pPr>
          </w:p>
        </w:tc>
        <w:tc>
          <w:tcPr>
            <w:tcW w:w="751"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0.05% </w:t>
            </w:r>
          </w:p>
        </w:tc>
      </w:tr>
      <w:tr w:rsidR="004D6F0E">
        <w:tblPrEx>
          <w:tblCellMar>
            <w:top w:w="2" w:type="dxa"/>
            <w:right w:w="0" w:type="dxa"/>
          </w:tblCellMar>
        </w:tblPrEx>
        <w:trPr>
          <w:gridAfter w:val="1"/>
          <w:wAfter w:w="617" w:type="dxa"/>
          <w:trHeight w:val="238"/>
        </w:trPr>
        <w:tc>
          <w:tcPr>
            <w:tcW w:w="3857" w:type="dxa"/>
            <w:gridSpan w:val="2"/>
            <w:tcBorders>
              <w:top w:val="nil"/>
              <w:left w:val="nil"/>
              <w:bottom w:val="nil"/>
              <w:right w:val="nil"/>
            </w:tcBorders>
          </w:tcPr>
          <w:p w:rsidR="004D6F0E" w:rsidRDefault="00490F21">
            <w:pPr>
              <w:tabs>
                <w:tab w:val="center" w:pos="3048"/>
              </w:tabs>
              <w:spacing w:after="0" w:line="259" w:lineRule="auto"/>
              <w:ind w:left="0"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r>
              <w:rPr>
                <w:rFonts w:ascii="Arial" w:eastAsia="Arial" w:hAnsi="Arial" w:cs="Arial"/>
                <w:sz w:val="18"/>
              </w:rPr>
              <w:tab/>
            </w:r>
            <w:r>
              <w:rPr>
                <w:sz w:val="18"/>
              </w:rPr>
              <w:t>捷克克朗</w:t>
            </w:r>
            <w:r>
              <w:rPr>
                <w:rFonts w:ascii="Arial" w:eastAsia="Arial" w:hAnsi="Arial" w:cs="Arial"/>
                <w:sz w:val="18"/>
              </w:rPr>
              <w:t xml:space="preserve"> </w:t>
            </w:r>
          </w:p>
        </w:tc>
        <w:tc>
          <w:tcPr>
            <w:tcW w:w="2801" w:type="dxa"/>
            <w:gridSpan w:val="3"/>
            <w:tcBorders>
              <w:top w:val="nil"/>
              <w:left w:val="nil"/>
              <w:bottom w:val="nil"/>
              <w:right w:val="nil"/>
            </w:tcBorders>
          </w:tcPr>
          <w:p w:rsidR="004D6F0E" w:rsidRDefault="00490F21">
            <w:pPr>
              <w:spacing w:after="0" w:line="259" w:lineRule="auto"/>
              <w:ind w:left="214" w:firstLine="0"/>
            </w:pPr>
            <w:r>
              <w:rPr>
                <w:rFonts w:ascii="Arial" w:eastAsia="Arial" w:hAnsi="Arial" w:cs="Arial"/>
                <w:sz w:val="18"/>
              </w:rPr>
              <w:t xml:space="preserve">25,000,000 </w:t>
            </w:r>
            <w:r>
              <w:rPr>
                <w:sz w:val="18"/>
              </w:rPr>
              <w:t>捷克克朗</w:t>
            </w:r>
            <w:r>
              <w:rPr>
                <w:rFonts w:ascii="Arial" w:eastAsia="Arial" w:hAnsi="Arial" w:cs="Arial"/>
                <w:sz w:val="18"/>
              </w:rPr>
              <w:t xml:space="preserve">** </w:t>
            </w:r>
          </w:p>
        </w:tc>
        <w:tc>
          <w:tcPr>
            <w:tcW w:w="1114"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646" w:type="dxa"/>
            <w:tcBorders>
              <w:top w:val="nil"/>
              <w:left w:val="nil"/>
              <w:bottom w:val="nil"/>
              <w:right w:val="nil"/>
            </w:tcBorders>
          </w:tcPr>
          <w:p w:rsidR="004D6F0E" w:rsidRDefault="004D6F0E">
            <w:pPr>
              <w:spacing w:after="160" w:line="259" w:lineRule="auto"/>
              <w:ind w:left="0" w:firstLine="0"/>
            </w:pPr>
          </w:p>
        </w:tc>
        <w:tc>
          <w:tcPr>
            <w:tcW w:w="1051"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362" w:type="dxa"/>
            <w:tcBorders>
              <w:top w:val="nil"/>
              <w:left w:val="nil"/>
              <w:bottom w:val="nil"/>
              <w:right w:val="nil"/>
            </w:tcBorders>
          </w:tcPr>
          <w:p w:rsidR="004D6F0E" w:rsidRDefault="004D6F0E">
            <w:pPr>
              <w:spacing w:after="160" w:line="259" w:lineRule="auto"/>
              <w:ind w:left="0" w:firstLine="0"/>
            </w:pPr>
          </w:p>
        </w:tc>
        <w:tc>
          <w:tcPr>
            <w:tcW w:w="751" w:type="dxa"/>
            <w:gridSpan w:val="2"/>
            <w:tcBorders>
              <w:top w:val="nil"/>
              <w:left w:val="nil"/>
              <w:bottom w:val="nil"/>
              <w:right w:val="nil"/>
            </w:tcBorders>
          </w:tcPr>
          <w:p w:rsidR="004D6F0E" w:rsidRDefault="00490F21">
            <w:pPr>
              <w:spacing w:after="0" w:line="259" w:lineRule="auto"/>
              <w:ind w:left="0" w:right="48" w:firstLine="0"/>
              <w:jc w:val="right"/>
            </w:pPr>
            <w:r>
              <w:rPr>
                <w:rFonts w:ascii="Arial" w:eastAsia="Arial" w:hAnsi="Arial" w:cs="Arial"/>
                <w:sz w:val="18"/>
              </w:rPr>
              <w:t xml:space="preserve">0.05% </w:t>
            </w:r>
          </w:p>
        </w:tc>
      </w:tr>
      <w:tr w:rsidR="004D6F0E">
        <w:tblPrEx>
          <w:tblCellMar>
            <w:top w:w="2" w:type="dxa"/>
            <w:right w:w="0" w:type="dxa"/>
          </w:tblCellMar>
        </w:tblPrEx>
        <w:trPr>
          <w:gridAfter w:val="1"/>
          <w:wAfter w:w="617" w:type="dxa"/>
          <w:trHeight w:val="306"/>
        </w:trPr>
        <w:tc>
          <w:tcPr>
            <w:tcW w:w="3857" w:type="dxa"/>
            <w:gridSpan w:val="2"/>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 </w:t>
            </w:r>
            <w:r>
              <w:rPr>
                <w:rFonts w:ascii="Arial" w:eastAsia="Arial" w:hAnsi="Arial" w:cs="Arial"/>
                <w:sz w:val="18"/>
              </w:rPr>
              <w:tab/>
              <w:t xml:space="preserve"> </w:t>
            </w:r>
          </w:p>
        </w:tc>
        <w:tc>
          <w:tcPr>
            <w:tcW w:w="2801" w:type="dxa"/>
            <w:gridSpan w:val="3"/>
            <w:tcBorders>
              <w:top w:val="nil"/>
              <w:left w:val="nil"/>
              <w:bottom w:val="nil"/>
              <w:right w:val="nil"/>
            </w:tcBorders>
          </w:tcPr>
          <w:p w:rsidR="004D6F0E" w:rsidRDefault="00490F21">
            <w:pPr>
              <w:spacing w:after="0" w:line="259" w:lineRule="auto"/>
              <w:ind w:left="228" w:firstLine="0"/>
            </w:pPr>
            <w:r>
              <w:rPr>
                <w:rFonts w:ascii="Arial" w:eastAsia="Arial" w:hAnsi="Arial" w:cs="Arial"/>
                <w:sz w:val="18"/>
              </w:rPr>
              <w:t xml:space="preserve"> </w:t>
            </w:r>
            <w:r>
              <w:rPr>
                <w:rFonts w:ascii="Arial" w:eastAsia="Arial" w:hAnsi="Arial" w:cs="Arial"/>
                <w:sz w:val="18"/>
              </w:rPr>
              <w:tab/>
              <w:t xml:space="preserve"> </w:t>
            </w:r>
          </w:p>
        </w:tc>
        <w:tc>
          <w:tcPr>
            <w:tcW w:w="1114" w:type="dxa"/>
            <w:tcBorders>
              <w:top w:val="nil"/>
              <w:left w:val="nil"/>
              <w:bottom w:val="nil"/>
              <w:right w:val="nil"/>
            </w:tcBorders>
          </w:tcPr>
          <w:p w:rsidR="004D6F0E" w:rsidRDefault="004D6F0E">
            <w:pPr>
              <w:spacing w:after="160" w:line="259" w:lineRule="auto"/>
              <w:ind w:left="0" w:firstLine="0"/>
            </w:pPr>
          </w:p>
        </w:tc>
        <w:tc>
          <w:tcPr>
            <w:tcW w:w="64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tc>
        <w:tc>
          <w:tcPr>
            <w:tcW w:w="1051" w:type="dxa"/>
            <w:tcBorders>
              <w:top w:val="nil"/>
              <w:left w:val="nil"/>
              <w:bottom w:val="nil"/>
              <w:right w:val="nil"/>
            </w:tcBorders>
          </w:tcPr>
          <w:p w:rsidR="004D6F0E" w:rsidRDefault="004D6F0E">
            <w:pPr>
              <w:spacing w:after="160" w:line="259" w:lineRule="auto"/>
              <w:ind w:left="0" w:firstLine="0"/>
            </w:pPr>
          </w:p>
        </w:tc>
        <w:tc>
          <w:tcPr>
            <w:tcW w:w="362" w:type="dxa"/>
            <w:tcBorders>
              <w:top w:val="nil"/>
              <w:left w:val="nil"/>
              <w:bottom w:val="nil"/>
              <w:right w:val="nil"/>
            </w:tcBorders>
          </w:tcPr>
          <w:p w:rsidR="004D6F0E" w:rsidRDefault="00490F21">
            <w:pPr>
              <w:spacing w:after="0" w:line="259" w:lineRule="auto"/>
              <w:ind w:left="2" w:firstLine="0"/>
            </w:pPr>
            <w:r>
              <w:rPr>
                <w:rFonts w:ascii="Arial" w:eastAsia="Arial" w:hAnsi="Arial" w:cs="Arial"/>
                <w:sz w:val="18"/>
              </w:rPr>
              <w:t xml:space="preserve"> </w:t>
            </w:r>
          </w:p>
        </w:tc>
        <w:tc>
          <w:tcPr>
            <w:tcW w:w="751" w:type="dxa"/>
            <w:gridSpan w:val="2"/>
            <w:tcBorders>
              <w:top w:val="nil"/>
              <w:left w:val="nil"/>
              <w:bottom w:val="nil"/>
              <w:right w:val="nil"/>
            </w:tcBorders>
          </w:tcPr>
          <w:p w:rsidR="004D6F0E" w:rsidRDefault="004D6F0E">
            <w:pPr>
              <w:spacing w:after="160" w:line="259" w:lineRule="auto"/>
              <w:ind w:left="0" w:firstLine="0"/>
            </w:pPr>
          </w:p>
        </w:tc>
      </w:tr>
      <w:tr w:rsidR="004D6F0E">
        <w:tblPrEx>
          <w:tblCellMar>
            <w:top w:w="2" w:type="dxa"/>
            <w:right w:w="0" w:type="dxa"/>
          </w:tblCellMar>
        </w:tblPrEx>
        <w:trPr>
          <w:gridAfter w:val="1"/>
          <w:wAfter w:w="617" w:type="dxa"/>
          <w:trHeight w:val="972"/>
        </w:trPr>
        <w:tc>
          <w:tcPr>
            <w:tcW w:w="3857" w:type="dxa"/>
            <w:gridSpan w:val="2"/>
            <w:tcBorders>
              <w:top w:val="nil"/>
              <w:left w:val="nil"/>
              <w:bottom w:val="nil"/>
              <w:right w:val="nil"/>
            </w:tcBorders>
            <w:vAlign w:val="bottom"/>
          </w:tcPr>
          <w:p w:rsidR="004D6F0E" w:rsidRDefault="00490F21">
            <w:pPr>
              <w:tabs>
                <w:tab w:val="center" w:pos="3374"/>
              </w:tabs>
              <w:spacing w:after="0" w:line="259" w:lineRule="auto"/>
              <w:ind w:left="0" w:firstLine="0"/>
            </w:pPr>
            <w:r>
              <w:rPr>
                <w:rFonts w:ascii="Arial" w:eastAsia="Arial" w:hAnsi="Arial" w:cs="Arial"/>
                <w:sz w:val="18"/>
              </w:rPr>
              <w:t>*</w:t>
            </w: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p>
          <w:p w:rsidR="004D6F0E" w:rsidRDefault="00490F21">
            <w:pPr>
              <w:spacing w:line="259" w:lineRule="auto"/>
              <w:ind w:left="0" w:firstLine="0"/>
            </w:pPr>
            <w:r>
              <w:rPr>
                <w:rFonts w:ascii="Arial" w:eastAsia="Arial" w:hAnsi="Arial" w:cs="Arial"/>
                <w:sz w:val="16"/>
              </w:rPr>
              <w:t xml:space="preserve">** </w:t>
            </w:r>
            <w:r>
              <w:rPr>
                <w:sz w:val="16"/>
              </w:rPr>
              <w:t>可由管理公司全權酌情豁免。</w:t>
            </w:r>
            <w:r>
              <w:rPr>
                <w:rFonts w:ascii="Arial" w:eastAsia="Arial" w:hAnsi="Arial" w:cs="Arial"/>
                <w:sz w:val="16"/>
              </w:rPr>
              <w:t xml:space="preserve"> </w:t>
            </w:r>
          </w:p>
          <w:p w:rsidR="004D6F0E" w:rsidRDefault="00490F21">
            <w:pPr>
              <w:spacing w:after="0" w:line="259" w:lineRule="auto"/>
              <w:ind w:left="0" w:right="3812" w:firstLine="0"/>
            </w:pPr>
            <w:r>
              <w:rPr>
                <w:rFonts w:ascii="Arial" w:eastAsia="Arial" w:hAnsi="Arial" w:cs="Arial"/>
                <w:sz w:val="16"/>
              </w:rPr>
              <w:t xml:space="preserve">  </w:t>
            </w:r>
          </w:p>
        </w:tc>
        <w:tc>
          <w:tcPr>
            <w:tcW w:w="2801" w:type="dxa"/>
            <w:gridSpan w:val="3"/>
            <w:tcBorders>
              <w:top w:val="nil"/>
              <w:left w:val="nil"/>
              <w:bottom w:val="nil"/>
              <w:right w:val="nil"/>
            </w:tcBorders>
          </w:tcPr>
          <w:p w:rsidR="004D6F0E" w:rsidRDefault="00490F21">
            <w:pPr>
              <w:spacing w:after="0" w:line="259" w:lineRule="auto"/>
              <w:ind w:left="0" w:firstLine="0"/>
              <w:jc w:val="both"/>
            </w:pP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tc>
        <w:tc>
          <w:tcPr>
            <w:tcW w:w="1114" w:type="dxa"/>
            <w:tcBorders>
              <w:top w:val="nil"/>
              <w:left w:val="nil"/>
              <w:bottom w:val="nil"/>
              <w:right w:val="nil"/>
            </w:tcBorders>
          </w:tcPr>
          <w:p w:rsidR="004D6F0E" w:rsidRDefault="004D6F0E">
            <w:pPr>
              <w:spacing w:after="160" w:line="259" w:lineRule="auto"/>
              <w:ind w:left="0" w:firstLine="0"/>
            </w:pPr>
          </w:p>
        </w:tc>
        <w:tc>
          <w:tcPr>
            <w:tcW w:w="646" w:type="dxa"/>
            <w:tcBorders>
              <w:top w:val="nil"/>
              <w:left w:val="nil"/>
              <w:bottom w:val="nil"/>
              <w:right w:val="nil"/>
            </w:tcBorders>
          </w:tcPr>
          <w:p w:rsidR="004D6F0E" w:rsidRDefault="004D6F0E">
            <w:pPr>
              <w:spacing w:after="160" w:line="259" w:lineRule="auto"/>
              <w:ind w:left="0" w:firstLine="0"/>
            </w:pPr>
          </w:p>
        </w:tc>
        <w:tc>
          <w:tcPr>
            <w:tcW w:w="1051" w:type="dxa"/>
            <w:tcBorders>
              <w:top w:val="nil"/>
              <w:left w:val="nil"/>
              <w:bottom w:val="nil"/>
              <w:right w:val="nil"/>
            </w:tcBorders>
          </w:tcPr>
          <w:p w:rsidR="004D6F0E" w:rsidRDefault="004D6F0E">
            <w:pPr>
              <w:spacing w:after="160" w:line="259" w:lineRule="auto"/>
              <w:ind w:left="0" w:firstLine="0"/>
            </w:pPr>
          </w:p>
        </w:tc>
        <w:tc>
          <w:tcPr>
            <w:tcW w:w="362" w:type="dxa"/>
            <w:tcBorders>
              <w:top w:val="nil"/>
              <w:left w:val="nil"/>
              <w:bottom w:val="nil"/>
              <w:right w:val="nil"/>
            </w:tcBorders>
          </w:tcPr>
          <w:p w:rsidR="004D6F0E" w:rsidRDefault="004D6F0E">
            <w:pPr>
              <w:spacing w:after="160" w:line="259" w:lineRule="auto"/>
              <w:ind w:left="0" w:firstLine="0"/>
            </w:pPr>
          </w:p>
        </w:tc>
        <w:tc>
          <w:tcPr>
            <w:tcW w:w="751" w:type="dxa"/>
            <w:gridSpan w:val="2"/>
            <w:tcBorders>
              <w:top w:val="nil"/>
              <w:left w:val="nil"/>
              <w:bottom w:val="nil"/>
              <w:right w:val="nil"/>
            </w:tcBorders>
          </w:tcPr>
          <w:p w:rsidR="004D6F0E" w:rsidRDefault="004D6F0E">
            <w:pPr>
              <w:spacing w:after="160" w:line="259" w:lineRule="auto"/>
              <w:ind w:left="0" w:firstLine="0"/>
            </w:pPr>
          </w:p>
        </w:tc>
      </w:tr>
    </w:tbl>
    <w:p w:rsidR="004D6F0E" w:rsidRDefault="00490F21">
      <w:pPr>
        <w:spacing w:after="188" w:line="259" w:lineRule="auto"/>
        <w:ind w:right="86" w:hanging="10"/>
        <w:jc w:val="center"/>
      </w:pPr>
      <w:r>
        <w:rPr>
          <w:rFonts w:ascii="Times New Roman" w:eastAsia="Times New Roman" w:hAnsi="Times New Roman" w:cs="Times New Roman"/>
          <w:sz w:val="20"/>
        </w:rPr>
        <w:t xml:space="preserve">I-73 </w:t>
      </w:r>
    </w:p>
    <w:p w:rsidR="004D6F0E" w:rsidRDefault="00490F21">
      <w:pPr>
        <w:spacing w:after="271"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right="75" w:hanging="10"/>
        <w:jc w:val="right"/>
      </w:pPr>
      <w:r>
        <w:rPr>
          <w:sz w:val="18"/>
        </w:rPr>
        <w:t>聯博</w:t>
      </w:r>
      <w:r>
        <w:rPr>
          <w:rFonts w:ascii="Times New Roman" w:eastAsia="Times New Roman" w:hAnsi="Times New Roman" w:cs="Times New Roman"/>
          <w:sz w:val="18"/>
        </w:rPr>
        <w:t>—</w:t>
      </w:r>
      <w:r>
        <w:rPr>
          <w:sz w:val="18"/>
        </w:rPr>
        <w:t>歐洲收益基金</w:t>
      </w:r>
      <w:r>
        <w:rPr>
          <w:rFonts w:ascii="Arial" w:eastAsia="Arial" w:hAnsi="Arial" w:cs="Arial"/>
          <w:sz w:val="18"/>
        </w:rPr>
        <w:t xml:space="preserve"> </w:t>
      </w:r>
    </w:p>
    <w:tbl>
      <w:tblPr>
        <w:tblStyle w:val="TableGrid"/>
        <w:tblW w:w="11254" w:type="dxa"/>
        <w:tblInd w:w="0" w:type="dxa"/>
        <w:tblCellMar>
          <w:top w:w="0" w:type="dxa"/>
          <w:left w:w="0" w:type="dxa"/>
          <w:bottom w:w="0" w:type="dxa"/>
          <w:right w:w="0" w:type="dxa"/>
        </w:tblCellMar>
        <w:tblLook w:val="04A0" w:firstRow="1" w:lastRow="0" w:firstColumn="1" w:lastColumn="0" w:noHBand="0" w:noVBand="1"/>
      </w:tblPr>
      <w:tblGrid>
        <w:gridCol w:w="17983"/>
        <w:gridCol w:w="13697"/>
      </w:tblGrid>
      <w:tr w:rsidR="004D6F0E">
        <w:trPr>
          <w:trHeight w:val="605"/>
        </w:trPr>
        <w:tc>
          <w:tcPr>
            <w:tcW w:w="5904" w:type="dxa"/>
            <w:tcBorders>
              <w:top w:val="nil"/>
              <w:left w:val="nil"/>
              <w:bottom w:val="nil"/>
              <w:right w:val="nil"/>
            </w:tcBorders>
          </w:tcPr>
          <w:p w:rsidR="004D6F0E" w:rsidRDefault="00490F21">
            <w:pPr>
              <w:spacing w:after="8" w:line="259" w:lineRule="auto"/>
              <w:ind w:left="0" w:firstLine="0"/>
            </w:pPr>
            <w:r>
              <w:rPr>
                <w:rFonts w:ascii="SimSun" w:eastAsia="SimSun" w:hAnsi="SimSun" w:cs="SimSun"/>
              </w:rPr>
              <w:t xml:space="preserve"> </w:t>
            </w:r>
          </w:p>
          <w:p w:rsidR="004D6F0E" w:rsidRDefault="00490F21">
            <w:pPr>
              <w:spacing w:after="0" w:line="259" w:lineRule="auto"/>
              <w:ind w:left="0" w:firstLine="0"/>
            </w:pPr>
            <w:r>
              <w:rPr>
                <w:sz w:val="23"/>
              </w:rPr>
              <w:t>其他基金資料</w:t>
            </w:r>
            <w:r>
              <w:rPr>
                <w:rFonts w:ascii="Arial" w:eastAsia="Arial" w:hAnsi="Arial" w:cs="Arial"/>
                <w:sz w:val="23"/>
              </w:rPr>
              <w:t xml:space="preserve"> </w:t>
            </w:r>
          </w:p>
        </w:tc>
        <w:tc>
          <w:tcPr>
            <w:tcW w:w="5350" w:type="dxa"/>
            <w:tcBorders>
              <w:top w:val="nil"/>
              <w:left w:val="nil"/>
              <w:bottom w:val="nil"/>
              <w:right w:val="nil"/>
            </w:tcBorders>
          </w:tcPr>
          <w:p w:rsidR="004D6F0E" w:rsidRDefault="004D6F0E">
            <w:pPr>
              <w:spacing w:after="160" w:line="259" w:lineRule="auto"/>
              <w:ind w:left="0" w:firstLine="0"/>
            </w:pPr>
          </w:p>
        </w:tc>
      </w:tr>
      <w:tr w:rsidR="004D6F0E">
        <w:trPr>
          <w:trHeight w:val="9690"/>
        </w:trPr>
        <w:tc>
          <w:tcPr>
            <w:tcW w:w="5904" w:type="dxa"/>
            <w:tcBorders>
              <w:top w:val="nil"/>
              <w:left w:val="nil"/>
              <w:bottom w:val="nil"/>
              <w:right w:val="nil"/>
            </w:tcBorders>
            <w:vAlign w:val="bottom"/>
          </w:tcPr>
          <w:p w:rsidR="004D6F0E" w:rsidRDefault="00490F21">
            <w:pPr>
              <w:spacing w:after="72" w:line="259" w:lineRule="auto"/>
              <w:ind w:left="0" w:firstLine="0"/>
            </w:pPr>
            <w:r>
              <w:lastRenderedPageBreak/>
              <w:t>主要投資類別</w:t>
            </w:r>
            <w:r>
              <w:rPr>
                <w:rFonts w:ascii="Arial" w:eastAsia="Arial" w:hAnsi="Arial" w:cs="Arial"/>
                <w:b/>
              </w:rPr>
              <w:t xml:space="preserve"> </w:t>
            </w:r>
          </w:p>
          <w:p w:rsidR="004D6F0E" w:rsidRDefault="00490F21">
            <w:pPr>
              <w:spacing w:after="106" w:line="275" w:lineRule="auto"/>
              <w:ind w:left="0" w:right="720" w:firstLine="0"/>
              <w:jc w:val="both"/>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72" w:line="259" w:lineRule="auto"/>
              <w:ind w:left="0" w:firstLine="0"/>
            </w:pPr>
            <w:r>
              <w:t>風險資料</w:t>
            </w:r>
            <w:r>
              <w:rPr>
                <w:rFonts w:ascii="Arial" w:eastAsia="Arial" w:hAnsi="Arial" w:cs="Arial"/>
                <w:b/>
              </w:rPr>
              <w:t xml:space="preserve"> </w:t>
            </w:r>
          </w:p>
          <w:p w:rsidR="004D6F0E" w:rsidRDefault="00490F21">
            <w:pPr>
              <w:spacing w:after="103" w:line="270" w:lineRule="auto"/>
              <w:ind w:left="0" w:firstLine="0"/>
            </w:pPr>
            <w:r>
              <w:t>本基金將投資的固定收益證券須承受發售此等證券的私營及公營機構的信用風險，且其市場價值會受利率變動影響。由於本基金所投資的固定收益證券可能是低於投資級別的證券，本基金涉及的此類風險高於純粹投資於投資級別或具同等質素固定收益證券的基金。低於投資級別的證券所涉及的本息損失風險亦</w:t>
            </w:r>
            <w:r>
              <w:t>較大，其流動性普遍較差且價值波動較大。本基金不能保證會作出任何分派﹐而且本基金並無特定償還期。</w:t>
            </w:r>
            <w:r>
              <w:rPr>
                <w:rFonts w:ascii="Arial" w:eastAsia="Arial" w:hAnsi="Arial" w:cs="Arial"/>
              </w:rPr>
              <w:t xml:space="preserve"> </w:t>
            </w:r>
          </w:p>
          <w:p w:rsidR="004D6F0E" w:rsidRDefault="00490F21">
            <w:pPr>
              <w:spacing w:after="101" w:line="270" w:lineRule="auto"/>
              <w:ind w:left="0" w:firstLine="0"/>
            </w:pPr>
            <w:r>
              <w:t>本基金須承受市場、利率及貨幣波動及證券投資固有的其他風險。因此，不能保證投資目標將獲達致、投資資本將得以保全或資本得以增值。每月、每季或每年的投資業績均可能出現重大變化。本基金內的投資並非代表完整的投資計劃。</w:t>
            </w:r>
            <w:r>
              <w:rPr>
                <w:rFonts w:ascii="Arial" w:eastAsia="Arial" w:hAnsi="Arial" w:cs="Arial"/>
              </w:rPr>
              <w:t xml:space="preserve"> </w:t>
            </w:r>
          </w:p>
          <w:p w:rsidR="004D6F0E" w:rsidRDefault="00490F21">
            <w:pPr>
              <w:spacing w:after="106" w:line="274" w:lineRule="auto"/>
              <w:ind w:left="0" w:firstLine="0"/>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72" w:line="259" w:lineRule="auto"/>
              <w:ind w:left="0" w:firstLine="0"/>
            </w:pPr>
            <w:r>
              <w:t>典型投資者的資料</w:t>
            </w:r>
            <w:r>
              <w:rPr>
                <w:rFonts w:ascii="Arial" w:eastAsia="Arial" w:hAnsi="Arial" w:cs="Arial"/>
                <w:b/>
              </w:rPr>
              <w:t xml:space="preserve"> </w:t>
            </w:r>
          </w:p>
          <w:p w:rsidR="004D6F0E" w:rsidRDefault="00490F21">
            <w:pPr>
              <w:spacing w:after="102" w:line="270" w:lineRule="auto"/>
              <w:ind w:left="0" w:firstLine="0"/>
            </w:pPr>
            <w:r>
              <w:t>本基金適合尋求固定收益投資潛在收入且能承受較高風險的投資者。有關本基金是否適</w:t>
            </w:r>
            <w:r>
              <w:t>合其投資需要，投資者敬請諮詢其獨立財務顧問。</w:t>
            </w:r>
            <w:r>
              <w:rPr>
                <w:rFonts w:ascii="Arial" w:eastAsia="Arial" w:hAnsi="Arial" w:cs="Arial"/>
              </w:rPr>
              <w:t xml:space="preserve"> </w:t>
            </w:r>
          </w:p>
          <w:p w:rsidR="004D6F0E" w:rsidRDefault="00490F21">
            <w:pPr>
              <w:spacing w:after="76" w:line="259" w:lineRule="auto"/>
              <w:ind w:left="0" w:firstLine="0"/>
            </w:pPr>
            <w:r>
              <w:t>派息</w:t>
            </w:r>
            <w:r>
              <w:rPr>
                <w:rFonts w:ascii="Arial" w:eastAsia="Arial" w:hAnsi="Arial" w:cs="Arial"/>
                <w:b/>
              </w:rPr>
              <w:t xml:space="preserve"> </w:t>
            </w:r>
          </w:p>
          <w:p w:rsidR="004D6F0E" w:rsidRDefault="00490F21">
            <w:pPr>
              <w:spacing w:after="102" w:line="277" w:lineRule="auto"/>
              <w:ind w:left="0" w:firstLine="0"/>
            </w:pPr>
            <w:r>
              <w:t>就</w:t>
            </w:r>
            <w:r>
              <w:t xml:space="preserve"> </w:t>
            </w:r>
            <w:r>
              <w:rPr>
                <w:rFonts w:ascii="Arial" w:eastAsia="Arial" w:hAnsi="Arial" w:cs="Arial"/>
              </w:rPr>
              <w:t>A</w:t>
            </w:r>
            <w:r>
              <w:t>、</w:t>
            </w:r>
            <w:r>
              <w:rPr>
                <w:rFonts w:ascii="Arial" w:eastAsia="Arial" w:hAnsi="Arial" w:cs="Arial"/>
              </w:rPr>
              <w:t>B</w:t>
            </w:r>
            <w:r>
              <w:t>、</w:t>
            </w:r>
            <w:r>
              <w:rPr>
                <w:rFonts w:ascii="Arial" w:eastAsia="Arial" w:hAnsi="Arial" w:cs="Arial"/>
              </w:rPr>
              <w:t xml:space="preserve">C </w:t>
            </w:r>
            <w:r>
              <w:t>及</w:t>
            </w:r>
            <w:r>
              <w:t xml:space="preserve"> </w:t>
            </w:r>
            <w:r>
              <w:rPr>
                <w:rFonts w:ascii="Arial" w:eastAsia="Arial" w:hAnsi="Arial" w:cs="Arial"/>
              </w:rPr>
              <w:t xml:space="preserve">I </w:t>
            </w:r>
            <w:r>
              <w:t>類股份而言，管理公司擬按日宣派並按月派付股息，股息數額等於各類股份應佔本基金淨收入的全部或絕大部分。就</w:t>
            </w:r>
            <w:r>
              <w:t xml:space="preserve"> </w:t>
            </w:r>
            <w:r>
              <w:rPr>
                <w:rFonts w:ascii="Arial" w:eastAsia="Arial" w:hAnsi="Arial" w:cs="Arial"/>
              </w:rPr>
              <w:t>AT</w:t>
            </w:r>
            <w:r>
              <w:t>、</w:t>
            </w:r>
            <w:r>
              <w:rPr>
                <w:rFonts w:ascii="Arial" w:eastAsia="Arial" w:hAnsi="Arial" w:cs="Arial"/>
              </w:rPr>
              <w:t>CT</w:t>
            </w:r>
            <w:r>
              <w:t>、</w:t>
            </w:r>
            <w:r>
              <w:rPr>
                <w:rFonts w:ascii="Arial" w:eastAsia="Arial" w:hAnsi="Arial" w:cs="Arial"/>
              </w:rPr>
              <w:t>IT</w:t>
            </w:r>
            <w:r>
              <w:t>、</w:t>
            </w:r>
            <w:r>
              <w:rPr>
                <w:rFonts w:ascii="Arial" w:eastAsia="Arial" w:hAnsi="Arial" w:cs="Arial"/>
              </w:rPr>
              <w:t>NT</w:t>
            </w:r>
            <w:r>
              <w:t>、</w:t>
            </w:r>
            <w:r>
              <w:rPr>
                <w:rFonts w:ascii="Arial" w:eastAsia="Arial" w:hAnsi="Arial" w:cs="Arial"/>
              </w:rPr>
              <w:t xml:space="preserve">S1D </w:t>
            </w:r>
            <w:r>
              <w:t>及</w:t>
            </w:r>
            <w:r>
              <w:t xml:space="preserve"> </w:t>
            </w:r>
            <w:r>
              <w:rPr>
                <w:rFonts w:ascii="Arial" w:eastAsia="Arial" w:hAnsi="Arial" w:cs="Arial"/>
              </w:rPr>
              <w:t xml:space="preserve">WT </w:t>
            </w:r>
            <w:r>
              <w:t>類股份（及相應</w:t>
            </w:r>
            <w:r>
              <w:t xml:space="preserve"> </w:t>
            </w:r>
            <w:r>
              <w:rPr>
                <w:rFonts w:ascii="Arial" w:eastAsia="Arial" w:hAnsi="Arial" w:cs="Arial"/>
              </w:rPr>
              <w:t xml:space="preserve">H </w:t>
            </w:r>
            <w:r>
              <w:t>類股份）而言，管理公司擬按月宣派及派付股息，股息數額等於各類股份應佔本基金淨收入的全部或絕大部分。</w:t>
            </w:r>
            <w:r>
              <w:rPr>
                <w:rFonts w:ascii="Arial" w:eastAsia="Arial" w:hAnsi="Arial" w:cs="Arial"/>
              </w:rPr>
              <w:t xml:space="preserve"> </w:t>
            </w:r>
          </w:p>
          <w:p w:rsidR="004D6F0E" w:rsidRDefault="00490F21">
            <w:pPr>
              <w:spacing w:after="104" w:line="275" w:lineRule="auto"/>
              <w:ind w:left="0" w:right="341" w:firstLine="0"/>
            </w:pPr>
            <w:r>
              <w:t>就</w:t>
            </w:r>
            <w:r>
              <w:t xml:space="preserve"> </w:t>
            </w:r>
            <w:r>
              <w:rPr>
                <w:rFonts w:ascii="Arial" w:eastAsia="Arial" w:hAnsi="Arial" w:cs="Arial"/>
              </w:rPr>
              <w:t xml:space="preserve">AK </w:t>
            </w:r>
            <w:r>
              <w:t>及</w:t>
            </w:r>
            <w:r>
              <w:t xml:space="preserve"> </w:t>
            </w:r>
            <w:r>
              <w:rPr>
                <w:rFonts w:ascii="Arial" w:eastAsia="Arial" w:hAnsi="Arial" w:cs="Arial"/>
              </w:rPr>
              <w:t xml:space="preserve">CK </w:t>
            </w:r>
            <w:r>
              <w:t>類股份而言，管理公司擬每年兩次宣派及派付股息，股息數額等於各類股份應佔本基金淨收入的全部或絕大部分。</w:t>
            </w:r>
            <w:r>
              <w:rPr>
                <w:rFonts w:ascii="Arial" w:eastAsia="Arial" w:hAnsi="Arial" w:cs="Arial"/>
              </w:rPr>
              <w:t xml:space="preserve"> </w:t>
            </w:r>
          </w:p>
          <w:p w:rsidR="004D6F0E" w:rsidRDefault="00490F21">
            <w:pPr>
              <w:spacing w:after="0" w:line="259" w:lineRule="auto"/>
              <w:ind w:left="0" w:firstLine="0"/>
            </w:pPr>
            <w:r>
              <w:t>就</w:t>
            </w:r>
            <w:r>
              <w:t xml:space="preserve"> </w:t>
            </w:r>
            <w:r>
              <w:rPr>
                <w:rFonts w:ascii="Arial" w:eastAsia="Arial" w:hAnsi="Arial" w:cs="Arial"/>
              </w:rPr>
              <w:t>AA</w:t>
            </w:r>
            <w:r>
              <w:t>、</w:t>
            </w:r>
            <w:r>
              <w:rPr>
                <w:rFonts w:ascii="Arial" w:eastAsia="Arial" w:hAnsi="Arial" w:cs="Arial"/>
              </w:rPr>
              <w:t>IA</w:t>
            </w:r>
            <w:r>
              <w:t>、</w:t>
            </w:r>
            <w:r>
              <w:rPr>
                <w:rFonts w:ascii="Arial" w:eastAsia="Arial" w:hAnsi="Arial" w:cs="Arial"/>
              </w:rPr>
              <w:t xml:space="preserve">SA </w:t>
            </w:r>
            <w:r>
              <w:t>及</w:t>
            </w:r>
            <w:r>
              <w:t xml:space="preserve"> </w:t>
            </w:r>
            <w:r>
              <w:rPr>
                <w:rFonts w:ascii="Arial" w:eastAsia="Arial" w:hAnsi="Arial" w:cs="Arial"/>
              </w:rPr>
              <w:t xml:space="preserve">WA </w:t>
            </w:r>
            <w:r>
              <w:t>類股份（及相應</w:t>
            </w:r>
            <w:r>
              <w:t xml:space="preserve"> </w:t>
            </w:r>
            <w:r>
              <w:rPr>
                <w:rFonts w:ascii="Arial" w:eastAsia="Arial" w:hAnsi="Arial" w:cs="Arial"/>
              </w:rPr>
              <w:t xml:space="preserve">H </w:t>
            </w:r>
            <w:r>
              <w:t>類股份）而言，管理公司擬按月宣派及派付股息。就</w:t>
            </w:r>
            <w:r>
              <w:t xml:space="preserve"> </w:t>
            </w:r>
            <w:r>
              <w:rPr>
                <w:rFonts w:ascii="Arial" w:eastAsia="Arial" w:hAnsi="Arial" w:cs="Arial"/>
              </w:rPr>
              <w:t xml:space="preserve">SHK </w:t>
            </w:r>
            <w:r>
              <w:t>類股份（及相應</w:t>
            </w:r>
            <w:r>
              <w:t xml:space="preserve"> </w:t>
            </w:r>
            <w:r>
              <w:rPr>
                <w:rFonts w:ascii="Arial" w:eastAsia="Arial" w:hAnsi="Arial" w:cs="Arial"/>
              </w:rPr>
              <w:t xml:space="preserve">H </w:t>
            </w:r>
            <w:r>
              <w:t>類股份）而言，管理公司擬每日宣派及按月派付股息。管理公司擬保持</w:t>
            </w:r>
          </w:p>
        </w:tc>
        <w:tc>
          <w:tcPr>
            <w:tcW w:w="5350" w:type="dxa"/>
            <w:tcBorders>
              <w:top w:val="nil"/>
              <w:left w:val="nil"/>
              <w:bottom w:val="nil"/>
              <w:right w:val="nil"/>
            </w:tcBorders>
          </w:tcPr>
          <w:p w:rsidR="004D6F0E" w:rsidRDefault="00490F21">
            <w:pPr>
              <w:spacing w:after="99" w:line="272" w:lineRule="auto"/>
              <w:ind w:left="0" w:firstLine="0"/>
            </w:pPr>
            <w:r>
              <w:t>每股有關股份類別的穩定的派息率。就</w:t>
            </w:r>
            <w:r>
              <w:t xml:space="preserve"> </w:t>
            </w:r>
            <w:r>
              <w:rPr>
                <w:rFonts w:ascii="Arial" w:eastAsia="Arial" w:hAnsi="Arial" w:cs="Arial"/>
              </w:rPr>
              <w:t xml:space="preserve">AR </w:t>
            </w:r>
            <w:r>
              <w:t>類股份（及相應</w:t>
            </w:r>
            <w:r>
              <w:t xml:space="preserve"> </w:t>
            </w:r>
            <w:r>
              <w:rPr>
                <w:rFonts w:ascii="Arial" w:eastAsia="Arial" w:hAnsi="Arial" w:cs="Arial"/>
              </w:rPr>
              <w:t xml:space="preserve">H </w:t>
            </w:r>
            <w:r>
              <w:t>類股份）而言，管理公司擬按年宣派及派付股息。派息率將來自未扣除費用及開支前的總收入，派息亦可包括已實現及未實現的收益及有關股份類別應佔的資本。由於費用及開</w:t>
            </w:r>
            <w:r>
              <w:t>支未令派息率降低，故每股有關類別股份的資產淨值將因有關費用及開支而降低。</w:t>
            </w:r>
            <w:r>
              <w:rPr>
                <w:rFonts w:ascii="Arial" w:eastAsia="Arial" w:hAnsi="Arial" w:cs="Arial"/>
              </w:rPr>
              <w:t xml:space="preserve"> </w:t>
            </w:r>
          </w:p>
          <w:p w:rsidR="004D6F0E" w:rsidRDefault="00490F21">
            <w:pPr>
              <w:spacing w:after="110" w:line="270" w:lineRule="auto"/>
              <w:ind w:left="0" w:firstLine="0"/>
            </w:pPr>
            <w:r>
              <w:t>管理公司也可決定支付的股息是否包括或在多大程度上包括已實現資本收益及／或是否或在多大程度上從相關股份類別應佔的資本中支付。倘此等股份應佔的淨收入及淨實現利潤超出應付的已宣派數額，則超出的回報將於此等股份各自的資產淨值中反映。股息可按股東的選擇自動再投資。</w:t>
            </w:r>
            <w:r>
              <w:rPr>
                <w:rFonts w:ascii="Arial" w:eastAsia="Arial" w:hAnsi="Arial" w:cs="Arial"/>
              </w:rPr>
              <w:t xml:space="preserve"> </w:t>
            </w:r>
          </w:p>
          <w:p w:rsidR="004D6F0E" w:rsidRDefault="00490F21">
            <w:pPr>
              <w:spacing w:after="100" w:line="273" w:lineRule="auto"/>
              <w:ind w:left="0" w:firstLine="0"/>
            </w:pPr>
            <w:r>
              <w:t>就</w:t>
            </w:r>
            <w:r>
              <w:t xml:space="preserve"> </w:t>
            </w:r>
            <w:r>
              <w:rPr>
                <w:rFonts w:ascii="Arial" w:eastAsia="Arial" w:hAnsi="Arial" w:cs="Arial"/>
              </w:rPr>
              <w:t>A2</w:t>
            </w:r>
            <w:r>
              <w:t>、</w:t>
            </w:r>
            <w:r>
              <w:rPr>
                <w:rFonts w:ascii="Arial" w:eastAsia="Arial" w:hAnsi="Arial" w:cs="Arial"/>
              </w:rPr>
              <w:t>B2</w:t>
            </w:r>
            <w:r>
              <w:t>、</w:t>
            </w:r>
            <w:r>
              <w:rPr>
                <w:rFonts w:ascii="Arial" w:eastAsia="Arial" w:hAnsi="Arial" w:cs="Arial"/>
              </w:rPr>
              <w:t>C2</w:t>
            </w:r>
            <w:r>
              <w:t>、</w:t>
            </w:r>
            <w:r>
              <w:rPr>
                <w:rFonts w:ascii="Arial" w:eastAsia="Arial" w:hAnsi="Arial" w:cs="Arial"/>
              </w:rPr>
              <w:t>I2</w:t>
            </w:r>
            <w:r>
              <w:t>、</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W2 </w:t>
            </w:r>
            <w:r>
              <w:t>類股份（及相應</w:t>
            </w:r>
            <w:r>
              <w:t xml:space="preserve"> </w:t>
            </w:r>
            <w:r>
              <w:rPr>
                <w:rFonts w:ascii="Arial" w:eastAsia="Arial" w:hAnsi="Arial" w:cs="Arial"/>
              </w:rPr>
              <w:t xml:space="preserve">H </w:t>
            </w:r>
            <w:r>
              <w:t>類股份）而言，管理公司現時無意就此等股份派付股息。因此，股份應佔的任何淨收入及淨實現利潤均將於此等股份各自的資</w:t>
            </w:r>
            <w:r>
              <w:t>產淨值中反映。</w:t>
            </w:r>
            <w:r>
              <w:rPr>
                <w:rFonts w:ascii="Arial" w:eastAsia="Arial" w:hAnsi="Arial" w:cs="Arial"/>
              </w:rPr>
              <w:t xml:space="preserve"> </w:t>
            </w:r>
          </w:p>
          <w:p w:rsidR="004D6F0E" w:rsidRDefault="00490F21">
            <w:pPr>
              <w:spacing w:after="79" w:line="259" w:lineRule="auto"/>
              <w:ind w:left="0" w:firstLine="0"/>
            </w:pPr>
            <w:r>
              <w:t>管理公司、行政管理人、存管人及過戶代理費用</w:t>
            </w:r>
            <w:r>
              <w:rPr>
                <w:rFonts w:ascii="Arial" w:eastAsia="Arial" w:hAnsi="Arial" w:cs="Arial"/>
                <w:b/>
              </w:rPr>
              <w:t xml:space="preserve"> </w:t>
            </w:r>
          </w:p>
          <w:p w:rsidR="004D6F0E" w:rsidRDefault="00490F21">
            <w:pPr>
              <w:spacing w:after="93" w:line="281" w:lineRule="auto"/>
              <w:ind w:left="0" w:right="165" w:firstLine="0"/>
              <w:jc w:val="both"/>
            </w:pPr>
            <w:r>
              <w:t>就除</w:t>
            </w:r>
            <w:r>
              <w:t xml:space="preserve"> </w:t>
            </w:r>
            <w:r>
              <w:rPr>
                <w:rFonts w:ascii="Arial" w:eastAsia="Arial" w:hAnsi="Arial" w:cs="Arial"/>
              </w:rPr>
              <w:t>S</w:t>
            </w:r>
            <w:r>
              <w:t>、</w:t>
            </w:r>
            <w:r>
              <w:rPr>
                <w:rFonts w:ascii="Arial" w:eastAsia="Arial" w:hAnsi="Arial" w:cs="Arial"/>
              </w:rPr>
              <w:t>SHK</w:t>
            </w:r>
            <w:r>
              <w:t>、</w:t>
            </w:r>
            <w:r>
              <w:rPr>
                <w:rFonts w:ascii="Arial" w:eastAsia="Arial" w:hAnsi="Arial" w:cs="Arial"/>
              </w:rPr>
              <w:t>S1</w:t>
            </w:r>
            <w:r>
              <w:t>、</w:t>
            </w:r>
            <w:r>
              <w:rPr>
                <w:rFonts w:ascii="Arial" w:eastAsia="Arial" w:hAnsi="Arial" w:cs="Arial"/>
              </w:rPr>
              <w:t xml:space="preserve">S1D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0.10%</w:t>
            </w:r>
            <w:r>
              <w:t>。管理公司按</w:t>
            </w:r>
            <w:r>
              <w:t xml:space="preserve"> </w:t>
            </w:r>
            <w:r>
              <w:rPr>
                <w:rFonts w:ascii="Arial" w:eastAsia="Arial" w:hAnsi="Arial" w:cs="Arial"/>
              </w:rPr>
              <w:t>S</w:t>
            </w:r>
            <w:r>
              <w:t>、</w:t>
            </w:r>
            <w:r>
              <w:rPr>
                <w:rFonts w:ascii="Arial" w:eastAsia="Arial" w:hAnsi="Arial" w:cs="Arial"/>
              </w:rPr>
              <w:t>SHK</w:t>
            </w:r>
            <w:r>
              <w:t>、</w:t>
            </w:r>
            <w:r>
              <w:rPr>
                <w:rFonts w:ascii="Arial" w:eastAsia="Arial" w:hAnsi="Arial" w:cs="Arial"/>
              </w:rPr>
              <w:t>S1</w:t>
            </w:r>
            <w:r>
              <w:t>、</w:t>
            </w:r>
            <w:r>
              <w:rPr>
                <w:rFonts w:ascii="Arial" w:eastAsia="Arial" w:hAnsi="Arial" w:cs="Arial"/>
              </w:rPr>
              <w:t xml:space="preserve">S1D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美元或日均資產淨值的</w:t>
            </w:r>
            <w:r>
              <w:t xml:space="preserve"> </w:t>
            </w:r>
            <w:r>
              <w:rPr>
                <w:rFonts w:ascii="Arial" w:eastAsia="Arial" w:hAnsi="Arial" w:cs="Arial"/>
              </w:rPr>
              <w:t>0.01%</w:t>
            </w:r>
            <w:r>
              <w:t>（以較低者為準）。</w:t>
            </w:r>
            <w:r>
              <w:rPr>
                <w:rFonts w:ascii="Arial" w:eastAsia="Arial" w:hAnsi="Arial" w:cs="Arial"/>
              </w:rPr>
              <w:t xml:space="preserve"> </w:t>
            </w:r>
          </w:p>
          <w:p w:rsidR="004D6F0E" w:rsidRDefault="00490F21">
            <w:pPr>
              <w:spacing w:after="0" w:line="276" w:lineRule="auto"/>
              <w:ind w:left="0" w:firstLine="0"/>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w:t>
            </w:r>
          </w:p>
          <w:p w:rsidR="004D6F0E" w:rsidRDefault="00490F21">
            <w:pPr>
              <w:spacing w:after="114" w:line="259" w:lineRule="auto"/>
              <w:ind w:left="0" w:firstLine="0"/>
            </w:pPr>
            <w:r>
              <w:t>此等費用的增減是取決於本基金資產及交易量或其他原因。</w:t>
            </w:r>
            <w:r>
              <w:rPr>
                <w:rFonts w:ascii="Arial" w:eastAsia="Arial" w:hAnsi="Arial" w:cs="Arial"/>
              </w:rPr>
              <w:t xml:space="preserve"> </w:t>
            </w:r>
          </w:p>
          <w:p w:rsidR="004D6F0E" w:rsidRDefault="00490F21">
            <w:pPr>
              <w:spacing w:after="72" w:line="259" w:lineRule="auto"/>
              <w:ind w:left="0" w:firstLine="0"/>
            </w:pPr>
            <w:r>
              <w:t>設立開支</w:t>
            </w:r>
            <w:r>
              <w:rPr>
                <w:rFonts w:ascii="Arial" w:eastAsia="Arial" w:hAnsi="Arial" w:cs="Arial"/>
                <w:b/>
              </w:rPr>
              <w:t xml:space="preserve"> </w:t>
            </w:r>
          </w:p>
          <w:p w:rsidR="004D6F0E" w:rsidRDefault="00490F21">
            <w:pPr>
              <w:spacing w:after="112" w:line="259" w:lineRule="auto"/>
              <w:ind w:left="0" w:firstLine="0"/>
            </w:pPr>
            <w:r>
              <w:t>本基金並無未攤銷設立開支。</w:t>
            </w:r>
            <w:r>
              <w:rPr>
                <w:rFonts w:ascii="Arial" w:eastAsia="Arial" w:hAnsi="Arial" w:cs="Arial"/>
              </w:rPr>
              <w:t xml:space="preserve"> </w:t>
            </w:r>
          </w:p>
          <w:p w:rsidR="004D6F0E" w:rsidRDefault="00490F21">
            <w:pPr>
              <w:spacing w:after="81" w:line="259" w:lineRule="auto"/>
              <w:ind w:left="0" w:firstLine="0"/>
            </w:pPr>
            <w:r>
              <w:t>過往表現</w:t>
            </w:r>
            <w:r>
              <w:rPr>
                <w:rFonts w:ascii="Arial" w:eastAsia="Arial" w:hAnsi="Arial" w:cs="Arial"/>
                <w:b/>
              </w:rPr>
              <w:t xml:space="preserve"> </w:t>
            </w:r>
          </w:p>
          <w:p w:rsidR="004D6F0E" w:rsidRDefault="00490F21">
            <w:pPr>
              <w:spacing w:after="120" w:line="259" w:lineRule="auto"/>
              <w:ind w:left="0" w:firstLine="0"/>
              <w:jc w:val="both"/>
            </w:pPr>
            <w:r>
              <w:t>有關本基金過往表現的資料可瀏覽</w:t>
            </w:r>
            <w:r>
              <w:t xml:space="preserve"> </w:t>
            </w:r>
            <w:hyperlink r:id="rId213">
              <w:r>
                <w:rPr>
                  <w:rFonts w:ascii="Arial" w:eastAsia="Arial" w:hAnsi="Arial" w:cs="Arial"/>
                  <w:color w:val="0000FF"/>
                  <w:u w:val="single" w:color="0000FF"/>
                </w:rPr>
                <w:t>www.alliancebernstein.com</w:t>
              </w:r>
            </w:hyperlink>
            <w:hyperlink r:id="rId214">
              <w:r>
                <w:t>。</w:t>
              </w:r>
            </w:hyperlink>
            <w:r>
              <w:rPr>
                <w:rFonts w:ascii="Arial" w:eastAsia="Arial" w:hAnsi="Arial" w:cs="Arial"/>
              </w:rPr>
              <w:t xml:space="preserve"> </w:t>
            </w:r>
          </w:p>
          <w:p w:rsidR="004D6F0E" w:rsidRDefault="00490F21">
            <w:pPr>
              <w:spacing w:after="72" w:line="259" w:lineRule="auto"/>
              <w:ind w:left="0" w:firstLine="0"/>
            </w:pPr>
            <w:r>
              <w:t>歷史</w:t>
            </w:r>
            <w:r>
              <w:rPr>
                <w:rFonts w:ascii="Arial" w:eastAsia="Arial" w:hAnsi="Arial" w:cs="Arial"/>
                <w:b/>
              </w:rPr>
              <w:t xml:space="preserve"> </w:t>
            </w:r>
          </w:p>
          <w:p w:rsidR="004D6F0E" w:rsidRDefault="00490F21">
            <w:pPr>
              <w:spacing w:after="0" w:line="259" w:lineRule="auto"/>
              <w:ind w:left="0" w:firstLine="0"/>
            </w:pPr>
            <w:r>
              <w:t>本基金於一九九九年二月二十六日設立，作為本傘子基金下的基</w:t>
            </w:r>
            <w:r>
              <w:rPr>
                <w:sz w:val="20"/>
              </w:rPr>
              <w:t>金</w:t>
            </w:r>
            <w:r>
              <w:t>。</w:t>
            </w:r>
          </w:p>
        </w:tc>
      </w:tr>
    </w:tbl>
    <w:p w:rsidR="004D6F0E" w:rsidRDefault="00490F21">
      <w:pPr>
        <w:spacing w:after="3" w:line="259" w:lineRule="auto"/>
        <w:ind w:right="86" w:hanging="10"/>
        <w:jc w:val="center"/>
      </w:pPr>
      <w:r>
        <w:rPr>
          <w:rFonts w:ascii="Times New Roman" w:eastAsia="Times New Roman" w:hAnsi="Times New Roman" w:cs="Times New Roman"/>
          <w:sz w:val="20"/>
        </w:rPr>
        <w:t xml:space="preserve">I-74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1017" w:firstLine="0"/>
      </w:pPr>
      <w:r>
        <w:rPr>
          <w:rFonts w:ascii="Arial" w:eastAsia="Arial" w:hAnsi="Arial" w:cs="Arial"/>
          <w:sz w:val="12"/>
        </w:rPr>
        <w:t xml:space="preserve">    </w:t>
      </w:r>
    </w:p>
    <w:p w:rsidR="004D6F0E" w:rsidRDefault="004D6F0E">
      <w:pPr>
        <w:sectPr w:rsidR="004D6F0E">
          <w:headerReference w:type="even" r:id="rId215"/>
          <w:headerReference w:type="default" r:id="rId216"/>
          <w:footerReference w:type="even" r:id="rId217"/>
          <w:footerReference w:type="default" r:id="rId218"/>
          <w:headerReference w:type="first" r:id="rId219"/>
          <w:footerReference w:type="first" r:id="rId220"/>
          <w:pgSz w:w="12240" w:h="15840"/>
          <w:pgMar w:top="749" w:right="638" w:bottom="354" w:left="432" w:header="720" w:footer="720" w:gutter="0"/>
          <w:cols w:space="720"/>
          <w:titlePg/>
        </w:sectPr>
      </w:pPr>
    </w:p>
    <w:p w:rsidR="004D6F0E" w:rsidRDefault="00490F21">
      <w:pPr>
        <w:spacing w:after="103" w:line="231" w:lineRule="auto"/>
        <w:ind w:left="0" w:right="5660" w:firstLine="0"/>
      </w:pPr>
      <w:r>
        <w:rPr>
          <w:rFonts w:ascii="Arial" w:eastAsia="Arial" w:hAnsi="Arial" w:cs="Arial"/>
          <w:sz w:val="20"/>
        </w:rPr>
        <w:t xml:space="preserve"> </w:t>
      </w:r>
      <w:r>
        <w:rPr>
          <w:rFonts w:ascii="SimSun" w:eastAsia="SimSun" w:hAnsi="SimSun" w:cs="SimSun"/>
          <w:sz w:val="20"/>
        </w:rPr>
        <w:t xml:space="preserve"> </w:t>
      </w:r>
    </w:p>
    <w:p w:rsidR="004D6F0E" w:rsidRDefault="00490F21">
      <w:pPr>
        <w:pStyle w:val="Heading2"/>
        <w:ind w:left="8"/>
      </w:pPr>
      <w:r>
        <w:t>聯博</w:t>
      </w:r>
      <w:r>
        <w:rPr>
          <w:rFonts w:ascii="Arial" w:eastAsia="Arial" w:hAnsi="Arial" w:cs="Arial"/>
        </w:rPr>
        <w:t>—</w:t>
      </w:r>
      <w:r>
        <w:t>新興市場債券基金</w:t>
      </w:r>
      <w:r>
        <w:rPr>
          <w:rFonts w:ascii="Arial" w:eastAsia="Arial" w:hAnsi="Arial" w:cs="Arial"/>
        </w:rPr>
        <w:t xml:space="preserve"> </w:t>
      </w:r>
    </w:p>
    <w:p w:rsidR="004D6F0E" w:rsidRDefault="00490F21">
      <w:pPr>
        <w:pStyle w:val="Heading3"/>
        <w:ind w:left="14"/>
      </w:pPr>
      <w:r>
        <w:t>投資目標及政策</w:t>
      </w:r>
      <w:r>
        <w:rPr>
          <w:rFonts w:ascii="Arial" w:eastAsia="Arial" w:hAnsi="Arial" w:cs="Arial"/>
        </w:rPr>
        <w:t xml:space="preserve"> </w:t>
      </w:r>
    </w:p>
    <w:p w:rsidR="004D6F0E" w:rsidRDefault="00490F21">
      <w:pPr>
        <w:spacing w:after="63"/>
        <w:ind w:left="11" w:right="2"/>
      </w:pPr>
      <w:r>
        <w:t>投資目標</w:t>
      </w:r>
      <w:r>
        <w:rPr>
          <w:rFonts w:ascii="Arial" w:eastAsia="Arial" w:hAnsi="Arial" w:cs="Arial"/>
          <w:b/>
        </w:rPr>
        <w:t xml:space="preserve"> </w:t>
      </w:r>
    </w:p>
    <w:p w:rsidR="004D6F0E" w:rsidRDefault="00490F21">
      <w:pPr>
        <w:spacing w:after="103"/>
        <w:ind w:left="11" w:right="197"/>
      </w:pPr>
      <w:r>
        <w:lastRenderedPageBreak/>
        <w:t>本基金的投資目標是透過價格增值及收益以最大程度獲得總回報。</w:t>
      </w:r>
      <w:r>
        <w:rPr>
          <w:rFonts w:ascii="Arial" w:eastAsia="Arial" w:hAnsi="Arial" w:cs="Arial"/>
        </w:rPr>
        <w:t xml:space="preserve"> </w:t>
      </w:r>
    </w:p>
    <w:p w:rsidR="004D6F0E" w:rsidRDefault="00490F21">
      <w:pPr>
        <w:spacing w:after="123"/>
        <w:ind w:left="11" w:right="2"/>
      </w:pPr>
      <w:r>
        <w:t>投資規則和程序</w:t>
      </w:r>
      <w:r>
        <w:rPr>
          <w:rFonts w:ascii="Arial" w:eastAsia="Arial" w:hAnsi="Arial" w:cs="Arial"/>
          <w:b/>
        </w:rPr>
        <w:t xml:space="preserve"> </w:t>
      </w:r>
    </w:p>
    <w:p w:rsidR="004D6F0E" w:rsidRDefault="00490F21">
      <w:pPr>
        <w:spacing w:after="122"/>
        <w:ind w:left="11" w:right="2"/>
      </w:pPr>
      <w:r>
        <w:t>一般。投資管理人相信，環球債券市場之所以低效遲緩，是因為投資者情緒的影響、市場錯綜複雜以及投資日程相互衝突。投資管理人結合定量預測和信貸及經濟基本面研究，尋求利用此等低效遲緩狀況。</w:t>
      </w:r>
      <w:r>
        <w:rPr>
          <w:rFonts w:ascii="Arial" w:eastAsia="Arial" w:hAnsi="Arial" w:cs="Arial"/>
        </w:rPr>
        <w:t xml:space="preserve"> </w:t>
      </w:r>
    </w:p>
    <w:p w:rsidR="004D6F0E" w:rsidRDefault="00490F21">
      <w:pPr>
        <w:spacing w:after="119"/>
        <w:ind w:left="11" w:right="2"/>
      </w:pPr>
      <w:r>
        <w:t>投資策略。聯博的新興市場債券策略結合國家選擇、貨幣配置、產業分析和證券選擇，尋求獲得超過基準指標的回報率。本基金於國家債務及非美國公司固定收益證券的投資，主要為包含在</w:t>
      </w:r>
      <w:r>
        <w:t xml:space="preserve"> </w:t>
      </w:r>
      <w:r>
        <w:rPr>
          <w:rFonts w:ascii="Arial" w:eastAsia="Arial" w:hAnsi="Arial" w:cs="Arial"/>
        </w:rPr>
        <w:t>J.P.</w:t>
      </w:r>
      <w:r>
        <w:t>摩根新興市場環球債券指數的國家或購買時被視為新興市場或發展中國家的投資。本基金至少三分之二的總資產投資於國家債務和準國家債務（即超國家機構和其他政府相關</w:t>
      </w:r>
      <w:r>
        <w:t>實體發行的債券）。</w:t>
      </w:r>
      <w:r>
        <w:rPr>
          <w:rFonts w:ascii="Arial" w:eastAsia="Arial" w:hAnsi="Arial" w:cs="Arial"/>
        </w:rPr>
        <w:t xml:space="preserve"> </w:t>
      </w:r>
    </w:p>
    <w:p w:rsidR="004D6F0E" w:rsidRDefault="00490F21">
      <w:pPr>
        <w:spacing w:after="124"/>
        <w:ind w:left="11" w:right="2"/>
      </w:pPr>
      <w:r>
        <w:t>本基金非多元基金，即本基金可將更多資產投資於少數發行人。</w:t>
      </w:r>
      <w:r>
        <w:rPr>
          <w:rFonts w:ascii="Arial" w:eastAsia="Arial" w:hAnsi="Arial" w:cs="Arial"/>
        </w:rPr>
        <w:t xml:space="preserve"> </w:t>
      </w:r>
    </w:p>
    <w:p w:rsidR="004D6F0E" w:rsidRDefault="00490F21">
      <w:pPr>
        <w:spacing w:after="127"/>
        <w:ind w:left="11" w:right="2"/>
      </w:pPr>
      <w:r>
        <w:t>投資政策</w:t>
      </w:r>
      <w:r>
        <w:rPr>
          <w:rFonts w:ascii="Arial" w:eastAsia="Arial" w:hAnsi="Arial" w:cs="Arial"/>
        </w:rPr>
        <w:t xml:space="preserve"> </w:t>
      </w:r>
    </w:p>
    <w:p w:rsidR="004D6F0E" w:rsidRDefault="00490F21">
      <w:pPr>
        <w:spacing w:after="102" w:line="273" w:lineRule="auto"/>
        <w:ind w:left="14" w:right="575"/>
        <w:jc w:val="both"/>
      </w:pPr>
      <w:r>
        <w:t>投資管理人預期，任何時候本基金至少有</w:t>
      </w:r>
      <w:r>
        <w:t xml:space="preserve"> </w:t>
      </w:r>
      <w:r>
        <w:rPr>
          <w:rFonts w:ascii="Arial" w:eastAsia="Arial" w:hAnsi="Arial" w:cs="Arial"/>
        </w:rPr>
        <w:t>80%</w:t>
      </w:r>
      <w:r>
        <w:t>的總資產投資於新興市場債務證券，而在任何情況下，本基金投資於該等證券的總資產將不會少於其總資產的三分之二。根據世界銀行的定義，新興市場國家指按人均國民總收入計算，收入不高的國家（若要獲得世界銀行此等國家的列單，請瀏覽：</w:t>
      </w:r>
      <w:hyperlink r:id="rId221">
        <w:r>
          <w:rPr>
            <w:rFonts w:ascii="Arial" w:eastAsia="Arial" w:hAnsi="Arial" w:cs="Arial"/>
            <w:color w:val="0000FF"/>
            <w:u w:val="single" w:color="0000FF"/>
          </w:rPr>
          <w:t xml:space="preserve">http://siteresourc </w:t>
        </w:r>
      </w:hyperlink>
      <w:hyperlink r:id="rId222">
        <w:r>
          <w:rPr>
            <w:rFonts w:ascii="Arial" w:eastAsia="Arial" w:hAnsi="Arial" w:cs="Arial"/>
            <w:color w:val="0000FF"/>
            <w:u w:val="single" w:color="0000FF"/>
          </w:rPr>
          <w:t xml:space="preserve">es.worldbank.org/DATASTATISTICS/Resources/CLASS.XLS </w:t>
        </w:r>
      </w:hyperlink>
      <w:r>
        <w:t>）。此外，本基金會將不超過其總資產的</w:t>
      </w:r>
      <w:r>
        <w:t xml:space="preserve"> </w:t>
      </w:r>
      <w:r>
        <w:rPr>
          <w:rFonts w:ascii="Arial" w:eastAsia="Arial" w:hAnsi="Arial" w:cs="Arial"/>
        </w:rPr>
        <w:t>25%</w:t>
      </w:r>
      <w:r>
        <w:t>投資於可換股債券，將不超過其總資產的</w:t>
      </w:r>
      <w:r>
        <w:t xml:space="preserve"> </w:t>
      </w:r>
      <w:r>
        <w:rPr>
          <w:rFonts w:ascii="Arial" w:eastAsia="Arial" w:hAnsi="Arial" w:cs="Arial"/>
        </w:rPr>
        <w:t>30%</w:t>
      </w:r>
      <w:r>
        <w:t>投資於貨幣市場工具，以及將不超過其總資產的</w:t>
      </w:r>
      <w:r>
        <w:t xml:space="preserve"> </w:t>
      </w:r>
      <w:r>
        <w:rPr>
          <w:rFonts w:ascii="Arial" w:eastAsia="Arial" w:hAnsi="Arial" w:cs="Arial"/>
        </w:rPr>
        <w:t>10%</w:t>
      </w:r>
      <w:r>
        <w:t>投資於股本證券。本基金可持有的固定收益證券及其他資產</w:t>
      </w:r>
      <w:r>
        <w:rPr>
          <w:rFonts w:ascii="Arial" w:eastAsia="Arial" w:hAnsi="Arial" w:cs="Arial"/>
        </w:rPr>
        <w:t xml:space="preserve"> </w:t>
      </w:r>
      <w:r>
        <w:t>（包括現金）可能會以不同貨幣計價。本基金可投資於多種多樣發行人及保薦人發行的結構式證券（包括投資級別和非投資級別證券</w:t>
      </w:r>
      <w:r>
        <w:t>）。</w:t>
      </w:r>
      <w:r>
        <w:rPr>
          <w:rFonts w:ascii="Arial" w:eastAsia="Arial" w:hAnsi="Arial" w:cs="Arial"/>
        </w:rPr>
        <w:t xml:space="preserve"> </w:t>
      </w:r>
    </w:p>
    <w:p w:rsidR="004D6F0E" w:rsidRDefault="00490F21">
      <w:pPr>
        <w:spacing w:after="121"/>
        <w:ind w:left="11" w:right="2"/>
      </w:pPr>
      <w:r>
        <w:t>金融衍生工具／有效基金管理技術。投資管理人實施本基金投資策略時，或會使用範圍廣泛的衍生產品和策略。此等金融衍生工具可能包括但不限於：掉期合約（包括利率掉期合約（「</w:t>
      </w:r>
      <w:r>
        <w:rPr>
          <w:rFonts w:ascii="Arial" w:eastAsia="Arial" w:hAnsi="Arial" w:cs="Arial"/>
        </w:rPr>
        <w:t>IRS</w:t>
      </w:r>
      <w:r>
        <w:t>」）、總回報掉期合約（「</w:t>
      </w:r>
      <w:r>
        <w:rPr>
          <w:rFonts w:ascii="Arial" w:eastAsia="Arial" w:hAnsi="Arial" w:cs="Arial"/>
        </w:rPr>
        <w:t>TRS</w:t>
      </w:r>
      <w:r>
        <w:t>」）和信用違約掉期合約（「</w:t>
      </w:r>
      <w:r>
        <w:rPr>
          <w:rFonts w:ascii="Arial" w:eastAsia="Arial" w:hAnsi="Arial" w:cs="Arial"/>
        </w:rPr>
        <w:t>CDS</w:t>
      </w:r>
      <w:r>
        <w:t>」））、掉期期權、期權、期貨和貨幣交易（包括遠期貨幣合約）。金融衍生工具（包</w:t>
      </w:r>
      <w:r>
        <w:t>括場外市場衍生工具和交易所交易的金融衍生工具）及有效基金管理技術可用於以下目的：</w:t>
      </w:r>
      <w:r>
        <w:rPr>
          <w:rFonts w:ascii="Arial" w:eastAsia="Arial" w:hAnsi="Arial" w:cs="Arial"/>
        </w:rPr>
        <w:t xml:space="preserve">(i) </w:t>
      </w:r>
      <w:r>
        <w:t>用作直接投資於相關投資的替代性投資，</w:t>
      </w:r>
      <w:r>
        <w:rPr>
          <w:rFonts w:ascii="Arial" w:eastAsia="Arial" w:hAnsi="Arial" w:cs="Arial"/>
        </w:rPr>
        <w:t>(ii)</w:t>
      </w:r>
      <w:r>
        <w:t>管理存續期，</w:t>
      </w:r>
      <w:r>
        <w:rPr>
          <w:rFonts w:ascii="Arial" w:eastAsia="Arial" w:hAnsi="Arial" w:cs="Arial"/>
        </w:rPr>
        <w:t>(iii)</w:t>
      </w:r>
      <w:r>
        <w:t>對沖利率、信貸和貨幣波動，及</w:t>
      </w:r>
      <w:r>
        <w:rPr>
          <w:rFonts w:ascii="Arial" w:eastAsia="Arial" w:hAnsi="Arial" w:cs="Arial"/>
        </w:rPr>
        <w:t>(iii)</w:t>
      </w:r>
      <w:r>
        <w:t>有效基</w:t>
      </w:r>
      <w:r>
        <w:t>金管理用途。就</w:t>
      </w:r>
      <w:r>
        <w:t xml:space="preserve"> </w:t>
      </w:r>
      <w:r>
        <w:rPr>
          <w:rFonts w:ascii="Arial" w:eastAsia="Arial" w:hAnsi="Arial" w:cs="Arial"/>
        </w:rPr>
        <w:t xml:space="preserve">CDS </w:t>
      </w:r>
      <w:r>
        <w:t>而言，本基金既可「賣出」保障性工具，以便增加投資，也可「買進」保障性工具，以便對沖信貸風險。</w:t>
      </w:r>
      <w:r>
        <w:rPr>
          <w:rFonts w:ascii="Arial" w:eastAsia="Arial" w:hAnsi="Arial" w:cs="Arial"/>
        </w:rPr>
        <w:t xml:space="preserve"> </w:t>
      </w:r>
    </w:p>
    <w:p w:rsidR="004D6F0E" w:rsidRDefault="00490F21">
      <w:pPr>
        <w:spacing w:after="30"/>
        <w:ind w:left="11" w:right="2"/>
      </w:pPr>
      <w:r>
        <w:t>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I-75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tbl>
      <w:tblPr>
        <w:tblStyle w:val="TableGrid"/>
        <w:tblW w:w="5030" w:type="dxa"/>
        <w:tblInd w:w="5"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626"/>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94" w:line="239" w:lineRule="auto"/>
        <w:ind w:left="0" w:right="5315" w:firstLine="0"/>
      </w:pPr>
      <w:r>
        <w:rPr>
          <w:rFonts w:ascii="Arial" w:eastAsia="Arial" w:hAnsi="Arial" w:cs="Arial"/>
          <w:b/>
          <w:sz w:val="10"/>
        </w:rPr>
        <w:t xml:space="preserve">  </w:t>
      </w:r>
    </w:p>
    <w:p w:rsidR="004D6F0E" w:rsidRDefault="00490F21">
      <w:pPr>
        <w:spacing w:after="120"/>
        <w:ind w:left="11" w:right="2"/>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：有關金融衍生工具、金融技術及工具以及抵押品管理的額外資料」。槓桿手段。在實施本基金的投資策略時，投資管理人預期不會使用銀行借貸。本基金的預期槓桿水平預計將為其資產淨值的</w:t>
      </w:r>
      <w:r>
        <w:t xml:space="preserve"> </w:t>
      </w:r>
      <w:r>
        <w:rPr>
          <w:rFonts w:ascii="Arial" w:eastAsia="Arial" w:hAnsi="Arial" w:cs="Arial"/>
        </w:rPr>
        <w:t xml:space="preserve">0% </w:t>
      </w:r>
      <w:r>
        <w:t>至</w:t>
      </w:r>
      <w:r>
        <w:t xml:space="preserve"> </w:t>
      </w:r>
      <w:r>
        <w:rPr>
          <w:rFonts w:ascii="Arial" w:eastAsia="Arial" w:hAnsi="Arial" w:cs="Arial"/>
        </w:rPr>
        <w:t>100%</w:t>
      </w:r>
      <w:r>
        <w:t>之間。預期槓桿水平乃按本基金所持金融衍生工具的名義金額總值計算。根據日期為二零一一年五月三十日的盧森堡金融業監管委員會（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號公告，此計算方法並不計及特定金融衍生工具增加或減少本基金投資風險的情況，亦不允許以反向持倉對銷金融衍生工具。股東應注意：</w:t>
      </w:r>
      <w:r>
        <w:rPr>
          <w:rFonts w:ascii="Arial" w:eastAsia="Arial" w:hAnsi="Arial" w:cs="Arial"/>
        </w:rPr>
        <w:t>(i)</w:t>
      </w:r>
      <w:r>
        <w:t>預期槓桿水平較高不一定表示投資風險水平較高及</w:t>
      </w:r>
      <w:r>
        <w:rPr>
          <w:rFonts w:ascii="Arial" w:eastAsia="Arial" w:hAnsi="Arial" w:cs="Arial"/>
        </w:rPr>
        <w:lastRenderedPageBreak/>
        <w:t>(ii)</w:t>
      </w:r>
      <w:r>
        <w:t>上述預期槓桿水平主要乃由使用衍生工具作對沖用途或有效基金管理而產生。此外，本基金的實際槓桿可能會偏離上述的預期槓桿水平。</w:t>
      </w:r>
      <w:r>
        <w:rPr>
          <w:rFonts w:ascii="Arial" w:eastAsia="Arial" w:hAnsi="Arial" w:cs="Arial"/>
        </w:rPr>
        <w:t xml:space="preserve"> </w:t>
      </w:r>
    </w:p>
    <w:p w:rsidR="004D6F0E" w:rsidRDefault="00490F21">
      <w:pPr>
        <w:spacing w:after="128" w:line="273" w:lineRule="auto"/>
        <w:ind w:left="14" w:right="41"/>
        <w:jc w:val="both"/>
      </w:pPr>
      <w:r>
        <w:t>風險度量。投資管理人將使用風險值（「</w:t>
      </w:r>
      <w:r>
        <w:rPr>
          <w:rFonts w:ascii="Arial" w:eastAsia="Arial" w:hAnsi="Arial" w:cs="Arial"/>
        </w:rPr>
        <w:t>VaR</w:t>
      </w:r>
      <w:r>
        <w:t>」）方法來監測本基金的</w:t>
      </w:r>
      <w:r>
        <w:t>全球風險（市場風險）。本基金的全球風險乃根據絕對</w:t>
      </w:r>
      <w:r>
        <w:t xml:space="preserve"> </w:t>
      </w: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r>
        <w:t xml:space="preserve"> </w:t>
      </w:r>
      <w:r>
        <w:rPr>
          <w:rFonts w:ascii="Arial" w:eastAsia="Arial" w:hAnsi="Arial" w:cs="Arial"/>
        </w:rPr>
        <w:t>20%</w:t>
      </w:r>
      <w:r>
        <w:t>。</w:t>
      </w:r>
      <w:r>
        <w:rPr>
          <w:rFonts w:ascii="Arial" w:eastAsia="Arial" w:hAnsi="Arial" w:cs="Arial"/>
        </w:rPr>
        <w:t xml:space="preserve"> </w:t>
      </w:r>
    </w:p>
    <w:p w:rsidR="004D6F0E" w:rsidRDefault="00490F21">
      <w:pPr>
        <w:spacing w:after="121"/>
        <w:ind w:left="11" w:right="2"/>
      </w:pPr>
      <w:r>
        <w:rPr>
          <w:rFonts w:ascii="Arial" w:eastAsia="Arial" w:hAnsi="Arial" w:cs="Arial"/>
        </w:rPr>
        <w:t xml:space="preserve">VaR </w:t>
      </w:r>
      <w:r>
        <w:t>方法計及所屬資產的現有價值、對手方風險、可預見的市場變動以及可供實現本基金投資部位的時間等因素，以便估算某項投資組合的潛在損失水平。</w:t>
      </w:r>
      <w:r>
        <w:rPr>
          <w:rFonts w:ascii="Arial" w:eastAsia="Arial" w:hAnsi="Arial" w:cs="Arial"/>
        </w:rPr>
        <w:t xml:space="preserve"> </w:t>
      </w:r>
    </w:p>
    <w:p w:rsidR="004D6F0E" w:rsidRDefault="00490F21">
      <w:pPr>
        <w:ind w:left="11" w:right="2"/>
      </w:pPr>
      <w:r>
        <w:t>基準。本基金的基準為摩根大通全球新興市場債券多元化指數。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19"/>
        <w:ind w:left="11" w:right="2"/>
      </w:pPr>
      <w:r>
        <w:t>結構化投資。本基金可投資於多種多樣發行人及保薦人發行的結構式證券（包括投資級別和非投資級別證券）。結構式證券可包括非機構類（即私人發行的）按揭擔保證券（「</w:t>
      </w:r>
      <w:r>
        <w:rPr>
          <w:rFonts w:ascii="Arial" w:eastAsia="Arial" w:hAnsi="Arial" w:cs="Arial"/>
        </w:rPr>
        <w:t>MBS</w:t>
      </w:r>
      <w:r>
        <w:t>」）和可調整利率按揭證券（「</w:t>
      </w:r>
      <w:r>
        <w:rPr>
          <w:rFonts w:ascii="Arial" w:eastAsia="Arial" w:hAnsi="Arial" w:cs="Arial"/>
        </w:rPr>
        <w:t>ARMS</w:t>
      </w:r>
      <w:r>
        <w:t>」）及抵押按</w:t>
      </w:r>
      <w:r>
        <w:t>揭債務（「</w:t>
      </w:r>
      <w:r>
        <w:rPr>
          <w:rFonts w:ascii="Arial" w:eastAsia="Arial" w:hAnsi="Arial" w:cs="Arial"/>
        </w:rPr>
        <w:t>CMO</w:t>
      </w:r>
      <w:r>
        <w:t>」），還有其他資產擔保證券（「</w:t>
      </w:r>
      <w:r>
        <w:rPr>
          <w:rFonts w:ascii="Arial" w:eastAsia="Arial" w:hAnsi="Arial" w:cs="Arial"/>
        </w:rPr>
        <w:t>ABS</w:t>
      </w:r>
      <w:r>
        <w:t>」）、商業抵押擔保證券（「</w:t>
      </w:r>
      <w:r>
        <w:rPr>
          <w:rFonts w:ascii="Arial" w:eastAsia="Arial" w:hAnsi="Arial" w:cs="Arial"/>
        </w:rPr>
        <w:t>CMBS</w:t>
      </w:r>
      <w:r>
        <w:t>」）和抵押債務（「</w:t>
      </w:r>
      <w:r>
        <w:rPr>
          <w:rFonts w:ascii="Arial" w:eastAsia="Arial" w:hAnsi="Arial" w:cs="Arial"/>
        </w:rPr>
        <w:t>CDOs</w:t>
      </w:r>
      <w:r>
        <w:t>」）及相關金融衍生工具和貨幣。信貸質素。本基金的資產可投資於投資級別及低於投資級別的證券，該等證券可包括最低評級的非次級債券工具及具有相等投資品質的無評級證券。投資管理人目前預期，本基金中的大部分資產（任何時候均可超過總資產的</w:t>
      </w:r>
      <w:r>
        <w:t xml:space="preserve"> </w:t>
      </w:r>
      <w:r>
        <w:rPr>
          <w:rFonts w:ascii="Arial" w:eastAsia="Arial" w:hAnsi="Arial" w:cs="Arial"/>
        </w:rPr>
        <w:t>50%</w:t>
      </w:r>
      <w:r>
        <w:t>）可投資於非投資級別證券。</w:t>
      </w:r>
      <w:r>
        <w:rPr>
          <w:rFonts w:ascii="Arial" w:eastAsia="Arial" w:hAnsi="Arial" w:cs="Arial"/>
          <w:b/>
        </w:rPr>
        <w:t xml:space="preserve"> </w:t>
      </w:r>
    </w:p>
    <w:p w:rsidR="004D6F0E" w:rsidRDefault="00490F21">
      <w:pPr>
        <w:ind w:left="11" w:right="2"/>
      </w:pPr>
      <w:r>
        <w:t>期限和存續期。投資管理人預期，本基金投資的平均加權償還期通常將介乎九年至三十年之間。</w:t>
      </w:r>
      <w:r>
        <w:rPr>
          <w:rFonts w:ascii="Arial" w:eastAsia="Arial" w:hAnsi="Arial" w:cs="Arial"/>
        </w:rPr>
        <w:t xml:space="preserve"> </w:t>
      </w:r>
    </w:p>
    <w:p w:rsidR="004D6F0E" w:rsidRDefault="004D6F0E">
      <w:pPr>
        <w:sectPr w:rsidR="004D6F0E">
          <w:type w:val="continuous"/>
          <w:pgSz w:w="12240" w:h="15840"/>
          <w:pgMar w:top="1440" w:right="561" w:bottom="1440" w:left="432" w:header="720" w:footer="720" w:gutter="0"/>
          <w:cols w:num="2" w:space="720" w:equalWidth="0">
            <w:col w:w="5759" w:space="145"/>
            <w:col w:w="5343"/>
          </w:cols>
        </w:sectPr>
      </w:pPr>
    </w:p>
    <w:p w:rsidR="004D6F0E" w:rsidRDefault="00490F21">
      <w:pPr>
        <w:spacing w:after="121"/>
        <w:ind w:left="11" w:right="2"/>
      </w:pPr>
      <w:r>
        <w:lastRenderedPageBreak/>
        <w:t>集中投資於</w:t>
      </w:r>
      <w:r>
        <w:t>某個國家。本基金最多可將其</w:t>
      </w:r>
      <w:r>
        <w:t xml:space="preserve"> </w:t>
      </w:r>
      <w:r>
        <w:rPr>
          <w:rFonts w:ascii="Arial" w:eastAsia="Arial" w:hAnsi="Arial" w:cs="Arial"/>
        </w:rPr>
        <w:t>30%</w:t>
      </w:r>
      <w:r>
        <w:t>的淨資產投資於一個國家。</w:t>
      </w:r>
      <w:r>
        <w:rPr>
          <w:rFonts w:ascii="Arial" w:eastAsia="Arial" w:hAnsi="Arial" w:cs="Arial"/>
        </w:rPr>
        <w:t xml:space="preserve"> </w:t>
      </w:r>
    </w:p>
    <w:p w:rsidR="004D6F0E" w:rsidRDefault="00490F21">
      <w:pPr>
        <w:spacing w:after="123"/>
        <w:ind w:left="11" w:right="2"/>
      </w:pPr>
      <w:r>
        <w:t>貨幣管理</w:t>
      </w:r>
      <w:r>
        <w:rPr>
          <w:rFonts w:ascii="Arial" w:eastAsia="Arial" w:hAnsi="Arial" w:cs="Arial"/>
          <w:b/>
        </w:rPr>
        <w:t xml:space="preserve"> </w:t>
      </w:r>
    </w:p>
    <w:p w:rsidR="004D6F0E" w:rsidRDefault="00490F21">
      <w:pPr>
        <w:spacing w:after="125"/>
        <w:ind w:left="11" w:right="2"/>
      </w:pPr>
      <w:r>
        <w:t>本基金通常投資於以美元計價的國家債務以及美國及非美國公司的固定收益證券。投資管理人有可能根據其研究所顯示的預期風險／回報特點調整本基金的貨幣風險及／或投資於任何貨幣。本基金可投資非美元計價的固定收益證券；但是，投資管理人有意限制本基金的貨幣風險：</w:t>
      </w:r>
      <w:r>
        <w:rPr>
          <w:rFonts w:ascii="Arial" w:eastAsia="Arial" w:hAnsi="Arial" w:cs="Arial"/>
        </w:rPr>
        <w:t>(i)</w:t>
      </w:r>
      <w:r>
        <w:t>就任何單一非美元貨幣而言，限制設於</w:t>
      </w:r>
      <w:r>
        <w:t xml:space="preserve"> </w:t>
      </w:r>
      <w:r>
        <w:rPr>
          <w:rFonts w:ascii="Arial" w:eastAsia="Arial" w:hAnsi="Arial" w:cs="Arial"/>
        </w:rPr>
        <w:t>5%</w:t>
      </w:r>
      <w:r>
        <w:t>以內及</w:t>
      </w:r>
      <w:r>
        <w:rPr>
          <w:rFonts w:ascii="Arial" w:eastAsia="Arial" w:hAnsi="Arial" w:cs="Arial"/>
        </w:rPr>
        <w:t>(ii)</w:t>
      </w:r>
      <w:r>
        <w:t>就合計非美元貨幣而言，限制設於</w:t>
      </w:r>
      <w:r>
        <w:t xml:space="preserve"> </w:t>
      </w:r>
      <w:r>
        <w:rPr>
          <w:rFonts w:ascii="Arial" w:eastAsia="Arial" w:hAnsi="Arial" w:cs="Arial"/>
        </w:rPr>
        <w:t xml:space="preserve">20% </w:t>
      </w:r>
      <w:r>
        <w:t>以內。</w:t>
      </w:r>
      <w:r>
        <w:rPr>
          <w:rFonts w:ascii="Arial" w:eastAsia="Arial" w:hAnsi="Arial" w:cs="Arial"/>
        </w:rPr>
        <w:t xml:space="preserve"> </w:t>
      </w:r>
    </w:p>
    <w:p w:rsidR="004D6F0E" w:rsidRDefault="00490F21">
      <w:pPr>
        <w:spacing w:after="122"/>
        <w:ind w:left="11" w:right="2"/>
      </w:pPr>
      <w:r>
        <w:t>匯聚型投資工具。本基金亦最多可將其淨資產的</w:t>
      </w:r>
      <w:r>
        <w:t xml:space="preserve"> </w:t>
      </w:r>
      <w:r>
        <w:rPr>
          <w:rFonts w:ascii="Arial" w:eastAsia="Arial" w:hAnsi="Arial" w:cs="Arial"/>
        </w:rPr>
        <w:t>10%</w:t>
      </w:r>
      <w:r>
        <w:t>投資於投資管理人保薦的匯聚型投資</w:t>
      </w:r>
      <w:r>
        <w:t>工具，以便更有效地管理其資產，也便於建立某些資產類別的投資部位。</w:t>
      </w:r>
      <w:r>
        <w:rPr>
          <w:rFonts w:ascii="Arial" w:eastAsia="Arial" w:hAnsi="Arial" w:cs="Arial"/>
        </w:rPr>
        <w:t xml:space="preserve"> </w:t>
      </w:r>
    </w:p>
    <w:p w:rsidR="004D6F0E" w:rsidRDefault="00490F21">
      <w:pPr>
        <w:spacing w:after="67"/>
        <w:ind w:left="11" w:right="2"/>
      </w:pPr>
      <w:r>
        <w:t>其他投資政策</w:t>
      </w:r>
      <w:r>
        <w:rPr>
          <w:rFonts w:ascii="Arial" w:eastAsia="Arial" w:hAnsi="Arial" w:cs="Arial"/>
          <w:b/>
        </w:rPr>
        <w:t xml:space="preserve"> </w:t>
      </w:r>
    </w:p>
    <w:p w:rsidR="004D6F0E" w:rsidRDefault="00490F21">
      <w:pPr>
        <w:spacing w:after="102" w:line="273" w:lineRule="auto"/>
        <w:ind w:left="14" w:right="41"/>
        <w:jc w:val="both"/>
      </w:pPr>
      <w:r>
        <w:t>缺乏流動性。本基金最多可將淨資產的</w:t>
      </w:r>
      <w:r>
        <w:t xml:space="preserve"> </w:t>
      </w:r>
      <w:r>
        <w:rPr>
          <w:rFonts w:ascii="Arial" w:eastAsia="Arial" w:hAnsi="Arial" w:cs="Arial"/>
        </w:rPr>
        <w:t>10%</w:t>
      </w:r>
      <w:r>
        <w:t>投資於缺乏流動性的證券。見第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段。本基金可能難以隨時出售該等證券。此外，轉售該等證券可能會有合約限制。此外，其他類證券須受此</w:t>
      </w:r>
      <w:r>
        <w:t xml:space="preserve"> </w:t>
      </w:r>
      <w:r>
        <w:rPr>
          <w:rFonts w:ascii="Arial" w:eastAsia="Arial" w:hAnsi="Arial" w:cs="Arial"/>
        </w:rPr>
        <w:t>10%</w:t>
      </w:r>
      <w:r>
        <w:t>的限制所規限。</w:t>
      </w:r>
      <w:r>
        <w:rPr>
          <w:rFonts w:ascii="Arial" w:eastAsia="Arial" w:hAnsi="Arial" w:cs="Arial"/>
        </w:rPr>
        <w:t xml:space="preserve"> </w:t>
      </w:r>
    </w:p>
    <w:p w:rsidR="004D6F0E" w:rsidRDefault="00490F21">
      <w:pPr>
        <w:spacing w:after="102"/>
        <w:ind w:left="11" w:right="2"/>
      </w:pPr>
      <w:r>
        <w:t>防守性持倉</w:t>
      </w:r>
      <w:r>
        <w:rPr>
          <w:rFonts w:ascii="Arial" w:eastAsia="Arial" w:hAnsi="Arial" w:cs="Arial"/>
          <w:b/>
        </w:rPr>
        <w:t xml:space="preserve"> — </w:t>
      </w:r>
      <w:r>
        <w:t>持有現金或現金等價物。作為暫時性的防守策略或為準備資金贖回證券或在預計不同國際市場追加投資，本基金可持有現金或現金等價物（以美元或其他貨幣計價）及短期固定收益證券（包括貨幣市場證券）。</w:t>
      </w:r>
      <w:r>
        <w:rPr>
          <w:rFonts w:ascii="Arial" w:eastAsia="Arial" w:hAnsi="Arial" w:cs="Arial"/>
        </w:rPr>
        <w:t xml:space="preserve"> </w:t>
      </w:r>
    </w:p>
    <w:p w:rsidR="004D6F0E" w:rsidRDefault="00490F21">
      <w:pPr>
        <w:spacing w:after="49" w:line="327" w:lineRule="auto"/>
        <w:ind w:left="11" w:right="2"/>
      </w:pPr>
      <w:r>
        <w:t>本基金可持有的固定收益證券及其他資產（包括現金）可能會以不同貨幣計價。貨幣對沖股份類別</w:t>
      </w:r>
      <w:r>
        <w:rPr>
          <w:rFonts w:ascii="Arial" w:eastAsia="Arial" w:hAnsi="Arial" w:cs="Arial"/>
        </w:rPr>
        <w:t xml:space="preserve"> </w:t>
      </w:r>
    </w:p>
    <w:p w:rsidR="004D6F0E" w:rsidRDefault="00490F21">
      <w:pPr>
        <w:spacing w:after="79"/>
        <w:ind w:left="11" w:right="2"/>
      </w:pPr>
      <w:r>
        <w:t>用某種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計及交易成本等實際</w:t>
      </w:r>
      <w:r>
        <w:t>考量因素，為投資者提供與本基金基準貨幣回報率更具相關性的回報率。採用的對沖策略在設計上是爲</w:t>
      </w:r>
      <w:r>
        <w:t>了降低（但未必消除）本基金基準貨幣和發售貨幣之間的貨幣風險。貨幣對沖股份類別並不影響本基金所屬資產的投資管理，因為用發售貨幣對沖的只是貨幣對沖股份類別的資產淨值，而非本基金所屬資產。此類對沖活動引起的開支由引起該項開支的貨幣對沖股份類別承擔。</w:t>
      </w:r>
      <w:r>
        <w:rPr>
          <w:rFonts w:ascii="Arial" w:eastAsia="Arial" w:hAnsi="Arial" w:cs="Arial"/>
        </w:rPr>
        <w:t xml:space="preserve"> </w:t>
      </w:r>
    </w:p>
    <w:p w:rsidR="004D6F0E" w:rsidRDefault="00490F21">
      <w:pPr>
        <w:ind w:left="11" w:right="2"/>
      </w:pPr>
      <w:r>
        <w:t>與人民幣對沖股份類別掛鈎的風險因素。自二零零五年起，人民幣匯率不再與美元掛鈎。人民幣現已轉為參照一籃子外幣並基於市場供應及需求，採用受管控浮動匯率制度。人民幣於銀行間外匯市場兌</w:t>
      </w:r>
      <w:r>
        <w:t>其他主要貨幣的每日買賣價可在中國人民銀行公佈的中間價附近窄幅浮動。從離岸人民幣兌換為在岸人民幣的人民幣可兌換性是一個受管控的貨幣流程，須遵守中國政府在與香港金融管理局（香港金管局）的協調下頒佈的外匯管制政策及匯回限制。由於多個因素，離岸人民幣的價值可能會與在岸人民幣的價值相異而有關差異可能重大，該等因素包括但不限於中國政府不時實施的外匯管制政策及匯回限制以及其他外部市場力量。</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自二零零五年起，中國政府實施的外匯管制政策已導致人民幣（包括離岸人民幣及在岸人民幣）整體升值。有關升值情況可能會亦可能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97"/>
        <w:ind w:left="11" w:right="2"/>
      </w:pPr>
      <w:r>
        <w:rPr>
          <w:rFonts w:ascii="Arial" w:eastAsia="Arial" w:hAnsi="Arial" w:cs="Arial"/>
        </w:rPr>
        <w:t xml:space="preserve">H </w:t>
      </w:r>
      <w:r>
        <w:t>人民幣股份參與離岸人民幣市場，允許投資者在中國內地以外與香港市場內的核准銀行（獲香港金管局核准的銀行）自由交易離岸人民幣。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sz w:val="20"/>
        </w:rPr>
        <w:t xml:space="preserve"> </w:t>
      </w:r>
    </w:p>
    <w:p w:rsidR="004D6F0E" w:rsidRDefault="00490F21">
      <w:pPr>
        <w:ind w:left="11" w:right="2"/>
      </w:pPr>
      <w:r>
        <w:t>負責任投資。本基金整合</w:t>
      </w:r>
      <w:r>
        <w:t xml:space="preserve"> </w:t>
      </w:r>
      <w:r>
        <w:rPr>
          <w:rFonts w:ascii="Arial" w:eastAsia="Arial" w:hAnsi="Arial" w:cs="Arial"/>
        </w:rPr>
        <w:t xml:space="preserve">ESG </w:t>
      </w:r>
      <w:r>
        <w:t>考慮因素。本基金應用若干排除條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223">
        <w:r>
          <w:rPr>
            <w:rFonts w:ascii="Arial" w:eastAsia="Arial" w:hAnsi="Arial" w:cs="Arial"/>
            <w:color w:val="0000FF"/>
            <w:u w:val="single" w:color="0000FF"/>
          </w:rPr>
          <w:t>www.alliancebernstein.com/go/</w:t>
        </w:r>
      </w:hyperlink>
    </w:p>
    <w:p w:rsidR="004D6F0E" w:rsidRDefault="00490F21">
      <w:pPr>
        <w:spacing w:after="15" w:line="254" w:lineRule="auto"/>
        <w:ind w:left="8" w:hanging="10"/>
      </w:pPr>
      <w:hyperlink r:id="rId224">
        <w:r>
          <w:rPr>
            <w:rFonts w:ascii="Arial" w:eastAsia="Arial" w:hAnsi="Arial" w:cs="Arial"/>
            <w:color w:val="0000FF"/>
            <w:u w:val="single" w:color="0000FF"/>
          </w:rPr>
          <w:t>ABFCPIExclusionChart</w:t>
        </w:r>
      </w:hyperlink>
      <w:hyperlink r:id="rId225">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本基金將可持續性風險整合在投資決策之中（更多資料請參閱</w:t>
      </w:r>
    </w:p>
    <w:p w:rsidR="004D6F0E" w:rsidRDefault="00490F21">
      <w:pPr>
        <w:ind w:left="11" w:right="2"/>
      </w:pPr>
      <w:r>
        <w:t>「</w:t>
      </w:r>
      <w:r>
        <w:rPr>
          <w:rFonts w:ascii="Arial" w:eastAsia="Arial" w:hAnsi="Arial" w:cs="Arial"/>
        </w:rPr>
        <w:t xml:space="preserve">SFDR </w:t>
      </w:r>
      <w:r>
        <w:t>訂約前披露」）。</w:t>
      </w:r>
    </w:p>
    <w:p w:rsidR="004D6F0E" w:rsidRDefault="004D6F0E">
      <w:pPr>
        <w:sectPr w:rsidR="004D6F0E">
          <w:headerReference w:type="even" r:id="rId226"/>
          <w:headerReference w:type="default" r:id="rId227"/>
          <w:footerReference w:type="even" r:id="rId228"/>
          <w:footerReference w:type="default" r:id="rId229"/>
          <w:headerReference w:type="first" r:id="rId230"/>
          <w:footerReference w:type="first" r:id="rId231"/>
          <w:pgSz w:w="12240" w:h="15840"/>
          <w:pgMar w:top="1440" w:right="672" w:bottom="1440" w:left="432" w:header="746" w:footer="406" w:gutter="0"/>
          <w:cols w:num="2" w:space="672"/>
        </w:sectPr>
      </w:pPr>
    </w:p>
    <w:p w:rsidR="004D6F0E" w:rsidRDefault="00490F21">
      <w:pPr>
        <w:pStyle w:val="Heading3"/>
        <w:spacing w:after="11"/>
        <w:ind w:left="14"/>
      </w:pPr>
      <w:r>
        <w:lastRenderedPageBreak/>
        <w:t>摘要資料</w:t>
      </w:r>
      <w:r>
        <w:rPr>
          <w:rFonts w:ascii="Arial" w:eastAsia="Arial" w:hAnsi="Arial" w:cs="Arial"/>
        </w:rPr>
        <w:t xml:space="preserve"> </w:t>
      </w:r>
    </w:p>
    <w:p w:rsidR="004D6F0E" w:rsidRDefault="00490F21">
      <w:pPr>
        <w:spacing w:after="28" w:line="259" w:lineRule="auto"/>
        <w:ind w:left="-14" w:right="-110" w:firstLine="0"/>
      </w:pPr>
      <w:r>
        <w:rPr>
          <w:rFonts w:ascii="Calibri" w:eastAsia="Calibri" w:hAnsi="Calibri" w:cs="Calibri"/>
          <w:noProof/>
          <w:sz w:val="22"/>
        </w:rPr>
        <mc:AlternateContent>
          <mc:Choice Requires="wpg">
            <w:drawing>
              <wp:inline distT="0" distB="0" distL="0" distR="0">
                <wp:extent cx="7200900" cy="18288"/>
                <wp:effectExtent l="0" t="0" r="0" b="0"/>
                <wp:docPr id="550533" name="Group 550533"/>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8381" name="Shape 658381"/>
                        <wps:cNvSpPr/>
                        <wps:spPr>
                          <a:xfrm>
                            <a:off x="0" y="0"/>
                            <a:ext cx="1275588" cy="18288"/>
                          </a:xfrm>
                          <a:custGeom>
                            <a:avLst/>
                            <a:gdLst/>
                            <a:ahLst/>
                            <a:cxnLst/>
                            <a:rect l="0" t="0" r="0" b="0"/>
                            <a:pathLst>
                              <a:path w="1275588" h="18288">
                                <a:moveTo>
                                  <a:pt x="0" y="0"/>
                                </a:moveTo>
                                <a:lnTo>
                                  <a:pt x="1275588" y="0"/>
                                </a:lnTo>
                                <a:lnTo>
                                  <a:pt x="12755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2" name="Shape 658382"/>
                        <wps:cNvSpPr/>
                        <wps:spPr>
                          <a:xfrm>
                            <a:off x="12755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3" name="Shape 658383"/>
                        <wps:cNvSpPr/>
                        <wps:spPr>
                          <a:xfrm>
                            <a:off x="1293876" y="0"/>
                            <a:ext cx="1868424" cy="18288"/>
                          </a:xfrm>
                          <a:custGeom>
                            <a:avLst/>
                            <a:gdLst/>
                            <a:ahLst/>
                            <a:cxnLst/>
                            <a:rect l="0" t="0" r="0" b="0"/>
                            <a:pathLst>
                              <a:path w="1868424" h="18288">
                                <a:moveTo>
                                  <a:pt x="0" y="0"/>
                                </a:moveTo>
                                <a:lnTo>
                                  <a:pt x="1868424" y="0"/>
                                </a:lnTo>
                                <a:lnTo>
                                  <a:pt x="1868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4" name="Shape 658384"/>
                        <wps:cNvSpPr/>
                        <wps:spPr>
                          <a:xfrm>
                            <a:off x="31623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5" name="Shape 658385"/>
                        <wps:cNvSpPr/>
                        <wps:spPr>
                          <a:xfrm>
                            <a:off x="3180588" y="0"/>
                            <a:ext cx="163055" cy="18288"/>
                          </a:xfrm>
                          <a:custGeom>
                            <a:avLst/>
                            <a:gdLst/>
                            <a:ahLst/>
                            <a:cxnLst/>
                            <a:rect l="0" t="0" r="0" b="0"/>
                            <a:pathLst>
                              <a:path w="163055" h="18288">
                                <a:moveTo>
                                  <a:pt x="0" y="0"/>
                                </a:moveTo>
                                <a:lnTo>
                                  <a:pt x="163055" y="0"/>
                                </a:lnTo>
                                <a:lnTo>
                                  <a:pt x="16305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6" name="Shape 658386"/>
                        <wps:cNvSpPr/>
                        <wps:spPr>
                          <a:xfrm>
                            <a:off x="334365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7" name="Shape 658387"/>
                        <wps:cNvSpPr/>
                        <wps:spPr>
                          <a:xfrm>
                            <a:off x="3361944" y="0"/>
                            <a:ext cx="1301496" cy="18288"/>
                          </a:xfrm>
                          <a:custGeom>
                            <a:avLst/>
                            <a:gdLst/>
                            <a:ahLst/>
                            <a:cxnLst/>
                            <a:rect l="0" t="0" r="0" b="0"/>
                            <a:pathLst>
                              <a:path w="1301496" h="18288">
                                <a:moveTo>
                                  <a:pt x="0" y="0"/>
                                </a:moveTo>
                                <a:lnTo>
                                  <a:pt x="1301496" y="0"/>
                                </a:lnTo>
                                <a:lnTo>
                                  <a:pt x="130149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8" name="Shape 658388"/>
                        <wps:cNvSpPr/>
                        <wps:spPr>
                          <a:xfrm>
                            <a:off x="466344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89" name="Shape 658389"/>
                        <wps:cNvSpPr/>
                        <wps:spPr>
                          <a:xfrm>
                            <a:off x="4681728" y="0"/>
                            <a:ext cx="2519172" cy="18288"/>
                          </a:xfrm>
                          <a:custGeom>
                            <a:avLst/>
                            <a:gdLst/>
                            <a:ahLst/>
                            <a:cxnLst/>
                            <a:rect l="0" t="0" r="0" b="0"/>
                            <a:pathLst>
                              <a:path w="2519172" h="18288">
                                <a:moveTo>
                                  <a:pt x="0" y="0"/>
                                </a:moveTo>
                                <a:lnTo>
                                  <a:pt x="2519172" y="0"/>
                                </a:lnTo>
                                <a:lnTo>
                                  <a:pt x="2519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0533" style="width:567pt;height:1.44pt;mso-position-horizontal-relative:char;mso-position-vertical-relative:line" coordsize="72009,182">
                <v:shape id="Shape 658390" style="position:absolute;width:12755;height:182;left:0;top:0;" coordsize="1275588,18288" path="m0,0l1275588,0l1275588,18288l0,18288l0,0">
                  <v:stroke weight="0pt" endcap="flat" joinstyle="miter" miterlimit="10" on="false" color="#000000" opacity="0"/>
                  <v:fill on="true" color="#000000"/>
                </v:shape>
                <v:shape id="Shape 658391" style="position:absolute;width:182;height:182;left:12755;top:0;" coordsize="18288,18288" path="m0,0l18288,0l18288,18288l0,18288l0,0">
                  <v:stroke weight="0pt" endcap="flat" joinstyle="miter" miterlimit="10" on="false" color="#000000" opacity="0"/>
                  <v:fill on="true" color="#000000"/>
                </v:shape>
                <v:shape id="Shape 658392" style="position:absolute;width:18684;height:182;left:12938;top:0;" coordsize="1868424,18288" path="m0,0l1868424,0l1868424,18288l0,18288l0,0">
                  <v:stroke weight="0pt" endcap="flat" joinstyle="miter" miterlimit="10" on="false" color="#000000" opacity="0"/>
                  <v:fill on="true" color="#000000"/>
                </v:shape>
                <v:shape id="Shape 658393" style="position:absolute;width:182;height:182;left:31623;top:0;" coordsize="18288,18288" path="m0,0l18288,0l18288,18288l0,18288l0,0">
                  <v:stroke weight="0pt" endcap="flat" joinstyle="miter" miterlimit="10" on="false" color="#000000" opacity="0"/>
                  <v:fill on="true" color="#000000"/>
                </v:shape>
                <v:shape id="Shape 658394" style="position:absolute;width:1630;height:182;left:31805;top:0;" coordsize="163055,18288" path="m0,0l163055,0l163055,18288l0,18288l0,0">
                  <v:stroke weight="0pt" endcap="flat" joinstyle="miter" miterlimit="10" on="false" color="#000000" opacity="0"/>
                  <v:fill on="true" color="#000000"/>
                </v:shape>
                <v:shape id="Shape 658395" style="position:absolute;width:182;height:182;left:33436;top:0;" coordsize="18288,18288" path="m0,0l18288,0l18288,18288l0,18288l0,0">
                  <v:stroke weight="0pt" endcap="flat" joinstyle="miter" miterlimit="10" on="false" color="#000000" opacity="0"/>
                  <v:fill on="true" color="#000000"/>
                </v:shape>
                <v:shape id="Shape 658396" style="position:absolute;width:13014;height:182;left:33619;top:0;" coordsize="1301496,18288" path="m0,0l1301496,0l1301496,18288l0,18288l0,0">
                  <v:stroke weight="0pt" endcap="flat" joinstyle="miter" miterlimit="10" on="false" color="#000000" opacity="0"/>
                  <v:fill on="true" color="#000000"/>
                </v:shape>
                <v:shape id="Shape 658397" style="position:absolute;width:182;height:182;left:46634;top:0;" coordsize="18288,18288" path="m0,0l18288,0l18288,18288l0,18288l0,0">
                  <v:stroke weight="0pt" endcap="flat" joinstyle="miter" miterlimit="10" on="false" color="#000000" opacity="0"/>
                  <v:fill on="true" color="#000000"/>
                </v:shape>
                <v:shape id="Shape 658398" style="position:absolute;width:25191;height:182;left:46817;top:0;" coordsize="2519172,18288" path="m0,0l2519172,0l2519172,18288l0,18288l0,0">
                  <v:stroke weight="0pt" endcap="flat" joinstyle="miter" miterlimit="10" on="false" color="#000000" opacity="0"/>
                  <v:fill on="true" color="#000000"/>
                </v:shape>
              </v:group>
            </w:pict>
          </mc:Fallback>
        </mc:AlternateContent>
      </w:r>
    </w:p>
    <w:tbl>
      <w:tblPr>
        <w:tblStyle w:val="TableGrid"/>
        <w:tblW w:w="11122" w:type="dxa"/>
        <w:tblInd w:w="94" w:type="dxa"/>
        <w:tblCellMar>
          <w:top w:w="1" w:type="dxa"/>
          <w:left w:w="0" w:type="dxa"/>
          <w:bottom w:w="0" w:type="dxa"/>
          <w:right w:w="0" w:type="dxa"/>
        </w:tblCellMar>
        <w:tblLook w:val="04A0" w:firstRow="1" w:lastRow="0" w:firstColumn="1" w:lastColumn="0" w:noHBand="0" w:noVBand="1"/>
      </w:tblPr>
      <w:tblGrid>
        <w:gridCol w:w="1625"/>
        <w:gridCol w:w="6024"/>
        <w:gridCol w:w="29"/>
        <w:gridCol w:w="587"/>
        <w:gridCol w:w="4860"/>
      </w:tblGrid>
      <w:tr w:rsidR="004D6F0E">
        <w:trPr>
          <w:trHeight w:val="219"/>
        </w:trPr>
        <w:tc>
          <w:tcPr>
            <w:tcW w:w="1675" w:type="dxa"/>
            <w:tcBorders>
              <w:top w:val="nil"/>
              <w:left w:val="nil"/>
              <w:bottom w:val="nil"/>
              <w:right w:val="nil"/>
            </w:tcBorders>
          </w:tcPr>
          <w:p w:rsidR="004D6F0E" w:rsidRDefault="00490F21">
            <w:pPr>
              <w:spacing w:after="0" w:line="259" w:lineRule="auto"/>
              <w:ind w:left="0" w:firstLine="0"/>
            </w:pPr>
            <w:r>
              <w:t>基金特色</w:t>
            </w:r>
            <w:r>
              <w:rPr>
                <w:rFonts w:ascii="Arial" w:eastAsia="Arial" w:hAnsi="Arial" w:cs="Arial"/>
                <w:b/>
                <w:sz w:val="18"/>
              </w:rPr>
              <w:t xml:space="preserve"> </w:t>
            </w:r>
          </w:p>
        </w:tc>
        <w:tc>
          <w:tcPr>
            <w:tcW w:w="3562" w:type="dxa"/>
            <w:tcBorders>
              <w:top w:val="nil"/>
              <w:left w:val="nil"/>
              <w:bottom w:val="nil"/>
              <w:right w:val="nil"/>
            </w:tcBorders>
          </w:tcPr>
          <w:p w:rsidR="004D6F0E" w:rsidRDefault="00490F21">
            <w:pPr>
              <w:spacing w:after="0" w:line="259" w:lineRule="auto"/>
              <w:ind w:left="334" w:firstLine="0"/>
            </w:pPr>
            <w:r>
              <w:rPr>
                <w:rFonts w:ascii="Arial" w:eastAsia="Arial" w:hAnsi="Arial" w:cs="Arial"/>
                <w:sz w:val="18"/>
              </w:rPr>
              <w:t xml:space="preserve"> </w:t>
            </w:r>
            <w:r>
              <w:rPr>
                <w:rFonts w:ascii="Arial" w:eastAsia="Arial" w:hAnsi="Arial" w:cs="Arial"/>
                <w:sz w:val="18"/>
              </w:rPr>
              <w:tab/>
              <w:t xml:space="preserve"> </w:t>
            </w:r>
          </w:p>
        </w:tc>
        <w:tc>
          <w:tcPr>
            <w:tcW w:w="588" w:type="dxa"/>
            <w:tcBorders>
              <w:top w:val="nil"/>
              <w:left w:val="nil"/>
              <w:bottom w:val="nil"/>
              <w:right w:val="nil"/>
            </w:tcBorders>
          </w:tcPr>
          <w:p w:rsidR="004D6F0E" w:rsidRDefault="00490F21">
            <w:pPr>
              <w:spacing w:after="0" w:line="259" w:lineRule="auto"/>
              <w:ind w:left="29" w:firstLine="0"/>
            </w:pPr>
            <w:r>
              <w:rPr>
                <w:rFonts w:ascii="Arial" w:eastAsia="Arial" w:hAnsi="Arial" w:cs="Arial"/>
                <w:sz w:val="18"/>
              </w:rPr>
              <w:t xml:space="preserve"> </w:t>
            </w:r>
          </w:p>
        </w:tc>
        <w:tc>
          <w:tcPr>
            <w:tcW w:w="1517" w:type="dxa"/>
            <w:tcBorders>
              <w:top w:val="nil"/>
              <w:left w:val="nil"/>
              <w:bottom w:val="nil"/>
              <w:right w:val="nil"/>
            </w:tcBorders>
          </w:tcPr>
          <w:p w:rsidR="004D6F0E" w:rsidRDefault="004D6F0E">
            <w:pPr>
              <w:spacing w:after="160" w:line="259" w:lineRule="auto"/>
              <w:ind w:left="0" w:firstLine="0"/>
            </w:pPr>
          </w:p>
        </w:tc>
        <w:tc>
          <w:tcPr>
            <w:tcW w:w="3780" w:type="dxa"/>
            <w:tcBorders>
              <w:top w:val="nil"/>
              <w:left w:val="nil"/>
              <w:bottom w:val="nil"/>
              <w:right w:val="nil"/>
            </w:tcBorders>
          </w:tcPr>
          <w:p w:rsidR="004D6F0E" w:rsidRDefault="00490F21">
            <w:pPr>
              <w:spacing w:after="0" w:line="259" w:lineRule="auto"/>
              <w:ind w:left="0" w:firstLine="0"/>
            </w:pPr>
            <w:r>
              <w:rPr>
                <w:rFonts w:ascii="Arial" w:eastAsia="Arial" w:hAnsi="Arial" w:cs="Arial"/>
                <w:b/>
                <w:i/>
                <w:sz w:val="18"/>
              </w:rPr>
              <w:t xml:space="preserve"> </w:t>
            </w:r>
          </w:p>
        </w:tc>
      </w:tr>
      <w:tr w:rsidR="004D6F0E">
        <w:trPr>
          <w:trHeight w:val="2735"/>
        </w:trPr>
        <w:tc>
          <w:tcPr>
            <w:tcW w:w="1675" w:type="dxa"/>
            <w:tcBorders>
              <w:top w:val="nil"/>
              <w:left w:val="nil"/>
              <w:bottom w:val="nil"/>
              <w:right w:val="nil"/>
            </w:tcBorders>
          </w:tcPr>
          <w:p w:rsidR="004D6F0E" w:rsidRDefault="00490F21">
            <w:pPr>
              <w:spacing w:after="7" w:line="259" w:lineRule="auto"/>
              <w:ind w:left="0" w:firstLine="0"/>
            </w:pPr>
            <w:r>
              <w:rPr>
                <w:sz w:val="18"/>
              </w:rPr>
              <w:t>基金貨幣</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7" w:line="259" w:lineRule="auto"/>
              <w:ind w:left="0" w:firstLine="0"/>
            </w:pPr>
            <w:r>
              <w:rPr>
                <w:sz w:val="18"/>
              </w:rPr>
              <w:t>資產淨值計算</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資產淨值公佈</w:t>
            </w:r>
            <w:r>
              <w:rPr>
                <w:rFonts w:ascii="Arial" w:eastAsia="Arial" w:hAnsi="Arial" w:cs="Arial"/>
                <w:sz w:val="18"/>
              </w:rPr>
              <w:t xml:space="preserve"> </w:t>
            </w:r>
          </w:p>
          <w:p w:rsidR="004D6F0E" w:rsidRDefault="00490F21">
            <w:pPr>
              <w:spacing w:after="3" w:line="239" w:lineRule="auto"/>
              <w:ind w:left="0" w:right="1625" w:firstLine="0"/>
            </w:pPr>
            <w:r>
              <w:rPr>
                <w:rFonts w:ascii="Arial" w:eastAsia="Arial" w:hAnsi="Arial" w:cs="Arial"/>
                <w:sz w:val="18"/>
              </w:rPr>
              <w:t xml:space="preserve">  </w:t>
            </w:r>
          </w:p>
          <w:p w:rsidR="004D6F0E" w:rsidRDefault="00490F21">
            <w:pPr>
              <w:spacing w:after="0" w:line="259" w:lineRule="auto"/>
              <w:ind w:left="0" w:firstLine="0"/>
            </w:pPr>
            <w:r>
              <w:rPr>
                <w:sz w:val="18"/>
              </w:rPr>
              <w:t>股份類別名稱</w:t>
            </w:r>
            <w:r>
              <w:rPr>
                <w:rFonts w:ascii="Arial" w:eastAsia="Arial" w:hAnsi="Arial" w:cs="Arial"/>
                <w:sz w:val="18"/>
              </w:rPr>
              <w:t xml:space="preserve"> </w:t>
            </w:r>
          </w:p>
        </w:tc>
        <w:tc>
          <w:tcPr>
            <w:tcW w:w="3562" w:type="dxa"/>
            <w:tcBorders>
              <w:top w:val="nil"/>
              <w:left w:val="nil"/>
              <w:bottom w:val="nil"/>
              <w:right w:val="nil"/>
            </w:tcBorders>
          </w:tcPr>
          <w:p w:rsidR="004D6F0E" w:rsidRDefault="00490F21">
            <w:pPr>
              <w:tabs>
                <w:tab w:val="center" w:pos="514"/>
                <w:tab w:val="center" w:pos="3305"/>
              </w:tabs>
              <w:spacing w:after="13" w:line="259" w:lineRule="auto"/>
              <w:ind w:left="0" w:firstLine="0"/>
            </w:pPr>
            <w:r>
              <w:rPr>
                <w:rFonts w:ascii="Calibri" w:eastAsia="Calibri" w:hAnsi="Calibri" w:cs="Calibri"/>
                <w:sz w:val="22"/>
              </w:rPr>
              <w:tab/>
            </w:r>
            <w:r>
              <w:rPr>
                <w:sz w:val="18"/>
              </w:rPr>
              <w:t>美元</w:t>
            </w:r>
            <w:r>
              <w:rPr>
                <w:rFonts w:ascii="Arial" w:eastAsia="Arial" w:hAnsi="Arial" w:cs="Arial"/>
                <w:sz w:val="18"/>
              </w:rPr>
              <w:t xml:space="preserve"> </w:t>
            </w:r>
            <w:r>
              <w:rPr>
                <w:rFonts w:ascii="Arial" w:eastAsia="Arial" w:hAnsi="Arial" w:cs="Arial"/>
                <w:sz w:val="18"/>
              </w:rPr>
              <w:tab/>
              <w:t xml:space="preserve"> </w:t>
            </w:r>
          </w:p>
          <w:p w:rsidR="004D6F0E" w:rsidRDefault="00490F21">
            <w:pPr>
              <w:spacing w:after="0" w:line="259" w:lineRule="auto"/>
              <w:ind w:left="334" w:firstLine="0"/>
            </w:pPr>
            <w:r>
              <w:rPr>
                <w:rFonts w:ascii="Arial" w:eastAsia="Arial" w:hAnsi="Arial" w:cs="Arial"/>
                <w:sz w:val="18"/>
              </w:rPr>
              <w:t xml:space="preserve"> </w:t>
            </w:r>
          </w:p>
          <w:p w:rsidR="004D6F0E" w:rsidRDefault="00490F21">
            <w:pPr>
              <w:spacing w:after="7" w:line="259" w:lineRule="auto"/>
              <w:ind w:left="334" w:firstLine="0"/>
            </w:pPr>
            <w:r>
              <w:rPr>
                <w:sz w:val="18"/>
              </w:rPr>
              <w:t>每個營業日</w:t>
            </w:r>
            <w:r>
              <w:rPr>
                <w:rFonts w:ascii="Arial" w:eastAsia="Arial" w:hAnsi="Arial" w:cs="Arial"/>
                <w:sz w:val="18"/>
              </w:rPr>
              <w:t xml:space="preserve"> </w:t>
            </w:r>
          </w:p>
          <w:p w:rsidR="004D6F0E" w:rsidRDefault="00490F21">
            <w:pPr>
              <w:spacing w:after="1" w:line="259" w:lineRule="auto"/>
              <w:ind w:left="334" w:firstLine="0"/>
            </w:pPr>
            <w:r>
              <w:rPr>
                <w:rFonts w:ascii="Arial" w:eastAsia="Arial" w:hAnsi="Arial" w:cs="Arial"/>
                <w:sz w:val="18"/>
              </w:rPr>
              <w:t xml:space="preserve"> </w:t>
            </w:r>
          </w:p>
          <w:p w:rsidR="004D6F0E" w:rsidRDefault="00490F21">
            <w:pPr>
              <w:spacing w:after="0" w:line="277" w:lineRule="auto"/>
              <w:ind w:left="334" w:right="63" w:firstLine="0"/>
            </w:pPr>
            <w:r>
              <w:rPr>
                <w:sz w:val="18"/>
              </w:rPr>
              <w:t>可在</w:t>
            </w:r>
            <w:r>
              <w:rPr>
                <w:sz w:val="18"/>
              </w:rPr>
              <w:t xml:space="preserve"> </w:t>
            </w:r>
            <w:hyperlink r:id="rId232">
              <w:r>
                <w:rPr>
                  <w:rFonts w:ascii="Arial" w:eastAsia="Arial" w:hAnsi="Arial" w:cs="Arial"/>
                  <w:color w:val="0000FF"/>
                  <w:u w:val="single" w:color="0000FF"/>
                </w:rPr>
                <w:t>www.alliancebernstein.com</w:t>
              </w:r>
            </w:hyperlink>
            <w:hyperlink r:id="rId233">
              <w:r>
                <w:rPr>
                  <w:rFonts w:ascii="Arial" w:eastAsia="Arial" w:hAnsi="Arial" w:cs="Arial"/>
                  <w:b/>
                  <w:sz w:val="18"/>
                </w:rPr>
                <w:t xml:space="preserve"> </w:t>
              </w:r>
            </w:hyperlink>
            <w:r>
              <w:rPr>
                <w:sz w:val="18"/>
              </w:rPr>
              <w:t>查閱</w:t>
            </w:r>
            <w:r>
              <w:rPr>
                <w:rFonts w:ascii="Arial" w:eastAsia="Arial" w:hAnsi="Arial" w:cs="Arial"/>
                <w:sz w:val="18"/>
              </w:rPr>
              <w:t xml:space="preserve"> </w:t>
            </w:r>
          </w:p>
          <w:p w:rsidR="004D6F0E" w:rsidRDefault="00490F21">
            <w:pPr>
              <w:spacing w:after="0" w:line="259" w:lineRule="auto"/>
              <w:ind w:left="334" w:firstLine="0"/>
            </w:pPr>
            <w:r>
              <w:rPr>
                <w:rFonts w:ascii="Arial" w:eastAsia="Arial" w:hAnsi="Arial" w:cs="Arial"/>
                <w:sz w:val="18"/>
              </w:rPr>
              <w:t xml:space="preserve"> </w:t>
            </w:r>
          </w:p>
          <w:p w:rsidR="004D6F0E" w:rsidRDefault="00490F21">
            <w:pPr>
              <w:spacing w:after="0" w:line="259" w:lineRule="auto"/>
              <w:ind w:left="334" w:right="290" w:firstLine="0"/>
            </w:pPr>
            <w:r>
              <w:rPr>
                <w:rFonts w:ascii="Arial" w:eastAsia="Arial" w:hAnsi="Arial" w:cs="Arial"/>
                <w:b/>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 </w:t>
            </w:r>
            <w:r>
              <w:rPr>
                <w:sz w:val="18"/>
              </w:rPr>
              <w:t>貨幣對沖股份類別」和「風險因素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tc>
        <w:tc>
          <w:tcPr>
            <w:tcW w:w="588" w:type="dxa"/>
            <w:tcBorders>
              <w:top w:val="nil"/>
              <w:left w:val="nil"/>
              <w:bottom w:val="nil"/>
              <w:right w:val="nil"/>
            </w:tcBorders>
          </w:tcPr>
          <w:p w:rsidR="004D6F0E" w:rsidRDefault="004D6F0E">
            <w:pPr>
              <w:spacing w:after="160" w:line="259" w:lineRule="auto"/>
              <w:ind w:left="0" w:firstLine="0"/>
            </w:pPr>
          </w:p>
        </w:tc>
        <w:tc>
          <w:tcPr>
            <w:tcW w:w="1517" w:type="dxa"/>
            <w:tcBorders>
              <w:top w:val="nil"/>
              <w:left w:val="nil"/>
              <w:bottom w:val="nil"/>
              <w:right w:val="nil"/>
            </w:tcBorders>
          </w:tcPr>
          <w:p w:rsidR="004D6F0E" w:rsidRDefault="00490F21">
            <w:pPr>
              <w:spacing w:after="0" w:line="259" w:lineRule="auto"/>
              <w:ind w:left="156" w:firstLine="0"/>
            </w:pPr>
            <w:r>
              <w:rPr>
                <w:sz w:val="18"/>
              </w:rPr>
              <w:t>派息</w:t>
            </w:r>
            <w:r>
              <w:rPr>
                <w:rFonts w:ascii="Arial" w:eastAsia="Arial" w:hAnsi="Arial" w:cs="Arial"/>
                <w:sz w:val="18"/>
              </w:rPr>
              <w:t xml:space="preserve">* </w:t>
            </w:r>
          </w:p>
        </w:tc>
        <w:tc>
          <w:tcPr>
            <w:tcW w:w="3780" w:type="dxa"/>
            <w:tcBorders>
              <w:top w:val="nil"/>
              <w:left w:val="nil"/>
              <w:bottom w:val="nil"/>
              <w:right w:val="nil"/>
            </w:tcBorders>
          </w:tcPr>
          <w:p w:rsidR="004D6F0E" w:rsidRDefault="00490F21">
            <w:pPr>
              <w:spacing w:after="0" w:line="259" w:lineRule="auto"/>
              <w:ind w:left="0" w:firstLine="0"/>
            </w:pPr>
            <w:r>
              <w:rPr>
                <w:rFonts w:ascii="Arial" w:eastAsia="Arial" w:hAnsi="Arial" w:cs="Arial"/>
                <w:i/>
                <w:sz w:val="18"/>
              </w:rPr>
              <w:t>A</w:t>
            </w:r>
            <w:r>
              <w:t>、</w:t>
            </w:r>
            <w:r>
              <w:rPr>
                <w:rFonts w:ascii="Arial" w:eastAsia="Arial" w:hAnsi="Arial" w:cs="Arial"/>
                <w:i/>
                <w:sz w:val="18"/>
              </w:rPr>
              <w:t>C</w:t>
            </w:r>
            <w:r>
              <w:t>及</w:t>
            </w:r>
            <w:r>
              <w:rPr>
                <w:rFonts w:ascii="Arial" w:eastAsia="Arial" w:hAnsi="Arial" w:cs="Arial"/>
                <w:i/>
                <w:sz w:val="18"/>
              </w:rPr>
              <w:t>I</w:t>
            </w:r>
            <w:r>
              <w:t>類股份</w:t>
            </w:r>
            <w:r>
              <w:rPr>
                <w:rFonts w:ascii="Arial" w:eastAsia="Arial" w:hAnsi="Arial" w:cs="Arial"/>
                <w:i/>
                <w:sz w:val="18"/>
              </w:rPr>
              <w:t xml:space="preserve"> </w:t>
            </w:r>
          </w:p>
          <w:p w:rsidR="004D6F0E" w:rsidRDefault="00490F21">
            <w:pPr>
              <w:spacing w:after="7" w:line="259" w:lineRule="auto"/>
              <w:ind w:left="0" w:firstLine="0"/>
            </w:pPr>
            <w:r>
              <w:rPr>
                <w:sz w:val="18"/>
              </w:rPr>
              <w:t>每日宣派，按月派付</w:t>
            </w:r>
            <w:r>
              <w:rPr>
                <w:rFonts w:ascii="Arial" w:eastAsia="Arial" w:hAnsi="Arial" w:cs="Arial"/>
                <w:i/>
                <w:sz w:val="18"/>
              </w:rPr>
              <w:t xml:space="preserve"> </w:t>
            </w:r>
          </w:p>
          <w:p w:rsidR="004D6F0E" w:rsidRDefault="00490F21">
            <w:pPr>
              <w:spacing w:after="0" w:line="259" w:lineRule="auto"/>
              <w:ind w:left="0" w:firstLine="0"/>
            </w:pPr>
            <w:r>
              <w:rPr>
                <w:rFonts w:ascii="Arial" w:eastAsia="Arial" w:hAnsi="Arial" w:cs="Arial"/>
                <w:i/>
                <w:sz w:val="18"/>
              </w:rPr>
              <w:t xml:space="preserve"> </w:t>
            </w:r>
          </w:p>
          <w:p w:rsidR="004D6F0E" w:rsidRDefault="00490F21">
            <w:pPr>
              <w:spacing w:after="0" w:line="273" w:lineRule="auto"/>
              <w:ind w:left="0" w:firstLine="0"/>
            </w:pPr>
            <w:r>
              <w:rPr>
                <w:rFonts w:ascii="Arial" w:eastAsia="Arial" w:hAnsi="Arial" w:cs="Arial"/>
                <w:i/>
                <w:sz w:val="18"/>
              </w:rPr>
              <w:t>AT</w:t>
            </w:r>
            <w:r>
              <w:t>、</w:t>
            </w:r>
            <w:r>
              <w:rPr>
                <w:rFonts w:ascii="Arial" w:eastAsia="Arial" w:hAnsi="Arial" w:cs="Arial"/>
                <w:i/>
                <w:sz w:val="18"/>
              </w:rPr>
              <w:t>BT</w:t>
            </w:r>
            <w:r>
              <w:t>、</w:t>
            </w:r>
            <w:r>
              <w:rPr>
                <w:rFonts w:ascii="Arial" w:eastAsia="Arial" w:hAnsi="Arial" w:cs="Arial"/>
                <w:i/>
                <w:sz w:val="18"/>
              </w:rPr>
              <w:t>CT</w:t>
            </w:r>
            <w:r>
              <w:t>、</w:t>
            </w:r>
            <w:r>
              <w:rPr>
                <w:rFonts w:ascii="Arial" w:eastAsia="Arial" w:hAnsi="Arial" w:cs="Arial"/>
                <w:i/>
                <w:sz w:val="18"/>
              </w:rPr>
              <w:t>IT</w:t>
            </w:r>
            <w:r>
              <w:t>、</w:t>
            </w:r>
            <w:r>
              <w:rPr>
                <w:rFonts w:ascii="Arial" w:eastAsia="Arial" w:hAnsi="Arial" w:cs="Arial"/>
                <w:i/>
                <w:sz w:val="18"/>
              </w:rPr>
              <w:t>NT</w:t>
            </w:r>
            <w:r>
              <w:t>及</w:t>
            </w:r>
            <w:r>
              <w:rPr>
                <w:rFonts w:ascii="Arial" w:eastAsia="Arial" w:hAnsi="Arial" w:cs="Arial"/>
                <w:i/>
                <w:sz w:val="18"/>
              </w:rPr>
              <w:t>ZT</w:t>
            </w:r>
            <w:r>
              <w:t>類股份</w:t>
            </w:r>
            <w:r>
              <w:rPr>
                <w:sz w:val="18"/>
              </w:rPr>
              <w:t>按月宣派及派付</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i/>
                <w:sz w:val="18"/>
              </w:rPr>
              <w:t xml:space="preserve"> </w:t>
            </w:r>
          </w:p>
          <w:p w:rsidR="004D6F0E" w:rsidRDefault="00490F21">
            <w:pPr>
              <w:spacing w:after="0" w:line="259" w:lineRule="auto"/>
              <w:ind w:left="0" w:firstLine="0"/>
            </w:pPr>
            <w:r>
              <w:rPr>
                <w:rFonts w:ascii="Arial" w:eastAsia="Arial" w:hAnsi="Arial" w:cs="Arial"/>
                <w:i/>
                <w:sz w:val="18"/>
              </w:rPr>
              <w:t>AA</w:t>
            </w:r>
            <w:r>
              <w:t>、</w:t>
            </w:r>
            <w:r>
              <w:rPr>
                <w:rFonts w:ascii="Arial" w:eastAsia="Arial" w:hAnsi="Arial" w:cs="Arial"/>
                <w:i/>
                <w:sz w:val="18"/>
              </w:rPr>
              <w:t>EA</w:t>
            </w:r>
            <w:r>
              <w:t>及</w:t>
            </w:r>
            <w:r>
              <w:rPr>
                <w:rFonts w:ascii="Arial" w:eastAsia="Arial" w:hAnsi="Arial" w:cs="Arial"/>
                <w:i/>
                <w:sz w:val="18"/>
              </w:rPr>
              <w:t>SA</w:t>
            </w:r>
            <w:r>
              <w:t>類股份</w:t>
            </w:r>
            <w:r>
              <w:rPr>
                <w:rFonts w:ascii="Arial" w:eastAsia="Arial" w:hAnsi="Arial" w:cs="Arial"/>
                <w:i/>
                <w:sz w:val="18"/>
              </w:rPr>
              <w:t xml:space="preserve"> </w:t>
            </w:r>
          </w:p>
          <w:p w:rsidR="004D6F0E" w:rsidRDefault="00490F21">
            <w:pPr>
              <w:spacing w:after="0"/>
              <w:ind w:left="0" w:firstLine="0"/>
            </w:pPr>
            <w:r>
              <w:rPr>
                <w:sz w:val="18"/>
              </w:rPr>
              <w:t>按月宣派及派付，派息率來自於總收入（扣除費用及開支前）</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i/>
                <w:sz w:val="18"/>
              </w:rPr>
              <w:t>AI</w:t>
            </w:r>
            <w:r>
              <w:t>及</w:t>
            </w:r>
            <w:r>
              <w:rPr>
                <w:rFonts w:ascii="Arial" w:eastAsia="Arial" w:hAnsi="Arial" w:cs="Arial"/>
                <w:i/>
                <w:sz w:val="18"/>
              </w:rPr>
              <w:t>EI</w:t>
            </w:r>
            <w:r>
              <w:t>類股份</w:t>
            </w:r>
            <w:r>
              <w:rPr>
                <w:rFonts w:ascii="Arial" w:eastAsia="Arial" w:hAnsi="Arial" w:cs="Arial"/>
                <w:i/>
                <w:sz w:val="18"/>
              </w:rPr>
              <w:t xml:space="preserve"> </w:t>
            </w:r>
          </w:p>
          <w:p w:rsidR="004D6F0E" w:rsidRDefault="00490F21">
            <w:pPr>
              <w:spacing w:after="0" w:line="259" w:lineRule="auto"/>
              <w:ind w:left="0" w:firstLine="0"/>
              <w:jc w:val="both"/>
            </w:pPr>
            <w:r>
              <w:rPr>
                <w:sz w:val="18"/>
              </w:rPr>
              <w:t>按月宣派及派付，派息率來自於總收入（扣除費</w:t>
            </w:r>
          </w:p>
        </w:tc>
      </w:tr>
      <w:tr w:rsidR="004D6F0E">
        <w:trPr>
          <w:trHeight w:val="436"/>
        </w:trPr>
        <w:tc>
          <w:tcPr>
            <w:tcW w:w="167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指示截止時間</w:t>
            </w:r>
            <w:r>
              <w:rPr>
                <w:rFonts w:ascii="Arial" w:eastAsia="Arial" w:hAnsi="Arial" w:cs="Arial"/>
                <w:sz w:val="18"/>
              </w:rPr>
              <w:t xml:space="preserve"> </w:t>
            </w:r>
          </w:p>
        </w:tc>
        <w:tc>
          <w:tcPr>
            <w:tcW w:w="3562" w:type="dxa"/>
            <w:tcBorders>
              <w:top w:val="nil"/>
              <w:left w:val="nil"/>
              <w:bottom w:val="nil"/>
              <w:right w:val="nil"/>
            </w:tcBorders>
          </w:tcPr>
          <w:p w:rsidR="004D6F0E" w:rsidRDefault="00490F21">
            <w:pPr>
              <w:spacing w:after="0" w:line="259" w:lineRule="auto"/>
              <w:ind w:left="334" w:firstLine="0"/>
            </w:pPr>
            <w:r>
              <w:rPr>
                <w:rFonts w:ascii="Arial" w:eastAsia="Arial" w:hAnsi="Arial" w:cs="Arial"/>
                <w:sz w:val="18"/>
              </w:rPr>
              <w:t xml:space="preserve"> </w:t>
            </w:r>
          </w:p>
          <w:p w:rsidR="004D6F0E" w:rsidRDefault="00490F21">
            <w:pPr>
              <w:spacing w:after="0" w:line="259" w:lineRule="auto"/>
              <w:ind w:left="322" w:firstLine="0"/>
            </w:pPr>
            <w:r>
              <w:t>美元計價股份類別、歐元計價股份</w:t>
            </w:r>
          </w:p>
        </w:tc>
        <w:tc>
          <w:tcPr>
            <w:tcW w:w="588" w:type="dxa"/>
            <w:tcBorders>
              <w:top w:val="nil"/>
              <w:left w:val="nil"/>
              <w:bottom w:val="nil"/>
              <w:right w:val="nil"/>
            </w:tcBorders>
          </w:tcPr>
          <w:p w:rsidR="004D6F0E" w:rsidRDefault="004D6F0E">
            <w:pPr>
              <w:spacing w:after="160" w:line="259" w:lineRule="auto"/>
              <w:ind w:left="0" w:firstLine="0"/>
            </w:pPr>
          </w:p>
        </w:tc>
        <w:tc>
          <w:tcPr>
            <w:tcW w:w="1517" w:type="dxa"/>
            <w:tcBorders>
              <w:top w:val="nil"/>
              <w:left w:val="nil"/>
              <w:bottom w:val="nil"/>
              <w:right w:val="nil"/>
            </w:tcBorders>
          </w:tcPr>
          <w:p w:rsidR="004D6F0E" w:rsidRDefault="004D6F0E">
            <w:pPr>
              <w:spacing w:after="160" w:line="259" w:lineRule="auto"/>
              <w:ind w:left="0" w:firstLine="0"/>
            </w:pPr>
          </w:p>
        </w:tc>
        <w:tc>
          <w:tcPr>
            <w:tcW w:w="3780" w:type="dxa"/>
            <w:tcBorders>
              <w:top w:val="nil"/>
              <w:left w:val="nil"/>
              <w:bottom w:val="nil"/>
              <w:right w:val="nil"/>
            </w:tcBorders>
          </w:tcPr>
          <w:p w:rsidR="004D6F0E" w:rsidRDefault="00490F21">
            <w:pPr>
              <w:spacing w:after="7" w:line="259" w:lineRule="auto"/>
              <w:ind w:left="0" w:firstLine="0"/>
            </w:pPr>
            <w:r>
              <w:rPr>
                <w:sz w:val="18"/>
              </w:rPr>
              <w:t>用及開支前）及資本（可能屬重大程度）</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r>
    </w:tbl>
    <w:p w:rsidR="004D6F0E" w:rsidRDefault="00490F21">
      <w:pPr>
        <w:ind w:left="2099" w:right="1155"/>
      </w:pPr>
      <w:r>
        <w:t>類別、港元計價股份類別及波蘭茲</w:t>
      </w:r>
      <w:r>
        <w:t xml:space="preserve"> </w:t>
      </w:r>
      <w:r>
        <w:rPr>
          <w:rFonts w:ascii="Arial" w:eastAsia="Arial" w:hAnsi="Arial" w:cs="Arial"/>
          <w:i/>
          <w:sz w:val="18"/>
        </w:rPr>
        <w:t>S1QD</w:t>
      </w:r>
      <w:r>
        <w:t>類股份羅提計價股份類別</w:t>
      </w:r>
      <w:r>
        <w:rPr>
          <w:rFonts w:ascii="Arial" w:eastAsia="Arial" w:hAnsi="Arial" w:cs="Arial"/>
          <w:i/>
          <w:sz w:val="18"/>
        </w:rPr>
        <w:t xml:space="preserve"> </w:t>
      </w:r>
      <w:r>
        <w:rPr>
          <w:rFonts w:ascii="Arial" w:eastAsia="Arial" w:hAnsi="Arial" w:cs="Arial"/>
          <w:i/>
          <w:sz w:val="18"/>
        </w:rPr>
        <w:tab/>
      </w:r>
      <w:r>
        <w:rPr>
          <w:sz w:val="18"/>
        </w:rPr>
        <w:t>按季宣派及派付</w:t>
      </w:r>
      <w:r>
        <w:rPr>
          <w:rFonts w:ascii="Arial" w:eastAsia="Arial" w:hAnsi="Arial" w:cs="Arial"/>
          <w:sz w:val="18"/>
        </w:rPr>
        <w:t xml:space="preserve"> </w:t>
      </w:r>
    </w:p>
    <w:p w:rsidR="004D6F0E" w:rsidRDefault="00490F21">
      <w:pPr>
        <w:tabs>
          <w:tab w:val="center" w:pos="3380"/>
          <w:tab w:val="center" w:pos="5074"/>
          <w:tab w:val="center" w:pos="5359"/>
        </w:tabs>
        <w:ind w:left="0" w:firstLine="0"/>
      </w:pPr>
      <w:r>
        <w:rPr>
          <w:rFonts w:ascii="Calibri" w:eastAsia="Calibri" w:hAnsi="Calibri" w:cs="Calibri"/>
          <w:sz w:val="22"/>
        </w:rPr>
        <w:tab/>
      </w:r>
      <w:r>
        <w:rPr>
          <w:sz w:val="18"/>
        </w:rPr>
        <w:t>美國東部時間各營業日下午</w:t>
      </w:r>
      <w:r>
        <w:rPr>
          <w:sz w:val="18"/>
        </w:rPr>
        <w:t xml:space="preserve"> </w:t>
      </w:r>
      <w:r>
        <w:rPr>
          <w:rFonts w:ascii="Arial" w:eastAsia="Arial" w:hAnsi="Arial" w:cs="Arial"/>
          <w:sz w:val="18"/>
        </w:rPr>
        <w:t xml:space="preserve">4:00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3" w:line="259" w:lineRule="auto"/>
        <w:ind w:left="5655" w:right="1106" w:hanging="10"/>
        <w:jc w:val="center"/>
      </w:pPr>
      <w:r>
        <w:rPr>
          <w:rFonts w:ascii="Arial" w:eastAsia="Arial" w:hAnsi="Arial" w:cs="Arial"/>
          <w:i/>
          <w:sz w:val="18"/>
        </w:rPr>
        <w:t>AR</w:t>
      </w:r>
      <w:r>
        <w:t>類股份</w:t>
      </w:r>
      <w:r>
        <w:rPr>
          <w:rFonts w:ascii="Arial" w:eastAsia="Arial" w:hAnsi="Arial" w:cs="Arial"/>
          <w:i/>
          <w:sz w:val="18"/>
        </w:rPr>
        <w:t xml:space="preserve"> </w:t>
      </w:r>
    </w:p>
    <w:p w:rsidR="004D6F0E" w:rsidRDefault="00490F21">
      <w:pPr>
        <w:spacing w:after="33"/>
        <w:ind w:left="2100" w:right="13" w:hanging="10"/>
      </w:pPr>
      <w:r>
        <w:t>貨幣對沖股份類別（人民幣對沖股</w:t>
      </w:r>
      <w:r>
        <w:tab/>
      </w:r>
      <w:r>
        <w:rPr>
          <w:sz w:val="18"/>
        </w:rPr>
        <w:t>按年宣派及派付，派息率來自於總收入（扣除費</w:t>
      </w:r>
      <w:r>
        <w:t>份類別除外）</w:t>
      </w:r>
      <w:r>
        <w:rPr>
          <w:rFonts w:ascii="Arial" w:eastAsia="Arial" w:hAnsi="Arial" w:cs="Arial"/>
          <w:i/>
          <w:sz w:val="18"/>
        </w:rPr>
        <w:t xml:space="preserve"> </w:t>
      </w:r>
      <w:r>
        <w:rPr>
          <w:rFonts w:ascii="Arial" w:eastAsia="Arial" w:hAnsi="Arial" w:cs="Arial"/>
          <w:i/>
          <w:sz w:val="18"/>
        </w:rPr>
        <w:tab/>
      </w:r>
      <w:r>
        <w:rPr>
          <w:sz w:val="18"/>
        </w:rPr>
        <w:t>用及開支前）歐洲中部時間各營業日下午</w:t>
      </w:r>
      <w:r>
        <w:rPr>
          <w:sz w:val="18"/>
        </w:rPr>
        <w:t xml:space="preserve"> </w:t>
      </w:r>
      <w:r>
        <w:rPr>
          <w:rFonts w:ascii="Arial" w:eastAsia="Arial" w:hAnsi="Arial" w:cs="Arial"/>
          <w:sz w:val="18"/>
        </w:rPr>
        <w:t xml:space="preserve">6:00 </w:t>
      </w:r>
      <w:r>
        <w:rPr>
          <w:rFonts w:ascii="Arial" w:eastAsia="Arial" w:hAnsi="Arial" w:cs="Arial"/>
          <w:sz w:val="18"/>
        </w:rPr>
        <w:tab/>
      </w:r>
      <w:r>
        <w:rPr>
          <w:rFonts w:ascii="Arial" w:eastAsia="Arial" w:hAnsi="Arial" w:cs="Arial"/>
          <w:i/>
          <w:sz w:val="18"/>
        </w:rPr>
        <w:t xml:space="preserve"> </w:t>
      </w:r>
    </w:p>
    <w:p w:rsidR="004D6F0E" w:rsidRDefault="00490F21">
      <w:pPr>
        <w:spacing w:after="1" w:line="265" w:lineRule="auto"/>
        <w:ind w:left="2100" w:right="434" w:hanging="10"/>
        <w:jc w:val="right"/>
      </w:pPr>
      <w:r>
        <w:rPr>
          <w:rFonts w:ascii="Arial" w:eastAsia="Arial" w:hAnsi="Arial" w:cs="Arial"/>
          <w:i/>
          <w:sz w:val="18"/>
        </w:rPr>
        <w:t>A2</w:t>
      </w:r>
      <w:r>
        <w:t>、</w:t>
      </w:r>
      <w:r>
        <w:rPr>
          <w:rFonts w:ascii="Arial" w:eastAsia="Arial" w:hAnsi="Arial" w:cs="Arial"/>
          <w:i/>
          <w:sz w:val="18"/>
        </w:rPr>
        <w:t>C2</w:t>
      </w:r>
      <w:r>
        <w:t>、</w:t>
      </w:r>
      <w:r>
        <w:rPr>
          <w:rFonts w:ascii="Arial" w:eastAsia="Arial" w:hAnsi="Arial" w:cs="Arial"/>
          <w:i/>
          <w:sz w:val="18"/>
        </w:rPr>
        <w:t>I2</w:t>
      </w:r>
      <w:r>
        <w:t>、</w:t>
      </w:r>
      <w:r>
        <w:rPr>
          <w:rFonts w:ascii="Arial" w:eastAsia="Arial" w:hAnsi="Arial" w:cs="Arial"/>
          <w:i/>
          <w:sz w:val="18"/>
        </w:rPr>
        <w:t>N2</w:t>
      </w:r>
      <w:r>
        <w:t>、</w:t>
      </w:r>
      <w:r>
        <w:rPr>
          <w:rFonts w:ascii="Arial" w:eastAsia="Arial" w:hAnsi="Arial" w:cs="Arial"/>
          <w:i/>
          <w:sz w:val="18"/>
        </w:rPr>
        <w:t>S</w:t>
      </w:r>
      <w:r>
        <w:t>、</w:t>
      </w:r>
      <w:r>
        <w:rPr>
          <w:rFonts w:ascii="Arial" w:eastAsia="Arial" w:hAnsi="Arial" w:cs="Arial"/>
          <w:i/>
          <w:sz w:val="18"/>
        </w:rPr>
        <w:t>S1</w:t>
      </w:r>
      <w:r>
        <w:t>及</w:t>
      </w:r>
      <w:r>
        <w:rPr>
          <w:rFonts w:ascii="Arial" w:eastAsia="Arial" w:hAnsi="Arial" w:cs="Arial"/>
          <w:i/>
          <w:sz w:val="18"/>
        </w:rPr>
        <w:t>S1 2</w:t>
      </w:r>
      <w:r>
        <w:t>類股份人民幣對沖股份類別</w:t>
      </w:r>
      <w:r>
        <w:rPr>
          <w:rFonts w:ascii="Arial" w:eastAsia="Arial" w:hAnsi="Arial" w:cs="Arial"/>
          <w:i/>
          <w:sz w:val="18"/>
        </w:rPr>
        <w:t xml:space="preserve"> </w:t>
      </w:r>
    </w:p>
    <w:p w:rsidR="004D6F0E" w:rsidRDefault="00490F21">
      <w:pPr>
        <w:spacing w:line="259" w:lineRule="auto"/>
        <w:ind w:left="5895" w:right="1870" w:hanging="10"/>
        <w:jc w:val="center"/>
      </w:pPr>
      <w:r>
        <w:rPr>
          <w:sz w:val="18"/>
        </w:rPr>
        <w:t>無。</w:t>
      </w:r>
      <w:r>
        <w:rPr>
          <w:rFonts w:ascii="Arial" w:eastAsia="Arial" w:hAnsi="Arial" w:cs="Arial"/>
          <w:sz w:val="18"/>
        </w:rPr>
        <w:t xml:space="preserve"> </w:t>
      </w:r>
    </w:p>
    <w:p w:rsidR="004D6F0E" w:rsidRDefault="00490F21">
      <w:pPr>
        <w:spacing w:after="116" w:line="370" w:lineRule="auto"/>
        <w:ind w:left="7435" w:right="2340" w:hanging="5333"/>
      </w:pPr>
      <w:r>
        <w:rPr>
          <w:sz w:val="18"/>
        </w:rPr>
        <w:t>歐洲中部時間各營業日下午</w:t>
      </w:r>
      <w:r>
        <w:rPr>
          <w:rFonts w:ascii="Arial" w:eastAsia="Arial" w:hAnsi="Arial" w:cs="Arial"/>
          <w:sz w:val="18"/>
        </w:rPr>
        <w:t xml:space="preserve">1:00 </w:t>
      </w:r>
      <w:r>
        <w:rPr>
          <w:sz w:val="18"/>
        </w:rPr>
        <w:t>見下文「派息」。</w:t>
      </w:r>
      <w:r>
        <w:rPr>
          <w:rFonts w:ascii="Arial" w:eastAsia="Arial" w:hAnsi="Arial" w:cs="Arial"/>
          <w:sz w:val="18"/>
        </w:rPr>
        <w:t xml:space="preserve"> </w:t>
      </w:r>
    </w:p>
    <w:p w:rsidR="004D6F0E" w:rsidRDefault="00490F21">
      <w:pPr>
        <w:ind w:left="7445" w:right="13" w:hanging="10"/>
      </w:pPr>
      <w:r>
        <w:rPr>
          <w:rFonts w:ascii="Arial" w:eastAsia="Arial" w:hAnsi="Arial" w:cs="Arial"/>
          <w:sz w:val="18"/>
        </w:rPr>
        <w:t>*</w:t>
      </w:r>
      <w:r>
        <w:rPr>
          <w:sz w:val="18"/>
        </w:rPr>
        <w:t>包括對沖股份類別</w:t>
      </w:r>
      <w:r>
        <w:rPr>
          <w:rFonts w:ascii="Arial" w:eastAsia="Arial" w:hAnsi="Arial" w:cs="Arial"/>
          <w:sz w:val="18"/>
        </w:rPr>
        <w:t xml:space="preserve"> </w:t>
      </w:r>
    </w:p>
    <w:p w:rsidR="004D6F0E" w:rsidRDefault="00490F21">
      <w:pPr>
        <w:spacing w:after="0" w:line="259" w:lineRule="auto"/>
        <w:ind w:left="3705" w:firstLine="0"/>
        <w:jc w:val="center"/>
      </w:pPr>
      <w:r>
        <w:rPr>
          <w:rFonts w:ascii="Arial" w:eastAsia="Arial" w:hAnsi="Arial" w:cs="Arial"/>
          <w:i/>
          <w:sz w:val="18"/>
        </w:rPr>
        <w:t xml:space="preserve"> </w:t>
      </w:r>
    </w:p>
    <w:p w:rsidR="004D6F0E" w:rsidRDefault="00490F21">
      <w:pPr>
        <w:spacing w:after="84" w:line="259" w:lineRule="auto"/>
        <w:ind w:left="-14" w:right="-110" w:firstLine="0"/>
      </w:pPr>
      <w:r>
        <w:rPr>
          <w:rFonts w:ascii="Calibri" w:eastAsia="Calibri" w:hAnsi="Calibri" w:cs="Calibri"/>
          <w:noProof/>
          <w:sz w:val="22"/>
        </w:rPr>
        <mc:AlternateContent>
          <mc:Choice Requires="wpg">
            <w:drawing>
              <wp:inline distT="0" distB="0" distL="0" distR="0">
                <wp:extent cx="7200900" cy="335280"/>
                <wp:effectExtent l="0" t="0" r="0" b="0"/>
                <wp:docPr id="550535" name="Group 550535"/>
                <wp:cNvGraphicFramePr/>
                <a:graphic xmlns:a="http://schemas.openxmlformats.org/drawingml/2006/main">
                  <a:graphicData uri="http://schemas.microsoft.com/office/word/2010/wordprocessingGroup">
                    <wpg:wgp>
                      <wpg:cNvGrpSpPr/>
                      <wpg:grpSpPr>
                        <a:xfrm>
                          <a:off x="0" y="0"/>
                          <a:ext cx="7200900" cy="335280"/>
                          <a:chOff x="0" y="0"/>
                          <a:chExt cx="7200900" cy="335280"/>
                        </a:xfrm>
                      </wpg:grpSpPr>
                      <wps:wsp>
                        <wps:cNvPr id="36908" name="Rectangle 36908"/>
                        <wps:cNvSpPr/>
                        <wps:spPr>
                          <a:xfrm>
                            <a:off x="73152" y="36485"/>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36909" name="Rectangle 36909"/>
                        <wps:cNvSpPr/>
                        <wps:spPr>
                          <a:xfrm>
                            <a:off x="1132332" y="34439"/>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36910" name="Rectangle 36910"/>
                        <wps:cNvSpPr/>
                        <wps:spPr>
                          <a:xfrm>
                            <a:off x="1173480" y="34439"/>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401" name="Shape 658401"/>
                        <wps:cNvSpPr/>
                        <wps:spPr>
                          <a:xfrm>
                            <a:off x="0" y="0"/>
                            <a:ext cx="1275588" cy="18288"/>
                          </a:xfrm>
                          <a:custGeom>
                            <a:avLst/>
                            <a:gdLst/>
                            <a:ahLst/>
                            <a:cxnLst/>
                            <a:rect l="0" t="0" r="0" b="0"/>
                            <a:pathLst>
                              <a:path w="1275588" h="18288">
                                <a:moveTo>
                                  <a:pt x="0" y="0"/>
                                </a:moveTo>
                                <a:lnTo>
                                  <a:pt x="1275588" y="0"/>
                                </a:lnTo>
                                <a:lnTo>
                                  <a:pt x="12755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2" name="Shape 658402"/>
                        <wps:cNvSpPr/>
                        <wps:spPr>
                          <a:xfrm>
                            <a:off x="12755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3" name="Shape 658403"/>
                        <wps:cNvSpPr/>
                        <wps:spPr>
                          <a:xfrm>
                            <a:off x="1293876" y="0"/>
                            <a:ext cx="1868424" cy="18288"/>
                          </a:xfrm>
                          <a:custGeom>
                            <a:avLst/>
                            <a:gdLst/>
                            <a:ahLst/>
                            <a:cxnLst/>
                            <a:rect l="0" t="0" r="0" b="0"/>
                            <a:pathLst>
                              <a:path w="1868424" h="18288">
                                <a:moveTo>
                                  <a:pt x="0" y="0"/>
                                </a:moveTo>
                                <a:lnTo>
                                  <a:pt x="1868424" y="0"/>
                                </a:lnTo>
                                <a:lnTo>
                                  <a:pt x="18684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4" name="Shape 658404"/>
                        <wps:cNvSpPr/>
                        <wps:spPr>
                          <a:xfrm>
                            <a:off x="31623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5" name="Shape 658405"/>
                        <wps:cNvSpPr/>
                        <wps:spPr>
                          <a:xfrm>
                            <a:off x="3180588" y="0"/>
                            <a:ext cx="163068" cy="18288"/>
                          </a:xfrm>
                          <a:custGeom>
                            <a:avLst/>
                            <a:gdLst/>
                            <a:ahLst/>
                            <a:cxnLst/>
                            <a:rect l="0" t="0" r="0" b="0"/>
                            <a:pathLst>
                              <a:path w="163068" h="18288">
                                <a:moveTo>
                                  <a:pt x="0" y="0"/>
                                </a:moveTo>
                                <a:lnTo>
                                  <a:pt x="163068" y="0"/>
                                </a:lnTo>
                                <a:lnTo>
                                  <a:pt x="1630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6" name="Shape 658406"/>
                        <wps:cNvSpPr/>
                        <wps:spPr>
                          <a:xfrm>
                            <a:off x="334365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7" name="Shape 658407"/>
                        <wps:cNvSpPr/>
                        <wps:spPr>
                          <a:xfrm>
                            <a:off x="3361944" y="0"/>
                            <a:ext cx="1301496" cy="18288"/>
                          </a:xfrm>
                          <a:custGeom>
                            <a:avLst/>
                            <a:gdLst/>
                            <a:ahLst/>
                            <a:cxnLst/>
                            <a:rect l="0" t="0" r="0" b="0"/>
                            <a:pathLst>
                              <a:path w="1301496" h="18288">
                                <a:moveTo>
                                  <a:pt x="0" y="0"/>
                                </a:moveTo>
                                <a:lnTo>
                                  <a:pt x="1301496" y="0"/>
                                </a:lnTo>
                                <a:lnTo>
                                  <a:pt x="130149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8" name="Shape 658408"/>
                        <wps:cNvSpPr/>
                        <wps:spPr>
                          <a:xfrm>
                            <a:off x="466344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09" name="Shape 658409"/>
                        <wps:cNvSpPr/>
                        <wps:spPr>
                          <a:xfrm>
                            <a:off x="4681728" y="0"/>
                            <a:ext cx="2519172" cy="18288"/>
                          </a:xfrm>
                          <a:custGeom>
                            <a:avLst/>
                            <a:gdLst/>
                            <a:ahLst/>
                            <a:cxnLst/>
                            <a:rect l="0" t="0" r="0" b="0"/>
                            <a:pathLst>
                              <a:path w="2519172" h="18288">
                                <a:moveTo>
                                  <a:pt x="0" y="0"/>
                                </a:moveTo>
                                <a:lnTo>
                                  <a:pt x="2519172" y="0"/>
                                </a:lnTo>
                                <a:lnTo>
                                  <a:pt x="25191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0" name="Rectangle 36920"/>
                        <wps:cNvSpPr/>
                        <wps:spPr>
                          <a:xfrm>
                            <a:off x="73152" y="224635"/>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eaVert" lIns="0" tIns="0" rIns="0" bIns="0" rtlCol="0">
                          <a:noAutofit/>
                        </wps:bodyPr>
                      </wps:wsp>
                      <wps:wsp>
                        <wps:cNvPr id="36921" name="Rectangle 36921"/>
                        <wps:cNvSpPr/>
                        <wps:spPr>
                          <a:xfrm>
                            <a:off x="1830324" y="1858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36922" name="Rectangle 36922"/>
                        <wps:cNvSpPr/>
                        <wps:spPr>
                          <a:xfrm>
                            <a:off x="2432304"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36923" name="Rectangle 36923"/>
                        <wps:cNvSpPr/>
                        <wps:spPr>
                          <a:xfrm>
                            <a:off x="2473452" y="194154"/>
                            <a:ext cx="42261"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8412" name="Shape 658412"/>
                        <wps:cNvSpPr/>
                        <wps:spPr>
                          <a:xfrm>
                            <a:off x="1488948" y="329171"/>
                            <a:ext cx="1325880" cy="9144"/>
                          </a:xfrm>
                          <a:custGeom>
                            <a:avLst/>
                            <a:gdLst/>
                            <a:ahLst/>
                            <a:cxnLst/>
                            <a:rect l="0" t="0" r="0" b="0"/>
                            <a:pathLst>
                              <a:path w="1325880" h="9144">
                                <a:moveTo>
                                  <a:pt x="0" y="0"/>
                                </a:moveTo>
                                <a:lnTo>
                                  <a:pt x="1325880" y="0"/>
                                </a:lnTo>
                                <a:lnTo>
                                  <a:pt x="132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5" name="Rectangle 36925"/>
                        <wps:cNvSpPr/>
                        <wps:spPr>
                          <a:xfrm>
                            <a:off x="3393948" y="1858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36926" name="Rectangle 36926"/>
                        <wps:cNvSpPr/>
                        <wps:spPr>
                          <a:xfrm>
                            <a:off x="3767328"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36927" name="Rectangle 36927"/>
                        <wps:cNvSpPr/>
                        <wps:spPr>
                          <a:xfrm>
                            <a:off x="3808476" y="183792"/>
                            <a:ext cx="28174"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 xml:space="preserve"> </w:t>
                              </w:r>
                            </w:p>
                          </w:txbxContent>
                        </wps:txbx>
                        <wps:bodyPr horzOverflow="overflow" vert="horz" lIns="0" tIns="0" rIns="0" bIns="0" rtlCol="0">
                          <a:noAutofit/>
                        </wps:bodyPr>
                      </wps:wsp>
                      <wps:wsp>
                        <wps:cNvPr id="658415" name="Shape 658415"/>
                        <wps:cNvSpPr/>
                        <wps:spPr>
                          <a:xfrm>
                            <a:off x="2924556" y="329171"/>
                            <a:ext cx="1354836" cy="9144"/>
                          </a:xfrm>
                          <a:custGeom>
                            <a:avLst/>
                            <a:gdLst/>
                            <a:ahLst/>
                            <a:cxnLst/>
                            <a:rect l="0" t="0" r="0" b="0"/>
                            <a:pathLst>
                              <a:path w="1354836" h="9144">
                                <a:moveTo>
                                  <a:pt x="0" y="0"/>
                                </a:moveTo>
                                <a:lnTo>
                                  <a:pt x="1354836" y="0"/>
                                </a:lnTo>
                                <a:lnTo>
                                  <a:pt x="13548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9" name="Rectangle 36929"/>
                        <wps:cNvSpPr/>
                        <wps:spPr>
                          <a:xfrm>
                            <a:off x="4806696" y="1858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36930" name="Rectangle 36930"/>
                        <wps:cNvSpPr/>
                        <wps:spPr>
                          <a:xfrm>
                            <a:off x="5180076"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36931" name="Rectangle 36931"/>
                        <wps:cNvSpPr/>
                        <wps:spPr>
                          <a:xfrm>
                            <a:off x="5221224" y="194154"/>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8418" name="Shape 658418"/>
                        <wps:cNvSpPr/>
                        <wps:spPr>
                          <a:xfrm>
                            <a:off x="4390644" y="329171"/>
                            <a:ext cx="1248156" cy="9144"/>
                          </a:xfrm>
                          <a:custGeom>
                            <a:avLst/>
                            <a:gdLst/>
                            <a:ahLst/>
                            <a:cxnLst/>
                            <a:rect l="0" t="0" r="0" b="0"/>
                            <a:pathLst>
                              <a:path w="1248156" h="9144">
                                <a:moveTo>
                                  <a:pt x="0" y="0"/>
                                </a:moveTo>
                                <a:lnTo>
                                  <a:pt x="1248156" y="0"/>
                                </a:lnTo>
                                <a:lnTo>
                                  <a:pt x="12481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3" name="Rectangle 36933"/>
                        <wps:cNvSpPr/>
                        <wps:spPr>
                          <a:xfrm>
                            <a:off x="6010656" y="185839"/>
                            <a:ext cx="1064134"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36934" name="Rectangle 36934"/>
                        <wps:cNvSpPr/>
                        <wps:spPr>
                          <a:xfrm>
                            <a:off x="6841236"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36935" name="Rectangle 36935"/>
                        <wps:cNvSpPr/>
                        <wps:spPr>
                          <a:xfrm>
                            <a:off x="6882384" y="194154"/>
                            <a:ext cx="42262" cy="14288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8"/>
                                </w:rPr>
                                <w:t xml:space="preserve"> </w:t>
                              </w:r>
                            </w:p>
                          </w:txbxContent>
                        </wps:txbx>
                        <wps:bodyPr horzOverflow="overflow" vert="horz" lIns="0" tIns="0" rIns="0" bIns="0" rtlCol="0">
                          <a:noAutofit/>
                        </wps:bodyPr>
                      </wps:wsp>
                      <wps:wsp>
                        <wps:cNvPr id="658421" name="Shape 658421"/>
                        <wps:cNvSpPr/>
                        <wps:spPr>
                          <a:xfrm>
                            <a:off x="5748528" y="329171"/>
                            <a:ext cx="1397508" cy="9144"/>
                          </a:xfrm>
                          <a:custGeom>
                            <a:avLst/>
                            <a:gdLst/>
                            <a:ahLst/>
                            <a:cxnLst/>
                            <a:rect l="0" t="0" r="0" b="0"/>
                            <a:pathLst>
                              <a:path w="1397508" h="9144">
                                <a:moveTo>
                                  <a:pt x="0" y="0"/>
                                </a:moveTo>
                                <a:lnTo>
                                  <a:pt x="1397508" y="0"/>
                                </a:lnTo>
                                <a:lnTo>
                                  <a:pt x="1397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50535" o:spid="_x0000_s1311" style="width:567pt;height:26.4pt;mso-position-horizontal-relative:char;mso-position-vertical-relative:line" coordsize="72009,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">
                <v:rect id="Rectangle 36908" o:spid="_x0000_s1312" style="position:absolute;left:731;top:364;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36909" o:spid="_x0000_s1313" style="position:absolute;left:11323;top:344;width:563;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36910" o:spid="_x0000_s1314" style="position:absolute;left:11734;top:344;width:28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401" o:spid="_x0000_s1315" style="position:absolute;width:12755;height:182;visibility:visible;mso-wrap-style:square;v-text-anchor:top" coordsize="12755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" path="m,l1275588,r,18288l,18288,,e" fillcolor="black" stroked="f" strokeweight="0">
                  <v:stroke miterlimit="83231f" joinstyle="miter"/>
                  <v:path arrowok="t" textboxrect="0,0,1275588,18288"/>
                </v:shape>
                <v:shape id="Shape 658402" o:spid="_x0000_s1316" style="position:absolute;left:1275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" path="m,l18288,r,18288l,18288,,e" fillcolor="black" stroked="f" strokeweight="0">
                  <v:stroke miterlimit="83231f" joinstyle="miter"/>
                  <v:path arrowok="t" textboxrect="0,0,18288,18288"/>
                </v:shape>
                <v:shape id="Shape 658403" o:spid="_x0000_s1317" style="position:absolute;left:12938;width:18685;height:182;visibility:visible;mso-wrap-style:square;v-text-anchor:top" coordsize="18684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" path="m,l1868424,r,18288l,18288,,e" fillcolor="black" stroked="f" strokeweight="0">
                  <v:stroke miterlimit="83231f" joinstyle="miter"/>
                  <v:path arrowok="t" textboxrect="0,0,1868424,18288"/>
                </v:shape>
                <v:shape id="Shape 658404" o:spid="_x0000_s1318" style="position:absolute;left:3162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" path="m,l18288,r,18288l,18288,,e" fillcolor="black" stroked="f" strokeweight="0">
                  <v:stroke miterlimit="83231f" joinstyle="miter"/>
                  <v:path arrowok="t" textboxrect="0,0,18288,18288"/>
                </v:shape>
                <v:shape id="Shape 658405" o:spid="_x0000_s1319" style="position:absolute;left:31805;width:1631;height:182;visibility:visible;mso-wrap-style:square;v-text-anchor:top" coordsize="16306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" path="m,l163068,r,18288l,18288,,e" fillcolor="black" stroked="f" strokeweight="0">
                  <v:stroke miterlimit="83231f" joinstyle="miter"/>
                  <v:path arrowok="t" textboxrect="0,0,163068,18288"/>
                </v:shape>
                <v:shape id="Shape 658406" o:spid="_x0000_s1320" style="position:absolute;left:33436;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" path="m,l18288,r,18288l,18288,,e" fillcolor="black" stroked="f" strokeweight="0">
                  <v:stroke miterlimit="83231f" joinstyle="miter"/>
                  <v:path arrowok="t" textboxrect="0,0,18288,18288"/>
                </v:shape>
                <v:shape id="Shape 658407" o:spid="_x0000_s1321" style="position:absolute;left:33619;width:13015;height:182;visibility:visible;mso-wrap-style:square;v-text-anchor:top" coordsize="130149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" path="m,l1301496,r,18288l,18288,,e" fillcolor="black" stroked="f" strokeweight="0">
                  <v:stroke miterlimit="83231f" joinstyle="miter"/>
                  <v:path arrowok="t" textboxrect="0,0,1301496,18288"/>
                </v:shape>
                <v:shape id="Shape 658408" o:spid="_x0000_s1322" style="position:absolute;left:46634;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" path="m,l18288,r,18288l,18288,,e" fillcolor="black" stroked="f" strokeweight="0">
                  <v:stroke miterlimit="83231f" joinstyle="miter"/>
                  <v:path arrowok="t" textboxrect="0,0,18288,18288"/>
                </v:shape>
                <v:shape id="Shape 658409" o:spid="_x0000_s1323" style="position:absolute;left:46817;width:25192;height:182;visibility:visible;mso-wrap-style:square;v-text-anchor:top" coordsize="25191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" path="m,l2519172,r,18288l,18288,,e" fillcolor="black" stroked="f" strokeweight="0">
                  <v:stroke miterlimit="83231f" joinstyle="miter"/>
                  <v:path arrowok="t" textboxrect="0,0,2519172,18288"/>
                </v:shape>
                <v:rect id="Rectangle 36920" o:spid="_x0000_s1324" style="position:absolute;left:731;top:2246;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" filled="f" stroked="f">
                  <v:textbox style="layout-flow:vertical-ideographic"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rect id="Rectangle 36921" o:spid="_x0000_s1325" style="position:absolute;left:18303;top:1858;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首次銷售費</w:t>
                        </w:r>
                      </w:p>
                    </w:txbxContent>
                  </v:textbox>
                </v:rect>
                <v:rect id="Rectangle 36922" o:spid="_x0000_s1326" style="position:absolute;left:24323;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36923" o:spid="_x0000_s1327" style="position:absolute;left:24734;top:1941;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8412" o:spid="_x0000_s1328" style="position:absolute;left:14889;top:3291;width:13259;height:92;visibility:visible;mso-wrap-style:square;v-text-anchor:top" coordsize="13258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" path="m,l1325880,r,9144l,9144,,e" fillcolor="black" stroked="f" strokeweight="0">
                  <v:stroke miterlimit="83231f" joinstyle="miter"/>
                  <v:path arrowok="t" textboxrect="0,0,1325880,9144"/>
                </v:shape>
                <v:rect id="Rectangle 36925" o:spid="_x0000_s1329" style="position:absolute;left:33939;top:1858;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管理費</w:t>
                        </w:r>
                      </w:p>
                    </w:txbxContent>
                  </v:textbox>
                </v:rect>
                <v:rect id="Rectangle 36926" o:spid="_x0000_s1330" style="position:absolute;left:37673;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36927" o:spid="_x0000_s1331" style="position:absolute;left:38084;top:1837;width:282;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 xml:space="preserve"> </w:t>
                        </w:r>
                      </w:p>
                    </w:txbxContent>
                  </v:textbox>
                </v:rect>
                <v:shape id="Shape 658415" o:spid="_x0000_s1332" style="position:absolute;left:29245;top:3291;width:13548;height:92;visibility:visible;mso-wrap-style:square;v-text-anchor:top" coordsize="1354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" path="m,l1354836,r,9144l,9144,,e" fillcolor="black" stroked="f" strokeweight="0">
                  <v:stroke miterlimit="83231f" joinstyle="miter"/>
                  <v:path arrowok="t" textboxrect="0,0,1354836,9144"/>
                </v:shape>
                <v:rect id="Rectangle 36929" o:spid="_x0000_s1333" style="position:absolute;left:48066;top:1858;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分銷費</w:t>
                        </w:r>
                      </w:p>
                    </w:txbxContent>
                  </v:textbox>
                </v:rect>
                <v:rect id="Rectangle 36930" o:spid="_x0000_s1334" style="position:absolute;left:51800;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36931" o:spid="_x0000_s1335" style="position:absolute;left:52212;top:1941;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8418" o:spid="_x0000_s1336" style="position:absolute;left:43906;top:3291;width:12482;height:92;visibility:visible;mso-wrap-style:square;v-text-anchor:top" coordsize="1248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" path="m,l1248156,r,9144l,9144,,e" fillcolor="black" stroked="f" strokeweight="0">
                  <v:stroke miterlimit="83231f" joinstyle="miter"/>
                  <v:path arrowok="t" textboxrect="0,0,1248156,9144"/>
                </v:shape>
                <v:rect id="Rectangle 36933" o:spid="_x0000_s1337" style="position:absolute;left:60106;top:1858;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或有遞延銷售費</w:t>
                        </w:r>
                      </w:p>
                    </w:txbxContent>
                  </v:textbox>
                </v:rect>
                <v:rect id="Rectangle 36934" o:spid="_x0000_s1338" style="position:absolute;left:68412;top:1837;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36935" o:spid="_x0000_s1339" style="position:absolute;left:68823;top:1941;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8"/>
                          </w:rPr>
                          <w:t xml:space="preserve"> </w:t>
                        </w:r>
                      </w:p>
                    </w:txbxContent>
                  </v:textbox>
                </v:rect>
                <v:shape id="Shape 658421" o:spid="_x0000_s1340" style="position:absolute;left:57485;top:3291;width:13975;height:92;visibility:visible;mso-wrap-style:square;v-text-anchor:top" coordsize="1397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" path="m,l1397508,r,9144l,9144,,e" fillcolor="black" stroked="f" strokeweight="0">
                  <v:stroke miterlimit="83231f" joinstyle="miter"/>
                  <v:path arrowok="t" textboxrect="0,0,1397508,9144"/>
                </v:shape>
                <w10:anchorlock/>
              </v:group>
            </w:pict>
          </mc:Fallback>
        </mc:AlternateContent>
      </w:r>
    </w:p>
    <w:p w:rsidR="004D6F0E" w:rsidRDefault="00490F21">
      <w:pPr>
        <w:shd w:val="clear" w:color="auto" w:fill="D9D9D9"/>
        <w:spacing w:after="11" w:line="250" w:lineRule="auto"/>
        <w:ind w:left="110" w:right="552" w:hanging="10"/>
      </w:pPr>
      <w:r>
        <w:rPr>
          <w:sz w:val="18"/>
        </w:rPr>
        <w:t>美元計價股份類別</w:t>
      </w:r>
      <w:r>
        <w:rPr>
          <w:rFonts w:ascii="Arial" w:eastAsia="Arial" w:hAnsi="Arial" w:cs="Arial"/>
          <w:sz w:val="18"/>
        </w:rPr>
        <w:t xml:space="preserve"> </w:t>
      </w:r>
    </w:p>
    <w:tbl>
      <w:tblPr>
        <w:tblStyle w:val="TableGrid"/>
        <w:tblW w:w="10800" w:type="dxa"/>
        <w:tblInd w:w="100" w:type="dxa"/>
        <w:tblCellMar>
          <w:top w:w="6" w:type="dxa"/>
          <w:left w:w="0" w:type="dxa"/>
          <w:bottom w:w="0" w:type="dxa"/>
          <w:right w:w="0" w:type="dxa"/>
        </w:tblCellMar>
        <w:tblLook w:val="04A0" w:firstRow="1" w:lastRow="0" w:firstColumn="1" w:lastColumn="0" w:noHBand="0" w:noVBand="1"/>
      </w:tblPr>
      <w:tblGrid>
        <w:gridCol w:w="122"/>
        <w:gridCol w:w="1411"/>
        <w:gridCol w:w="627"/>
        <w:gridCol w:w="2350"/>
        <w:gridCol w:w="71"/>
        <w:gridCol w:w="1830"/>
        <w:gridCol w:w="122"/>
        <w:gridCol w:w="2458"/>
        <w:gridCol w:w="253"/>
        <w:gridCol w:w="1591"/>
        <w:gridCol w:w="280"/>
      </w:tblGrid>
      <w:tr w:rsidR="004D6F0E">
        <w:trPr>
          <w:gridBefore w:val="1"/>
          <w:gridAfter w:val="1"/>
          <w:wBefore w:w="100" w:type="dxa"/>
          <w:wAfter w:w="441" w:type="dxa"/>
          <w:trHeight w:val="247"/>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749"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105" w:type="dxa"/>
            <w:gridSpan w:val="2"/>
            <w:tcBorders>
              <w:top w:val="nil"/>
              <w:left w:val="nil"/>
              <w:bottom w:val="nil"/>
              <w:right w:val="nil"/>
            </w:tcBorders>
          </w:tcPr>
          <w:p w:rsidR="004D6F0E" w:rsidRDefault="00490F21">
            <w:pPr>
              <w:spacing w:after="0" w:line="259" w:lineRule="auto"/>
              <w:ind w:left="72" w:firstLine="0"/>
            </w:pPr>
            <w:r>
              <w:rPr>
                <w:rFonts w:ascii="Arial" w:eastAsia="Arial" w:hAnsi="Arial" w:cs="Arial"/>
                <w:sz w:val="18"/>
              </w:rPr>
              <w:t xml:space="preserve">1.10% </w:t>
            </w:r>
          </w:p>
        </w:tc>
        <w:tc>
          <w:tcPr>
            <w:tcW w:w="1853" w:type="dxa"/>
            <w:gridSpan w:val="2"/>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65" w:firstLine="0"/>
              <w:jc w:val="center"/>
            </w:pPr>
            <w:r>
              <w:rPr>
                <w:sz w:val="18"/>
              </w:rPr>
              <w:t>無</w:t>
            </w:r>
            <w:r>
              <w:rPr>
                <w:rFonts w:ascii="Arial" w:eastAsia="Arial" w:hAnsi="Arial" w:cs="Arial"/>
                <w:sz w:val="18"/>
              </w:rPr>
              <w:t xml:space="preserve"> </w:t>
            </w:r>
          </w:p>
        </w:tc>
      </w:tr>
      <w:tr w:rsidR="004D6F0E">
        <w:trPr>
          <w:gridBefore w:val="1"/>
          <w:gridAfter w:val="1"/>
          <w:wBefore w:w="100" w:type="dxa"/>
          <w:wAfter w:w="441" w:type="dxa"/>
          <w:trHeight w:val="293"/>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749" w:firstLine="0"/>
            </w:pPr>
            <w:r>
              <w:rPr>
                <w:sz w:val="18"/>
              </w:rPr>
              <w:t>最高為</w:t>
            </w:r>
            <w:r>
              <w:rPr>
                <w:sz w:val="18"/>
              </w:rPr>
              <w:t xml:space="preserve"> </w:t>
            </w:r>
            <w:r>
              <w:rPr>
                <w:rFonts w:ascii="Arial" w:eastAsia="Arial" w:hAnsi="Arial" w:cs="Arial"/>
                <w:sz w:val="18"/>
              </w:rPr>
              <w:t xml:space="preserve">5.00% </w:t>
            </w:r>
          </w:p>
        </w:tc>
        <w:tc>
          <w:tcPr>
            <w:tcW w:w="2105" w:type="dxa"/>
            <w:gridSpan w:val="2"/>
            <w:tcBorders>
              <w:top w:val="nil"/>
              <w:left w:val="nil"/>
              <w:bottom w:val="nil"/>
              <w:right w:val="nil"/>
            </w:tcBorders>
          </w:tcPr>
          <w:p w:rsidR="004D6F0E" w:rsidRDefault="00490F21">
            <w:pPr>
              <w:spacing w:after="0" w:line="259" w:lineRule="auto"/>
              <w:ind w:left="72" w:firstLine="0"/>
            </w:pPr>
            <w:r>
              <w:rPr>
                <w:rFonts w:ascii="Arial" w:eastAsia="Arial" w:hAnsi="Arial" w:cs="Arial"/>
                <w:sz w:val="18"/>
              </w:rPr>
              <w:t xml:space="preserve">1.10% </w:t>
            </w:r>
          </w:p>
        </w:tc>
        <w:tc>
          <w:tcPr>
            <w:tcW w:w="1853" w:type="dxa"/>
            <w:gridSpan w:val="2"/>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65" w:firstLine="0"/>
              <w:jc w:val="center"/>
            </w:pPr>
            <w:r>
              <w:rPr>
                <w:sz w:val="18"/>
              </w:rPr>
              <w:t>無</w:t>
            </w:r>
            <w:r>
              <w:rPr>
                <w:rFonts w:ascii="Arial" w:eastAsia="Arial" w:hAnsi="Arial" w:cs="Arial"/>
                <w:sz w:val="18"/>
              </w:rPr>
              <w:t xml:space="preserve"> </w:t>
            </w:r>
          </w:p>
        </w:tc>
      </w:tr>
      <w:tr w:rsidR="004D6F0E">
        <w:trPr>
          <w:gridBefore w:val="1"/>
          <w:gridAfter w:val="1"/>
          <w:wBefore w:w="100" w:type="dxa"/>
          <w:wAfter w:w="441" w:type="dxa"/>
          <w:trHeight w:val="293"/>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749" w:firstLine="0"/>
            </w:pPr>
            <w:r>
              <w:rPr>
                <w:sz w:val="18"/>
              </w:rPr>
              <w:t>最高為</w:t>
            </w:r>
            <w:r>
              <w:rPr>
                <w:sz w:val="18"/>
              </w:rPr>
              <w:t xml:space="preserve"> </w:t>
            </w:r>
            <w:r>
              <w:rPr>
                <w:rFonts w:ascii="Arial" w:eastAsia="Arial" w:hAnsi="Arial" w:cs="Arial"/>
                <w:sz w:val="18"/>
              </w:rPr>
              <w:t xml:space="preserve">5.00% </w:t>
            </w:r>
          </w:p>
        </w:tc>
        <w:tc>
          <w:tcPr>
            <w:tcW w:w="2105" w:type="dxa"/>
            <w:gridSpan w:val="2"/>
            <w:tcBorders>
              <w:top w:val="nil"/>
              <w:left w:val="nil"/>
              <w:bottom w:val="nil"/>
              <w:right w:val="nil"/>
            </w:tcBorders>
          </w:tcPr>
          <w:p w:rsidR="004D6F0E" w:rsidRDefault="00490F21">
            <w:pPr>
              <w:spacing w:after="0" w:line="259" w:lineRule="auto"/>
              <w:ind w:left="72" w:firstLine="0"/>
            </w:pPr>
            <w:r>
              <w:rPr>
                <w:rFonts w:ascii="Arial" w:eastAsia="Arial" w:hAnsi="Arial" w:cs="Arial"/>
                <w:sz w:val="18"/>
              </w:rPr>
              <w:t xml:space="preserve">1.10% </w:t>
            </w:r>
          </w:p>
        </w:tc>
        <w:tc>
          <w:tcPr>
            <w:tcW w:w="1853" w:type="dxa"/>
            <w:gridSpan w:val="2"/>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65" w:firstLine="0"/>
              <w:jc w:val="center"/>
            </w:pPr>
            <w:r>
              <w:rPr>
                <w:sz w:val="18"/>
              </w:rPr>
              <w:t>無</w:t>
            </w:r>
            <w:r>
              <w:rPr>
                <w:rFonts w:ascii="Arial" w:eastAsia="Arial" w:hAnsi="Arial" w:cs="Arial"/>
                <w:sz w:val="18"/>
              </w:rPr>
              <w:t xml:space="preserve"> </w:t>
            </w:r>
          </w:p>
        </w:tc>
      </w:tr>
      <w:tr w:rsidR="004D6F0E">
        <w:trPr>
          <w:gridBefore w:val="1"/>
          <w:gridAfter w:val="1"/>
          <w:wBefore w:w="100" w:type="dxa"/>
          <w:wAfter w:w="441" w:type="dxa"/>
          <w:trHeight w:val="290"/>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AI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749" w:firstLine="0"/>
            </w:pPr>
            <w:r>
              <w:rPr>
                <w:sz w:val="18"/>
              </w:rPr>
              <w:t>最高為</w:t>
            </w:r>
            <w:r>
              <w:rPr>
                <w:sz w:val="18"/>
              </w:rPr>
              <w:t xml:space="preserve"> </w:t>
            </w:r>
            <w:r>
              <w:rPr>
                <w:rFonts w:ascii="Arial" w:eastAsia="Arial" w:hAnsi="Arial" w:cs="Arial"/>
                <w:sz w:val="18"/>
              </w:rPr>
              <w:t xml:space="preserve">5.00% </w:t>
            </w:r>
          </w:p>
        </w:tc>
        <w:tc>
          <w:tcPr>
            <w:tcW w:w="2105" w:type="dxa"/>
            <w:gridSpan w:val="2"/>
            <w:tcBorders>
              <w:top w:val="nil"/>
              <w:left w:val="nil"/>
              <w:bottom w:val="nil"/>
              <w:right w:val="nil"/>
            </w:tcBorders>
          </w:tcPr>
          <w:p w:rsidR="004D6F0E" w:rsidRDefault="00490F21">
            <w:pPr>
              <w:spacing w:after="0" w:line="259" w:lineRule="auto"/>
              <w:ind w:left="72" w:firstLine="0"/>
            </w:pPr>
            <w:r>
              <w:rPr>
                <w:rFonts w:ascii="Arial" w:eastAsia="Arial" w:hAnsi="Arial" w:cs="Arial"/>
                <w:sz w:val="18"/>
              </w:rPr>
              <w:t xml:space="preserve">1.10% </w:t>
            </w:r>
          </w:p>
        </w:tc>
        <w:tc>
          <w:tcPr>
            <w:tcW w:w="1853" w:type="dxa"/>
            <w:gridSpan w:val="2"/>
            <w:tcBorders>
              <w:top w:val="nil"/>
              <w:left w:val="nil"/>
              <w:bottom w:val="nil"/>
              <w:right w:val="nil"/>
            </w:tcBorders>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65" w:firstLine="0"/>
              <w:jc w:val="center"/>
            </w:pPr>
            <w:r>
              <w:rPr>
                <w:sz w:val="18"/>
              </w:rPr>
              <w:t>無</w:t>
            </w:r>
            <w:r>
              <w:rPr>
                <w:rFonts w:ascii="Arial" w:eastAsia="Arial" w:hAnsi="Arial" w:cs="Arial"/>
                <w:sz w:val="18"/>
              </w:rPr>
              <w:t xml:space="preserve"> </w:t>
            </w:r>
          </w:p>
        </w:tc>
      </w:tr>
      <w:tr w:rsidR="004D6F0E">
        <w:trPr>
          <w:gridBefore w:val="1"/>
          <w:gridAfter w:val="1"/>
          <w:wBefore w:w="100" w:type="dxa"/>
          <w:wAfter w:w="441" w:type="dxa"/>
          <w:trHeight w:val="990"/>
        </w:trPr>
        <w:tc>
          <w:tcPr>
            <w:tcW w:w="199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BT </w:t>
            </w:r>
            <w:r>
              <w:rPr>
                <w:sz w:val="18"/>
              </w:rPr>
              <w:t>類股份</w:t>
            </w:r>
            <w:r>
              <w:rPr>
                <w:sz w:val="18"/>
              </w:rPr>
              <w:t xml:space="preserve"> </w:t>
            </w:r>
            <w:r>
              <w:rPr>
                <w:rFonts w:ascii="Arial" w:eastAsia="Arial" w:hAnsi="Arial" w:cs="Arial"/>
                <w:sz w:val="12"/>
              </w:rPr>
              <w:t>2**</w:t>
            </w:r>
            <w:r>
              <w:rPr>
                <w:rFonts w:ascii="Arial" w:eastAsia="Arial" w:hAnsi="Arial" w:cs="Arial"/>
                <w:sz w:val="18"/>
              </w:rPr>
              <w:t xml:space="preserve"> </w:t>
            </w:r>
          </w:p>
        </w:tc>
        <w:tc>
          <w:tcPr>
            <w:tcW w:w="3240" w:type="dxa"/>
            <w:gridSpan w:val="2"/>
            <w:tcBorders>
              <w:top w:val="nil"/>
              <w:left w:val="nil"/>
              <w:bottom w:val="nil"/>
              <w:right w:val="nil"/>
            </w:tcBorders>
            <w:vAlign w:val="center"/>
          </w:tcPr>
          <w:p w:rsidR="004D6F0E" w:rsidRDefault="00490F21">
            <w:pPr>
              <w:spacing w:after="0" w:line="259" w:lineRule="auto"/>
              <w:ind w:left="1207" w:firstLine="0"/>
            </w:pPr>
            <w:r>
              <w:rPr>
                <w:sz w:val="18"/>
              </w:rPr>
              <w:t>無</w:t>
            </w:r>
            <w:r>
              <w:rPr>
                <w:rFonts w:ascii="Arial" w:eastAsia="Arial" w:hAnsi="Arial" w:cs="Arial"/>
                <w:sz w:val="18"/>
              </w:rPr>
              <w:t xml:space="preserve"> </w:t>
            </w:r>
          </w:p>
        </w:tc>
        <w:tc>
          <w:tcPr>
            <w:tcW w:w="2105" w:type="dxa"/>
            <w:gridSpan w:val="2"/>
            <w:tcBorders>
              <w:top w:val="nil"/>
              <w:left w:val="nil"/>
              <w:bottom w:val="nil"/>
              <w:right w:val="nil"/>
            </w:tcBorders>
            <w:vAlign w:val="center"/>
          </w:tcPr>
          <w:p w:rsidR="004D6F0E" w:rsidRDefault="00490F21">
            <w:pPr>
              <w:spacing w:after="0" w:line="259" w:lineRule="auto"/>
              <w:ind w:left="72" w:firstLine="0"/>
            </w:pPr>
            <w:r>
              <w:rPr>
                <w:rFonts w:ascii="Arial" w:eastAsia="Arial" w:hAnsi="Arial" w:cs="Arial"/>
                <w:sz w:val="18"/>
              </w:rPr>
              <w:t xml:space="preserve">1.10% </w:t>
            </w:r>
          </w:p>
        </w:tc>
        <w:tc>
          <w:tcPr>
            <w:tcW w:w="1853" w:type="dxa"/>
            <w:gridSpan w:val="2"/>
            <w:tcBorders>
              <w:top w:val="nil"/>
              <w:left w:val="nil"/>
              <w:bottom w:val="nil"/>
              <w:right w:val="nil"/>
            </w:tcBorders>
            <w:vAlign w:val="center"/>
          </w:tcPr>
          <w:p w:rsidR="004D6F0E" w:rsidRDefault="00490F21">
            <w:pPr>
              <w:spacing w:after="0" w:line="259" w:lineRule="auto"/>
              <w:ind w:left="173" w:firstLine="0"/>
            </w:pPr>
            <w:r>
              <w:rPr>
                <w:rFonts w:ascii="Arial" w:eastAsia="Arial" w:hAnsi="Arial" w:cs="Arial"/>
                <w:sz w:val="18"/>
              </w:rPr>
              <w:t xml:space="preserve">1.00% </w:t>
            </w:r>
          </w:p>
        </w:tc>
        <w:tc>
          <w:tcPr>
            <w:tcW w:w="1612" w:type="dxa"/>
            <w:gridSpan w:val="2"/>
            <w:tcBorders>
              <w:top w:val="nil"/>
              <w:left w:val="nil"/>
              <w:bottom w:val="nil"/>
              <w:right w:val="nil"/>
            </w:tcBorders>
          </w:tcPr>
          <w:p w:rsidR="004D6F0E" w:rsidRDefault="00490F21">
            <w:pPr>
              <w:spacing w:after="30" w:line="259" w:lineRule="auto"/>
              <w:ind w:left="117"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69"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69"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69" w:firstLine="0"/>
              <w:jc w:val="center"/>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gridBefore w:val="1"/>
          <w:gridAfter w:val="1"/>
          <w:wBefore w:w="100" w:type="dxa"/>
          <w:wAfter w:w="441" w:type="dxa"/>
          <w:trHeight w:val="526"/>
        </w:trPr>
        <w:tc>
          <w:tcPr>
            <w:tcW w:w="199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lastRenderedPageBreak/>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vAlign w:val="center"/>
          </w:tcPr>
          <w:p w:rsidR="004D6F0E" w:rsidRDefault="00490F21">
            <w:pPr>
              <w:spacing w:after="0" w:line="259" w:lineRule="auto"/>
              <w:ind w:left="1207" w:firstLine="0"/>
            </w:pPr>
            <w:r>
              <w:rPr>
                <w:sz w:val="18"/>
              </w:rPr>
              <w:t>無</w:t>
            </w:r>
            <w:r>
              <w:rPr>
                <w:rFonts w:ascii="Arial" w:eastAsia="Arial" w:hAnsi="Arial" w:cs="Arial"/>
                <w:sz w:val="18"/>
              </w:rPr>
              <w:t xml:space="preserve"> </w:t>
            </w:r>
          </w:p>
        </w:tc>
        <w:tc>
          <w:tcPr>
            <w:tcW w:w="2105" w:type="dxa"/>
            <w:gridSpan w:val="2"/>
            <w:tcBorders>
              <w:top w:val="nil"/>
              <w:left w:val="nil"/>
              <w:bottom w:val="nil"/>
              <w:right w:val="nil"/>
            </w:tcBorders>
            <w:vAlign w:val="center"/>
          </w:tcPr>
          <w:p w:rsidR="004D6F0E" w:rsidRDefault="00490F21">
            <w:pPr>
              <w:spacing w:after="0" w:line="259" w:lineRule="auto"/>
              <w:ind w:left="72" w:firstLine="0"/>
            </w:pPr>
            <w:r>
              <w:rPr>
                <w:rFonts w:ascii="Arial" w:eastAsia="Arial" w:hAnsi="Arial" w:cs="Arial"/>
                <w:sz w:val="18"/>
              </w:rPr>
              <w:t xml:space="preserve">1.55% </w:t>
            </w:r>
          </w:p>
        </w:tc>
        <w:tc>
          <w:tcPr>
            <w:tcW w:w="1853" w:type="dxa"/>
            <w:gridSpan w:val="2"/>
            <w:tcBorders>
              <w:top w:val="nil"/>
              <w:left w:val="nil"/>
              <w:bottom w:val="nil"/>
              <w:right w:val="nil"/>
            </w:tcBorders>
            <w:vAlign w:val="center"/>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405" w:hanging="288"/>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gridBefore w:val="1"/>
          <w:gridAfter w:val="1"/>
          <w:wBefore w:w="100" w:type="dxa"/>
          <w:wAfter w:w="441" w:type="dxa"/>
          <w:trHeight w:val="527"/>
        </w:trPr>
        <w:tc>
          <w:tcPr>
            <w:tcW w:w="199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vAlign w:val="center"/>
          </w:tcPr>
          <w:p w:rsidR="004D6F0E" w:rsidRDefault="00490F21">
            <w:pPr>
              <w:spacing w:after="0" w:line="259" w:lineRule="auto"/>
              <w:ind w:left="1207" w:firstLine="0"/>
            </w:pPr>
            <w:r>
              <w:rPr>
                <w:sz w:val="18"/>
              </w:rPr>
              <w:t>無</w:t>
            </w:r>
            <w:r>
              <w:rPr>
                <w:rFonts w:ascii="Arial" w:eastAsia="Arial" w:hAnsi="Arial" w:cs="Arial"/>
                <w:sz w:val="18"/>
              </w:rPr>
              <w:t xml:space="preserve"> </w:t>
            </w:r>
          </w:p>
        </w:tc>
        <w:tc>
          <w:tcPr>
            <w:tcW w:w="2105" w:type="dxa"/>
            <w:gridSpan w:val="2"/>
            <w:tcBorders>
              <w:top w:val="nil"/>
              <w:left w:val="nil"/>
              <w:bottom w:val="nil"/>
              <w:right w:val="nil"/>
            </w:tcBorders>
            <w:vAlign w:val="center"/>
          </w:tcPr>
          <w:p w:rsidR="004D6F0E" w:rsidRDefault="00490F21">
            <w:pPr>
              <w:spacing w:after="0" w:line="259" w:lineRule="auto"/>
              <w:ind w:left="72" w:firstLine="0"/>
            </w:pPr>
            <w:r>
              <w:rPr>
                <w:rFonts w:ascii="Arial" w:eastAsia="Arial" w:hAnsi="Arial" w:cs="Arial"/>
                <w:sz w:val="18"/>
              </w:rPr>
              <w:t xml:space="preserve">1.55% </w:t>
            </w:r>
          </w:p>
        </w:tc>
        <w:tc>
          <w:tcPr>
            <w:tcW w:w="1853" w:type="dxa"/>
            <w:gridSpan w:val="2"/>
            <w:tcBorders>
              <w:top w:val="nil"/>
              <w:left w:val="nil"/>
              <w:bottom w:val="nil"/>
              <w:right w:val="nil"/>
            </w:tcBorders>
            <w:vAlign w:val="center"/>
          </w:tcPr>
          <w:p w:rsidR="004D6F0E" w:rsidRDefault="00490F21">
            <w:pPr>
              <w:spacing w:after="0" w:line="259" w:lineRule="auto"/>
              <w:ind w:left="338"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405" w:hanging="288"/>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 = 0% </w:t>
            </w:r>
          </w:p>
        </w:tc>
      </w:tr>
      <w:tr w:rsidR="004D6F0E">
        <w:trPr>
          <w:gridBefore w:val="1"/>
          <w:gridAfter w:val="1"/>
          <w:wBefore w:w="100" w:type="dxa"/>
          <w:wAfter w:w="441" w:type="dxa"/>
          <w:trHeight w:val="995"/>
        </w:trPr>
        <w:tc>
          <w:tcPr>
            <w:tcW w:w="199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EA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3240" w:type="dxa"/>
            <w:gridSpan w:val="2"/>
            <w:tcBorders>
              <w:top w:val="nil"/>
              <w:left w:val="nil"/>
              <w:bottom w:val="nil"/>
              <w:right w:val="nil"/>
            </w:tcBorders>
            <w:vAlign w:val="center"/>
          </w:tcPr>
          <w:p w:rsidR="004D6F0E" w:rsidRDefault="00490F21">
            <w:pPr>
              <w:spacing w:after="0" w:line="259" w:lineRule="auto"/>
              <w:ind w:left="1207" w:firstLine="0"/>
            </w:pPr>
            <w:r>
              <w:rPr>
                <w:sz w:val="18"/>
              </w:rPr>
              <w:t>無</w:t>
            </w:r>
            <w:r>
              <w:rPr>
                <w:rFonts w:ascii="Arial" w:eastAsia="Arial" w:hAnsi="Arial" w:cs="Arial"/>
                <w:sz w:val="18"/>
              </w:rPr>
              <w:t xml:space="preserve"> </w:t>
            </w:r>
          </w:p>
        </w:tc>
        <w:tc>
          <w:tcPr>
            <w:tcW w:w="2105" w:type="dxa"/>
            <w:gridSpan w:val="2"/>
            <w:tcBorders>
              <w:top w:val="nil"/>
              <w:left w:val="nil"/>
              <w:bottom w:val="nil"/>
              <w:right w:val="nil"/>
            </w:tcBorders>
            <w:vAlign w:val="center"/>
          </w:tcPr>
          <w:p w:rsidR="004D6F0E" w:rsidRDefault="00490F21">
            <w:pPr>
              <w:spacing w:after="0" w:line="259" w:lineRule="auto"/>
              <w:ind w:left="70" w:firstLine="0"/>
            </w:pPr>
            <w:r>
              <w:rPr>
                <w:rFonts w:ascii="Arial" w:eastAsia="Arial" w:hAnsi="Arial" w:cs="Arial"/>
                <w:sz w:val="18"/>
              </w:rPr>
              <w:t xml:space="preserve">1.10% </w:t>
            </w:r>
          </w:p>
        </w:tc>
        <w:tc>
          <w:tcPr>
            <w:tcW w:w="1853" w:type="dxa"/>
            <w:gridSpan w:val="2"/>
            <w:tcBorders>
              <w:top w:val="nil"/>
              <w:left w:val="nil"/>
              <w:bottom w:val="nil"/>
              <w:right w:val="nil"/>
            </w:tcBorders>
            <w:vAlign w:val="center"/>
          </w:tcPr>
          <w:p w:rsidR="004D6F0E" w:rsidRDefault="00490F21">
            <w:pPr>
              <w:spacing w:after="0" w:line="259" w:lineRule="auto"/>
              <w:ind w:left="161" w:firstLine="0"/>
            </w:pPr>
            <w:r>
              <w:rPr>
                <w:rFonts w:ascii="Arial" w:eastAsia="Arial" w:hAnsi="Arial" w:cs="Arial"/>
                <w:sz w:val="18"/>
              </w:rPr>
              <w:t xml:space="preserve">0.50% </w:t>
            </w:r>
          </w:p>
        </w:tc>
        <w:tc>
          <w:tcPr>
            <w:tcW w:w="1612" w:type="dxa"/>
            <w:gridSpan w:val="2"/>
            <w:tcBorders>
              <w:top w:val="nil"/>
              <w:left w:val="nil"/>
              <w:bottom w:val="nil"/>
              <w:right w:val="nil"/>
            </w:tcBorders>
          </w:tcPr>
          <w:p w:rsidR="004D6F0E" w:rsidRDefault="00490F21">
            <w:pPr>
              <w:spacing w:after="30" w:line="259" w:lineRule="auto"/>
              <w:ind w:left="11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55"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54"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54" w:firstLine="0"/>
              <w:jc w:val="center"/>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gridBefore w:val="1"/>
          <w:gridAfter w:val="1"/>
          <w:wBefore w:w="100" w:type="dxa"/>
          <w:wAfter w:w="441" w:type="dxa"/>
          <w:trHeight w:val="992"/>
        </w:trPr>
        <w:tc>
          <w:tcPr>
            <w:tcW w:w="1990"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EI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3240" w:type="dxa"/>
            <w:gridSpan w:val="2"/>
            <w:tcBorders>
              <w:top w:val="nil"/>
              <w:left w:val="nil"/>
              <w:bottom w:val="nil"/>
              <w:right w:val="nil"/>
            </w:tcBorders>
            <w:vAlign w:val="center"/>
          </w:tcPr>
          <w:p w:rsidR="004D6F0E" w:rsidRDefault="00490F21">
            <w:pPr>
              <w:spacing w:after="0" w:line="259" w:lineRule="auto"/>
              <w:ind w:left="1207" w:firstLine="0"/>
            </w:pPr>
            <w:r>
              <w:rPr>
                <w:sz w:val="18"/>
              </w:rPr>
              <w:t>無</w:t>
            </w:r>
            <w:r>
              <w:rPr>
                <w:rFonts w:ascii="Arial" w:eastAsia="Arial" w:hAnsi="Arial" w:cs="Arial"/>
                <w:sz w:val="18"/>
              </w:rPr>
              <w:t xml:space="preserve"> </w:t>
            </w:r>
          </w:p>
        </w:tc>
        <w:tc>
          <w:tcPr>
            <w:tcW w:w="2105" w:type="dxa"/>
            <w:gridSpan w:val="2"/>
            <w:tcBorders>
              <w:top w:val="nil"/>
              <w:left w:val="nil"/>
              <w:bottom w:val="nil"/>
              <w:right w:val="nil"/>
            </w:tcBorders>
            <w:vAlign w:val="center"/>
          </w:tcPr>
          <w:p w:rsidR="004D6F0E" w:rsidRDefault="00490F21">
            <w:pPr>
              <w:spacing w:after="0" w:line="259" w:lineRule="auto"/>
              <w:ind w:left="70" w:firstLine="0"/>
            </w:pPr>
            <w:r>
              <w:rPr>
                <w:rFonts w:ascii="Arial" w:eastAsia="Arial" w:hAnsi="Arial" w:cs="Arial"/>
                <w:sz w:val="18"/>
              </w:rPr>
              <w:t xml:space="preserve">1.10% </w:t>
            </w:r>
          </w:p>
        </w:tc>
        <w:tc>
          <w:tcPr>
            <w:tcW w:w="1853" w:type="dxa"/>
            <w:gridSpan w:val="2"/>
            <w:tcBorders>
              <w:top w:val="nil"/>
              <w:left w:val="nil"/>
              <w:bottom w:val="nil"/>
              <w:right w:val="nil"/>
            </w:tcBorders>
            <w:vAlign w:val="center"/>
          </w:tcPr>
          <w:p w:rsidR="004D6F0E" w:rsidRDefault="00490F21">
            <w:pPr>
              <w:spacing w:after="0" w:line="259" w:lineRule="auto"/>
              <w:ind w:left="161" w:firstLine="0"/>
            </w:pPr>
            <w:r>
              <w:rPr>
                <w:rFonts w:ascii="Arial" w:eastAsia="Arial" w:hAnsi="Arial" w:cs="Arial"/>
                <w:sz w:val="18"/>
              </w:rPr>
              <w:t xml:space="preserve">0.50% </w:t>
            </w:r>
          </w:p>
        </w:tc>
        <w:tc>
          <w:tcPr>
            <w:tcW w:w="1612" w:type="dxa"/>
            <w:gridSpan w:val="2"/>
            <w:tcBorders>
              <w:top w:val="nil"/>
              <w:left w:val="nil"/>
              <w:bottom w:val="nil"/>
              <w:right w:val="nil"/>
            </w:tcBorders>
          </w:tcPr>
          <w:p w:rsidR="004D6F0E" w:rsidRDefault="00490F21">
            <w:pPr>
              <w:spacing w:after="28" w:line="259" w:lineRule="auto"/>
              <w:ind w:left="11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55"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54"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55" w:firstLine="0"/>
              <w:jc w:val="center"/>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gridBefore w:val="1"/>
          <w:gridAfter w:val="1"/>
          <w:wBefore w:w="100" w:type="dxa"/>
          <w:wAfter w:w="441" w:type="dxa"/>
          <w:trHeight w:val="300"/>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749" w:firstLine="0"/>
            </w:pPr>
            <w:r>
              <w:rPr>
                <w:sz w:val="18"/>
              </w:rPr>
              <w:t>最高為</w:t>
            </w:r>
            <w:r>
              <w:rPr>
                <w:sz w:val="18"/>
              </w:rPr>
              <w:t xml:space="preserve"> </w:t>
            </w:r>
            <w:r>
              <w:rPr>
                <w:rFonts w:ascii="Arial" w:eastAsia="Arial" w:hAnsi="Arial" w:cs="Arial"/>
                <w:sz w:val="18"/>
              </w:rPr>
              <w:t xml:space="preserve">1.50% </w:t>
            </w:r>
          </w:p>
        </w:tc>
        <w:tc>
          <w:tcPr>
            <w:tcW w:w="2105" w:type="dxa"/>
            <w:gridSpan w:val="2"/>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0.55% </w:t>
            </w:r>
          </w:p>
        </w:tc>
        <w:tc>
          <w:tcPr>
            <w:tcW w:w="1853" w:type="dxa"/>
            <w:gridSpan w:val="2"/>
            <w:tcBorders>
              <w:top w:val="nil"/>
              <w:left w:val="nil"/>
              <w:bottom w:val="nil"/>
              <w:right w:val="nil"/>
            </w:tcBorders>
          </w:tcPr>
          <w:p w:rsidR="004D6F0E" w:rsidRDefault="00490F21">
            <w:pPr>
              <w:spacing w:after="0" w:line="259" w:lineRule="auto"/>
              <w:ind w:left="326"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51" w:firstLine="0"/>
              <w:jc w:val="center"/>
            </w:pPr>
            <w:r>
              <w:rPr>
                <w:sz w:val="18"/>
              </w:rPr>
              <w:t>無</w:t>
            </w:r>
            <w:r>
              <w:rPr>
                <w:rFonts w:ascii="Arial" w:eastAsia="Arial" w:hAnsi="Arial" w:cs="Arial"/>
                <w:sz w:val="18"/>
              </w:rPr>
              <w:t xml:space="preserve"> </w:t>
            </w:r>
          </w:p>
        </w:tc>
      </w:tr>
      <w:tr w:rsidR="004D6F0E">
        <w:trPr>
          <w:gridBefore w:val="1"/>
          <w:gridAfter w:val="1"/>
          <w:wBefore w:w="100" w:type="dxa"/>
          <w:wAfter w:w="441" w:type="dxa"/>
          <w:trHeight w:val="285"/>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749" w:firstLine="0"/>
            </w:pPr>
            <w:r>
              <w:rPr>
                <w:sz w:val="18"/>
              </w:rPr>
              <w:t>最高為</w:t>
            </w:r>
            <w:r>
              <w:rPr>
                <w:sz w:val="18"/>
              </w:rPr>
              <w:t xml:space="preserve"> </w:t>
            </w:r>
            <w:r>
              <w:rPr>
                <w:rFonts w:ascii="Arial" w:eastAsia="Arial" w:hAnsi="Arial" w:cs="Arial"/>
                <w:sz w:val="18"/>
              </w:rPr>
              <w:t xml:space="preserve">3.00% </w:t>
            </w:r>
          </w:p>
        </w:tc>
        <w:tc>
          <w:tcPr>
            <w:tcW w:w="2105" w:type="dxa"/>
            <w:gridSpan w:val="2"/>
            <w:tcBorders>
              <w:top w:val="nil"/>
              <w:left w:val="nil"/>
              <w:bottom w:val="nil"/>
              <w:right w:val="nil"/>
            </w:tcBorders>
          </w:tcPr>
          <w:p w:rsidR="004D6F0E" w:rsidRDefault="00490F21">
            <w:pPr>
              <w:spacing w:after="0" w:line="259" w:lineRule="auto"/>
              <w:ind w:left="70" w:firstLine="0"/>
            </w:pPr>
            <w:r>
              <w:rPr>
                <w:rFonts w:ascii="Arial" w:eastAsia="Arial" w:hAnsi="Arial" w:cs="Arial"/>
                <w:sz w:val="18"/>
              </w:rPr>
              <w:t xml:space="preserve">1.65% </w:t>
            </w:r>
          </w:p>
        </w:tc>
        <w:tc>
          <w:tcPr>
            <w:tcW w:w="1853" w:type="dxa"/>
            <w:gridSpan w:val="2"/>
            <w:tcBorders>
              <w:top w:val="nil"/>
              <w:left w:val="nil"/>
              <w:bottom w:val="nil"/>
              <w:right w:val="nil"/>
            </w:tcBorders>
          </w:tcPr>
          <w:p w:rsidR="004D6F0E" w:rsidRDefault="00490F21">
            <w:pPr>
              <w:spacing w:after="0" w:line="259" w:lineRule="auto"/>
              <w:ind w:left="326"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51" w:firstLine="0"/>
              <w:jc w:val="center"/>
            </w:pPr>
            <w:r>
              <w:rPr>
                <w:sz w:val="18"/>
              </w:rPr>
              <w:t>無</w:t>
            </w:r>
            <w:r>
              <w:rPr>
                <w:rFonts w:ascii="Arial" w:eastAsia="Arial" w:hAnsi="Arial" w:cs="Arial"/>
                <w:sz w:val="18"/>
              </w:rPr>
              <w:t xml:space="preserve"> </w:t>
            </w:r>
          </w:p>
        </w:tc>
      </w:tr>
      <w:tr w:rsidR="004D6F0E">
        <w:trPr>
          <w:gridBefore w:val="1"/>
          <w:gridAfter w:val="1"/>
          <w:wBefore w:w="100" w:type="dxa"/>
          <w:wAfter w:w="441" w:type="dxa"/>
          <w:trHeight w:val="239"/>
        </w:trPr>
        <w:tc>
          <w:tcPr>
            <w:tcW w:w="199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3240" w:type="dxa"/>
            <w:gridSpan w:val="2"/>
            <w:tcBorders>
              <w:top w:val="nil"/>
              <w:left w:val="nil"/>
              <w:bottom w:val="nil"/>
              <w:right w:val="nil"/>
            </w:tcBorders>
          </w:tcPr>
          <w:p w:rsidR="004D6F0E" w:rsidRDefault="00490F21">
            <w:pPr>
              <w:spacing w:after="0" w:line="259" w:lineRule="auto"/>
              <w:ind w:left="1207" w:firstLine="0"/>
            </w:pPr>
            <w:r>
              <w:rPr>
                <w:sz w:val="18"/>
              </w:rPr>
              <w:t>無</w:t>
            </w:r>
            <w:r>
              <w:rPr>
                <w:rFonts w:ascii="Arial" w:eastAsia="Arial" w:hAnsi="Arial" w:cs="Arial"/>
                <w:sz w:val="18"/>
              </w:rPr>
              <w:t xml:space="preserve"> </w:t>
            </w:r>
          </w:p>
        </w:tc>
        <w:tc>
          <w:tcPr>
            <w:tcW w:w="2105" w:type="dxa"/>
            <w:gridSpan w:val="2"/>
            <w:tcBorders>
              <w:top w:val="nil"/>
              <w:left w:val="nil"/>
              <w:bottom w:val="nil"/>
              <w:right w:val="nil"/>
            </w:tcBorders>
          </w:tcPr>
          <w:p w:rsidR="004D6F0E" w:rsidRDefault="00490F21">
            <w:pPr>
              <w:spacing w:after="0" w:line="259" w:lineRule="auto"/>
              <w:ind w:left="235" w:firstLine="0"/>
            </w:pPr>
            <w:r>
              <w:rPr>
                <w:sz w:val="18"/>
              </w:rPr>
              <w:t>無</w:t>
            </w:r>
            <w:r>
              <w:rPr>
                <w:rFonts w:ascii="Arial" w:eastAsia="Arial" w:hAnsi="Arial" w:cs="Arial"/>
                <w:sz w:val="18"/>
              </w:rPr>
              <w:t xml:space="preserve"> </w:t>
            </w:r>
          </w:p>
        </w:tc>
        <w:tc>
          <w:tcPr>
            <w:tcW w:w="1853" w:type="dxa"/>
            <w:gridSpan w:val="2"/>
            <w:tcBorders>
              <w:top w:val="nil"/>
              <w:left w:val="nil"/>
              <w:bottom w:val="nil"/>
              <w:right w:val="nil"/>
            </w:tcBorders>
          </w:tcPr>
          <w:p w:rsidR="004D6F0E" w:rsidRDefault="00490F21">
            <w:pPr>
              <w:spacing w:after="0" w:line="259" w:lineRule="auto"/>
              <w:ind w:left="326" w:firstLine="0"/>
            </w:pPr>
            <w:r>
              <w:rPr>
                <w:sz w:val="18"/>
              </w:rPr>
              <w:t>無</w:t>
            </w:r>
            <w:r>
              <w:rPr>
                <w:rFonts w:ascii="Arial" w:eastAsia="Arial" w:hAnsi="Arial" w:cs="Arial"/>
                <w:sz w:val="18"/>
              </w:rPr>
              <w:t xml:space="preserve"> </w:t>
            </w:r>
          </w:p>
        </w:tc>
        <w:tc>
          <w:tcPr>
            <w:tcW w:w="1612" w:type="dxa"/>
            <w:gridSpan w:val="2"/>
            <w:tcBorders>
              <w:top w:val="nil"/>
              <w:left w:val="nil"/>
              <w:bottom w:val="nil"/>
              <w:right w:val="nil"/>
            </w:tcBorders>
          </w:tcPr>
          <w:p w:rsidR="004D6F0E" w:rsidRDefault="00490F21">
            <w:pPr>
              <w:spacing w:after="0" w:line="259" w:lineRule="auto"/>
              <w:ind w:left="51" w:firstLine="0"/>
              <w:jc w:val="center"/>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1157"/>
        </w:trPr>
        <w:tc>
          <w:tcPr>
            <w:tcW w:w="2846" w:type="dxa"/>
            <w:gridSpan w:val="3"/>
            <w:tcBorders>
              <w:top w:val="single" w:sz="12" w:space="0" w:color="000000"/>
              <w:left w:val="nil"/>
              <w:bottom w:val="nil"/>
              <w:right w:val="nil"/>
            </w:tcBorders>
          </w:tcPr>
          <w:p w:rsidR="004D6F0E" w:rsidRDefault="00490F21">
            <w:pPr>
              <w:spacing w:after="69" w:line="259" w:lineRule="auto"/>
              <w:ind w:left="108" w:firstLine="0"/>
            </w:pPr>
            <w:r>
              <w:rPr>
                <w:rFonts w:ascii="Arial" w:eastAsia="Arial" w:hAnsi="Arial" w:cs="Arial"/>
                <w:sz w:val="18"/>
              </w:rPr>
              <w:t xml:space="preserve">S1 2 </w:t>
            </w:r>
            <w:r>
              <w:rPr>
                <w:sz w:val="18"/>
              </w:rPr>
              <w:t>類股份</w:t>
            </w:r>
            <w:r>
              <w:rPr>
                <w:rFonts w:ascii="Arial" w:eastAsia="Arial" w:hAnsi="Arial" w:cs="Arial"/>
                <w:sz w:val="18"/>
              </w:rPr>
              <w:t xml:space="preserve"> </w:t>
            </w:r>
          </w:p>
          <w:p w:rsidR="004D6F0E" w:rsidRDefault="00490F21">
            <w:pPr>
              <w:spacing w:after="86" w:line="259" w:lineRule="auto"/>
              <w:ind w:left="108" w:firstLine="0"/>
            </w:pPr>
            <w:r>
              <w:rPr>
                <w:rFonts w:ascii="Arial" w:eastAsia="Arial" w:hAnsi="Arial" w:cs="Arial"/>
                <w:sz w:val="18"/>
              </w:rPr>
              <w:t xml:space="preserve">SA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108" w:line="259" w:lineRule="auto"/>
              <w:ind w:left="108" w:firstLine="0"/>
            </w:pPr>
            <w:r>
              <w:rPr>
                <w:rFonts w:ascii="Arial" w:eastAsia="Arial" w:hAnsi="Arial" w:cs="Arial"/>
                <w:sz w:val="18"/>
              </w:rPr>
              <w:t xml:space="preserve">ZT </w:t>
            </w:r>
            <w:r>
              <w:rPr>
                <w:sz w:val="18"/>
              </w:rPr>
              <w:t>類股份</w:t>
            </w:r>
            <w:r>
              <w:rPr>
                <w:sz w:val="18"/>
              </w:rPr>
              <w:t xml:space="preserve"> </w:t>
            </w:r>
            <w:r>
              <w:rPr>
                <w:rFonts w:ascii="Arial" w:eastAsia="Arial" w:hAnsi="Arial" w:cs="Arial"/>
                <w:sz w:val="18"/>
                <w:vertAlign w:val="superscript"/>
              </w:rPr>
              <w:t>10</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p>
        </w:tc>
        <w:tc>
          <w:tcPr>
            <w:tcW w:w="2554" w:type="dxa"/>
            <w:gridSpan w:val="2"/>
            <w:tcBorders>
              <w:top w:val="single" w:sz="12" w:space="0" w:color="000000"/>
              <w:left w:val="nil"/>
              <w:bottom w:val="nil"/>
              <w:right w:val="nil"/>
            </w:tcBorders>
          </w:tcPr>
          <w:p w:rsidR="004D6F0E" w:rsidRDefault="00490F21">
            <w:pPr>
              <w:spacing w:after="0" w:line="341" w:lineRule="auto"/>
              <w:ind w:left="458" w:right="1383" w:firstLine="0"/>
            </w:pPr>
            <w:r>
              <w:rPr>
                <w:sz w:val="18"/>
              </w:rPr>
              <w:t>無無無</w:t>
            </w:r>
            <w:r>
              <w:rPr>
                <w:rFonts w:ascii="Arial" w:eastAsia="Arial" w:hAnsi="Arial" w:cs="Arial"/>
                <w:sz w:val="18"/>
              </w:rPr>
              <w:t xml:space="preserve"> </w:t>
            </w:r>
          </w:p>
          <w:p w:rsidR="004D6F0E" w:rsidRDefault="00490F21">
            <w:pPr>
              <w:spacing w:after="0" w:line="259" w:lineRule="auto"/>
              <w:ind w:left="1394" w:firstLine="0"/>
              <w:jc w:val="center"/>
            </w:pPr>
            <w:r>
              <w:rPr>
                <w:rFonts w:ascii="Arial" w:eastAsia="Arial" w:hAnsi="Arial" w:cs="Arial"/>
                <w:sz w:val="18"/>
              </w:rPr>
              <w:t xml:space="preserve"> </w:t>
            </w:r>
          </w:p>
        </w:tc>
        <w:tc>
          <w:tcPr>
            <w:tcW w:w="2206" w:type="dxa"/>
            <w:gridSpan w:val="2"/>
            <w:tcBorders>
              <w:top w:val="single" w:sz="12" w:space="0" w:color="000000"/>
              <w:left w:val="nil"/>
              <w:bottom w:val="nil"/>
              <w:right w:val="nil"/>
            </w:tcBorders>
          </w:tcPr>
          <w:p w:rsidR="004D6F0E" w:rsidRDefault="00490F21">
            <w:pPr>
              <w:spacing w:after="2" w:line="334" w:lineRule="auto"/>
              <w:ind w:left="173" w:right="1320" w:hanging="166"/>
            </w:pPr>
            <w:r>
              <w:rPr>
                <w:rFonts w:ascii="Arial" w:eastAsia="Arial" w:hAnsi="Arial" w:cs="Arial"/>
                <w:sz w:val="18"/>
              </w:rPr>
              <w:t xml:space="preserve">0.55% </w:t>
            </w:r>
            <w:r>
              <w:rPr>
                <w:sz w:val="18"/>
              </w:rPr>
              <w:t>無無</w:t>
            </w:r>
            <w:r>
              <w:rPr>
                <w:rFonts w:ascii="Arial" w:eastAsia="Arial" w:hAnsi="Arial" w:cs="Arial"/>
                <w:sz w:val="18"/>
              </w:rPr>
              <w:t xml:space="preserve"> </w:t>
            </w:r>
          </w:p>
          <w:p w:rsidR="004D6F0E" w:rsidRDefault="00490F21">
            <w:pPr>
              <w:spacing w:after="0" w:line="259" w:lineRule="auto"/>
              <w:ind w:left="1171" w:firstLine="0"/>
              <w:jc w:val="center"/>
            </w:pPr>
            <w:r>
              <w:rPr>
                <w:rFonts w:ascii="Arial" w:eastAsia="Arial" w:hAnsi="Arial" w:cs="Arial"/>
                <w:sz w:val="18"/>
              </w:rPr>
              <w:t xml:space="preserve"> </w:t>
            </w:r>
          </w:p>
        </w:tc>
        <w:tc>
          <w:tcPr>
            <w:tcW w:w="1800" w:type="dxa"/>
            <w:gridSpan w:val="2"/>
            <w:tcBorders>
              <w:top w:val="single" w:sz="12" w:space="0" w:color="000000"/>
              <w:left w:val="nil"/>
              <w:bottom w:val="nil"/>
              <w:right w:val="nil"/>
            </w:tcBorders>
          </w:tcPr>
          <w:p w:rsidR="004D6F0E" w:rsidRDefault="00490F21">
            <w:pPr>
              <w:spacing w:after="0" w:line="341" w:lineRule="auto"/>
              <w:ind w:left="163" w:right="924" w:firstLine="0"/>
            </w:pPr>
            <w:r>
              <w:rPr>
                <w:sz w:val="18"/>
              </w:rPr>
              <w:t>無無無</w:t>
            </w:r>
            <w:r>
              <w:rPr>
                <w:rFonts w:ascii="Arial" w:eastAsia="Arial" w:hAnsi="Arial" w:cs="Arial"/>
                <w:sz w:val="18"/>
              </w:rPr>
              <w:t xml:space="preserve"> </w:t>
            </w:r>
          </w:p>
          <w:p w:rsidR="004D6F0E" w:rsidRDefault="00490F21">
            <w:pPr>
              <w:spacing w:after="0" w:line="259" w:lineRule="auto"/>
              <w:ind w:left="1433" w:firstLine="0"/>
            </w:pPr>
            <w:r>
              <w:rPr>
                <w:rFonts w:ascii="Arial" w:eastAsia="Arial" w:hAnsi="Arial" w:cs="Arial"/>
                <w:sz w:val="18"/>
              </w:rPr>
              <w:t xml:space="preserve"> </w:t>
            </w:r>
          </w:p>
        </w:tc>
        <w:tc>
          <w:tcPr>
            <w:tcW w:w="1935" w:type="dxa"/>
            <w:gridSpan w:val="2"/>
            <w:tcBorders>
              <w:top w:val="single" w:sz="12" w:space="0" w:color="000000"/>
              <w:left w:val="nil"/>
              <w:bottom w:val="nil"/>
              <w:right w:val="nil"/>
            </w:tcBorders>
          </w:tcPr>
          <w:p w:rsidR="004D6F0E" w:rsidRDefault="00490F21">
            <w:pPr>
              <w:spacing w:after="0" w:line="259" w:lineRule="auto"/>
              <w:ind w:left="631" w:right="591" w:firstLine="0"/>
            </w:pPr>
            <w:r>
              <w:rPr>
                <w:sz w:val="18"/>
              </w:rPr>
              <w:t>無無無</w:t>
            </w:r>
            <w:r>
              <w:rPr>
                <w:rFonts w:ascii="Arial" w:eastAsia="Arial" w:hAnsi="Arial" w:cs="Arial"/>
                <w:sz w:val="18"/>
              </w:rPr>
              <w:t xml:space="preserve"> </w:t>
            </w:r>
          </w:p>
        </w:tc>
      </w:tr>
      <w:tr w:rsidR="004D6F0E">
        <w:tblPrEx>
          <w:tblCellMar>
            <w:top w:w="23" w:type="dxa"/>
            <w:right w:w="303" w:type="dxa"/>
          </w:tblCellMar>
        </w:tblPrEx>
        <w:trPr>
          <w:trHeight w:val="235"/>
        </w:trPr>
        <w:tc>
          <w:tcPr>
            <w:tcW w:w="2846" w:type="dxa"/>
            <w:gridSpan w:val="3"/>
            <w:tcBorders>
              <w:top w:val="nil"/>
              <w:left w:val="nil"/>
              <w:bottom w:val="nil"/>
              <w:right w:val="nil"/>
            </w:tcBorders>
            <w:shd w:val="clear" w:color="auto" w:fill="D9D9D9"/>
          </w:tcPr>
          <w:p w:rsidR="004D6F0E" w:rsidRDefault="00490F21">
            <w:pPr>
              <w:spacing w:after="0" w:line="259" w:lineRule="auto"/>
              <w:ind w:left="108" w:firstLine="0"/>
            </w:pPr>
            <w:r>
              <w:rPr>
                <w:sz w:val="18"/>
              </w:rPr>
              <w:t>歐元計價股份類別</w:t>
            </w:r>
            <w:r>
              <w:rPr>
                <w:rFonts w:ascii="Arial" w:eastAsia="Arial" w:hAnsi="Arial" w:cs="Arial"/>
                <w:b/>
                <w:sz w:val="18"/>
              </w:rPr>
              <w:t xml:space="preserve"> </w:t>
            </w:r>
          </w:p>
        </w:tc>
        <w:tc>
          <w:tcPr>
            <w:tcW w:w="25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0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03" w:type="dxa"/>
          </w:tblCellMar>
        </w:tblPrEx>
        <w:trPr>
          <w:trHeight w:val="1846"/>
        </w:trPr>
        <w:tc>
          <w:tcPr>
            <w:tcW w:w="2846" w:type="dxa"/>
            <w:gridSpan w:val="3"/>
            <w:tcBorders>
              <w:top w:val="nil"/>
              <w:left w:val="nil"/>
              <w:bottom w:val="nil"/>
              <w:right w:val="nil"/>
            </w:tcBorders>
          </w:tcPr>
          <w:p w:rsidR="004D6F0E" w:rsidRDefault="00490F21">
            <w:pPr>
              <w:spacing w:after="21" w:line="259" w:lineRule="auto"/>
              <w:ind w:left="108" w:firstLine="0"/>
            </w:pPr>
            <w:r>
              <w:rPr>
                <w:rFonts w:ascii="Arial" w:eastAsia="Arial" w:hAnsi="Arial" w:cs="Arial"/>
                <w:sz w:val="18"/>
              </w:rPr>
              <w:t xml:space="preserve">AR </w:t>
            </w:r>
            <w:r>
              <w:rPr>
                <w:sz w:val="18"/>
              </w:rPr>
              <w:t>類股份</w:t>
            </w:r>
            <w:r>
              <w:rPr>
                <w:rFonts w:ascii="Arial" w:eastAsia="Arial" w:hAnsi="Arial" w:cs="Arial"/>
                <w:sz w:val="18"/>
              </w:rPr>
              <w:t xml:space="preserve"> </w:t>
            </w:r>
          </w:p>
          <w:p w:rsidR="004D6F0E" w:rsidRDefault="00490F21">
            <w:pPr>
              <w:spacing w:after="115" w:line="287" w:lineRule="auto"/>
              <w:ind w:left="108" w:right="795" w:firstLine="0"/>
              <w:jc w:val="both"/>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AT </w:t>
            </w:r>
            <w:r>
              <w:rPr>
                <w:sz w:val="18"/>
              </w:rPr>
              <w:t>類股份</w:t>
            </w:r>
            <w:r>
              <w:rPr>
                <w:rFonts w:ascii="Arial" w:eastAsia="Arial" w:hAnsi="Arial" w:cs="Arial"/>
                <w:sz w:val="18"/>
              </w:rPr>
              <w:t xml:space="preserve"> </w:t>
            </w:r>
          </w:p>
          <w:p w:rsidR="004D6F0E" w:rsidRDefault="00490F21">
            <w:pPr>
              <w:spacing w:after="131" w:line="259" w:lineRule="auto"/>
              <w:ind w:left="108"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p w:rsidR="004D6F0E" w:rsidRDefault="00490F21">
            <w:pPr>
              <w:spacing w:after="39" w:line="259" w:lineRule="auto"/>
              <w:ind w:left="108" w:firstLine="0"/>
            </w:pP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14" w:line="259" w:lineRule="auto"/>
              <w:ind w:left="108" w:firstLine="0"/>
            </w:pPr>
            <w:r>
              <w:rPr>
                <w:rFonts w:ascii="Arial" w:eastAsia="Arial" w:hAnsi="Arial" w:cs="Arial"/>
                <w:sz w:val="18"/>
              </w:rPr>
              <w:t xml:space="preserve">S1 2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76" w:line="332" w:lineRule="auto"/>
              <w:ind w:left="0" w:right="943" w:firstLine="0"/>
            </w:pPr>
            <w:r>
              <w:rPr>
                <w:sz w:val="18"/>
              </w:rPr>
              <w:t>最高為</w:t>
            </w:r>
            <w:r>
              <w:rPr>
                <w:sz w:val="18"/>
              </w:rPr>
              <w:t xml:space="preserve"> </w:t>
            </w:r>
            <w:r>
              <w:rPr>
                <w:rFonts w:ascii="Arial" w:eastAsia="Arial" w:hAnsi="Arial" w:cs="Arial"/>
                <w:sz w:val="18"/>
              </w:rPr>
              <w:t xml:space="preserve">5.00% </w:t>
            </w: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r>
              <w:rPr>
                <w:sz w:val="18"/>
              </w:rPr>
              <w:t>無</w:t>
            </w:r>
            <w:r>
              <w:rPr>
                <w:rFonts w:ascii="Arial" w:eastAsia="Arial" w:hAnsi="Arial" w:cs="Arial"/>
                <w:sz w:val="18"/>
              </w:rPr>
              <w:t xml:space="preserve"> </w:t>
            </w:r>
          </w:p>
          <w:p w:rsidR="004D6F0E" w:rsidRDefault="00490F21">
            <w:pPr>
              <w:spacing w:after="0" w:line="279" w:lineRule="auto"/>
              <w:ind w:left="458" w:right="927" w:hanging="458"/>
            </w:pPr>
            <w:r>
              <w:rPr>
                <w:sz w:val="18"/>
              </w:rPr>
              <w:t>最高為</w:t>
            </w:r>
            <w:r>
              <w:rPr>
                <w:sz w:val="18"/>
              </w:rPr>
              <w:t xml:space="preserve"> </w:t>
            </w:r>
            <w:r>
              <w:rPr>
                <w:rFonts w:ascii="Arial" w:eastAsia="Arial" w:hAnsi="Arial" w:cs="Arial"/>
                <w:sz w:val="18"/>
              </w:rPr>
              <w:t xml:space="preserve">1.50% </w:t>
            </w: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06" w:type="dxa"/>
            <w:gridSpan w:val="2"/>
            <w:tcBorders>
              <w:top w:val="nil"/>
              <w:left w:val="nil"/>
              <w:bottom w:val="nil"/>
              <w:right w:val="nil"/>
            </w:tcBorders>
          </w:tcPr>
          <w:p w:rsidR="004D6F0E" w:rsidRDefault="00490F21">
            <w:pPr>
              <w:spacing w:after="2" w:line="270" w:lineRule="auto"/>
              <w:ind w:left="7" w:right="822" w:firstLine="0"/>
            </w:pPr>
            <w:r>
              <w:rPr>
                <w:rFonts w:ascii="Arial" w:eastAsia="Arial" w:hAnsi="Arial" w:cs="Arial"/>
                <w:sz w:val="18"/>
              </w:rPr>
              <w:t xml:space="preserve">1.10% 1.10% </w:t>
            </w:r>
          </w:p>
          <w:p w:rsidR="004D6F0E" w:rsidRDefault="00490F21">
            <w:pPr>
              <w:spacing w:after="127" w:line="259" w:lineRule="auto"/>
              <w:ind w:left="7" w:firstLine="0"/>
            </w:pPr>
            <w:r>
              <w:rPr>
                <w:rFonts w:ascii="Arial" w:eastAsia="Arial" w:hAnsi="Arial" w:cs="Arial"/>
                <w:sz w:val="18"/>
              </w:rPr>
              <w:t xml:space="preserve">1.10% </w:t>
            </w:r>
          </w:p>
          <w:p w:rsidR="004D6F0E" w:rsidRDefault="00490F21">
            <w:pPr>
              <w:spacing w:after="127" w:line="259" w:lineRule="auto"/>
              <w:ind w:left="7" w:firstLine="0"/>
            </w:pPr>
            <w:r>
              <w:rPr>
                <w:rFonts w:ascii="Arial" w:eastAsia="Arial" w:hAnsi="Arial" w:cs="Arial"/>
                <w:sz w:val="18"/>
              </w:rPr>
              <w:t xml:space="preserve">1.55% </w:t>
            </w:r>
          </w:p>
          <w:p w:rsidR="004D6F0E" w:rsidRDefault="00490F21">
            <w:pPr>
              <w:spacing w:after="12" w:line="259" w:lineRule="auto"/>
              <w:ind w:left="7" w:firstLine="0"/>
            </w:pPr>
            <w:r>
              <w:rPr>
                <w:rFonts w:ascii="Arial" w:eastAsia="Arial" w:hAnsi="Arial" w:cs="Arial"/>
                <w:sz w:val="18"/>
              </w:rPr>
              <w:t xml:space="preserve">0.55% </w:t>
            </w:r>
          </w:p>
          <w:p w:rsidR="004D6F0E" w:rsidRDefault="00490F21">
            <w:pPr>
              <w:spacing w:after="0" w:line="259" w:lineRule="auto"/>
              <w:ind w:left="7" w:firstLine="0"/>
            </w:pPr>
            <w:r>
              <w:rPr>
                <w:rFonts w:ascii="Arial" w:eastAsia="Arial" w:hAnsi="Arial" w:cs="Arial"/>
                <w:sz w:val="18"/>
              </w:rPr>
              <w:t xml:space="preserve">0.55% </w:t>
            </w:r>
          </w:p>
          <w:p w:rsidR="004D6F0E" w:rsidRDefault="00490F21">
            <w:pPr>
              <w:spacing w:after="0" w:line="259" w:lineRule="auto"/>
              <w:ind w:left="262" w:firstLine="0"/>
            </w:pPr>
            <w:r>
              <w:rPr>
                <w:rFonts w:ascii="Arial" w:eastAsia="Arial" w:hAnsi="Arial" w:cs="Arial"/>
                <w:sz w:val="18"/>
              </w:rPr>
              <w:t xml:space="preserve"> </w:t>
            </w:r>
          </w:p>
        </w:tc>
        <w:tc>
          <w:tcPr>
            <w:tcW w:w="1800" w:type="dxa"/>
            <w:gridSpan w:val="2"/>
            <w:tcBorders>
              <w:top w:val="nil"/>
              <w:left w:val="nil"/>
              <w:bottom w:val="nil"/>
              <w:right w:val="nil"/>
            </w:tcBorders>
          </w:tcPr>
          <w:p w:rsidR="004D6F0E" w:rsidRDefault="00490F21">
            <w:pPr>
              <w:spacing w:after="0" w:line="328" w:lineRule="auto"/>
              <w:ind w:left="163" w:right="924" w:firstLine="0"/>
            </w:pPr>
            <w:r>
              <w:rPr>
                <w:sz w:val="18"/>
              </w:rPr>
              <w:t>無無無無無無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6" w:line="275" w:lineRule="auto"/>
              <w:ind w:left="631" w:right="591" w:firstLine="0"/>
            </w:pPr>
            <w:r>
              <w:rPr>
                <w:sz w:val="18"/>
              </w:rPr>
              <w:t>無無無</w:t>
            </w:r>
            <w:r>
              <w:rPr>
                <w:rFonts w:ascii="Arial" w:eastAsia="Arial" w:hAnsi="Arial" w:cs="Arial"/>
                <w:sz w:val="18"/>
              </w:rPr>
              <w:t xml:space="preserve"> </w:t>
            </w:r>
          </w:p>
          <w:p w:rsidR="004D6F0E" w:rsidRDefault="00490F21">
            <w:pPr>
              <w:spacing w:after="0" w:line="275" w:lineRule="auto"/>
              <w:ind w:left="360" w:right="231" w:hanging="317"/>
            </w:pPr>
            <w:r>
              <w:rPr>
                <w:sz w:val="18"/>
              </w:rPr>
              <w:t>持有</w:t>
            </w:r>
            <w:r>
              <w:rPr>
                <w:rFonts w:ascii="Arial" w:eastAsia="Arial" w:hAnsi="Arial" w:cs="Arial"/>
                <w:sz w:val="18"/>
              </w:rPr>
              <w:t>0–1</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r>
              <w:rPr>
                <w:sz w:val="18"/>
              </w:rPr>
              <w:t>無無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03" w:type="dxa"/>
          </w:tblCellMar>
        </w:tblPrEx>
        <w:trPr>
          <w:trHeight w:val="235"/>
        </w:trPr>
        <w:tc>
          <w:tcPr>
            <w:tcW w:w="2846" w:type="dxa"/>
            <w:gridSpan w:val="3"/>
            <w:tcBorders>
              <w:top w:val="nil"/>
              <w:left w:val="nil"/>
              <w:bottom w:val="nil"/>
              <w:right w:val="nil"/>
            </w:tcBorders>
            <w:shd w:val="clear" w:color="auto" w:fill="D9D9D9"/>
          </w:tcPr>
          <w:p w:rsidR="004D6F0E" w:rsidRDefault="00490F21">
            <w:pPr>
              <w:spacing w:after="0" w:line="259" w:lineRule="auto"/>
              <w:ind w:left="108" w:firstLine="0"/>
            </w:pPr>
            <w:r>
              <w:rPr>
                <w:sz w:val="18"/>
              </w:rPr>
              <w:t>港元計價股份類別</w:t>
            </w:r>
            <w:r>
              <w:rPr>
                <w:rFonts w:ascii="Arial" w:eastAsia="Arial" w:hAnsi="Arial" w:cs="Arial"/>
                <w:sz w:val="18"/>
              </w:rPr>
              <w:t xml:space="preserve"> </w:t>
            </w:r>
          </w:p>
        </w:tc>
        <w:tc>
          <w:tcPr>
            <w:tcW w:w="2554" w:type="dxa"/>
            <w:gridSpan w:val="2"/>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06" w:type="dxa"/>
            <w:gridSpan w:val="2"/>
            <w:tcBorders>
              <w:top w:val="nil"/>
              <w:left w:val="nil"/>
              <w:bottom w:val="nil"/>
              <w:right w:val="nil"/>
            </w:tcBorders>
            <w:shd w:val="clear" w:color="auto" w:fill="D9D9D9"/>
          </w:tcPr>
          <w:p w:rsidR="004D6F0E" w:rsidRDefault="00490F21">
            <w:pPr>
              <w:spacing w:after="0" w:line="259" w:lineRule="auto"/>
              <w:ind w:left="262" w:firstLine="0"/>
            </w:pPr>
            <w:r>
              <w:rPr>
                <w:rFonts w:ascii="Arial" w:eastAsia="Arial" w:hAnsi="Arial" w:cs="Arial"/>
                <w:sz w:val="18"/>
              </w:rPr>
              <w:t xml:space="preserve"> </w:t>
            </w:r>
          </w:p>
        </w:tc>
        <w:tc>
          <w:tcPr>
            <w:tcW w:w="1800"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935" w:type="dxa"/>
            <w:gridSpan w:val="2"/>
            <w:tcBorders>
              <w:top w:val="nil"/>
              <w:left w:val="nil"/>
              <w:bottom w:val="nil"/>
              <w:right w:val="nil"/>
            </w:tcBorders>
            <w:shd w:val="clear" w:color="auto" w:fill="D9D9D9"/>
          </w:tcPr>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03" w:type="dxa"/>
          </w:tblCellMar>
        </w:tblPrEx>
        <w:trPr>
          <w:trHeight w:val="674"/>
        </w:trPr>
        <w:tc>
          <w:tcPr>
            <w:tcW w:w="2846" w:type="dxa"/>
            <w:gridSpan w:val="3"/>
            <w:tcBorders>
              <w:top w:val="nil"/>
              <w:left w:val="nil"/>
              <w:bottom w:val="nil"/>
              <w:right w:val="nil"/>
            </w:tcBorders>
          </w:tcPr>
          <w:p w:rsidR="004D6F0E" w:rsidRDefault="00490F21">
            <w:pPr>
              <w:spacing w:after="22" w:line="259" w:lineRule="auto"/>
              <w:ind w:left="108" w:firstLine="0"/>
            </w:pPr>
            <w:r>
              <w:rPr>
                <w:rFonts w:ascii="Arial" w:eastAsia="Arial" w:hAnsi="Arial" w:cs="Arial"/>
                <w:sz w:val="18"/>
              </w:rPr>
              <w:t xml:space="preserve">A2 </w:t>
            </w:r>
            <w:r>
              <w:rPr>
                <w:sz w:val="18"/>
              </w:rPr>
              <w:t>類及</w:t>
            </w:r>
            <w:r>
              <w:rPr>
                <w:sz w:val="18"/>
              </w:rPr>
              <w:t xml:space="preserve"> </w:t>
            </w:r>
            <w:r>
              <w:rPr>
                <w:rFonts w:ascii="Arial" w:eastAsia="Arial" w:hAnsi="Arial" w:cs="Arial"/>
                <w:sz w:val="18"/>
              </w:rPr>
              <w:t xml:space="preserve">AA </w:t>
            </w:r>
            <w:r>
              <w:rPr>
                <w:sz w:val="18"/>
              </w:rPr>
              <w:t>類股份</w:t>
            </w:r>
            <w:r>
              <w:rPr>
                <w:rFonts w:ascii="Arial" w:eastAsia="Arial" w:hAnsi="Arial" w:cs="Arial"/>
                <w:sz w:val="18"/>
              </w:rPr>
              <w:t xml:space="preserve"> </w:t>
            </w:r>
          </w:p>
          <w:p w:rsidR="004D6F0E" w:rsidRDefault="00490F21">
            <w:pPr>
              <w:spacing w:after="15" w:line="259" w:lineRule="auto"/>
              <w:ind w:left="108"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3" w:line="289" w:lineRule="auto"/>
              <w:ind w:left="0" w:right="583"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06" w:type="dxa"/>
            <w:gridSpan w:val="2"/>
            <w:tcBorders>
              <w:top w:val="nil"/>
              <w:left w:val="nil"/>
              <w:bottom w:val="nil"/>
              <w:right w:val="nil"/>
            </w:tcBorders>
          </w:tcPr>
          <w:p w:rsidR="004D6F0E" w:rsidRDefault="00490F21">
            <w:pPr>
              <w:spacing w:after="12" w:line="259" w:lineRule="auto"/>
              <w:ind w:left="7" w:firstLine="0"/>
            </w:pPr>
            <w:r>
              <w:rPr>
                <w:rFonts w:ascii="Arial" w:eastAsia="Arial" w:hAnsi="Arial" w:cs="Arial"/>
                <w:sz w:val="18"/>
              </w:rPr>
              <w:t xml:space="preserve">1.10% </w:t>
            </w:r>
          </w:p>
          <w:p w:rsidR="004D6F0E" w:rsidRDefault="00490F21">
            <w:pPr>
              <w:spacing w:after="0" w:line="259" w:lineRule="auto"/>
              <w:ind w:left="7" w:firstLine="0"/>
            </w:pPr>
            <w:r>
              <w:rPr>
                <w:rFonts w:ascii="Arial" w:eastAsia="Arial" w:hAnsi="Arial" w:cs="Arial"/>
                <w:sz w:val="18"/>
              </w:rPr>
              <w:t xml:space="preserve">1.10% </w:t>
            </w:r>
          </w:p>
          <w:p w:rsidR="004D6F0E" w:rsidRDefault="00490F21">
            <w:pPr>
              <w:spacing w:after="0" w:line="259" w:lineRule="auto"/>
              <w:ind w:left="262" w:firstLine="0"/>
            </w:pPr>
            <w:r>
              <w:rPr>
                <w:rFonts w:ascii="Arial" w:eastAsia="Arial" w:hAnsi="Arial" w:cs="Arial"/>
                <w:sz w:val="18"/>
              </w:rPr>
              <w:t xml:space="preserve"> </w:t>
            </w:r>
          </w:p>
        </w:tc>
        <w:tc>
          <w:tcPr>
            <w:tcW w:w="1800" w:type="dxa"/>
            <w:gridSpan w:val="2"/>
            <w:tcBorders>
              <w:top w:val="nil"/>
              <w:left w:val="nil"/>
              <w:bottom w:val="nil"/>
              <w:right w:val="nil"/>
            </w:tcBorders>
          </w:tcPr>
          <w:p w:rsidR="004D6F0E" w:rsidRDefault="00490F21">
            <w:pPr>
              <w:spacing w:after="0" w:line="273" w:lineRule="auto"/>
              <w:ind w:left="163" w:right="924" w:firstLine="0"/>
            </w:pPr>
            <w:r>
              <w:rPr>
                <w:sz w:val="18"/>
              </w:rPr>
              <w:t>無無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73" w:lineRule="auto"/>
              <w:ind w:left="631" w:right="591" w:firstLine="0"/>
            </w:pPr>
            <w:r>
              <w:rPr>
                <w:sz w:val="18"/>
              </w:rPr>
              <w:t>無無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03" w:type="dxa"/>
          </w:tblCellMar>
        </w:tblPrEx>
        <w:trPr>
          <w:trHeight w:val="233"/>
        </w:trPr>
        <w:tc>
          <w:tcPr>
            <w:tcW w:w="2846" w:type="dxa"/>
            <w:gridSpan w:val="3"/>
            <w:tcBorders>
              <w:top w:val="nil"/>
              <w:left w:val="nil"/>
              <w:bottom w:val="nil"/>
              <w:right w:val="nil"/>
            </w:tcBorders>
            <w:shd w:val="clear" w:color="auto" w:fill="D9D9D9"/>
          </w:tcPr>
          <w:p w:rsidR="004D6F0E" w:rsidRDefault="00490F21">
            <w:pPr>
              <w:spacing w:after="0" w:line="259" w:lineRule="auto"/>
              <w:ind w:left="108" w:firstLine="0"/>
            </w:pPr>
            <w:r>
              <w:rPr>
                <w:sz w:val="18"/>
              </w:rPr>
              <w:t>波蘭茲羅提計價股份類別</w:t>
            </w:r>
            <w:r>
              <w:rPr>
                <w:rFonts w:ascii="Arial" w:eastAsia="Arial" w:hAnsi="Arial" w:cs="Arial"/>
                <w:sz w:val="18"/>
              </w:rPr>
              <w:t xml:space="preserve"> </w:t>
            </w:r>
          </w:p>
        </w:tc>
        <w:tc>
          <w:tcPr>
            <w:tcW w:w="2554" w:type="dxa"/>
            <w:gridSpan w:val="2"/>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06" w:type="dxa"/>
            <w:gridSpan w:val="2"/>
            <w:tcBorders>
              <w:top w:val="nil"/>
              <w:left w:val="nil"/>
              <w:bottom w:val="nil"/>
              <w:right w:val="nil"/>
            </w:tcBorders>
            <w:shd w:val="clear" w:color="auto" w:fill="D9D9D9"/>
          </w:tcPr>
          <w:p w:rsidR="004D6F0E" w:rsidRDefault="00490F21">
            <w:pPr>
              <w:spacing w:after="0" w:line="259" w:lineRule="auto"/>
              <w:ind w:left="262" w:firstLine="0"/>
            </w:pPr>
            <w:r>
              <w:rPr>
                <w:rFonts w:ascii="Arial" w:eastAsia="Arial" w:hAnsi="Arial" w:cs="Arial"/>
                <w:sz w:val="18"/>
              </w:rPr>
              <w:t xml:space="preserve"> </w:t>
            </w:r>
          </w:p>
        </w:tc>
        <w:tc>
          <w:tcPr>
            <w:tcW w:w="1800" w:type="dxa"/>
            <w:gridSpan w:val="2"/>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c>
          <w:tcPr>
            <w:tcW w:w="1935" w:type="dxa"/>
            <w:gridSpan w:val="2"/>
            <w:tcBorders>
              <w:top w:val="nil"/>
              <w:left w:val="nil"/>
              <w:bottom w:val="nil"/>
              <w:right w:val="nil"/>
            </w:tcBorders>
            <w:shd w:val="clear" w:color="auto" w:fill="D9D9D9"/>
          </w:tcPr>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03" w:type="dxa"/>
          </w:tblCellMar>
        </w:tblPrEx>
        <w:trPr>
          <w:trHeight w:val="442"/>
        </w:trPr>
        <w:tc>
          <w:tcPr>
            <w:tcW w:w="2846" w:type="dxa"/>
            <w:gridSpan w:val="3"/>
            <w:tcBorders>
              <w:top w:val="nil"/>
              <w:left w:val="nil"/>
              <w:bottom w:val="nil"/>
              <w:right w:val="nil"/>
            </w:tcBorders>
          </w:tcPr>
          <w:p w:rsidR="004D6F0E" w:rsidRDefault="00490F21">
            <w:pPr>
              <w:spacing w:after="15" w:line="259" w:lineRule="auto"/>
              <w:ind w:left="108" w:firstLine="0"/>
            </w:pPr>
            <w:r>
              <w:rPr>
                <w:rFonts w:ascii="Arial" w:eastAsia="Arial" w:hAnsi="Arial" w:cs="Arial"/>
                <w:sz w:val="18"/>
              </w:rPr>
              <w:lastRenderedPageBreak/>
              <w:t xml:space="preserve">A2 </w:t>
            </w:r>
            <w:r>
              <w:rPr>
                <w:sz w:val="18"/>
              </w:rPr>
              <w:t>類股份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29"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06" w:type="dxa"/>
            <w:gridSpan w:val="2"/>
            <w:tcBorders>
              <w:top w:val="nil"/>
              <w:left w:val="nil"/>
              <w:bottom w:val="nil"/>
              <w:right w:val="nil"/>
            </w:tcBorders>
          </w:tcPr>
          <w:p w:rsidR="004D6F0E" w:rsidRDefault="00490F21">
            <w:pPr>
              <w:spacing w:after="0" w:line="259" w:lineRule="auto"/>
              <w:ind w:left="7" w:firstLine="0"/>
            </w:pPr>
            <w:r>
              <w:rPr>
                <w:rFonts w:ascii="Arial" w:eastAsia="Arial" w:hAnsi="Arial" w:cs="Arial"/>
                <w:sz w:val="18"/>
              </w:rPr>
              <w:t xml:space="preserve">1.10% </w:t>
            </w:r>
          </w:p>
          <w:p w:rsidR="004D6F0E" w:rsidRDefault="00490F21">
            <w:pPr>
              <w:spacing w:after="0" w:line="259" w:lineRule="auto"/>
              <w:ind w:left="262" w:firstLine="0"/>
            </w:pPr>
            <w:r>
              <w:rPr>
                <w:rFonts w:ascii="Arial" w:eastAsia="Arial" w:hAnsi="Arial" w:cs="Arial"/>
                <w:sz w:val="18"/>
              </w:rPr>
              <w:t xml:space="preserve"> </w:t>
            </w:r>
          </w:p>
        </w:tc>
        <w:tc>
          <w:tcPr>
            <w:tcW w:w="1800" w:type="dxa"/>
            <w:gridSpan w:val="2"/>
            <w:tcBorders>
              <w:top w:val="nil"/>
              <w:left w:val="nil"/>
              <w:bottom w:val="nil"/>
              <w:right w:val="nil"/>
            </w:tcBorders>
          </w:tcPr>
          <w:p w:rsidR="004D6F0E" w:rsidRDefault="00490F21">
            <w:pPr>
              <w:spacing w:after="9" w:line="259" w:lineRule="auto"/>
              <w:ind w:left="163" w:firstLine="0"/>
            </w:pPr>
            <w:r>
              <w:rPr>
                <w:sz w:val="18"/>
              </w:rPr>
              <w:t>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9" w:line="259" w:lineRule="auto"/>
              <w:ind w:left="631" w:firstLine="0"/>
            </w:pPr>
            <w:r>
              <w:rPr>
                <w:sz w:val="18"/>
              </w:rPr>
              <w:t>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03" w:type="dxa"/>
          </w:tblCellMar>
        </w:tblPrEx>
        <w:trPr>
          <w:trHeight w:val="235"/>
        </w:trPr>
        <w:tc>
          <w:tcPr>
            <w:tcW w:w="2846" w:type="dxa"/>
            <w:gridSpan w:val="3"/>
            <w:tcBorders>
              <w:top w:val="nil"/>
              <w:left w:val="nil"/>
              <w:bottom w:val="nil"/>
              <w:right w:val="nil"/>
            </w:tcBorders>
            <w:shd w:val="clear" w:color="auto" w:fill="D9D9D9"/>
          </w:tcPr>
          <w:p w:rsidR="004D6F0E" w:rsidRDefault="00490F21">
            <w:pPr>
              <w:spacing w:after="0" w:line="259" w:lineRule="auto"/>
              <w:ind w:left="108" w:firstLine="0"/>
            </w:pPr>
            <w:r>
              <w:rPr>
                <w:sz w:val="18"/>
              </w:rPr>
              <w:t>歐元對沖股份類別</w:t>
            </w:r>
            <w:r>
              <w:rPr>
                <w:rFonts w:ascii="Arial" w:eastAsia="Arial" w:hAnsi="Arial" w:cs="Arial"/>
                <w:b/>
                <w:sz w:val="18"/>
              </w:rPr>
              <w:t xml:space="preserve"> </w:t>
            </w:r>
          </w:p>
        </w:tc>
        <w:tc>
          <w:tcPr>
            <w:tcW w:w="25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0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03" w:type="dxa"/>
          </w:tblCellMar>
        </w:tblPrEx>
        <w:trPr>
          <w:trHeight w:val="2549"/>
        </w:trPr>
        <w:tc>
          <w:tcPr>
            <w:tcW w:w="2846" w:type="dxa"/>
            <w:gridSpan w:val="3"/>
            <w:tcBorders>
              <w:top w:val="nil"/>
              <w:left w:val="nil"/>
              <w:bottom w:val="nil"/>
              <w:right w:val="nil"/>
            </w:tcBorders>
          </w:tcPr>
          <w:p w:rsidR="004D6F0E" w:rsidRDefault="00490F21">
            <w:pPr>
              <w:spacing w:after="0" w:line="325" w:lineRule="auto"/>
              <w:ind w:left="108" w:right="841"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C2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I2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IT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S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12" w:line="259" w:lineRule="auto"/>
              <w:ind w:left="108" w:firstLine="0"/>
            </w:pPr>
            <w:r>
              <w:rPr>
                <w:rFonts w:ascii="Arial" w:eastAsia="Arial" w:hAnsi="Arial" w:cs="Arial"/>
                <w:sz w:val="18"/>
              </w:rPr>
              <w:t xml:space="preserve">S1QD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77" w:line="330" w:lineRule="auto"/>
              <w:ind w:left="0" w:right="927" w:firstLine="0"/>
            </w:pPr>
            <w:r>
              <w:rPr>
                <w:sz w:val="18"/>
              </w:rPr>
              <w:t>最高為</w:t>
            </w:r>
            <w:r>
              <w:rPr>
                <w:sz w:val="18"/>
              </w:rPr>
              <w:t xml:space="preserve"> </w:t>
            </w:r>
            <w:r>
              <w:rPr>
                <w:rFonts w:ascii="Arial" w:eastAsia="Arial" w:hAnsi="Arial" w:cs="Arial"/>
                <w:sz w:val="18"/>
              </w:rPr>
              <w:t xml:space="preserve">5.00% </w:t>
            </w:r>
            <w:r>
              <w:rPr>
                <w:sz w:val="18"/>
              </w:rPr>
              <w:t>最高為</w:t>
            </w:r>
            <w:r>
              <w:rPr>
                <w:sz w:val="18"/>
              </w:rPr>
              <w:t xml:space="preserve"> </w:t>
            </w:r>
            <w:r>
              <w:rPr>
                <w:rFonts w:ascii="Arial" w:eastAsia="Arial" w:hAnsi="Arial" w:cs="Arial"/>
                <w:sz w:val="18"/>
              </w:rPr>
              <w:t xml:space="preserve">5.00% </w:t>
            </w:r>
            <w:r>
              <w:rPr>
                <w:sz w:val="18"/>
              </w:rPr>
              <w:t>最高為</w:t>
            </w:r>
            <w:r>
              <w:rPr>
                <w:sz w:val="18"/>
              </w:rPr>
              <w:t xml:space="preserve"> </w:t>
            </w:r>
            <w:r>
              <w:rPr>
                <w:rFonts w:ascii="Arial" w:eastAsia="Arial" w:hAnsi="Arial" w:cs="Arial"/>
                <w:sz w:val="18"/>
              </w:rPr>
              <w:t xml:space="preserve">5.00% </w:t>
            </w:r>
            <w:r>
              <w:rPr>
                <w:sz w:val="18"/>
              </w:rPr>
              <w:t>無</w:t>
            </w:r>
            <w:r>
              <w:rPr>
                <w:rFonts w:ascii="Arial" w:eastAsia="Arial" w:hAnsi="Arial" w:cs="Arial"/>
                <w:sz w:val="18"/>
              </w:rPr>
              <w:t xml:space="preserve"> </w:t>
            </w:r>
          </w:p>
          <w:p w:rsidR="004D6F0E" w:rsidRDefault="00490F21">
            <w:pPr>
              <w:spacing w:after="24"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77" w:lineRule="auto"/>
              <w:ind w:left="458" w:right="1141" w:hanging="444"/>
            </w:pPr>
            <w:r>
              <w:rPr>
                <w:sz w:val="18"/>
              </w:rPr>
              <w:t>最高為</w:t>
            </w:r>
            <w:r>
              <w:rPr>
                <w:sz w:val="18"/>
              </w:rPr>
              <w:t xml:space="preserve"> </w:t>
            </w:r>
            <w:r>
              <w:rPr>
                <w:rFonts w:ascii="Arial" w:eastAsia="Arial" w:hAnsi="Arial" w:cs="Arial"/>
                <w:sz w:val="18"/>
              </w:rPr>
              <w:t xml:space="preserve">1.50% </w:t>
            </w:r>
            <w:r>
              <w:rPr>
                <w:sz w:val="18"/>
              </w:rPr>
              <w:t>無無無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06" w:type="dxa"/>
            <w:gridSpan w:val="2"/>
            <w:tcBorders>
              <w:top w:val="nil"/>
              <w:left w:val="nil"/>
              <w:bottom w:val="nil"/>
              <w:right w:val="nil"/>
            </w:tcBorders>
          </w:tcPr>
          <w:p w:rsidR="004D6F0E" w:rsidRDefault="00490F21">
            <w:pPr>
              <w:spacing w:after="2" w:line="270" w:lineRule="auto"/>
              <w:ind w:left="7" w:right="822" w:firstLine="0"/>
            </w:pPr>
            <w:r>
              <w:rPr>
                <w:rFonts w:ascii="Arial" w:eastAsia="Arial" w:hAnsi="Arial" w:cs="Arial"/>
                <w:sz w:val="18"/>
              </w:rPr>
              <w:t xml:space="preserve">1.10% 1.10% </w:t>
            </w:r>
          </w:p>
          <w:p w:rsidR="004D6F0E" w:rsidRDefault="00490F21">
            <w:pPr>
              <w:spacing w:after="127" w:line="259" w:lineRule="auto"/>
              <w:ind w:left="7" w:firstLine="0"/>
            </w:pPr>
            <w:r>
              <w:rPr>
                <w:rFonts w:ascii="Arial" w:eastAsia="Arial" w:hAnsi="Arial" w:cs="Arial"/>
                <w:sz w:val="18"/>
              </w:rPr>
              <w:t xml:space="preserve">1.10% </w:t>
            </w:r>
          </w:p>
          <w:p w:rsidR="004D6F0E" w:rsidRDefault="00490F21">
            <w:pPr>
              <w:spacing w:after="127" w:line="259" w:lineRule="auto"/>
              <w:ind w:left="7" w:firstLine="0"/>
            </w:pPr>
            <w:r>
              <w:rPr>
                <w:rFonts w:ascii="Arial" w:eastAsia="Arial" w:hAnsi="Arial" w:cs="Arial"/>
                <w:sz w:val="18"/>
              </w:rPr>
              <w:t xml:space="preserve">1.55% </w:t>
            </w:r>
          </w:p>
          <w:p w:rsidR="004D6F0E" w:rsidRDefault="00490F21">
            <w:pPr>
              <w:spacing w:after="12" w:line="259" w:lineRule="auto"/>
              <w:ind w:left="7" w:firstLine="0"/>
            </w:pPr>
            <w:r>
              <w:rPr>
                <w:rFonts w:ascii="Arial" w:eastAsia="Arial" w:hAnsi="Arial" w:cs="Arial"/>
                <w:sz w:val="18"/>
              </w:rPr>
              <w:t xml:space="preserve">0.55% </w:t>
            </w:r>
          </w:p>
          <w:p w:rsidR="004D6F0E" w:rsidRDefault="00490F21">
            <w:pPr>
              <w:spacing w:after="21" w:line="260" w:lineRule="auto"/>
              <w:ind w:left="173" w:right="1155" w:hanging="166"/>
            </w:pPr>
            <w:r>
              <w:rPr>
                <w:rFonts w:ascii="Arial" w:eastAsia="Arial" w:hAnsi="Arial" w:cs="Arial"/>
                <w:sz w:val="18"/>
              </w:rPr>
              <w:t xml:space="preserve">0.55% </w:t>
            </w:r>
            <w:r>
              <w:rPr>
                <w:sz w:val="18"/>
              </w:rPr>
              <w:t>無</w:t>
            </w:r>
            <w:r>
              <w:rPr>
                <w:rFonts w:ascii="Arial" w:eastAsia="Arial" w:hAnsi="Arial" w:cs="Arial"/>
                <w:sz w:val="18"/>
              </w:rPr>
              <w:t xml:space="preserve"> </w:t>
            </w:r>
          </w:p>
          <w:p w:rsidR="004D6F0E" w:rsidRDefault="00490F21">
            <w:pPr>
              <w:spacing w:after="12" w:line="259" w:lineRule="auto"/>
              <w:ind w:left="7" w:firstLine="0"/>
            </w:pPr>
            <w:r>
              <w:rPr>
                <w:rFonts w:ascii="Arial" w:eastAsia="Arial" w:hAnsi="Arial" w:cs="Arial"/>
                <w:sz w:val="18"/>
              </w:rPr>
              <w:t xml:space="preserve">0.55% </w:t>
            </w:r>
          </w:p>
          <w:p w:rsidR="004D6F0E" w:rsidRDefault="00490F21">
            <w:pPr>
              <w:spacing w:after="0" w:line="259" w:lineRule="auto"/>
              <w:ind w:left="7" w:firstLine="0"/>
            </w:pPr>
            <w:r>
              <w:rPr>
                <w:rFonts w:ascii="Arial" w:eastAsia="Arial" w:hAnsi="Arial" w:cs="Arial"/>
                <w:sz w:val="18"/>
              </w:rPr>
              <w:t xml:space="preserve">0.55% </w:t>
            </w:r>
          </w:p>
          <w:p w:rsidR="004D6F0E" w:rsidRDefault="00490F21">
            <w:pPr>
              <w:spacing w:after="0" w:line="259" w:lineRule="auto"/>
              <w:ind w:left="262" w:firstLine="0"/>
            </w:pPr>
            <w:r>
              <w:rPr>
                <w:rFonts w:ascii="Arial" w:eastAsia="Arial" w:hAnsi="Arial" w:cs="Arial"/>
                <w:sz w:val="18"/>
              </w:rPr>
              <w:t xml:space="preserve"> </w:t>
            </w:r>
          </w:p>
        </w:tc>
        <w:tc>
          <w:tcPr>
            <w:tcW w:w="1800" w:type="dxa"/>
            <w:gridSpan w:val="2"/>
            <w:tcBorders>
              <w:top w:val="nil"/>
              <w:left w:val="nil"/>
              <w:bottom w:val="nil"/>
              <w:right w:val="nil"/>
            </w:tcBorders>
          </w:tcPr>
          <w:p w:rsidR="004D6F0E" w:rsidRDefault="00490F21">
            <w:pPr>
              <w:spacing w:after="0" w:line="308" w:lineRule="auto"/>
              <w:ind w:left="163" w:right="924" w:firstLine="0"/>
            </w:pPr>
            <w:r>
              <w:rPr>
                <w:sz w:val="18"/>
              </w:rPr>
              <w:t>無無無無無無無無無</w:t>
            </w:r>
            <w:r>
              <w:rPr>
                <w:rFonts w:ascii="Arial" w:eastAsia="Arial" w:hAnsi="Arial" w:cs="Arial"/>
                <w:sz w:val="18"/>
              </w:rPr>
              <w:t xml:space="preserve"> </w:t>
            </w:r>
          </w:p>
          <w:p w:rsidR="004D6F0E" w:rsidRDefault="00490F21">
            <w:pPr>
              <w:spacing w:after="0" w:line="259" w:lineRule="auto"/>
              <w:ind w:left="254" w:firstLine="0"/>
            </w:pP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9" w:line="275" w:lineRule="auto"/>
              <w:ind w:left="631" w:right="591" w:firstLine="0"/>
            </w:pPr>
            <w:r>
              <w:rPr>
                <w:sz w:val="18"/>
              </w:rPr>
              <w:t>無無無</w:t>
            </w:r>
            <w:r>
              <w:rPr>
                <w:rFonts w:ascii="Arial" w:eastAsia="Arial" w:hAnsi="Arial" w:cs="Arial"/>
                <w:sz w:val="18"/>
              </w:rPr>
              <w:t xml:space="preserve"> </w:t>
            </w:r>
          </w:p>
          <w:p w:rsidR="004D6F0E" w:rsidRDefault="00490F21">
            <w:pPr>
              <w:spacing w:after="0" w:line="276" w:lineRule="auto"/>
              <w:ind w:left="360" w:right="185"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r>
              <w:rPr>
                <w:sz w:val="18"/>
              </w:rPr>
              <w:t>無無無無無</w:t>
            </w:r>
            <w:r>
              <w:rPr>
                <w:rFonts w:ascii="Arial" w:eastAsia="Arial" w:hAnsi="Arial" w:cs="Arial"/>
                <w:sz w:val="18"/>
              </w:rPr>
              <w:t xml:space="preserve"> </w:t>
            </w:r>
          </w:p>
          <w:p w:rsidR="004D6F0E" w:rsidRDefault="00490F21">
            <w:pPr>
              <w:spacing w:after="0" w:line="259" w:lineRule="auto"/>
              <w:ind w:left="723" w:firstLine="0"/>
            </w:pPr>
            <w:r>
              <w:rPr>
                <w:rFonts w:ascii="Arial" w:eastAsia="Arial" w:hAnsi="Arial" w:cs="Arial"/>
                <w:sz w:val="18"/>
              </w:rPr>
              <w:t xml:space="preserve"> </w:t>
            </w:r>
          </w:p>
        </w:tc>
      </w:tr>
      <w:tr w:rsidR="004D6F0E">
        <w:tblPrEx>
          <w:tblCellMar>
            <w:top w:w="23" w:type="dxa"/>
            <w:right w:w="303" w:type="dxa"/>
          </w:tblCellMar>
        </w:tblPrEx>
        <w:trPr>
          <w:trHeight w:val="233"/>
        </w:trPr>
        <w:tc>
          <w:tcPr>
            <w:tcW w:w="2846" w:type="dxa"/>
            <w:gridSpan w:val="3"/>
            <w:tcBorders>
              <w:top w:val="nil"/>
              <w:left w:val="nil"/>
              <w:bottom w:val="nil"/>
              <w:right w:val="nil"/>
            </w:tcBorders>
            <w:shd w:val="clear" w:color="auto" w:fill="D9D9D9"/>
          </w:tcPr>
          <w:p w:rsidR="004D6F0E" w:rsidRDefault="00490F21">
            <w:pPr>
              <w:spacing w:after="0" w:line="259" w:lineRule="auto"/>
              <w:ind w:left="122" w:firstLine="0"/>
            </w:pPr>
            <w:r>
              <w:rPr>
                <w:sz w:val="18"/>
              </w:rPr>
              <w:t>英鎊對沖股份類別</w:t>
            </w:r>
            <w:r>
              <w:rPr>
                <w:rFonts w:ascii="Arial" w:eastAsia="Arial" w:hAnsi="Arial" w:cs="Arial"/>
                <w:b/>
                <w:sz w:val="18"/>
              </w:rPr>
              <w:t xml:space="preserve"> </w:t>
            </w:r>
          </w:p>
        </w:tc>
        <w:tc>
          <w:tcPr>
            <w:tcW w:w="25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0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03" w:type="dxa"/>
          </w:tblCellMar>
        </w:tblPrEx>
        <w:trPr>
          <w:trHeight w:val="241"/>
        </w:trPr>
        <w:tc>
          <w:tcPr>
            <w:tcW w:w="2846" w:type="dxa"/>
            <w:gridSpan w:val="3"/>
            <w:tcBorders>
              <w:top w:val="nil"/>
              <w:left w:val="nil"/>
              <w:bottom w:val="nil"/>
              <w:right w:val="nil"/>
            </w:tcBorders>
          </w:tcPr>
          <w:p w:rsidR="004D6F0E" w:rsidRDefault="00490F21">
            <w:pPr>
              <w:spacing w:after="0" w:line="259" w:lineRule="auto"/>
              <w:ind w:left="122"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22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231"/>
        </w:trPr>
        <w:tc>
          <w:tcPr>
            <w:tcW w:w="2846" w:type="dxa"/>
            <w:gridSpan w:val="3"/>
            <w:tcBorders>
              <w:top w:val="nil"/>
              <w:left w:val="nil"/>
              <w:bottom w:val="nil"/>
              <w:right w:val="nil"/>
            </w:tcBorders>
          </w:tcPr>
          <w:p w:rsidR="004D6F0E" w:rsidRDefault="00490F21">
            <w:pPr>
              <w:spacing w:after="0" w:line="259" w:lineRule="auto"/>
              <w:ind w:left="122"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22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231"/>
        </w:trPr>
        <w:tc>
          <w:tcPr>
            <w:tcW w:w="2846" w:type="dxa"/>
            <w:gridSpan w:val="3"/>
            <w:tcBorders>
              <w:top w:val="nil"/>
              <w:left w:val="nil"/>
              <w:bottom w:val="nil"/>
              <w:right w:val="nil"/>
            </w:tcBorders>
          </w:tcPr>
          <w:p w:rsidR="004D6F0E" w:rsidRDefault="00490F21">
            <w:pPr>
              <w:spacing w:after="0" w:line="259" w:lineRule="auto"/>
              <w:ind w:left="122"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英鎊股份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0" w:line="259" w:lineRule="auto"/>
              <w:ind w:left="410" w:firstLine="0"/>
            </w:pPr>
            <w:r>
              <w:rPr>
                <w:sz w:val="18"/>
              </w:rPr>
              <w:t>無</w:t>
            </w:r>
            <w:r>
              <w:rPr>
                <w:rFonts w:ascii="Arial" w:eastAsia="Arial" w:hAnsi="Arial" w:cs="Arial"/>
                <w:sz w:val="18"/>
              </w:rPr>
              <w:t xml:space="preserve"> </w:t>
            </w:r>
          </w:p>
        </w:tc>
        <w:tc>
          <w:tcPr>
            <w:tcW w:w="2206"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0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442"/>
        </w:trPr>
        <w:tc>
          <w:tcPr>
            <w:tcW w:w="2846" w:type="dxa"/>
            <w:gridSpan w:val="3"/>
            <w:tcBorders>
              <w:top w:val="nil"/>
              <w:left w:val="nil"/>
              <w:bottom w:val="nil"/>
              <w:right w:val="nil"/>
            </w:tcBorders>
          </w:tcPr>
          <w:p w:rsidR="004D6F0E" w:rsidRDefault="00490F21">
            <w:pPr>
              <w:spacing w:after="28" w:line="259" w:lineRule="auto"/>
              <w:ind w:left="122"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122" w:firstLine="0"/>
            </w:pPr>
            <w:r>
              <w:rPr>
                <w:rFonts w:ascii="Arial" w:eastAsia="Arial" w:hAnsi="Arial" w:cs="Arial"/>
                <w:sz w:val="18"/>
              </w:rPr>
              <w:t xml:space="preserve"> </w:t>
            </w:r>
            <w:r>
              <w:rPr>
                <w:rFonts w:ascii="Arial" w:eastAsia="Arial" w:hAnsi="Arial" w:cs="Arial"/>
                <w:sz w:val="18"/>
              </w:rPr>
              <w:tab/>
              <w:t xml:space="preserve"> </w:t>
            </w:r>
          </w:p>
        </w:tc>
        <w:tc>
          <w:tcPr>
            <w:tcW w:w="2554" w:type="dxa"/>
            <w:gridSpan w:val="2"/>
            <w:tcBorders>
              <w:top w:val="nil"/>
              <w:left w:val="nil"/>
              <w:bottom w:val="nil"/>
              <w:right w:val="nil"/>
            </w:tcBorders>
          </w:tcPr>
          <w:p w:rsidR="004D6F0E" w:rsidRDefault="00490F21">
            <w:pPr>
              <w:spacing w:after="7" w:line="259" w:lineRule="auto"/>
              <w:ind w:left="410" w:firstLine="0"/>
            </w:pPr>
            <w:r>
              <w:rPr>
                <w:sz w:val="18"/>
              </w:rPr>
              <w:t>無</w:t>
            </w:r>
            <w:r>
              <w:rPr>
                <w:rFonts w:ascii="Arial" w:eastAsia="Arial" w:hAnsi="Arial" w:cs="Arial"/>
                <w:sz w:val="18"/>
              </w:rPr>
              <w:t xml:space="preserve"> </w:t>
            </w:r>
          </w:p>
          <w:p w:rsidR="004D6F0E" w:rsidRDefault="00490F21">
            <w:pPr>
              <w:spacing w:after="0" w:line="259" w:lineRule="auto"/>
              <w:ind w:left="1399" w:firstLine="0"/>
              <w:jc w:val="center"/>
            </w:pPr>
            <w:r>
              <w:rPr>
                <w:rFonts w:ascii="Arial" w:eastAsia="Arial" w:hAnsi="Arial" w:cs="Arial"/>
                <w:sz w:val="18"/>
              </w:rPr>
              <w:t xml:space="preserve"> </w:t>
            </w:r>
          </w:p>
        </w:tc>
        <w:tc>
          <w:tcPr>
            <w:tcW w:w="22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0.55% </w:t>
            </w:r>
          </w:p>
          <w:p w:rsidR="004D6F0E" w:rsidRDefault="00490F21">
            <w:pPr>
              <w:spacing w:after="0" w:line="259" w:lineRule="auto"/>
              <w:ind w:left="1142" w:firstLine="0"/>
              <w:jc w:val="center"/>
            </w:pPr>
            <w:r>
              <w:rPr>
                <w:rFonts w:ascii="Arial" w:eastAsia="Arial" w:hAnsi="Arial" w:cs="Arial"/>
                <w:sz w:val="18"/>
              </w:rPr>
              <w:t xml:space="preserve"> </w:t>
            </w:r>
          </w:p>
        </w:tc>
        <w:tc>
          <w:tcPr>
            <w:tcW w:w="1800" w:type="dxa"/>
            <w:gridSpan w:val="2"/>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233"/>
        </w:trPr>
        <w:tc>
          <w:tcPr>
            <w:tcW w:w="2846" w:type="dxa"/>
            <w:gridSpan w:val="3"/>
            <w:tcBorders>
              <w:top w:val="nil"/>
              <w:left w:val="nil"/>
              <w:bottom w:val="nil"/>
              <w:right w:val="nil"/>
            </w:tcBorders>
            <w:shd w:val="clear" w:color="auto" w:fill="D9D9D9"/>
          </w:tcPr>
          <w:p w:rsidR="004D6F0E" w:rsidRDefault="00490F21">
            <w:pPr>
              <w:spacing w:after="0" w:line="259" w:lineRule="auto"/>
              <w:ind w:left="122" w:firstLine="0"/>
            </w:pPr>
            <w:r>
              <w:rPr>
                <w:sz w:val="18"/>
              </w:rPr>
              <w:t>澳元對沖股份類別</w:t>
            </w:r>
            <w:r>
              <w:rPr>
                <w:rFonts w:ascii="Arial" w:eastAsia="Arial" w:hAnsi="Arial" w:cs="Arial"/>
                <w:b/>
                <w:sz w:val="18"/>
              </w:rPr>
              <w:t xml:space="preserve"> </w:t>
            </w:r>
          </w:p>
        </w:tc>
        <w:tc>
          <w:tcPr>
            <w:tcW w:w="25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800"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9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3" w:type="dxa"/>
            <w:right w:w="303" w:type="dxa"/>
          </w:tblCellMar>
        </w:tblPrEx>
        <w:trPr>
          <w:trHeight w:val="241"/>
        </w:trPr>
        <w:tc>
          <w:tcPr>
            <w:tcW w:w="2846" w:type="dxa"/>
            <w:gridSpan w:val="3"/>
            <w:tcBorders>
              <w:top w:val="nil"/>
              <w:left w:val="nil"/>
              <w:bottom w:val="nil"/>
              <w:right w:val="nil"/>
            </w:tcBorders>
          </w:tcPr>
          <w:p w:rsidR="004D6F0E" w:rsidRDefault="00490F21">
            <w:pPr>
              <w:spacing w:after="0" w:line="259" w:lineRule="auto"/>
              <w:ind w:left="122"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22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233"/>
        </w:trPr>
        <w:tc>
          <w:tcPr>
            <w:tcW w:w="2846" w:type="dxa"/>
            <w:gridSpan w:val="3"/>
            <w:tcBorders>
              <w:top w:val="nil"/>
              <w:left w:val="nil"/>
              <w:bottom w:val="nil"/>
              <w:right w:val="nil"/>
            </w:tcBorders>
          </w:tcPr>
          <w:p w:rsidR="004D6F0E" w:rsidRDefault="00490F21">
            <w:pPr>
              <w:spacing w:after="0" w:line="259" w:lineRule="auto"/>
              <w:ind w:left="122"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22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235"/>
        </w:trPr>
        <w:tc>
          <w:tcPr>
            <w:tcW w:w="2846" w:type="dxa"/>
            <w:gridSpan w:val="3"/>
            <w:tcBorders>
              <w:top w:val="nil"/>
              <w:left w:val="nil"/>
              <w:bottom w:val="nil"/>
              <w:right w:val="nil"/>
            </w:tcBorders>
          </w:tcPr>
          <w:p w:rsidR="004D6F0E" w:rsidRDefault="00490F21">
            <w:pPr>
              <w:spacing w:after="0" w:line="259" w:lineRule="auto"/>
              <w:ind w:left="122" w:firstLine="0"/>
            </w:pPr>
            <w:r>
              <w:rPr>
                <w:rFonts w:ascii="Arial" w:eastAsia="Arial" w:hAnsi="Arial" w:cs="Arial"/>
                <w:sz w:val="18"/>
              </w:rPr>
              <w:t xml:space="preserve">AI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554" w:type="dxa"/>
            <w:gridSpan w:val="2"/>
            <w:tcBorders>
              <w:top w:val="nil"/>
              <w:left w:val="nil"/>
              <w:bottom w:val="nil"/>
              <w:right w:val="nil"/>
            </w:tcBorders>
          </w:tcPr>
          <w:p w:rsidR="004D6F0E" w:rsidRDefault="00490F21">
            <w:pPr>
              <w:spacing w:after="0" w:line="259" w:lineRule="auto"/>
              <w:ind w:left="14" w:firstLine="0"/>
            </w:pPr>
            <w:r>
              <w:rPr>
                <w:sz w:val="18"/>
              </w:rPr>
              <w:t>最高為</w:t>
            </w:r>
            <w:r>
              <w:rPr>
                <w:sz w:val="18"/>
              </w:rPr>
              <w:t xml:space="preserve"> </w:t>
            </w:r>
            <w:r>
              <w:rPr>
                <w:rFonts w:ascii="Arial" w:eastAsia="Arial" w:hAnsi="Arial" w:cs="Arial"/>
                <w:sz w:val="18"/>
              </w:rPr>
              <w:t xml:space="preserve">5.00% </w:t>
            </w:r>
          </w:p>
        </w:tc>
        <w:tc>
          <w:tcPr>
            <w:tcW w:w="2206"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931"/>
        </w:trPr>
        <w:tc>
          <w:tcPr>
            <w:tcW w:w="2846" w:type="dxa"/>
            <w:gridSpan w:val="3"/>
            <w:tcBorders>
              <w:top w:val="nil"/>
              <w:left w:val="nil"/>
              <w:bottom w:val="nil"/>
              <w:right w:val="nil"/>
            </w:tcBorders>
            <w:vAlign w:val="center"/>
          </w:tcPr>
          <w:p w:rsidR="004D6F0E" w:rsidRDefault="00490F21">
            <w:pPr>
              <w:spacing w:after="0" w:line="259" w:lineRule="auto"/>
              <w:ind w:left="122" w:firstLine="0"/>
            </w:pPr>
            <w:r>
              <w:rPr>
                <w:rFonts w:ascii="Arial" w:eastAsia="Arial" w:hAnsi="Arial" w:cs="Arial"/>
                <w:sz w:val="18"/>
              </w:rPr>
              <w:lastRenderedPageBreak/>
              <w:t xml:space="preserve">EA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54" w:type="dxa"/>
            <w:gridSpan w:val="2"/>
            <w:tcBorders>
              <w:top w:val="nil"/>
              <w:left w:val="nil"/>
              <w:bottom w:val="nil"/>
              <w:right w:val="nil"/>
            </w:tcBorders>
            <w:vAlign w:val="center"/>
          </w:tcPr>
          <w:p w:rsidR="004D6F0E" w:rsidRDefault="00490F21">
            <w:pPr>
              <w:spacing w:after="0" w:line="259" w:lineRule="auto"/>
              <w:ind w:left="410" w:firstLine="0"/>
            </w:pPr>
            <w:r>
              <w:rPr>
                <w:sz w:val="18"/>
              </w:rPr>
              <w:t>無</w:t>
            </w:r>
            <w:r>
              <w:rPr>
                <w:rFonts w:ascii="Arial" w:eastAsia="Arial" w:hAnsi="Arial" w:cs="Arial"/>
                <w:sz w:val="18"/>
              </w:rPr>
              <w:t xml:space="preserve"> </w:t>
            </w:r>
          </w:p>
        </w:tc>
        <w:tc>
          <w:tcPr>
            <w:tcW w:w="2206"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1935" w:type="dxa"/>
            <w:gridSpan w:val="2"/>
            <w:tcBorders>
              <w:top w:val="nil"/>
              <w:left w:val="nil"/>
              <w:bottom w:val="nil"/>
              <w:right w:val="nil"/>
            </w:tcBorders>
          </w:tcPr>
          <w:p w:rsidR="004D6F0E" w:rsidRDefault="00490F21">
            <w:pPr>
              <w:spacing w:after="30" w:line="259" w:lineRule="auto"/>
              <w:ind w:left="15"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35"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35"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211"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blPrEx>
          <w:tblCellMar>
            <w:top w:w="23" w:type="dxa"/>
            <w:right w:w="303" w:type="dxa"/>
          </w:tblCellMar>
        </w:tblPrEx>
        <w:trPr>
          <w:trHeight w:val="936"/>
        </w:trPr>
        <w:tc>
          <w:tcPr>
            <w:tcW w:w="2846" w:type="dxa"/>
            <w:gridSpan w:val="3"/>
            <w:tcBorders>
              <w:top w:val="nil"/>
              <w:left w:val="nil"/>
              <w:bottom w:val="nil"/>
              <w:right w:val="nil"/>
            </w:tcBorders>
            <w:vAlign w:val="center"/>
          </w:tcPr>
          <w:p w:rsidR="004D6F0E" w:rsidRDefault="00490F21">
            <w:pPr>
              <w:spacing w:after="0" w:line="259" w:lineRule="auto"/>
              <w:ind w:left="122" w:firstLine="0"/>
            </w:pPr>
            <w:r>
              <w:rPr>
                <w:rFonts w:ascii="Arial" w:eastAsia="Arial" w:hAnsi="Arial" w:cs="Arial"/>
                <w:sz w:val="18"/>
              </w:rPr>
              <w:t xml:space="preserve">EI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tc>
        <w:tc>
          <w:tcPr>
            <w:tcW w:w="2554" w:type="dxa"/>
            <w:gridSpan w:val="2"/>
            <w:tcBorders>
              <w:top w:val="nil"/>
              <w:left w:val="nil"/>
              <w:bottom w:val="nil"/>
              <w:right w:val="nil"/>
            </w:tcBorders>
            <w:vAlign w:val="center"/>
          </w:tcPr>
          <w:p w:rsidR="004D6F0E" w:rsidRDefault="00490F21">
            <w:pPr>
              <w:spacing w:after="0" w:line="259" w:lineRule="auto"/>
              <w:ind w:left="410" w:firstLine="0"/>
            </w:pPr>
            <w:r>
              <w:rPr>
                <w:sz w:val="18"/>
              </w:rPr>
              <w:t>無</w:t>
            </w:r>
            <w:r>
              <w:rPr>
                <w:rFonts w:ascii="Arial" w:eastAsia="Arial" w:hAnsi="Arial" w:cs="Arial"/>
                <w:sz w:val="18"/>
              </w:rPr>
              <w:t xml:space="preserve"> </w:t>
            </w:r>
          </w:p>
        </w:tc>
        <w:tc>
          <w:tcPr>
            <w:tcW w:w="2206"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1.10% </w:t>
            </w:r>
          </w:p>
        </w:tc>
        <w:tc>
          <w:tcPr>
            <w:tcW w:w="1800" w:type="dxa"/>
            <w:gridSpan w:val="2"/>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1935" w:type="dxa"/>
            <w:gridSpan w:val="2"/>
            <w:tcBorders>
              <w:top w:val="nil"/>
              <w:left w:val="nil"/>
              <w:bottom w:val="nil"/>
              <w:right w:val="nil"/>
            </w:tcBorders>
          </w:tcPr>
          <w:p w:rsidR="004D6F0E" w:rsidRDefault="00490F21">
            <w:pPr>
              <w:spacing w:after="30" w:line="259" w:lineRule="auto"/>
              <w:ind w:left="15"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35"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35"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211"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blPrEx>
          <w:tblCellMar>
            <w:top w:w="23" w:type="dxa"/>
            <w:right w:w="303" w:type="dxa"/>
          </w:tblCellMar>
        </w:tblPrEx>
        <w:trPr>
          <w:trHeight w:val="676"/>
        </w:trPr>
        <w:tc>
          <w:tcPr>
            <w:tcW w:w="2846" w:type="dxa"/>
            <w:gridSpan w:val="3"/>
            <w:tcBorders>
              <w:top w:val="nil"/>
              <w:left w:val="nil"/>
              <w:bottom w:val="nil"/>
              <w:right w:val="nil"/>
            </w:tcBorders>
          </w:tcPr>
          <w:p w:rsidR="004D6F0E" w:rsidRDefault="00490F21">
            <w:pPr>
              <w:spacing w:after="18" w:line="259" w:lineRule="auto"/>
              <w:ind w:left="122"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澳元及</w:t>
            </w:r>
            <w:r>
              <w:rPr>
                <w:rFonts w:ascii="Arial" w:eastAsia="Arial" w:hAnsi="Arial" w:cs="Arial"/>
                <w:sz w:val="18"/>
              </w:rPr>
              <w:t xml:space="preserve"> </w:t>
            </w:r>
          </w:p>
          <w:p w:rsidR="004D6F0E" w:rsidRDefault="00490F21">
            <w:pPr>
              <w:spacing w:after="40" w:line="259" w:lineRule="auto"/>
              <w:ind w:left="122"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22" w:firstLine="0"/>
            </w:pPr>
            <w:r>
              <w:rPr>
                <w:rFonts w:ascii="Arial" w:eastAsia="Arial" w:hAnsi="Arial" w:cs="Arial"/>
                <w:sz w:val="18"/>
              </w:rPr>
              <w:t xml:space="preserve"> </w:t>
            </w:r>
            <w:r>
              <w:rPr>
                <w:rFonts w:ascii="Arial" w:eastAsia="Arial" w:hAnsi="Arial" w:cs="Arial"/>
                <w:sz w:val="18"/>
              </w:rPr>
              <w:tab/>
              <w:t xml:space="preserve"> </w:t>
            </w:r>
          </w:p>
        </w:tc>
        <w:tc>
          <w:tcPr>
            <w:tcW w:w="2554" w:type="dxa"/>
            <w:gridSpan w:val="2"/>
            <w:tcBorders>
              <w:top w:val="nil"/>
              <w:left w:val="nil"/>
              <w:bottom w:val="nil"/>
              <w:right w:val="nil"/>
            </w:tcBorders>
            <w:vAlign w:val="bottom"/>
          </w:tcPr>
          <w:p w:rsidR="004D6F0E" w:rsidRDefault="00490F21">
            <w:pPr>
              <w:spacing w:after="132" w:line="259" w:lineRule="auto"/>
              <w:ind w:left="14"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399" w:firstLine="0"/>
              <w:jc w:val="center"/>
            </w:pPr>
            <w:r>
              <w:rPr>
                <w:rFonts w:ascii="Arial" w:eastAsia="Arial" w:hAnsi="Arial" w:cs="Arial"/>
                <w:sz w:val="18"/>
              </w:rPr>
              <w:t xml:space="preserve"> </w:t>
            </w:r>
          </w:p>
        </w:tc>
        <w:tc>
          <w:tcPr>
            <w:tcW w:w="2206" w:type="dxa"/>
            <w:gridSpan w:val="2"/>
            <w:tcBorders>
              <w:top w:val="nil"/>
              <w:left w:val="nil"/>
              <w:bottom w:val="nil"/>
              <w:right w:val="nil"/>
            </w:tcBorders>
            <w:vAlign w:val="bottom"/>
          </w:tcPr>
          <w:p w:rsidR="004D6F0E" w:rsidRDefault="00490F21">
            <w:pPr>
              <w:spacing w:after="115" w:line="259" w:lineRule="auto"/>
              <w:ind w:left="0" w:firstLine="0"/>
            </w:pPr>
            <w:r>
              <w:rPr>
                <w:rFonts w:ascii="Arial" w:eastAsia="Arial" w:hAnsi="Arial" w:cs="Arial"/>
                <w:sz w:val="18"/>
              </w:rPr>
              <w:t xml:space="preserve">0.55% </w:t>
            </w:r>
          </w:p>
          <w:p w:rsidR="004D6F0E" w:rsidRDefault="00490F21">
            <w:pPr>
              <w:spacing w:after="0" w:line="259" w:lineRule="auto"/>
              <w:ind w:left="1142" w:firstLine="0"/>
              <w:jc w:val="center"/>
            </w:pPr>
            <w:r>
              <w:rPr>
                <w:rFonts w:ascii="Arial" w:eastAsia="Arial" w:hAnsi="Arial" w:cs="Arial"/>
                <w:sz w:val="18"/>
              </w:rPr>
              <w:t xml:space="preserve"> </w:t>
            </w:r>
          </w:p>
        </w:tc>
        <w:tc>
          <w:tcPr>
            <w:tcW w:w="1800" w:type="dxa"/>
            <w:gridSpan w:val="2"/>
            <w:tcBorders>
              <w:top w:val="nil"/>
              <w:left w:val="nil"/>
              <w:bottom w:val="nil"/>
              <w:right w:val="nil"/>
            </w:tcBorders>
            <w:vAlign w:val="bottom"/>
          </w:tcPr>
          <w:p w:rsidR="004D6F0E" w:rsidRDefault="00490F21">
            <w:pPr>
              <w:spacing w:after="12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35" w:type="dxa"/>
            <w:gridSpan w:val="2"/>
            <w:tcBorders>
              <w:top w:val="nil"/>
              <w:left w:val="nil"/>
              <w:bottom w:val="nil"/>
              <w:right w:val="nil"/>
            </w:tcBorders>
          </w:tcPr>
          <w:p w:rsidR="004D6F0E" w:rsidRDefault="00490F21">
            <w:pPr>
              <w:spacing w:after="0" w:line="259" w:lineRule="auto"/>
              <w:ind w:left="646" w:firstLine="0"/>
            </w:pPr>
            <w:r>
              <w:rPr>
                <w:sz w:val="18"/>
              </w:rPr>
              <w:t>無</w:t>
            </w:r>
            <w:r>
              <w:rPr>
                <w:rFonts w:ascii="Arial" w:eastAsia="Arial" w:hAnsi="Arial" w:cs="Arial"/>
                <w:sz w:val="18"/>
              </w:rPr>
              <w:t xml:space="preserve"> </w:t>
            </w:r>
          </w:p>
        </w:tc>
      </w:tr>
      <w:tr w:rsidR="004D6F0E">
        <w:tblPrEx>
          <w:tblCellMar>
            <w:top w:w="23" w:type="dxa"/>
            <w:right w:w="303" w:type="dxa"/>
          </w:tblCellMar>
        </w:tblPrEx>
        <w:trPr>
          <w:trHeight w:val="233"/>
        </w:trPr>
        <w:tc>
          <w:tcPr>
            <w:tcW w:w="2846" w:type="dxa"/>
            <w:gridSpan w:val="3"/>
            <w:tcBorders>
              <w:top w:val="nil"/>
              <w:left w:val="nil"/>
              <w:bottom w:val="nil"/>
              <w:right w:val="nil"/>
            </w:tcBorders>
            <w:shd w:val="clear" w:color="auto" w:fill="D9D9D9"/>
          </w:tcPr>
          <w:p w:rsidR="004D6F0E" w:rsidRDefault="00490F21">
            <w:pPr>
              <w:tabs>
                <w:tab w:val="center" w:pos="2398"/>
              </w:tabs>
              <w:spacing w:after="0" w:line="259" w:lineRule="auto"/>
              <w:ind w:left="0" w:firstLine="0"/>
            </w:pPr>
            <w:r>
              <w:rPr>
                <w:sz w:val="18"/>
              </w:rPr>
              <w:t>新加坡元對沖股份類別</w:t>
            </w:r>
            <w:r>
              <w:rPr>
                <w:rFonts w:ascii="Arial" w:eastAsia="Arial" w:hAnsi="Arial" w:cs="Arial"/>
                <w:sz w:val="18"/>
              </w:rPr>
              <w:t xml:space="preserve"> </w:t>
            </w:r>
            <w:r>
              <w:rPr>
                <w:rFonts w:ascii="Arial" w:eastAsia="Arial" w:hAnsi="Arial" w:cs="Arial"/>
                <w:sz w:val="18"/>
              </w:rPr>
              <w:tab/>
              <w:t xml:space="preserve"> </w:t>
            </w:r>
          </w:p>
        </w:tc>
        <w:tc>
          <w:tcPr>
            <w:tcW w:w="2554" w:type="dxa"/>
            <w:gridSpan w:val="2"/>
            <w:tcBorders>
              <w:top w:val="nil"/>
              <w:left w:val="nil"/>
              <w:bottom w:val="nil"/>
              <w:right w:val="nil"/>
            </w:tcBorders>
            <w:shd w:val="clear" w:color="auto" w:fill="D9D9D9"/>
          </w:tcPr>
          <w:p w:rsidR="004D6F0E" w:rsidRDefault="00490F21">
            <w:pPr>
              <w:spacing w:after="0" w:line="259" w:lineRule="auto"/>
              <w:ind w:left="1399" w:firstLine="0"/>
              <w:jc w:val="center"/>
            </w:pPr>
            <w:r>
              <w:rPr>
                <w:rFonts w:ascii="Arial" w:eastAsia="Arial" w:hAnsi="Arial" w:cs="Arial"/>
                <w:sz w:val="18"/>
              </w:rPr>
              <w:t xml:space="preserve"> </w:t>
            </w:r>
          </w:p>
        </w:tc>
        <w:tc>
          <w:tcPr>
            <w:tcW w:w="2206" w:type="dxa"/>
            <w:gridSpan w:val="2"/>
            <w:tcBorders>
              <w:top w:val="nil"/>
              <w:left w:val="nil"/>
              <w:bottom w:val="nil"/>
              <w:right w:val="nil"/>
            </w:tcBorders>
            <w:shd w:val="clear" w:color="auto" w:fill="D9D9D9"/>
          </w:tcPr>
          <w:p w:rsidR="004D6F0E" w:rsidRDefault="00490F21">
            <w:pPr>
              <w:spacing w:after="0" w:line="259" w:lineRule="auto"/>
              <w:ind w:left="1142" w:firstLine="0"/>
              <w:jc w:val="center"/>
            </w:pPr>
            <w:r>
              <w:rPr>
                <w:rFonts w:ascii="Arial" w:eastAsia="Arial" w:hAnsi="Arial" w:cs="Arial"/>
                <w:sz w:val="18"/>
              </w:rPr>
              <w:t xml:space="preserve"> </w:t>
            </w:r>
          </w:p>
        </w:tc>
        <w:tc>
          <w:tcPr>
            <w:tcW w:w="1800" w:type="dxa"/>
            <w:gridSpan w:val="2"/>
            <w:tcBorders>
              <w:top w:val="nil"/>
              <w:left w:val="nil"/>
              <w:bottom w:val="nil"/>
              <w:right w:val="nil"/>
            </w:tcBorders>
            <w:shd w:val="clear" w:color="auto" w:fill="D9D9D9"/>
          </w:tcPr>
          <w:p w:rsidR="004D6F0E" w:rsidRDefault="00490F21">
            <w:pPr>
              <w:spacing w:after="0" w:line="259" w:lineRule="auto"/>
              <w:ind w:left="1447" w:firstLine="0"/>
            </w:pPr>
            <w:r>
              <w:rPr>
                <w:rFonts w:ascii="Arial" w:eastAsia="Arial" w:hAnsi="Arial" w:cs="Arial"/>
                <w:sz w:val="18"/>
              </w:rPr>
              <w:t xml:space="preserve"> </w:t>
            </w:r>
          </w:p>
        </w:tc>
        <w:tc>
          <w:tcPr>
            <w:tcW w:w="1935" w:type="dxa"/>
            <w:gridSpan w:val="2"/>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402"/>
          <w:tab w:val="center" w:pos="5649"/>
          <w:tab w:val="center" w:pos="7854"/>
          <w:tab w:val="center" w:pos="10134"/>
        </w:tabs>
        <w:spacing w:after="20"/>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1.10%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tabs>
          <w:tab w:val="center" w:pos="3402"/>
          <w:tab w:val="center" w:pos="5649"/>
          <w:tab w:val="center" w:pos="7854"/>
          <w:tab w:val="center" w:pos="10134"/>
        </w:tabs>
        <w:spacing w:after="20"/>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1.10%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tabs>
          <w:tab w:val="center" w:pos="3402"/>
          <w:tab w:val="center" w:pos="5649"/>
          <w:tab w:val="center" w:pos="7854"/>
          <w:tab w:val="center" w:pos="10134"/>
        </w:tabs>
        <w:spacing w:after="20"/>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1.10%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tabs>
          <w:tab w:val="center" w:pos="3402"/>
          <w:tab w:val="center" w:pos="5649"/>
          <w:tab w:val="center" w:pos="7854"/>
          <w:tab w:val="center" w:pos="10134"/>
        </w:tabs>
        <w:spacing w:after="20"/>
        <w:ind w:left="0"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1.50% </w:t>
      </w:r>
      <w:r>
        <w:rPr>
          <w:rFonts w:ascii="Arial" w:eastAsia="Arial" w:hAnsi="Arial" w:cs="Arial"/>
          <w:sz w:val="18"/>
        </w:rPr>
        <w:tab/>
        <w:t xml:space="preserve">0.55%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1340" w:type="dxa"/>
        <w:tblInd w:w="0" w:type="dxa"/>
        <w:tblCellMar>
          <w:top w:w="23" w:type="dxa"/>
          <w:left w:w="0" w:type="dxa"/>
          <w:bottom w:w="0" w:type="dxa"/>
          <w:right w:w="115" w:type="dxa"/>
        </w:tblCellMar>
        <w:tblLook w:val="04A0" w:firstRow="1" w:lastRow="0" w:firstColumn="1" w:lastColumn="0" w:noHBand="0" w:noVBand="1"/>
      </w:tblPr>
      <w:tblGrid>
        <w:gridCol w:w="2853"/>
        <w:gridCol w:w="2539"/>
        <w:gridCol w:w="2206"/>
        <w:gridCol w:w="1815"/>
        <w:gridCol w:w="1927"/>
      </w:tblGrid>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人民幣</w:t>
            </w:r>
            <w:r>
              <w:rPr>
                <w:rFonts w:ascii="Arial" w:eastAsia="Arial" w:hAnsi="Arial" w:cs="Arial"/>
                <w:b/>
                <w:sz w:val="18"/>
                <w:vertAlign w:val="superscript"/>
              </w:rPr>
              <w:t>*</w:t>
            </w:r>
            <w:r>
              <w:rPr>
                <w:sz w:val="18"/>
              </w:rPr>
              <w:t>對沖股份類別</w:t>
            </w:r>
            <w:r>
              <w:rPr>
                <w:rFonts w:ascii="Arial" w:eastAsia="Arial" w:hAnsi="Arial" w:cs="Arial"/>
                <w:b/>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253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36"/>
        </w:trPr>
        <w:tc>
          <w:tcPr>
            <w:tcW w:w="285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39"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955" w:firstLine="0"/>
              <w:jc w:val="center"/>
            </w:pPr>
            <w:r>
              <w:rPr>
                <w:rFonts w:ascii="Arial" w:eastAsia="Arial" w:hAnsi="Arial" w:cs="Arial"/>
                <w:sz w:val="18"/>
              </w:rPr>
              <w:t xml:space="preserve"> </w:t>
            </w:r>
          </w:p>
        </w:tc>
        <w:tc>
          <w:tcPr>
            <w:tcW w:w="181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瑞士法郎對沖股份類別</w:t>
            </w:r>
            <w:r>
              <w:rPr>
                <w:rFonts w:ascii="Arial" w:eastAsia="Arial" w:hAnsi="Arial" w:cs="Arial"/>
                <w:b/>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7"/>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253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37"/>
        </w:trPr>
        <w:tc>
          <w:tcPr>
            <w:tcW w:w="2854" w:type="dxa"/>
            <w:tcBorders>
              <w:top w:val="nil"/>
              <w:left w:val="nil"/>
              <w:bottom w:val="nil"/>
              <w:right w:val="nil"/>
            </w:tcBorders>
          </w:tcPr>
          <w:p w:rsidR="004D6F0E" w:rsidRDefault="00490F21">
            <w:pPr>
              <w:spacing w:after="4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39"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1.50% </w:t>
            </w:r>
          </w:p>
          <w:p w:rsidR="004D6F0E" w:rsidRDefault="00490F21">
            <w:pPr>
              <w:spacing w:after="0" w:line="259" w:lineRule="auto"/>
              <w:ind w:left="1197" w:firstLine="0"/>
              <w:jc w:val="center"/>
            </w:pPr>
            <w:r>
              <w:rPr>
                <w:rFonts w:ascii="Arial" w:eastAsia="Arial" w:hAnsi="Arial" w:cs="Arial"/>
                <w:sz w:val="18"/>
              </w:rPr>
              <w:t xml:space="preserve">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0.55% </w:t>
            </w:r>
          </w:p>
          <w:p w:rsidR="004D6F0E" w:rsidRDefault="00490F21">
            <w:pPr>
              <w:spacing w:after="0" w:line="259" w:lineRule="auto"/>
              <w:ind w:left="955" w:firstLine="0"/>
              <w:jc w:val="center"/>
            </w:pPr>
            <w:r>
              <w:rPr>
                <w:rFonts w:ascii="Arial" w:eastAsia="Arial" w:hAnsi="Arial" w:cs="Arial"/>
                <w:sz w:val="18"/>
              </w:rPr>
              <w:t xml:space="preserve"> </w:t>
            </w:r>
          </w:p>
        </w:tc>
        <w:tc>
          <w:tcPr>
            <w:tcW w:w="181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b/>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253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36"/>
        </w:trPr>
        <w:tc>
          <w:tcPr>
            <w:tcW w:w="285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39"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955" w:firstLine="0"/>
              <w:jc w:val="center"/>
            </w:pPr>
            <w:r>
              <w:rPr>
                <w:rFonts w:ascii="Arial" w:eastAsia="Arial" w:hAnsi="Arial" w:cs="Arial"/>
                <w:sz w:val="18"/>
              </w:rPr>
              <w:t xml:space="preserve"> </w:t>
            </w:r>
          </w:p>
        </w:tc>
        <w:tc>
          <w:tcPr>
            <w:tcW w:w="181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b/>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tc>
        <w:tc>
          <w:tcPr>
            <w:tcW w:w="253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436"/>
        </w:trPr>
        <w:tc>
          <w:tcPr>
            <w:tcW w:w="285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39"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955" w:firstLine="0"/>
              <w:jc w:val="center"/>
            </w:pPr>
            <w:r>
              <w:rPr>
                <w:rFonts w:ascii="Arial" w:eastAsia="Arial" w:hAnsi="Arial" w:cs="Arial"/>
                <w:sz w:val="18"/>
              </w:rPr>
              <w:t xml:space="preserve"> </w:t>
            </w:r>
          </w:p>
        </w:tc>
        <w:tc>
          <w:tcPr>
            <w:tcW w:w="181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3"/>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南非蘭特對沖股份類別</w:t>
            </w:r>
            <w:r>
              <w:rPr>
                <w:rFonts w:ascii="Arial" w:eastAsia="Arial" w:hAnsi="Arial" w:cs="Arial"/>
                <w:b/>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5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2539"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815"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1137"/>
        </w:trPr>
        <w:tc>
          <w:tcPr>
            <w:tcW w:w="2854" w:type="dxa"/>
            <w:tcBorders>
              <w:top w:val="nil"/>
              <w:left w:val="nil"/>
              <w:bottom w:val="nil"/>
              <w:right w:val="nil"/>
            </w:tcBorders>
            <w:vAlign w:val="bottom"/>
          </w:tcPr>
          <w:p w:rsidR="004D6F0E" w:rsidRDefault="00490F21">
            <w:pPr>
              <w:spacing w:after="39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39" w:type="dxa"/>
            <w:tcBorders>
              <w:top w:val="nil"/>
              <w:left w:val="nil"/>
              <w:bottom w:val="nil"/>
              <w:right w:val="nil"/>
            </w:tcBorders>
            <w:vAlign w:val="bottom"/>
          </w:tcPr>
          <w:p w:rsidR="004D6F0E" w:rsidRDefault="00490F21">
            <w:pPr>
              <w:spacing w:after="360"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197" w:firstLine="0"/>
              <w:jc w:val="center"/>
            </w:pPr>
            <w:r>
              <w:rPr>
                <w:rFonts w:ascii="Arial" w:eastAsia="Arial" w:hAnsi="Arial" w:cs="Arial"/>
                <w:sz w:val="18"/>
              </w:rPr>
              <w:t xml:space="preserve"> </w:t>
            </w:r>
          </w:p>
        </w:tc>
        <w:tc>
          <w:tcPr>
            <w:tcW w:w="2206" w:type="dxa"/>
            <w:tcBorders>
              <w:top w:val="nil"/>
              <w:left w:val="nil"/>
              <w:bottom w:val="nil"/>
              <w:right w:val="nil"/>
            </w:tcBorders>
            <w:vAlign w:val="bottom"/>
          </w:tcPr>
          <w:p w:rsidR="004D6F0E" w:rsidRDefault="00490F21">
            <w:pPr>
              <w:spacing w:after="348" w:line="259" w:lineRule="auto"/>
              <w:ind w:left="0" w:firstLine="0"/>
            </w:pPr>
            <w:r>
              <w:rPr>
                <w:rFonts w:ascii="Arial" w:eastAsia="Arial" w:hAnsi="Arial" w:cs="Arial"/>
                <w:sz w:val="18"/>
              </w:rPr>
              <w:t xml:space="preserve">1.10% </w:t>
            </w:r>
          </w:p>
          <w:p w:rsidR="004D6F0E" w:rsidRDefault="00490F21">
            <w:pPr>
              <w:spacing w:after="0" w:line="259" w:lineRule="auto"/>
              <w:ind w:left="955" w:firstLine="0"/>
              <w:jc w:val="center"/>
            </w:pPr>
            <w:r>
              <w:rPr>
                <w:rFonts w:ascii="Arial" w:eastAsia="Arial" w:hAnsi="Arial" w:cs="Arial"/>
                <w:sz w:val="18"/>
              </w:rPr>
              <w:t xml:space="preserve"> </w:t>
            </w:r>
          </w:p>
        </w:tc>
        <w:tc>
          <w:tcPr>
            <w:tcW w:w="1815" w:type="dxa"/>
            <w:tcBorders>
              <w:top w:val="nil"/>
              <w:left w:val="nil"/>
              <w:bottom w:val="nil"/>
              <w:right w:val="nil"/>
            </w:tcBorders>
            <w:vAlign w:val="bottom"/>
          </w:tcPr>
          <w:p w:rsidR="004D6F0E" w:rsidRDefault="00490F21">
            <w:pPr>
              <w:spacing w:after="348" w:line="259" w:lineRule="auto"/>
              <w:ind w:left="0" w:firstLine="0"/>
            </w:pPr>
            <w:r>
              <w:rPr>
                <w:rFonts w:ascii="Arial" w:eastAsia="Arial" w:hAnsi="Arial" w:cs="Arial"/>
                <w:sz w:val="18"/>
              </w:rPr>
              <w:t xml:space="preserve">0.50% </w:t>
            </w:r>
          </w:p>
          <w:p w:rsidR="004D6F0E" w:rsidRDefault="00490F21">
            <w:pPr>
              <w:spacing w:after="0" w:line="259" w:lineRule="auto"/>
              <w:ind w:left="1447"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30"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21"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21"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197"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235"/>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捷克克朗對沖股份類別</w:t>
            </w:r>
            <w:r>
              <w:rPr>
                <w:rFonts w:ascii="Arial" w:eastAsia="Arial" w:hAnsi="Arial" w:cs="Arial"/>
                <w:b/>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5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39"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20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955" w:firstLine="0"/>
              <w:jc w:val="center"/>
            </w:pPr>
            <w:r>
              <w:rPr>
                <w:rFonts w:ascii="Arial" w:eastAsia="Arial" w:hAnsi="Arial" w:cs="Arial"/>
                <w:sz w:val="18"/>
              </w:rPr>
              <w:t xml:space="preserve"> </w:t>
            </w:r>
          </w:p>
        </w:tc>
        <w:tc>
          <w:tcPr>
            <w:tcW w:w="1815"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1447" w:firstLine="0"/>
            </w:pPr>
            <w:r>
              <w:rPr>
                <w:rFonts w:ascii="Arial" w:eastAsia="Arial" w:hAnsi="Arial" w:cs="Arial"/>
                <w:sz w:val="18"/>
              </w:rPr>
              <w:t xml:space="preserve"> </w:t>
            </w:r>
          </w:p>
        </w:tc>
        <w:tc>
          <w:tcPr>
            <w:tcW w:w="1927" w:type="dxa"/>
            <w:tcBorders>
              <w:top w:val="nil"/>
              <w:left w:val="nil"/>
              <w:bottom w:val="nil"/>
              <w:right w:val="nil"/>
            </w:tcBorders>
          </w:tcPr>
          <w:p w:rsidR="004D6F0E" w:rsidRDefault="00490F21">
            <w:pPr>
              <w:spacing w:after="0" w:line="259" w:lineRule="auto"/>
              <w:ind w:left="631" w:firstLine="0"/>
            </w:pPr>
            <w:r>
              <w:rPr>
                <w:sz w:val="18"/>
              </w:rPr>
              <w:t>無</w:t>
            </w:r>
            <w:r>
              <w:rPr>
                <w:rFonts w:ascii="Arial" w:eastAsia="Arial" w:hAnsi="Arial" w:cs="Arial"/>
                <w:sz w:val="18"/>
              </w:rPr>
              <w:t xml:space="preserve"> </w:t>
            </w:r>
          </w:p>
        </w:tc>
      </w:tr>
      <w:tr w:rsidR="004D6F0E">
        <w:trPr>
          <w:trHeight w:val="233"/>
        </w:trPr>
        <w:tc>
          <w:tcPr>
            <w:tcW w:w="2854"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2539" w:type="dxa"/>
            <w:tcBorders>
              <w:top w:val="nil"/>
              <w:left w:val="nil"/>
              <w:bottom w:val="nil"/>
              <w:right w:val="nil"/>
            </w:tcBorders>
            <w:shd w:val="clear" w:color="auto" w:fill="D9D9D9"/>
          </w:tcPr>
          <w:p w:rsidR="004D6F0E" w:rsidRDefault="004D6F0E">
            <w:pPr>
              <w:spacing w:after="160" w:line="259" w:lineRule="auto"/>
              <w:ind w:left="0" w:firstLine="0"/>
            </w:pPr>
          </w:p>
        </w:tc>
        <w:tc>
          <w:tcPr>
            <w:tcW w:w="2206" w:type="dxa"/>
            <w:tcBorders>
              <w:top w:val="nil"/>
              <w:left w:val="nil"/>
              <w:bottom w:val="nil"/>
              <w:right w:val="nil"/>
            </w:tcBorders>
            <w:shd w:val="clear" w:color="auto" w:fill="D9D9D9"/>
          </w:tcPr>
          <w:p w:rsidR="004D6F0E" w:rsidRDefault="004D6F0E">
            <w:pPr>
              <w:spacing w:after="160" w:line="259" w:lineRule="auto"/>
              <w:ind w:left="0" w:firstLine="0"/>
            </w:pPr>
          </w:p>
        </w:tc>
        <w:tc>
          <w:tcPr>
            <w:tcW w:w="1815" w:type="dxa"/>
            <w:tcBorders>
              <w:top w:val="nil"/>
              <w:left w:val="nil"/>
              <w:bottom w:val="nil"/>
              <w:right w:val="nil"/>
            </w:tcBorders>
            <w:shd w:val="clear" w:color="auto" w:fill="D9D9D9"/>
          </w:tcPr>
          <w:p w:rsidR="004D6F0E" w:rsidRDefault="004D6F0E">
            <w:pPr>
              <w:spacing w:after="160" w:line="259" w:lineRule="auto"/>
              <w:ind w:left="0" w:firstLine="0"/>
            </w:pPr>
          </w:p>
        </w:tc>
        <w:tc>
          <w:tcPr>
            <w:tcW w:w="1927"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402"/>
          <w:tab w:val="center" w:pos="5649"/>
          <w:tab w:val="center" w:pos="7854"/>
          <w:tab w:val="center" w:pos="10134"/>
        </w:tabs>
        <w:ind w:left="0"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rFonts w:ascii="Arial" w:eastAsia="Arial" w:hAnsi="Arial" w:cs="Arial"/>
          <w:sz w:val="18"/>
        </w:rPr>
        <w:tab/>
      </w:r>
      <w:r>
        <w:rPr>
          <w:sz w:val="18"/>
        </w:rPr>
        <w:t>最高為</w:t>
      </w:r>
      <w:r>
        <w:rPr>
          <w:sz w:val="18"/>
        </w:rPr>
        <w:t xml:space="preserve"> </w:t>
      </w:r>
      <w:r>
        <w:rPr>
          <w:rFonts w:ascii="Arial" w:eastAsia="Arial" w:hAnsi="Arial" w:cs="Arial"/>
          <w:sz w:val="18"/>
        </w:rPr>
        <w:t xml:space="preserve">5.00% </w:t>
      </w:r>
      <w:r>
        <w:rPr>
          <w:rFonts w:ascii="Arial" w:eastAsia="Arial" w:hAnsi="Arial" w:cs="Arial"/>
          <w:sz w:val="18"/>
        </w:rPr>
        <w:tab/>
        <w:t xml:space="preserve">1.10%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p>
    <w:p w:rsidR="004D6F0E" w:rsidRDefault="004D6F0E">
      <w:pPr>
        <w:sectPr w:rsidR="004D6F0E">
          <w:type w:val="continuous"/>
          <w:pgSz w:w="12240" w:h="15840"/>
          <w:pgMar w:top="1200" w:right="593" w:bottom="780" w:left="432" w:header="720" w:footer="720" w:gutter="0"/>
          <w:cols w:space="720"/>
        </w:sectPr>
      </w:pP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21"/>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部分「附加資料－費用及開支」所載的任何管理費及所有其他費用及開支，包括盧森堡年稅，但不包括某些其他稅項、經紀佣金（如適用）和借款利息）超出本基金以下股份類別（及相應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A(1.50%)</w:t>
      </w:r>
      <w:r>
        <w:rPr>
          <w:sz w:val="16"/>
        </w:rPr>
        <w:t>、</w:t>
      </w:r>
      <w:r>
        <w:rPr>
          <w:rFonts w:ascii="Arial" w:eastAsia="Arial" w:hAnsi="Arial" w:cs="Arial"/>
          <w:sz w:val="16"/>
        </w:rPr>
        <w:t>A2(1.50%)</w:t>
      </w:r>
      <w:r>
        <w:rPr>
          <w:sz w:val="16"/>
        </w:rPr>
        <w:t>、</w:t>
      </w:r>
      <w:r>
        <w:rPr>
          <w:rFonts w:ascii="Arial" w:eastAsia="Arial" w:hAnsi="Arial" w:cs="Arial"/>
          <w:sz w:val="16"/>
        </w:rPr>
        <w:t>AT(1.50%)</w:t>
      </w:r>
      <w:r>
        <w:rPr>
          <w:sz w:val="16"/>
        </w:rPr>
        <w:t>、</w:t>
      </w:r>
      <w:r>
        <w:rPr>
          <w:rFonts w:ascii="Arial" w:eastAsia="Arial" w:hAnsi="Arial" w:cs="Arial"/>
          <w:sz w:val="16"/>
        </w:rPr>
        <w:t>AA(1.50%)</w:t>
      </w:r>
      <w:r>
        <w:rPr>
          <w:sz w:val="16"/>
        </w:rPr>
        <w:t>、</w:t>
      </w:r>
      <w:r>
        <w:rPr>
          <w:rFonts w:ascii="Arial" w:eastAsia="Arial" w:hAnsi="Arial" w:cs="Arial"/>
          <w:sz w:val="16"/>
        </w:rPr>
        <w:t xml:space="preserve">AI </w:t>
      </w:r>
    </w:p>
    <w:p w:rsidR="004D6F0E" w:rsidRDefault="00490F21">
      <w:pPr>
        <w:spacing w:after="18" w:line="259" w:lineRule="auto"/>
        <w:ind w:right="27" w:hanging="10"/>
        <w:jc w:val="right"/>
      </w:pPr>
      <w:r>
        <w:rPr>
          <w:rFonts w:ascii="Arial" w:eastAsia="Arial" w:hAnsi="Arial" w:cs="Arial"/>
          <w:sz w:val="16"/>
        </w:rPr>
        <w:t>(1.50</w:t>
      </w:r>
      <w:r>
        <w:rPr>
          <w:rFonts w:ascii="Arial" w:eastAsia="Arial" w:hAnsi="Arial" w:cs="Arial"/>
          <w:sz w:val="16"/>
        </w:rPr>
        <w:t>%)</w:t>
      </w:r>
      <w:r>
        <w:rPr>
          <w:sz w:val="16"/>
        </w:rPr>
        <w:t>、</w:t>
      </w:r>
      <w:r>
        <w:rPr>
          <w:rFonts w:ascii="Arial" w:eastAsia="Arial" w:hAnsi="Arial" w:cs="Arial"/>
          <w:sz w:val="16"/>
        </w:rPr>
        <w:t>AR(1.50%)</w:t>
      </w:r>
      <w:r>
        <w:rPr>
          <w:sz w:val="16"/>
        </w:rPr>
        <w:t>、</w:t>
      </w:r>
      <w:r>
        <w:rPr>
          <w:rFonts w:ascii="Arial" w:eastAsia="Arial" w:hAnsi="Arial" w:cs="Arial"/>
          <w:sz w:val="16"/>
        </w:rPr>
        <w:t>BT(2.50%)</w:t>
      </w:r>
      <w:r>
        <w:rPr>
          <w:sz w:val="16"/>
        </w:rPr>
        <w:t>、</w:t>
      </w:r>
      <w:r>
        <w:rPr>
          <w:rFonts w:ascii="Arial" w:eastAsia="Arial" w:hAnsi="Arial" w:cs="Arial"/>
          <w:sz w:val="16"/>
        </w:rPr>
        <w:t>C(1.95%)</w:t>
      </w:r>
      <w:r>
        <w:rPr>
          <w:sz w:val="16"/>
        </w:rPr>
        <w:t>、</w:t>
      </w:r>
      <w:r>
        <w:rPr>
          <w:rFonts w:ascii="Arial" w:eastAsia="Arial" w:hAnsi="Arial" w:cs="Arial"/>
          <w:sz w:val="16"/>
        </w:rPr>
        <w:t>C2(1.95%)</w:t>
      </w:r>
      <w:r>
        <w:rPr>
          <w:sz w:val="16"/>
        </w:rPr>
        <w:t>、</w:t>
      </w:r>
      <w:r>
        <w:rPr>
          <w:rFonts w:ascii="Arial" w:eastAsia="Arial" w:hAnsi="Arial" w:cs="Arial"/>
          <w:sz w:val="16"/>
        </w:rPr>
        <w:t>CT(1.95%)</w:t>
      </w:r>
    </w:p>
    <w:p w:rsidR="004D6F0E" w:rsidRDefault="00490F21">
      <w:pPr>
        <w:spacing w:after="18" w:line="259" w:lineRule="auto"/>
        <w:ind w:right="27" w:hanging="10"/>
        <w:jc w:val="right"/>
      </w:pPr>
      <w:r>
        <w:rPr>
          <w:sz w:val="16"/>
        </w:rPr>
        <w:t>、</w:t>
      </w:r>
      <w:r>
        <w:rPr>
          <w:rFonts w:ascii="Arial" w:eastAsia="Arial" w:hAnsi="Arial" w:cs="Arial"/>
          <w:sz w:val="16"/>
        </w:rPr>
        <w:t>EA (2.00%)</w:t>
      </w:r>
      <w:r>
        <w:rPr>
          <w:sz w:val="16"/>
        </w:rPr>
        <w:t>、</w:t>
      </w:r>
      <w:r>
        <w:rPr>
          <w:rFonts w:ascii="Arial" w:eastAsia="Arial" w:hAnsi="Arial" w:cs="Arial"/>
          <w:sz w:val="16"/>
        </w:rPr>
        <w:t>EI (2.00%)</w:t>
      </w:r>
      <w:r>
        <w:rPr>
          <w:sz w:val="16"/>
        </w:rPr>
        <w:t>、</w:t>
      </w:r>
      <w:r>
        <w:rPr>
          <w:rFonts w:ascii="Arial" w:eastAsia="Arial" w:hAnsi="Arial" w:cs="Arial"/>
          <w:sz w:val="16"/>
        </w:rPr>
        <w:t>I(0.95%)</w:t>
      </w:r>
      <w:r>
        <w:rPr>
          <w:sz w:val="16"/>
        </w:rPr>
        <w:t>、</w:t>
      </w:r>
      <w:r>
        <w:rPr>
          <w:rFonts w:ascii="Arial" w:eastAsia="Arial" w:hAnsi="Arial" w:cs="Arial"/>
          <w:sz w:val="16"/>
        </w:rPr>
        <w:t>I2(0.95%)</w:t>
      </w:r>
      <w:r>
        <w:rPr>
          <w:sz w:val="16"/>
        </w:rPr>
        <w:t>、</w:t>
      </w:r>
      <w:r>
        <w:rPr>
          <w:rFonts w:ascii="Arial" w:eastAsia="Arial" w:hAnsi="Arial" w:cs="Arial"/>
          <w:sz w:val="16"/>
        </w:rPr>
        <w:t>IT(0.95%)</w:t>
      </w:r>
      <w:r>
        <w:rPr>
          <w:sz w:val="16"/>
        </w:rPr>
        <w:t>、</w:t>
      </w:r>
      <w:r>
        <w:rPr>
          <w:rFonts w:ascii="Arial" w:eastAsia="Arial" w:hAnsi="Arial" w:cs="Arial"/>
          <w:sz w:val="16"/>
        </w:rPr>
        <w:t>N2(2.05%)</w:t>
      </w:r>
    </w:p>
    <w:p w:rsidR="004D6F0E" w:rsidRDefault="00490F21">
      <w:pPr>
        <w:spacing w:after="9" w:line="269" w:lineRule="auto"/>
        <w:ind w:left="354"/>
        <w:jc w:val="both"/>
      </w:pPr>
      <w:r>
        <w:rPr>
          <w:sz w:val="16"/>
        </w:rPr>
        <w:t>、</w:t>
      </w:r>
      <w:r>
        <w:rPr>
          <w:rFonts w:ascii="Arial" w:eastAsia="Arial" w:hAnsi="Arial" w:cs="Arial"/>
          <w:sz w:val="16"/>
        </w:rPr>
        <w:t>NT(2.05%)</w:t>
      </w:r>
      <w:r>
        <w:rPr>
          <w:sz w:val="16"/>
        </w:rPr>
        <w:t>、</w:t>
      </w:r>
      <w:r>
        <w:rPr>
          <w:rFonts w:ascii="Arial" w:eastAsia="Arial" w:hAnsi="Arial" w:cs="Arial"/>
          <w:sz w:val="16"/>
        </w:rPr>
        <w:t>S(0.15%)</w:t>
      </w:r>
      <w:r>
        <w:rPr>
          <w:sz w:val="16"/>
        </w:rPr>
        <w:t>、</w:t>
      </w:r>
      <w:r>
        <w:rPr>
          <w:rFonts w:ascii="Arial" w:eastAsia="Arial" w:hAnsi="Arial" w:cs="Arial"/>
          <w:sz w:val="16"/>
        </w:rPr>
        <w:t>S1(0.70%)</w:t>
      </w:r>
      <w:r>
        <w:rPr>
          <w:sz w:val="16"/>
        </w:rPr>
        <w:t>、</w:t>
      </w:r>
      <w:r>
        <w:rPr>
          <w:rFonts w:ascii="Arial" w:eastAsia="Arial" w:hAnsi="Arial" w:cs="Arial"/>
          <w:sz w:val="16"/>
        </w:rPr>
        <w:t>S1 2(0.70%)</w:t>
      </w:r>
      <w:r>
        <w:rPr>
          <w:sz w:val="16"/>
        </w:rPr>
        <w:t>、</w:t>
      </w:r>
      <w:r>
        <w:rPr>
          <w:rFonts w:ascii="Arial" w:eastAsia="Arial" w:hAnsi="Arial" w:cs="Arial"/>
          <w:sz w:val="16"/>
        </w:rPr>
        <w:t>S1QD (0.70%)</w:t>
      </w:r>
      <w:r>
        <w:rPr>
          <w:sz w:val="16"/>
        </w:rPr>
        <w:t>、</w:t>
      </w:r>
      <w:r>
        <w:rPr>
          <w:sz w:val="16"/>
        </w:rPr>
        <w:t xml:space="preserve"> </w:t>
      </w:r>
      <w:r>
        <w:rPr>
          <w:rFonts w:ascii="Arial" w:eastAsia="Arial" w:hAnsi="Arial" w:cs="Arial"/>
          <w:sz w:val="16"/>
        </w:rPr>
        <w:t>SA(0.15%)</w:t>
      </w:r>
      <w:r>
        <w:rPr>
          <w:sz w:val="16"/>
        </w:rPr>
        <w:t>及</w:t>
      </w:r>
      <w:r>
        <w:rPr>
          <w:sz w:val="16"/>
        </w:rPr>
        <w:t xml:space="preserve"> </w:t>
      </w:r>
      <w:r>
        <w:rPr>
          <w:rFonts w:ascii="Arial" w:eastAsia="Arial" w:hAnsi="Arial" w:cs="Arial"/>
          <w:sz w:val="16"/>
        </w:rPr>
        <w:t>ZT(0.05%)</w:t>
      </w:r>
      <w:r>
        <w:rPr>
          <w:sz w:val="18"/>
        </w:rPr>
        <w:t>，</w:t>
      </w:r>
      <w:r>
        <w:rPr>
          <w:sz w:val="16"/>
        </w:rPr>
        <w:t>則本傘子基金可自應付管理公司的款項中扣減（或管理公司將另行承擔）超出的費用及開支。</w:t>
      </w:r>
      <w:r>
        <w:rPr>
          <w:rFonts w:ascii="Arial" w:eastAsia="Arial" w:hAnsi="Arial" w:cs="Arial"/>
          <w:sz w:val="16"/>
        </w:rPr>
        <w:t xml:space="preserve"> </w:t>
      </w:r>
    </w:p>
    <w:p w:rsidR="004D6F0E" w:rsidRDefault="00490F21">
      <w:pPr>
        <w:numPr>
          <w:ilvl w:val="0"/>
          <w:numId w:val="21"/>
        </w:numPr>
        <w:ind w:right="13" w:hanging="360"/>
        <w:jc w:val="both"/>
      </w:pPr>
      <w:r>
        <w:rPr>
          <w:rFonts w:ascii="Arial" w:eastAsia="Arial" w:hAnsi="Arial" w:cs="Arial"/>
          <w:sz w:val="16"/>
        </w:rPr>
        <w:t xml:space="preserve">BT </w:t>
      </w:r>
      <w:r>
        <w:rPr>
          <w:sz w:val="16"/>
        </w:rPr>
        <w:t>類股份自認購日起四年後合資格轉入</w:t>
      </w:r>
      <w:r>
        <w:rPr>
          <w:sz w:val="16"/>
        </w:rPr>
        <w:t xml:space="preserve"> </w:t>
      </w:r>
      <w:r>
        <w:rPr>
          <w:rFonts w:ascii="Arial" w:eastAsia="Arial" w:hAnsi="Arial" w:cs="Arial"/>
          <w:sz w:val="16"/>
        </w:rPr>
        <w:t xml:space="preserve">AT </w:t>
      </w:r>
      <w:r>
        <w:rPr>
          <w:sz w:val="16"/>
        </w:rPr>
        <w:t>類股份，本傘子基金和管理公司均不會因此收取費用。欲進一步了解換股詳情，請參閱認購章程第</w:t>
      </w:r>
    </w:p>
    <w:p w:rsidR="004D6F0E" w:rsidRDefault="00490F21">
      <w:pPr>
        <w:ind w:left="370" w:right="13" w:hanging="10"/>
        <w:jc w:val="both"/>
      </w:pPr>
      <w:r>
        <w:rPr>
          <w:rFonts w:ascii="Arial" w:eastAsia="Arial" w:hAnsi="Arial" w:cs="Arial"/>
          <w:sz w:val="16"/>
        </w:rPr>
        <w:t xml:space="preserve">II </w:t>
      </w:r>
      <w:r>
        <w:rPr>
          <w:sz w:val="16"/>
        </w:rPr>
        <w:t>部分的「如何交換或轉換股份</w:t>
      </w:r>
      <w:r>
        <w:rPr>
          <w:rFonts w:ascii="Arial" w:eastAsia="Arial" w:hAnsi="Arial" w:cs="Arial"/>
          <w:sz w:val="16"/>
        </w:rPr>
        <w:t xml:space="preserve"> – </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21"/>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21"/>
        </w:numPr>
        <w:ind w:right="13" w:hanging="360"/>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w:t>
      </w:r>
      <w:r>
        <w:rPr>
          <w:rFonts w:ascii="Arial" w:eastAsia="Arial" w:hAnsi="Arial" w:cs="Arial"/>
          <w:sz w:val="16"/>
        </w:rPr>
        <w:t xml:space="preserve"> </w:t>
      </w:r>
    </w:p>
    <w:p w:rsidR="004D6F0E" w:rsidRDefault="00490F21">
      <w:pPr>
        <w:numPr>
          <w:ilvl w:val="0"/>
          <w:numId w:val="21"/>
        </w:numPr>
        <w:ind w:right="13" w:hanging="360"/>
        <w:jc w:val="both"/>
      </w:pPr>
      <w:r>
        <w:rPr>
          <w:sz w:val="16"/>
        </w:rPr>
        <w:t>佔每日平均資產淨值的年</w:t>
      </w:r>
      <w:r>
        <w:rPr>
          <w:sz w:val="16"/>
        </w:rPr>
        <w:t>百分比。</w:t>
      </w:r>
      <w:r>
        <w:rPr>
          <w:rFonts w:ascii="Arial" w:eastAsia="Arial" w:hAnsi="Arial" w:cs="Arial"/>
          <w:sz w:val="16"/>
        </w:rPr>
        <w:t xml:space="preserve"> </w:t>
      </w:r>
    </w:p>
    <w:p w:rsidR="004D6F0E" w:rsidRDefault="00490F21">
      <w:pPr>
        <w:numPr>
          <w:ilvl w:val="0"/>
          <w:numId w:val="21"/>
        </w:numPr>
        <w:ind w:right="13" w:hanging="360"/>
        <w:jc w:val="both"/>
      </w:pPr>
      <w:r>
        <w:rPr>
          <w:sz w:val="16"/>
        </w:rPr>
        <w:t>佔所贖回股份的現行資產淨值或原始成本此兩數字中較低者的有關百分比，並視乎該等股份的持有時間而定。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 xml:space="preserve">C </w:t>
      </w:r>
      <w:r>
        <w:rPr>
          <w:sz w:val="16"/>
        </w:rPr>
        <w:t>類股份、</w:t>
      </w:r>
      <w:r>
        <w:rPr>
          <w:rFonts w:ascii="Arial" w:eastAsia="Arial" w:hAnsi="Arial" w:cs="Arial"/>
          <w:sz w:val="16"/>
        </w:rPr>
        <w:t xml:space="preserve">C2 </w:t>
      </w:r>
      <w:r>
        <w:rPr>
          <w:sz w:val="16"/>
        </w:rPr>
        <w:t>類股份和</w:t>
      </w:r>
      <w:r>
        <w:rPr>
          <w:sz w:val="16"/>
        </w:rPr>
        <w:t xml:space="preserve"> </w:t>
      </w:r>
      <w:r>
        <w:rPr>
          <w:rFonts w:ascii="Arial" w:eastAsia="Arial" w:hAnsi="Arial" w:cs="Arial"/>
          <w:sz w:val="16"/>
        </w:rPr>
        <w:t xml:space="preserve">CT </w:t>
      </w:r>
      <w:r>
        <w:rPr>
          <w:sz w:val="16"/>
        </w:rPr>
        <w:t>類股份（及相應</w:t>
      </w:r>
      <w:r>
        <w:rPr>
          <w:sz w:val="16"/>
        </w:rPr>
        <w:t xml:space="preserve"> </w:t>
      </w:r>
      <w:r>
        <w:rPr>
          <w:rFonts w:ascii="Arial" w:eastAsia="Arial" w:hAnsi="Arial" w:cs="Arial"/>
          <w:sz w:val="16"/>
        </w:rPr>
        <w:t xml:space="preserve">H </w:t>
      </w:r>
      <w:r>
        <w:rPr>
          <w:sz w:val="16"/>
        </w:rPr>
        <w:t>類股份）而言，交易商可在某些情況下選擇減免或有遞延銷售費。</w:t>
      </w:r>
      <w:r>
        <w:rPr>
          <w:rFonts w:ascii="Arial" w:eastAsia="Arial" w:hAnsi="Arial" w:cs="Arial"/>
          <w:sz w:val="16"/>
        </w:rPr>
        <w:t xml:space="preserve"> </w:t>
      </w:r>
    </w:p>
    <w:p w:rsidR="004D6F0E" w:rsidRDefault="00490F21">
      <w:pPr>
        <w:numPr>
          <w:ilvl w:val="0"/>
          <w:numId w:val="21"/>
        </w:numPr>
        <w:ind w:right="13" w:hanging="360"/>
        <w:jc w:val="both"/>
      </w:pPr>
      <w:r>
        <w:rPr>
          <w:rFonts w:ascii="Arial" w:eastAsia="Arial" w:hAnsi="Arial" w:cs="Arial"/>
          <w:sz w:val="16"/>
        </w:rPr>
        <w:t xml:space="preserve">S </w:t>
      </w:r>
      <w:r>
        <w:rPr>
          <w:sz w:val="16"/>
        </w:rPr>
        <w:t>及</w:t>
      </w:r>
      <w:r>
        <w:rPr>
          <w:sz w:val="16"/>
        </w:rPr>
        <w:t xml:space="preserve"> </w:t>
      </w:r>
      <w:r>
        <w:rPr>
          <w:rFonts w:ascii="Arial" w:eastAsia="Arial" w:hAnsi="Arial" w:cs="Arial"/>
          <w:sz w:val="16"/>
        </w:rPr>
        <w:t xml:space="preserve">SA </w:t>
      </w:r>
      <w:r>
        <w:rPr>
          <w:sz w:val="16"/>
        </w:rPr>
        <w:t>類股份乃保留給已與管理公司訂立協議且被另行收取投資管理費的機構投資者。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21"/>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numPr>
          <w:ilvl w:val="0"/>
          <w:numId w:val="21"/>
        </w:numPr>
        <w:ind w:right="13" w:hanging="360"/>
        <w:jc w:val="both"/>
      </w:pPr>
      <w:r>
        <w:rPr>
          <w:rFonts w:ascii="Arial" w:eastAsia="Arial" w:hAnsi="Arial" w:cs="Arial"/>
          <w:sz w:val="16"/>
        </w:rPr>
        <w:t xml:space="preserve">EA </w:t>
      </w:r>
      <w:r>
        <w:rPr>
          <w:sz w:val="16"/>
        </w:rPr>
        <w:t>及</w:t>
      </w:r>
      <w:r>
        <w:rPr>
          <w:sz w:val="16"/>
        </w:rPr>
        <w:t xml:space="preserve"> </w:t>
      </w:r>
      <w:r>
        <w:rPr>
          <w:rFonts w:ascii="Arial" w:eastAsia="Arial" w:hAnsi="Arial" w:cs="Arial"/>
          <w:sz w:val="16"/>
        </w:rPr>
        <w:t xml:space="preserve">EI </w:t>
      </w:r>
      <w:r>
        <w:rPr>
          <w:sz w:val="16"/>
        </w:rPr>
        <w:t>類股份（及相應</w:t>
      </w:r>
      <w:r>
        <w:rPr>
          <w:sz w:val="16"/>
        </w:rPr>
        <w:t xml:space="preserve"> </w:t>
      </w:r>
      <w:r>
        <w:rPr>
          <w:rFonts w:ascii="Arial" w:eastAsia="Arial" w:hAnsi="Arial" w:cs="Arial"/>
          <w:sz w:val="16"/>
        </w:rPr>
        <w:t xml:space="preserve">H </w:t>
      </w:r>
      <w:r>
        <w:rPr>
          <w:sz w:val="16"/>
        </w:rPr>
        <w:t>類股份）自認購日起三年後將轉入</w:t>
      </w:r>
      <w:r>
        <w:rPr>
          <w:sz w:val="16"/>
        </w:rPr>
        <w:t xml:space="preserve"> </w:t>
      </w:r>
      <w:r>
        <w:rPr>
          <w:rFonts w:ascii="Arial" w:eastAsia="Arial" w:hAnsi="Arial" w:cs="Arial"/>
          <w:sz w:val="16"/>
        </w:rPr>
        <w:t xml:space="preserve">AA </w:t>
      </w:r>
      <w:r>
        <w:rPr>
          <w:sz w:val="16"/>
        </w:rPr>
        <w:t>及</w:t>
      </w:r>
      <w:r>
        <w:rPr>
          <w:sz w:val="16"/>
        </w:rPr>
        <w:t xml:space="preserve"> </w:t>
      </w:r>
      <w:r>
        <w:rPr>
          <w:rFonts w:ascii="Arial" w:eastAsia="Arial" w:hAnsi="Arial" w:cs="Arial"/>
          <w:sz w:val="16"/>
        </w:rPr>
        <w:t xml:space="preserve">AI </w:t>
      </w:r>
      <w:r>
        <w:rPr>
          <w:sz w:val="16"/>
        </w:rPr>
        <w:t>類股份（及相應</w:t>
      </w:r>
      <w:r>
        <w:rPr>
          <w:sz w:val="16"/>
        </w:rPr>
        <w:t xml:space="preserve"> </w:t>
      </w:r>
      <w:r>
        <w:rPr>
          <w:rFonts w:ascii="Arial" w:eastAsia="Arial" w:hAnsi="Arial" w:cs="Arial"/>
          <w:sz w:val="16"/>
        </w:rPr>
        <w:t xml:space="preserve">H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w:t>
      </w:r>
    </w:p>
    <w:p w:rsidR="004D6F0E" w:rsidRDefault="00490F21">
      <w:pPr>
        <w:ind w:left="370" w:right="13" w:hanging="10"/>
        <w:jc w:val="both"/>
      </w:pPr>
      <w:r>
        <w:rPr>
          <w:sz w:val="16"/>
        </w:rPr>
        <w:t>「如何交換或轉換股份</w:t>
      </w:r>
      <w:r>
        <w:rPr>
          <w:rFonts w:ascii="Arial" w:eastAsia="Arial" w:hAnsi="Arial" w:cs="Arial"/>
          <w:sz w:val="16"/>
        </w:rPr>
        <w:t>—</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21"/>
        </w:numPr>
        <w:ind w:right="13" w:hanging="360"/>
        <w:jc w:val="both"/>
      </w:pPr>
      <w:r>
        <w:rPr>
          <w:rFonts w:ascii="Arial" w:eastAsia="Arial" w:hAnsi="Arial" w:cs="Arial"/>
          <w:sz w:val="16"/>
        </w:rPr>
        <w:t xml:space="preserve">ZT </w:t>
      </w:r>
      <w:r>
        <w:rPr>
          <w:sz w:val="16"/>
        </w:rPr>
        <w:t>類股份保留供聯博基金投資。</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ind w:left="347" w:right="13" w:hanging="360"/>
        <w:jc w:val="both"/>
      </w:pP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」），而非稱為</w:t>
      </w:r>
      <w:r>
        <w:rPr>
          <w:sz w:val="16"/>
        </w:rPr>
        <w:t xml:space="preserve"> </w:t>
      </w:r>
      <w:r>
        <w:rPr>
          <w:rFonts w:ascii="Arial" w:eastAsia="Arial" w:hAnsi="Arial" w:cs="Arial"/>
          <w:sz w:val="16"/>
        </w:rPr>
        <w:t xml:space="preserve">CNY </w:t>
      </w:r>
      <w:r>
        <w:rPr>
          <w:sz w:val="16"/>
        </w:rPr>
        <w:t>的在岸人民幣。</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347" w:right="13" w:hanging="360"/>
        <w:jc w:val="both"/>
      </w:pPr>
      <w:r>
        <w:rPr>
          <w:rFonts w:ascii="Arial" w:eastAsia="Arial" w:hAnsi="Arial" w:cs="Arial"/>
          <w:sz w:val="16"/>
        </w:rPr>
        <w:t xml:space="preserve">** </w:t>
      </w:r>
      <w:r>
        <w:rPr>
          <w:sz w:val="16"/>
        </w:rPr>
        <w:t>由二零一六年十二月十五日起，將不再發售</w:t>
      </w:r>
      <w:r>
        <w:rPr>
          <w:sz w:val="16"/>
        </w:rPr>
        <w:t xml:space="preserve"> </w:t>
      </w:r>
      <w:r>
        <w:rPr>
          <w:rFonts w:ascii="Arial" w:eastAsia="Arial" w:hAnsi="Arial" w:cs="Arial"/>
          <w:sz w:val="16"/>
        </w:rPr>
        <w:t xml:space="preserve">B </w:t>
      </w:r>
      <w:r>
        <w:rPr>
          <w:sz w:val="16"/>
        </w:rPr>
        <w:t>類股份。然而，</w:t>
      </w:r>
      <w:r>
        <w:rPr>
          <w:rFonts w:ascii="Arial" w:eastAsia="Arial" w:hAnsi="Arial" w:cs="Arial"/>
          <w:sz w:val="16"/>
        </w:rPr>
        <w:t xml:space="preserve">B </w:t>
      </w:r>
      <w:r>
        <w:rPr>
          <w:sz w:val="16"/>
        </w:rPr>
        <w:t>類股份可提供作交換予另一基金或其他聯博基金中持有</w:t>
      </w:r>
      <w:r>
        <w:rPr>
          <w:sz w:val="16"/>
        </w:rPr>
        <w:t xml:space="preserve"> </w:t>
      </w:r>
      <w:r>
        <w:rPr>
          <w:rFonts w:ascii="Arial" w:eastAsia="Arial" w:hAnsi="Arial" w:cs="Arial"/>
          <w:sz w:val="16"/>
        </w:rPr>
        <w:t xml:space="preserve">B </w:t>
      </w:r>
      <w:r>
        <w:rPr>
          <w:sz w:val="16"/>
        </w:rPr>
        <w:t>類股份（或其變更類別（包括對沖股份類別））的股東。</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D6F0E">
      <w:pPr>
        <w:sectPr w:rsidR="004D6F0E">
          <w:type w:val="continuous"/>
          <w:pgSz w:w="12240" w:h="15840"/>
          <w:pgMar w:top="1440" w:right="715" w:bottom="1440" w:left="432" w:header="720" w:footer="720" w:gutter="0"/>
          <w:cols w:num="2" w:space="720" w:equalWidth="0">
            <w:col w:w="5373" w:space="675"/>
            <w:col w:w="5045"/>
          </w:cols>
        </w:sectPr>
      </w:pPr>
    </w:p>
    <w:p w:rsidR="004D6F0E" w:rsidRDefault="00490F21">
      <w:pPr>
        <w:spacing w:after="0" w:line="259" w:lineRule="auto"/>
        <w:ind w:left="0" w:firstLine="0"/>
      </w:pPr>
      <w:r>
        <w:rPr>
          <w:rFonts w:ascii="Arial" w:eastAsia="Arial" w:hAnsi="Arial" w:cs="Arial"/>
          <w:sz w:val="20"/>
        </w:rPr>
        <w:lastRenderedPageBreak/>
        <w:t xml:space="preserve"> </w:t>
      </w:r>
    </w:p>
    <w:p w:rsidR="004D6F0E" w:rsidRDefault="00490F21">
      <w:pPr>
        <w:spacing w:after="27" w:line="259" w:lineRule="auto"/>
        <w:ind w:left="0" w:right="-170" w:firstLine="0"/>
      </w:pPr>
      <w:r>
        <w:rPr>
          <w:rFonts w:ascii="Calibri" w:eastAsia="Calibri" w:hAnsi="Calibri" w:cs="Calibri"/>
          <w:noProof/>
          <w:sz w:val="22"/>
        </w:rPr>
        <mc:AlternateContent>
          <mc:Choice Requires="wpg">
            <w:drawing>
              <wp:inline distT="0" distB="0" distL="0" distR="0">
                <wp:extent cx="7200900" cy="18288"/>
                <wp:effectExtent l="0" t="0" r="0" b="0"/>
                <wp:docPr id="589587" name="Group 589587"/>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8447" name="Shape 658447"/>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87" style="width:567pt;height:1.44pt;mso-position-horizontal-relative:char;mso-position-vertical-relative:line" coordsize="72009,182">
                <v:shape id="Shape 658448" style="position:absolute;width:72009;height:182;left:0;top:0;" coordsize="7200900,18288" path="m0,0l7200900,0l7200900,18288l0,18288l0,0">
                  <v:stroke weight="0pt" endcap="flat" joinstyle="miter" miterlimit="10" on="false" color="#000000" opacity="0"/>
                  <v:fill on="true" color="#000000"/>
                </v:shape>
              </v:group>
            </w:pict>
          </mc:Fallback>
        </mc:AlternateContent>
      </w:r>
    </w:p>
    <w:p w:rsidR="004D6F0E" w:rsidRDefault="00490F21">
      <w:pPr>
        <w:ind w:left="124" w:right="2"/>
      </w:pPr>
      <w:r>
        <w:t>其他股份類別特色</w:t>
      </w:r>
      <w:r>
        <w:rPr>
          <w:rFonts w:ascii="Arial" w:eastAsia="Arial" w:hAnsi="Arial" w:cs="Arial"/>
          <w:sz w:val="24"/>
        </w:rPr>
        <w:t xml:space="preserve"> </w:t>
      </w:r>
    </w:p>
    <w:p w:rsidR="004D6F0E" w:rsidRDefault="00490F21">
      <w:pPr>
        <w:tabs>
          <w:tab w:val="center" w:pos="2974"/>
          <w:tab w:val="center" w:pos="5030"/>
          <w:tab w:val="center" w:pos="7085"/>
          <w:tab w:val="center" w:pos="8647"/>
          <w:tab w:val="right" w:pos="11170"/>
        </w:tabs>
        <w:ind w:left="0" w:firstLine="0"/>
      </w:pP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r>
      <w:r>
        <w:rPr>
          <w:sz w:val="18"/>
        </w:rPr>
        <w:t>盧森堡年稅</w:t>
      </w:r>
      <w:r>
        <w:t>（</w:t>
      </w:r>
      <w:r>
        <w:rPr>
          <w:rFonts w:ascii="Arial" w:eastAsia="Arial" w:hAnsi="Arial" w:cs="Arial"/>
          <w:b/>
          <w:i/>
          <w:sz w:val="18"/>
        </w:rPr>
        <w:t xml:space="preserve">Taxe </w:t>
      </w:r>
    </w:p>
    <w:p w:rsidR="004D6F0E" w:rsidRDefault="00490F21">
      <w:pPr>
        <w:tabs>
          <w:tab w:val="center" w:pos="2974"/>
          <w:tab w:val="center" w:pos="5031"/>
          <w:tab w:val="center" w:pos="7793"/>
          <w:tab w:val="right" w:pos="11170"/>
        </w:tabs>
        <w:spacing w:after="4" w:line="265" w:lineRule="auto"/>
        <w:ind w:left="0" w:firstLine="0"/>
      </w:pPr>
      <w:r>
        <w:rPr>
          <w:rFonts w:ascii="Calibri" w:eastAsia="Calibri" w:hAnsi="Calibri" w:cs="Calibri"/>
          <w:sz w:val="22"/>
        </w:rPr>
        <w:tab/>
      </w:r>
      <w:r>
        <w:rPr>
          <w:sz w:val="18"/>
        </w:rPr>
        <w:t>發售貨幣</w:t>
      </w:r>
      <w:r>
        <w:rPr>
          <w:rFonts w:ascii="Arial" w:eastAsia="Arial" w:hAnsi="Arial" w:cs="Arial"/>
          <w:b/>
          <w:sz w:val="18"/>
        </w:rPr>
        <w:t xml:space="preserve"> </w:t>
      </w:r>
      <w:r>
        <w:rPr>
          <w:rFonts w:ascii="Arial" w:eastAsia="Arial" w:hAnsi="Arial" w:cs="Arial"/>
          <w:b/>
          <w:sz w:val="18"/>
        </w:rPr>
        <w:tab/>
      </w:r>
      <w:r>
        <w:rPr>
          <w:sz w:val="18"/>
        </w:rPr>
        <w:t>最低首次投資</w:t>
      </w:r>
      <w:r>
        <w:rPr>
          <w:rFonts w:ascii="Arial" w:eastAsia="Arial" w:hAnsi="Arial" w:cs="Arial"/>
          <w:b/>
          <w:sz w:val="18"/>
        </w:rPr>
        <w:t xml:space="preserve">* </w:t>
      </w:r>
      <w:r>
        <w:rPr>
          <w:rFonts w:ascii="Arial" w:eastAsia="Arial" w:hAnsi="Arial" w:cs="Arial"/>
          <w:b/>
          <w:sz w:val="18"/>
        </w:rPr>
        <w:tab/>
      </w:r>
      <w:r>
        <w:rPr>
          <w:sz w:val="18"/>
        </w:rPr>
        <w:t>最低後續投資</w:t>
      </w:r>
      <w:r>
        <w:rPr>
          <w:rFonts w:ascii="Arial" w:eastAsia="Arial" w:hAnsi="Arial" w:cs="Arial"/>
          <w:b/>
          <w:sz w:val="18"/>
        </w:rPr>
        <w:t xml:space="preserve">* </w:t>
      </w:r>
      <w:r>
        <w:rPr>
          <w:sz w:val="18"/>
        </w:rPr>
        <w:t>最高投資</w:t>
      </w:r>
      <w:r>
        <w:rPr>
          <w:rFonts w:ascii="Arial" w:eastAsia="Arial" w:hAnsi="Arial" w:cs="Arial"/>
          <w:b/>
          <w:sz w:val="18"/>
        </w:rPr>
        <w:t xml:space="preserve">** </w:t>
      </w:r>
      <w:r>
        <w:rPr>
          <w:rFonts w:ascii="Arial" w:eastAsia="Arial" w:hAnsi="Arial" w:cs="Arial"/>
          <w:b/>
          <w:sz w:val="18"/>
        </w:rPr>
        <w:tab/>
      </w:r>
      <w:r>
        <w:rPr>
          <w:rFonts w:ascii="Arial" w:eastAsia="Arial" w:hAnsi="Arial" w:cs="Arial"/>
          <w:b/>
          <w:i/>
          <w:sz w:val="18"/>
        </w:rPr>
        <w:t>d'Abonnement</w:t>
      </w:r>
      <w:r>
        <w:t>）</w:t>
      </w:r>
      <w:r>
        <w:rPr>
          <w:rFonts w:ascii="Arial" w:eastAsia="Arial" w:hAnsi="Arial" w:cs="Arial"/>
          <w:b/>
          <w:sz w:val="18"/>
        </w:rPr>
        <w:t xml:space="preserve">*** </w:t>
      </w:r>
    </w:p>
    <w:p w:rsidR="004D6F0E" w:rsidRDefault="00490F21">
      <w:pPr>
        <w:spacing w:after="60" w:line="259" w:lineRule="auto"/>
        <w:ind w:left="2210" w:right="-83" w:firstLine="0"/>
      </w:pPr>
      <w:r>
        <w:rPr>
          <w:rFonts w:ascii="Calibri" w:eastAsia="Calibri" w:hAnsi="Calibri" w:cs="Calibri"/>
          <w:noProof/>
          <w:sz w:val="22"/>
        </w:rPr>
        <mc:AlternateContent>
          <mc:Choice Requires="wpg">
            <w:drawing>
              <wp:inline distT="0" distB="0" distL="0" distR="0">
                <wp:extent cx="5742432" cy="22860"/>
                <wp:effectExtent l="0" t="0" r="0" b="0"/>
                <wp:docPr id="589588" name="Group 589588"/>
                <wp:cNvGraphicFramePr/>
                <a:graphic xmlns:a="http://schemas.openxmlformats.org/drawingml/2006/main">
                  <a:graphicData uri="http://schemas.microsoft.com/office/word/2010/wordprocessingGroup">
                    <wpg:wgp>
                      <wpg:cNvGrpSpPr/>
                      <wpg:grpSpPr>
                        <a:xfrm>
                          <a:off x="0" y="0"/>
                          <a:ext cx="5742432" cy="22860"/>
                          <a:chOff x="0" y="0"/>
                          <a:chExt cx="5742432" cy="22860"/>
                        </a:xfrm>
                      </wpg:grpSpPr>
                      <wps:wsp>
                        <wps:cNvPr id="658449" name="Shape 658449"/>
                        <wps:cNvSpPr/>
                        <wps:spPr>
                          <a:xfrm>
                            <a:off x="0"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50" name="Shape 658450"/>
                        <wps:cNvSpPr/>
                        <wps:spPr>
                          <a:xfrm>
                            <a:off x="1082040" y="0"/>
                            <a:ext cx="1418844" cy="9144"/>
                          </a:xfrm>
                          <a:custGeom>
                            <a:avLst/>
                            <a:gdLst/>
                            <a:ahLst/>
                            <a:cxnLst/>
                            <a:rect l="0" t="0" r="0" b="0"/>
                            <a:pathLst>
                              <a:path w="1418844" h="9144">
                                <a:moveTo>
                                  <a:pt x="0" y="0"/>
                                </a:moveTo>
                                <a:lnTo>
                                  <a:pt x="1418844" y="0"/>
                                </a:lnTo>
                                <a:lnTo>
                                  <a:pt x="14188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51" name="Shape 658451"/>
                        <wps:cNvSpPr/>
                        <wps:spPr>
                          <a:xfrm>
                            <a:off x="2610612"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52" name="Shape 658452"/>
                        <wps:cNvSpPr/>
                        <wps:spPr>
                          <a:xfrm>
                            <a:off x="3691128" y="0"/>
                            <a:ext cx="792493" cy="9144"/>
                          </a:xfrm>
                          <a:custGeom>
                            <a:avLst/>
                            <a:gdLst/>
                            <a:ahLst/>
                            <a:cxnLst/>
                            <a:rect l="0" t="0" r="0" b="0"/>
                            <a:pathLst>
                              <a:path w="792493" h="9144">
                                <a:moveTo>
                                  <a:pt x="0" y="0"/>
                                </a:moveTo>
                                <a:lnTo>
                                  <a:pt x="792493" y="0"/>
                                </a:lnTo>
                                <a:lnTo>
                                  <a:pt x="79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53" name="Shape 658453"/>
                        <wps:cNvSpPr/>
                        <wps:spPr>
                          <a:xfrm>
                            <a:off x="4591812" y="16764"/>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88" style="width:452.16pt;height:1.79999pt;mso-position-horizontal-relative:char;mso-position-vertical-relative:line" coordsize="57424,228">
                <v:shape id="Shape 658454" style="position:absolute;width:9707;height:91;left:0;top:0;" coordsize="970788,9144" path="m0,0l970788,0l970788,9144l0,9144l0,0">
                  <v:stroke weight="0pt" endcap="flat" joinstyle="miter" miterlimit="10" on="false" color="#000000" opacity="0"/>
                  <v:fill on="true" color="#000000"/>
                </v:shape>
                <v:shape id="Shape 658455" style="position:absolute;width:14188;height:91;left:10820;top:0;" coordsize="1418844,9144" path="m0,0l1418844,0l1418844,9144l0,9144l0,0">
                  <v:stroke weight="0pt" endcap="flat" joinstyle="miter" miterlimit="10" on="false" color="#000000" opacity="0"/>
                  <v:fill on="true" color="#000000"/>
                </v:shape>
                <v:shape id="Shape 658456" style="position:absolute;width:9707;height:91;left:26106;top:0;" coordsize="970788,9144" path="m0,0l970788,0l970788,9144l0,9144l0,0">
                  <v:stroke weight="0pt" endcap="flat" joinstyle="miter" miterlimit="10" on="false" color="#000000" opacity="0"/>
                  <v:fill on="true" color="#000000"/>
                </v:shape>
                <v:shape id="Shape 658457" style="position:absolute;width:7924;height:91;left:36911;top:0;" coordsize="792493,9144" path="m0,0l792493,0l792493,9144l0,9144l0,0">
                  <v:stroke weight="0pt" endcap="flat" joinstyle="miter" miterlimit="10" on="false" color="#000000" opacity="0"/>
                  <v:fill on="true" color="#000000"/>
                </v:shape>
                <v:shape id="Shape 658458" style="position:absolute;width:11506;height:91;left:45918;top:167;" coordsize="1150620,9144" path="m0,0l1150620,0l1150620,9144l0,9144l0,0">
                  <v:stroke weight="0pt" endcap="flat" joinstyle="miter" miterlimit="10" on="false" color="#000000" opacity="0"/>
                  <v:fill on="true" color="#000000"/>
                </v:shape>
              </v:group>
            </w:pict>
          </mc:Fallback>
        </mc:AlternateContent>
      </w:r>
    </w:p>
    <w:tbl>
      <w:tblPr>
        <w:tblStyle w:val="TableGrid"/>
        <w:tblW w:w="11340" w:type="dxa"/>
        <w:tblInd w:w="0" w:type="dxa"/>
        <w:tblCellMar>
          <w:top w:w="22" w:type="dxa"/>
          <w:left w:w="0" w:type="dxa"/>
          <w:bottom w:w="0" w:type="dxa"/>
          <w:right w:w="17" w:type="dxa"/>
        </w:tblCellMar>
        <w:tblLook w:val="04A0" w:firstRow="1" w:lastRow="0" w:firstColumn="1" w:lastColumn="0" w:noHBand="0" w:noVBand="1"/>
      </w:tblPr>
      <w:tblGrid>
        <w:gridCol w:w="2794"/>
        <w:gridCol w:w="1514"/>
        <w:gridCol w:w="2371"/>
        <w:gridCol w:w="1440"/>
        <w:gridCol w:w="1973"/>
        <w:gridCol w:w="1248"/>
      </w:tblGrid>
      <w:tr w:rsidR="004D6F0E">
        <w:trPr>
          <w:trHeight w:val="233"/>
        </w:trPr>
        <w:tc>
          <w:tcPr>
            <w:tcW w:w="2794" w:type="dxa"/>
            <w:tcBorders>
              <w:top w:val="nil"/>
              <w:left w:val="nil"/>
              <w:bottom w:val="nil"/>
              <w:right w:val="nil"/>
            </w:tcBorders>
            <w:shd w:val="clear" w:color="auto" w:fill="D9D9D9"/>
          </w:tcPr>
          <w:p w:rsidR="004D6F0E" w:rsidRDefault="00490F21">
            <w:pPr>
              <w:spacing w:after="0" w:line="259" w:lineRule="auto"/>
              <w:ind w:left="115" w:firstLine="0"/>
            </w:pPr>
            <w:r>
              <w:rPr>
                <w:sz w:val="18"/>
              </w:rPr>
              <w:t>美元計價股份類別</w:t>
            </w:r>
            <w:r>
              <w:rPr>
                <w:rFonts w:ascii="Arial" w:eastAsia="Arial" w:hAnsi="Arial" w:cs="Arial"/>
                <w:sz w:val="18"/>
              </w:rPr>
              <w:t xml:space="preserve"> </w:t>
            </w:r>
          </w:p>
        </w:tc>
        <w:tc>
          <w:tcPr>
            <w:tcW w:w="1514" w:type="dxa"/>
            <w:tcBorders>
              <w:top w:val="nil"/>
              <w:left w:val="nil"/>
              <w:bottom w:val="nil"/>
              <w:right w:val="nil"/>
            </w:tcBorders>
            <w:shd w:val="clear" w:color="auto" w:fill="D9D9D9"/>
          </w:tcPr>
          <w:p w:rsidR="004D6F0E" w:rsidRDefault="004D6F0E">
            <w:pPr>
              <w:spacing w:after="160" w:line="259" w:lineRule="auto"/>
              <w:ind w:left="0" w:firstLine="0"/>
            </w:pPr>
          </w:p>
        </w:tc>
        <w:tc>
          <w:tcPr>
            <w:tcW w:w="2371" w:type="dxa"/>
            <w:tcBorders>
              <w:top w:val="nil"/>
              <w:left w:val="nil"/>
              <w:bottom w:val="nil"/>
              <w:right w:val="nil"/>
            </w:tcBorders>
            <w:shd w:val="clear" w:color="auto" w:fill="D9D9D9"/>
          </w:tcPr>
          <w:p w:rsidR="004D6F0E" w:rsidRDefault="004D6F0E">
            <w:pPr>
              <w:spacing w:after="160" w:line="259" w:lineRule="auto"/>
              <w:ind w:left="0" w:firstLine="0"/>
            </w:pPr>
          </w:p>
        </w:tc>
        <w:tc>
          <w:tcPr>
            <w:tcW w:w="1440" w:type="dxa"/>
            <w:tcBorders>
              <w:top w:val="nil"/>
              <w:left w:val="nil"/>
              <w:bottom w:val="nil"/>
              <w:right w:val="nil"/>
            </w:tcBorders>
            <w:shd w:val="clear" w:color="auto" w:fill="D9D9D9"/>
          </w:tcPr>
          <w:p w:rsidR="004D6F0E" w:rsidRDefault="004D6F0E">
            <w:pPr>
              <w:spacing w:after="160" w:line="259" w:lineRule="auto"/>
              <w:ind w:left="0" w:firstLine="0"/>
            </w:pPr>
          </w:p>
        </w:tc>
        <w:tc>
          <w:tcPr>
            <w:tcW w:w="1973"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70"/>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AI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BT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 </w:t>
            </w:r>
            <w:r>
              <w:rPr>
                <w:sz w:val="18"/>
              </w:rPr>
              <w:t>美元</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2"/>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2"/>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CT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EI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0"/>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317" w:firstLine="0"/>
            </w:pPr>
            <w:r>
              <w:rPr>
                <w:sz w:val="18"/>
              </w:rPr>
              <w:t>無</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87"/>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N2 </w:t>
            </w:r>
            <w:r>
              <w:rPr>
                <w:sz w:val="18"/>
              </w:rPr>
              <w:t>及</w:t>
            </w:r>
            <w:r>
              <w:rPr>
                <w:sz w:val="18"/>
              </w:rPr>
              <w:t xml:space="preserve"> </w:t>
            </w: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99"/>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317" w:firstLine="0"/>
            </w:pPr>
            <w:r>
              <w:rPr>
                <w:sz w:val="18"/>
              </w:rPr>
              <w:t>無</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317" w:firstLine="0"/>
            </w:pPr>
            <w:r>
              <w:rPr>
                <w:sz w:val="18"/>
              </w:rPr>
              <w:t>無</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90"/>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美元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317" w:firstLine="0"/>
            </w:pPr>
            <w:r>
              <w:rPr>
                <w:sz w:val="18"/>
              </w:rPr>
              <w:t>無</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580"/>
        </w:trPr>
        <w:tc>
          <w:tcPr>
            <w:tcW w:w="2794" w:type="dxa"/>
            <w:tcBorders>
              <w:top w:val="nil"/>
              <w:left w:val="nil"/>
              <w:bottom w:val="nil"/>
              <w:right w:val="nil"/>
            </w:tcBorders>
          </w:tcPr>
          <w:p w:rsidR="004D6F0E" w:rsidRDefault="00490F21">
            <w:pPr>
              <w:spacing w:after="72" w:line="259" w:lineRule="auto"/>
              <w:ind w:left="115" w:firstLine="0"/>
            </w:pPr>
            <w:r>
              <w:rPr>
                <w:rFonts w:ascii="Arial" w:eastAsia="Arial" w:hAnsi="Arial" w:cs="Arial"/>
                <w:sz w:val="18"/>
              </w:rPr>
              <w:t xml:space="preserve">ZT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67" w:line="259" w:lineRule="auto"/>
              <w:ind w:left="0" w:firstLine="0"/>
            </w:pPr>
            <w:r>
              <w:rPr>
                <w:sz w:val="18"/>
              </w:rPr>
              <w:t>美元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71" w:line="259" w:lineRule="auto"/>
              <w:ind w:left="0" w:firstLine="0"/>
            </w:pPr>
            <w:r>
              <w:rPr>
                <w:rFonts w:ascii="Arial" w:eastAsia="Arial" w:hAnsi="Arial" w:cs="Arial"/>
                <w:sz w:val="18"/>
              </w:rPr>
              <w:t xml:space="preserve">50,000,000 </w:t>
            </w:r>
            <w:r>
              <w:rPr>
                <w:sz w:val="18"/>
              </w:rPr>
              <w:t>美元</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67" w:line="259" w:lineRule="auto"/>
              <w:ind w:left="317" w:firstLine="0"/>
            </w:pPr>
            <w:r>
              <w:rPr>
                <w:sz w:val="18"/>
              </w:rPr>
              <w:t>無</w:t>
            </w:r>
            <w:r>
              <w:rPr>
                <w:rFonts w:ascii="Arial" w:eastAsia="Arial" w:hAnsi="Arial" w:cs="Arial"/>
                <w:sz w:val="18"/>
              </w:rPr>
              <w:t xml:space="preserve"> </w:t>
            </w:r>
          </w:p>
          <w:p w:rsidR="004D6F0E" w:rsidRDefault="00490F21">
            <w:pPr>
              <w:spacing w:after="0" w:line="259" w:lineRule="auto"/>
              <w:ind w:left="406" w:firstLine="0"/>
            </w:pP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67" w:line="259" w:lineRule="auto"/>
              <w:ind w:left="437"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55"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9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歐元計價股份類別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1514" w:type="dxa"/>
            <w:tcBorders>
              <w:top w:val="nil"/>
              <w:left w:val="nil"/>
              <w:bottom w:val="nil"/>
              <w:right w:val="nil"/>
            </w:tcBorders>
            <w:shd w:val="clear" w:color="auto" w:fill="D9D9D9"/>
          </w:tcPr>
          <w:p w:rsidR="004D6F0E" w:rsidRDefault="00490F21">
            <w:pPr>
              <w:spacing w:after="0" w:line="259" w:lineRule="auto"/>
              <w:ind w:left="852" w:firstLine="0"/>
              <w:jc w:val="center"/>
            </w:pPr>
            <w:r>
              <w:rPr>
                <w:rFonts w:ascii="Arial" w:eastAsia="Arial" w:hAnsi="Arial" w:cs="Arial"/>
                <w:sz w:val="18"/>
              </w:rPr>
              <w:t xml:space="preserve"> </w:t>
            </w:r>
          </w:p>
        </w:tc>
        <w:tc>
          <w:tcPr>
            <w:tcW w:w="2371" w:type="dxa"/>
            <w:tcBorders>
              <w:top w:val="nil"/>
              <w:left w:val="nil"/>
              <w:bottom w:val="nil"/>
              <w:right w:val="nil"/>
            </w:tcBorders>
            <w:shd w:val="clear" w:color="auto" w:fill="D9D9D9"/>
          </w:tcPr>
          <w:p w:rsidR="004D6F0E" w:rsidRDefault="00490F21">
            <w:pPr>
              <w:spacing w:after="0" w:line="259" w:lineRule="auto"/>
              <w:ind w:left="0" w:right="262" w:firstLine="0"/>
              <w:jc w:val="right"/>
            </w:pPr>
            <w:r>
              <w:rPr>
                <w:rFonts w:ascii="Arial" w:eastAsia="Arial" w:hAnsi="Arial" w:cs="Arial"/>
                <w:sz w:val="18"/>
              </w:rPr>
              <w:t xml:space="preserve"> </w:t>
            </w:r>
          </w:p>
        </w:tc>
        <w:tc>
          <w:tcPr>
            <w:tcW w:w="1440"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973" w:type="dxa"/>
            <w:tcBorders>
              <w:top w:val="nil"/>
              <w:left w:val="nil"/>
              <w:bottom w:val="nil"/>
              <w:right w:val="nil"/>
            </w:tcBorders>
            <w:shd w:val="clear" w:color="auto" w:fill="D9D9D9"/>
          </w:tcPr>
          <w:p w:rsidR="004D6F0E" w:rsidRDefault="00490F21">
            <w:pPr>
              <w:spacing w:after="0" w:line="259" w:lineRule="auto"/>
              <w:ind w:left="797"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53"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317" w:firstLine="0"/>
            </w:pPr>
            <w:r>
              <w:rPr>
                <w:sz w:val="18"/>
              </w:rPr>
              <w:t>無</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94"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S1 2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7"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11"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7" w:line="259" w:lineRule="auto"/>
              <w:ind w:left="317" w:firstLine="0"/>
            </w:pPr>
            <w:r>
              <w:rPr>
                <w:sz w:val="18"/>
              </w:rPr>
              <w:t>無</w:t>
            </w:r>
            <w:r>
              <w:rPr>
                <w:rFonts w:ascii="Arial" w:eastAsia="Arial" w:hAnsi="Arial" w:cs="Arial"/>
                <w:sz w:val="18"/>
              </w:rPr>
              <w:t xml:space="preserve"> </w:t>
            </w:r>
          </w:p>
          <w:p w:rsidR="004D6F0E" w:rsidRDefault="00490F21">
            <w:pPr>
              <w:spacing w:after="0" w:line="259" w:lineRule="auto"/>
              <w:ind w:left="406" w:firstLine="0"/>
            </w:pP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7" w:line="259" w:lineRule="auto"/>
              <w:ind w:left="437"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794"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514" w:type="dxa"/>
            <w:tcBorders>
              <w:top w:val="nil"/>
              <w:left w:val="nil"/>
              <w:bottom w:val="nil"/>
              <w:right w:val="nil"/>
            </w:tcBorders>
            <w:shd w:val="clear" w:color="auto" w:fill="D9D9D9"/>
          </w:tcPr>
          <w:p w:rsidR="004D6F0E" w:rsidRDefault="00490F21">
            <w:pPr>
              <w:spacing w:after="0" w:line="259" w:lineRule="auto"/>
              <w:ind w:left="180" w:firstLine="0"/>
            </w:pPr>
            <w:r>
              <w:rPr>
                <w:rFonts w:ascii="Arial" w:eastAsia="Arial" w:hAnsi="Arial" w:cs="Arial"/>
                <w:sz w:val="18"/>
              </w:rPr>
              <w:t xml:space="preserve"> </w:t>
            </w:r>
          </w:p>
        </w:tc>
        <w:tc>
          <w:tcPr>
            <w:tcW w:w="2371" w:type="dxa"/>
            <w:tcBorders>
              <w:top w:val="nil"/>
              <w:left w:val="nil"/>
              <w:bottom w:val="nil"/>
              <w:right w:val="nil"/>
            </w:tcBorders>
            <w:shd w:val="clear" w:color="auto" w:fill="D9D9D9"/>
          </w:tcPr>
          <w:p w:rsidR="004D6F0E" w:rsidRDefault="00490F21">
            <w:pPr>
              <w:spacing w:after="0" w:line="259" w:lineRule="auto"/>
              <w:ind w:left="722" w:firstLine="0"/>
            </w:pPr>
            <w:r>
              <w:rPr>
                <w:rFonts w:ascii="Arial" w:eastAsia="Arial" w:hAnsi="Arial" w:cs="Arial"/>
                <w:sz w:val="18"/>
              </w:rPr>
              <w:t xml:space="preserve"> </w:t>
            </w:r>
          </w:p>
        </w:tc>
        <w:tc>
          <w:tcPr>
            <w:tcW w:w="1440" w:type="dxa"/>
            <w:tcBorders>
              <w:top w:val="nil"/>
              <w:left w:val="nil"/>
              <w:bottom w:val="nil"/>
              <w:right w:val="nil"/>
            </w:tcBorders>
            <w:shd w:val="clear" w:color="auto" w:fill="D9D9D9"/>
          </w:tcPr>
          <w:p w:rsidR="004D6F0E" w:rsidRDefault="00490F21">
            <w:pPr>
              <w:spacing w:after="0" w:line="259" w:lineRule="auto"/>
              <w:ind w:left="406" w:firstLine="0"/>
            </w:pPr>
            <w:r>
              <w:rPr>
                <w:rFonts w:ascii="Arial" w:eastAsia="Arial" w:hAnsi="Arial" w:cs="Arial"/>
                <w:sz w:val="18"/>
              </w:rPr>
              <w:t xml:space="preserve"> </w:t>
            </w:r>
          </w:p>
        </w:tc>
        <w:tc>
          <w:tcPr>
            <w:tcW w:w="1973" w:type="dxa"/>
            <w:tcBorders>
              <w:top w:val="nil"/>
              <w:left w:val="nil"/>
              <w:bottom w:val="nil"/>
              <w:right w:val="nil"/>
            </w:tcBorders>
            <w:shd w:val="clear" w:color="auto" w:fill="D9D9D9"/>
          </w:tcPr>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41"/>
        </w:trPr>
        <w:tc>
          <w:tcPr>
            <w:tcW w:w="279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類及</w:t>
            </w:r>
            <w:r>
              <w:rPr>
                <w:sz w:val="18"/>
              </w:rPr>
              <w:t xml:space="preserve"> </w:t>
            </w: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港元</w:t>
            </w: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0" w:line="259" w:lineRule="auto"/>
              <w:ind w:left="269" w:firstLine="0"/>
            </w:pPr>
            <w:r>
              <w:rPr>
                <w:rFonts w:ascii="Arial" w:eastAsia="Arial" w:hAnsi="Arial" w:cs="Arial"/>
                <w:sz w:val="18"/>
              </w:rPr>
              <w:t>15,000</w:t>
            </w:r>
            <w:r>
              <w:rPr>
                <w:sz w:val="18"/>
              </w:rPr>
              <w:t>港元</w:t>
            </w: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5,000</w:t>
            </w:r>
            <w:r>
              <w:rPr>
                <w:sz w:val="18"/>
              </w:rPr>
              <w:t>港元</w:t>
            </w: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0" w:line="259" w:lineRule="auto"/>
              <w:ind w:left="437"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94"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7" w:line="259" w:lineRule="auto"/>
              <w:ind w:left="0" w:firstLine="0"/>
            </w:pPr>
            <w:r>
              <w:rPr>
                <w:sz w:val="18"/>
              </w:rPr>
              <w:t>港元</w:t>
            </w:r>
            <w:r>
              <w:rPr>
                <w:rFonts w:ascii="Arial" w:eastAsia="Arial" w:hAnsi="Arial" w:cs="Arial"/>
                <w:sz w:val="18"/>
              </w:rPr>
              <w:t xml:space="preserve"> </w:t>
            </w:r>
          </w:p>
          <w:p w:rsidR="004D6F0E" w:rsidRDefault="00490F21">
            <w:pPr>
              <w:spacing w:after="0" w:line="259" w:lineRule="auto"/>
              <w:ind w:left="180" w:firstLine="0"/>
            </w:pPr>
            <w:r>
              <w:rPr>
                <w:rFonts w:ascii="Arial" w:eastAsia="Arial" w:hAnsi="Arial" w:cs="Arial"/>
                <w:sz w:val="18"/>
              </w:rPr>
              <w:t xml:space="preserve"> </w:t>
            </w:r>
          </w:p>
        </w:tc>
        <w:tc>
          <w:tcPr>
            <w:tcW w:w="2371" w:type="dxa"/>
            <w:tcBorders>
              <w:top w:val="nil"/>
              <w:left w:val="nil"/>
              <w:bottom w:val="nil"/>
              <w:right w:val="nil"/>
            </w:tcBorders>
          </w:tcPr>
          <w:p w:rsidR="004D6F0E" w:rsidRDefault="00490F21">
            <w:pPr>
              <w:spacing w:after="6" w:line="259" w:lineRule="auto"/>
              <w:ind w:left="269" w:firstLine="0"/>
            </w:pPr>
            <w:r>
              <w:rPr>
                <w:rFonts w:ascii="Arial" w:eastAsia="Arial" w:hAnsi="Arial" w:cs="Arial"/>
                <w:sz w:val="18"/>
              </w:rPr>
              <w:t>15,000</w:t>
            </w:r>
            <w:r>
              <w:rPr>
                <w:sz w:val="18"/>
              </w:rPr>
              <w:t>港元</w:t>
            </w:r>
            <w:r>
              <w:rPr>
                <w:rFonts w:ascii="Arial" w:eastAsia="Arial" w:hAnsi="Arial" w:cs="Arial"/>
                <w:sz w:val="18"/>
              </w:rPr>
              <w:t xml:space="preserve"> </w:t>
            </w:r>
          </w:p>
          <w:p w:rsidR="004D6F0E" w:rsidRDefault="00490F21">
            <w:pPr>
              <w:spacing w:after="0" w:line="259" w:lineRule="auto"/>
              <w:ind w:left="722" w:firstLine="0"/>
            </w:pPr>
            <w:r>
              <w:rPr>
                <w:rFonts w:ascii="Arial" w:eastAsia="Arial" w:hAnsi="Arial" w:cs="Arial"/>
                <w:sz w:val="18"/>
              </w:rPr>
              <w:t xml:space="preserve"> </w:t>
            </w:r>
          </w:p>
        </w:tc>
        <w:tc>
          <w:tcPr>
            <w:tcW w:w="1440" w:type="dxa"/>
            <w:tcBorders>
              <w:top w:val="nil"/>
              <w:left w:val="nil"/>
              <w:bottom w:val="nil"/>
              <w:right w:val="nil"/>
            </w:tcBorders>
          </w:tcPr>
          <w:p w:rsidR="004D6F0E" w:rsidRDefault="00490F21">
            <w:pPr>
              <w:spacing w:after="6" w:line="259" w:lineRule="auto"/>
              <w:ind w:left="0" w:firstLine="0"/>
            </w:pPr>
            <w:r>
              <w:rPr>
                <w:rFonts w:ascii="Arial" w:eastAsia="Arial" w:hAnsi="Arial" w:cs="Arial"/>
                <w:sz w:val="18"/>
              </w:rPr>
              <w:t>5,000</w:t>
            </w:r>
            <w:r>
              <w:rPr>
                <w:sz w:val="18"/>
              </w:rPr>
              <w:t>港元</w:t>
            </w:r>
            <w:r>
              <w:rPr>
                <w:rFonts w:ascii="Arial" w:eastAsia="Arial" w:hAnsi="Arial" w:cs="Arial"/>
                <w:sz w:val="18"/>
              </w:rPr>
              <w:t xml:space="preserve"> </w:t>
            </w:r>
          </w:p>
          <w:p w:rsidR="004D6F0E" w:rsidRDefault="00490F21">
            <w:pPr>
              <w:spacing w:after="0" w:line="259" w:lineRule="auto"/>
              <w:ind w:left="406" w:firstLine="0"/>
            </w:pPr>
            <w:r>
              <w:rPr>
                <w:rFonts w:ascii="Arial" w:eastAsia="Arial" w:hAnsi="Arial" w:cs="Arial"/>
                <w:sz w:val="18"/>
              </w:rPr>
              <w:t xml:space="preserve"> </w:t>
            </w:r>
          </w:p>
        </w:tc>
        <w:tc>
          <w:tcPr>
            <w:tcW w:w="1973" w:type="dxa"/>
            <w:tcBorders>
              <w:top w:val="nil"/>
              <w:left w:val="nil"/>
              <w:bottom w:val="nil"/>
              <w:right w:val="nil"/>
            </w:tcBorders>
          </w:tcPr>
          <w:p w:rsidR="004D6F0E" w:rsidRDefault="00490F21">
            <w:pPr>
              <w:spacing w:after="7" w:line="259" w:lineRule="auto"/>
              <w:ind w:left="437" w:firstLine="0"/>
            </w:pPr>
            <w:r>
              <w:rPr>
                <w:sz w:val="18"/>
              </w:rPr>
              <w:t>無</w:t>
            </w:r>
            <w:r>
              <w:rPr>
                <w:rFonts w:ascii="Arial" w:eastAsia="Arial" w:hAnsi="Arial" w:cs="Arial"/>
                <w:sz w:val="18"/>
              </w:rPr>
              <w:t xml:space="preserve"> </w:t>
            </w:r>
          </w:p>
          <w:p w:rsidR="004D6F0E" w:rsidRDefault="00490F21">
            <w:pPr>
              <w:spacing w:after="0" w:line="259" w:lineRule="auto"/>
              <w:ind w:left="528"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794"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波蘭茲羅提計價股份類別</w:t>
            </w:r>
            <w:r>
              <w:rPr>
                <w:rFonts w:ascii="Arial" w:eastAsia="Arial" w:hAnsi="Arial" w:cs="Arial"/>
                <w:sz w:val="18"/>
              </w:rPr>
              <w:t xml:space="preserve"> </w:t>
            </w:r>
          </w:p>
        </w:tc>
        <w:tc>
          <w:tcPr>
            <w:tcW w:w="1514" w:type="dxa"/>
            <w:tcBorders>
              <w:top w:val="nil"/>
              <w:left w:val="nil"/>
              <w:bottom w:val="nil"/>
              <w:right w:val="nil"/>
            </w:tcBorders>
            <w:shd w:val="clear" w:color="auto" w:fill="D9D9D9"/>
          </w:tcPr>
          <w:p w:rsidR="004D6F0E" w:rsidRDefault="004D6F0E">
            <w:pPr>
              <w:spacing w:after="160" w:line="259" w:lineRule="auto"/>
              <w:ind w:left="0" w:firstLine="0"/>
            </w:pPr>
          </w:p>
        </w:tc>
        <w:tc>
          <w:tcPr>
            <w:tcW w:w="2371" w:type="dxa"/>
            <w:tcBorders>
              <w:top w:val="nil"/>
              <w:left w:val="nil"/>
              <w:bottom w:val="nil"/>
              <w:right w:val="nil"/>
            </w:tcBorders>
            <w:shd w:val="clear" w:color="auto" w:fill="D9D9D9"/>
          </w:tcPr>
          <w:p w:rsidR="004D6F0E" w:rsidRDefault="004D6F0E">
            <w:pPr>
              <w:spacing w:after="160" w:line="259" w:lineRule="auto"/>
              <w:ind w:left="0" w:firstLine="0"/>
            </w:pPr>
          </w:p>
        </w:tc>
        <w:tc>
          <w:tcPr>
            <w:tcW w:w="1440" w:type="dxa"/>
            <w:tcBorders>
              <w:top w:val="nil"/>
              <w:left w:val="nil"/>
              <w:bottom w:val="nil"/>
              <w:right w:val="nil"/>
            </w:tcBorders>
            <w:shd w:val="clear" w:color="auto" w:fill="D9D9D9"/>
          </w:tcPr>
          <w:p w:rsidR="004D6F0E" w:rsidRDefault="004D6F0E">
            <w:pPr>
              <w:spacing w:after="160" w:line="259" w:lineRule="auto"/>
              <w:ind w:left="0" w:firstLine="0"/>
            </w:pPr>
          </w:p>
        </w:tc>
        <w:tc>
          <w:tcPr>
            <w:tcW w:w="1973"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2975"/>
          <w:tab w:val="center" w:pos="5033"/>
          <w:tab w:val="center" w:pos="7087"/>
          <w:tab w:val="center" w:pos="8646"/>
          <w:tab w:val="center" w:pos="10348"/>
        </w:tabs>
        <w:ind w:left="0" w:firstLine="0"/>
      </w:pPr>
      <w:r>
        <w:rPr>
          <w:rFonts w:ascii="Arial" w:eastAsia="Arial" w:hAnsi="Arial" w:cs="Arial"/>
          <w:sz w:val="18"/>
        </w:rPr>
        <w:lastRenderedPageBreak/>
        <w:t xml:space="preserve">A2 </w:t>
      </w:r>
      <w:r>
        <w:rPr>
          <w:sz w:val="18"/>
        </w:rPr>
        <w:t>類股份</w:t>
      </w:r>
      <w:r>
        <w:rPr>
          <w:rFonts w:ascii="Arial" w:eastAsia="Arial" w:hAnsi="Arial" w:cs="Arial"/>
          <w:sz w:val="18"/>
        </w:rPr>
        <w:t xml:space="preserve"> </w:t>
      </w:r>
      <w:r>
        <w:rPr>
          <w:rFonts w:ascii="Arial" w:eastAsia="Arial" w:hAnsi="Arial" w:cs="Arial"/>
          <w:sz w:val="18"/>
        </w:rPr>
        <w:tab/>
      </w:r>
      <w:r>
        <w:rPr>
          <w:sz w:val="18"/>
        </w:rPr>
        <w:t>波蘭茲羅提</w:t>
      </w:r>
      <w:r>
        <w:rPr>
          <w:rFonts w:ascii="Arial" w:eastAsia="Arial" w:hAnsi="Arial" w:cs="Arial"/>
          <w:sz w:val="18"/>
        </w:rPr>
        <w:t xml:space="preserve"> </w:t>
      </w:r>
      <w:r>
        <w:rPr>
          <w:rFonts w:ascii="Arial" w:eastAsia="Arial" w:hAnsi="Arial" w:cs="Arial"/>
          <w:sz w:val="18"/>
        </w:rPr>
        <w:tab/>
        <w:t xml:space="preserve">7,500 </w:t>
      </w:r>
      <w:r>
        <w:rPr>
          <w:sz w:val="18"/>
        </w:rPr>
        <w:t>波蘭茲羅提</w:t>
      </w:r>
      <w:r>
        <w:rPr>
          <w:rFonts w:ascii="Arial" w:eastAsia="Arial" w:hAnsi="Arial" w:cs="Arial"/>
          <w:sz w:val="18"/>
        </w:rPr>
        <w:t xml:space="preserve"> </w:t>
      </w:r>
      <w:r>
        <w:rPr>
          <w:rFonts w:ascii="Arial" w:eastAsia="Arial" w:hAnsi="Arial" w:cs="Arial"/>
          <w:sz w:val="18"/>
        </w:rPr>
        <w:tab/>
        <w:t xml:space="preserve">3,000 </w:t>
      </w:r>
      <w:r>
        <w:rPr>
          <w:sz w:val="18"/>
        </w:rPr>
        <w:t>波蘭茲羅提</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613" w:right="13" w:hanging="2498"/>
      </w:pPr>
      <w:r>
        <w:rPr>
          <w:rFonts w:ascii="Arial" w:eastAsia="Arial" w:hAnsi="Arial" w:cs="Arial"/>
          <w:b/>
          <w:sz w:val="18"/>
        </w:rPr>
        <w:t xml:space="preserve"> </w:t>
      </w:r>
      <w:r>
        <w:rPr>
          <w:sz w:val="18"/>
        </w:rPr>
        <w:t>對沖貨幣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18"/>
        </w:rPr>
        <w:t xml:space="preserve"> </w:t>
      </w:r>
    </w:p>
    <w:p w:rsidR="004D6F0E" w:rsidRDefault="00490F21">
      <w:pPr>
        <w:spacing w:after="12" w:line="259" w:lineRule="auto"/>
        <w:ind w:left="2210" w:right="-83" w:firstLine="0"/>
      </w:pPr>
      <w:r>
        <w:rPr>
          <w:rFonts w:ascii="Calibri" w:eastAsia="Calibri" w:hAnsi="Calibri" w:cs="Calibri"/>
          <w:noProof/>
          <w:sz w:val="22"/>
        </w:rPr>
        <mc:AlternateContent>
          <mc:Choice Requires="wpg">
            <w:drawing>
              <wp:inline distT="0" distB="0" distL="0" distR="0">
                <wp:extent cx="5742432" cy="6096"/>
                <wp:effectExtent l="0" t="0" r="0" b="0"/>
                <wp:docPr id="589589" name="Group 589589"/>
                <wp:cNvGraphicFramePr/>
                <a:graphic xmlns:a="http://schemas.openxmlformats.org/drawingml/2006/main">
                  <a:graphicData uri="http://schemas.microsoft.com/office/word/2010/wordprocessingGroup">
                    <wpg:wgp>
                      <wpg:cNvGrpSpPr/>
                      <wpg:grpSpPr>
                        <a:xfrm>
                          <a:off x="0" y="0"/>
                          <a:ext cx="5742432" cy="6096"/>
                          <a:chOff x="0" y="0"/>
                          <a:chExt cx="5742432" cy="6096"/>
                        </a:xfrm>
                      </wpg:grpSpPr>
                      <wps:wsp>
                        <wps:cNvPr id="658459" name="Shape 658459"/>
                        <wps:cNvSpPr/>
                        <wps:spPr>
                          <a:xfrm>
                            <a:off x="0"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60" name="Shape 658460"/>
                        <wps:cNvSpPr/>
                        <wps:spPr>
                          <a:xfrm>
                            <a:off x="1082040" y="0"/>
                            <a:ext cx="1418844" cy="9144"/>
                          </a:xfrm>
                          <a:custGeom>
                            <a:avLst/>
                            <a:gdLst/>
                            <a:ahLst/>
                            <a:cxnLst/>
                            <a:rect l="0" t="0" r="0" b="0"/>
                            <a:pathLst>
                              <a:path w="1418844" h="9144">
                                <a:moveTo>
                                  <a:pt x="0" y="0"/>
                                </a:moveTo>
                                <a:lnTo>
                                  <a:pt x="1418844" y="0"/>
                                </a:lnTo>
                                <a:lnTo>
                                  <a:pt x="14188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61" name="Shape 658461"/>
                        <wps:cNvSpPr/>
                        <wps:spPr>
                          <a:xfrm>
                            <a:off x="2610612"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62" name="Shape 658462"/>
                        <wps:cNvSpPr/>
                        <wps:spPr>
                          <a:xfrm>
                            <a:off x="3691128" y="0"/>
                            <a:ext cx="792493" cy="9144"/>
                          </a:xfrm>
                          <a:custGeom>
                            <a:avLst/>
                            <a:gdLst/>
                            <a:ahLst/>
                            <a:cxnLst/>
                            <a:rect l="0" t="0" r="0" b="0"/>
                            <a:pathLst>
                              <a:path w="792493" h="9144">
                                <a:moveTo>
                                  <a:pt x="0" y="0"/>
                                </a:moveTo>
                                <a:lnTo>
                                  <a:pt x="792493" y="0"/>
                                </a:lnTo>
                                <a:lnTo>
                                  <a:pt x="79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63" name="Shape 658463"/>
                        <wps:cNvSpPr/>
                        <wps:spPr>
                          <a:xfrm>
                            <a:off x="459181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89" style="width:452.16pt;height:0.47998pt;mso-position-horizontal-relative:char;mso-position-vertical-relative:line" coordsize="57424,60">
                <v:shape id="Shape 658464" style="position:absolute;width:9707;height:91;left:0;top:0;" coordsize="970788,9144" path="m0,0l970788,0l970788,9144l0,9144l0,0">
                  <v:stroke weight="0pt" endcap="flat" joinstyle="miter" miterlimit="10" on="false" color="#000000" opacity="0"/>
                  <v:fill on="true" color="#000000"/>
                </v:shape>
                <v:shape id="Shape 658465" style="position:absolute;width:14188;height:91;left:10820;top:0;" coordsize="1418844,9144" path="m0,0l1418844,0l1418844,9144l0,9144l0,0">
                  <v:stroke weight="0pt" endcap="flat" joinstyle="miter" miterlimit="10" on="false" color="#000000" opacity="0"/>
                  <v:fill on="true" color="#000000"/>
                </v:shape>
                <v:shape id="Shape 658466" style="position:absolute;width:9707;height:91;left:26106;top:0;" coordsize="970788,9144" path="m0,0l970788,0l970788,9144l0,9144l0,0">
                  <v:stroke weight="0pt" endcap="flat" joinstyle="miter" miterlimit="10" on="false" color="#000000" opacity="0"/>
                  <v:fill on="true" color="#000000"/>
                </v:shape>
                <v:shape id="Shape 658467" style="position:absolute;width:7924;height:91;left:36911;top:0;" coordsize="792493,9144" path="m0,0l792493,0l792493,9144l0,9144l0,0">
                  <v:stroke weight="0pt" endcap="flat" joinstyle="miter" miterlimit="10" on="false" color="#000000" opacity="0"/>
                  <v:fill on="true" color="#000000"/>
                </v:shape>
                <v:shape id="Shape 658468" style="position:absolute;width:11506;height:91;left:45918;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340" w:type="dxa"/>
        <w:tblInd w:w="0" w:type="dxa"/>
        <w:tblCellMar>
          <w:top w:w="22" w:type="dxa"/>
          <w:left w:w="0" w:type="dxa"/>
          <w:bottom w:w="0" w:type="dxa"/>
          <w:right w:w="315" w:type="dxa"/>
        </w:tblCellMar>
        <w:tblLook w:val="04A0" w:firstRow="1" w:lastRow="0" w:firstColumn="1" w:lastColumn="0" w:noHBand="0" w:noVBand="1"/>
      </w:tblPr>
      <w:tblGrid>
        <w:gridCol w:w="85"/>
        <w:gridCol w:w="1750"/>
        <w:gridCol w:w="630"/>
        <w:gridCol w:w="2288"/>
        <w:gridCol w:w="1659"/>
        <w:gridCol w:w="2100"/>
        <w:gridCol w:w="1847"/>
        <w:gridCol w:w="561"/>
        <w:gridCol w:w="420"/>
      </w:tblGrid>
      <w:tr w:rsidR="004D6F0E">
        <w:trPr>
          <w:trHeight w:val="235"/>
        </w:trPr>
        <w:tc>
          <w:tcPr>
            <w:tcW w:w="2794" w:type="dxa"/>
            <w:gridSpan w:val="3"/>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歐元對沖股份類別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1514" w:type="dxa"/>
            <w:tcBorders>
              <w:top w:val="nil"/>
              <w:left w:val="nil"/>
              <w:bottom w:val="nil"/>
              <w:right w:val="nil"/>
            </w:tcBorders>
            <w:shd w:val="clear" w:color="auto" w:fill="D9D9D9"/>
          </w:tcPr>
          <w:p w:rsidR="004D6F0E" w:rsidRDefault="00490F21">
            <w:pPr>
              <w:spacing w:after="0" w:line="259" w:lineRule="auto"/>
              <w:ind w:left="1150" w:firstLine="0"/>
              <w:jc w:val="center"/>
            </w:pPr>
            <w:r>
              <w:rPr>
                <w:rFonts w:ascii="Arial" w:eastAsia="Arial" w:hAnsi="Arial" w:cs="Arial"/>
                <w:sz w:val="18"/>
              </w:rPr>
              <w:t xml:space="preserve"> </w:t>
            </w:r>
          </w:p>
        </w:tc>
        <w:tc>
          <w:tcPr>
            <w:tcW w:w="2424" w:type="dxa"/>
            <w:tcBorders>
              <w:top w:val="nil"/>
              <w:left w:val="nil"/>
              <w:bottom w:val="nil"/>
              <w:right w:val="nil"/>
            </w:tcBorders>
            <w:shd w:val="clear" w:color="auto" w:fill="D9D9D9"/>
          </w:tcPr>
          <w:p w:rsidR="004D6F0E" w:rsidRDefault="00490F21">
            <w:pPr>
              <w:spacing w:after="0" w:line="259" w:lineRule="auto"/>
              <w:ind w:left="0" w:right="17" w:firstLine="0"/>
              <w:jc w:val="right"/>
            </w:pPr>
            <w:r>
              <w:rPr>
                <w:rFonts w:ascii="Arial" w:eastAsia="Arial" w:hAnsi="Arial" w:cs="Arial"/>
                <w:sz w:val="18"/>
              </w:rPr>
              <w:t xml:space="preserve"> </w:t>
            </w:r>
          </w:p>
        </w:tc>
        <w:tc>
          <w:tcPr>
            <w:tcW w:w="1824" w:type="dxa"/>
            <w:tcBorders>
              <w:top w:val="nil"/>
              <w:left w:val="nil"/>
              <w:bottom w:val="nil"/>
              <w:right w:val="nil"/>
            </w:tcBorders>
            <w:shd w:val="clear" w:color="auto" w:fill="D9D9D9"/>
          </w:tcPr>
          <w:p w:rsidR="004D6F0E" w:rsidRDefault="00490F21">
            <w:pPr>
              <w:spacing w:after="0" w:line="259" w:lineRule="auto"/>
              <w:ind w:left="1181"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658" w:firstLine="0"/>
              <w:jc w:val="center"/>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29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264" w:firstLine="0"/>
            </w:pPr>
            <w:r>
              <w:rPr>
                <w:sz w:val="18"/>
              </w:rPr>
              <w:t>無</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264" w:firstLine="0"/>
            </w:pPr>
            <w:r>
              <w:rPr>
                <w:sz w:val="18"/>
              </w:rPr>
              <w:t>無</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264" w:firstLine="0"/>
            </w:pPr>
            <w:r>
              <w:rPr>
                <w:sz w:val="18"/>
              </w:rPr>
              <w:t>無</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94"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514" w:type="dxa"/>
            <w:tcBorders>
              <w:top w:val="nil"/>
              <w:left w:val="nil"/>
              <w:bottom w:val="nil"/>
              <w:right w:val="nil"/>
            </w:tcBorders>
          </w:tcPr>
          <w:p w:rsidR="004D6F0E" w:rsidRDefault="00490F21">
            <w:pPr>
              <w:spacing w:after="0" w:line="259" w:lineRule="auto"/>
              <w:ind w:left="0" w:firstLine="0"/>
            </w:pPr>
            <w:r>
              <w:rPr>
                <w:sz w:val="18"/>
              </w:rPr>
              <w:t>歐元</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20,000,000 </w:t>
            </w:r>
            <w:r>
              <w:rPr>
                <w:sz w:val="18"/>
              </w:rPr>
              <w:t>歐元</w:t>
            </w: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0" w:line="259" w:lineRule="auto"/>
              <w:ind w:left="264" w:firstLine="0"/>
            </w:pPr>
            <w:r>
              <w:rPr>
                <w:sz w:val="18"/>
              </w:rPr>
              <w:t>無</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6"/>
        </w:trPr>
        <w:tc>
          <w:tcPr>
            <w:tcW w:w="2794" w:type="dxa"/>
            <w:gridSpan w:val="3"/>
            <w:tcBorders>
              <w:top w:val="nil"/>
              <w:left w:val="nil"/>
              <w:bottom w:val="nil"/>
              <w:right w:val="nil"/>
            </w:tcBorders>
          </w:tcPr>
          <w:p w:rsidR="004D6F0E" w:rsidRDefault="00490F21">
            <w:pPr>
              <w:spacing w:after="30" w:line="259" w:lineRule="auto"/>
              <w:ind w:left="115" w:firstLine="0"/>
            </w:pPr>
            <w:r>
              <w:rPr>
                <w:rFonts w:ascii="Arial" w:eastAsia="Arial" w:hAnsi="Arial" w:cs="Arial"/>
                <w:sz w:val="18"/>
              </w:rPr>
              <w:t xml:space="preserve">S1QD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14" w:type="dxa"/>
            <w:tcBorders>
              <w:top w:val="nil"/>
              <w:left w:val="nil"/>
              <w:bottom w:val="nil"/>
              <w:right w:val="nil"/>
            </w:tcBorders>
          </w:tcPr>
          <w:p w:rsidR="004D6F0E" w:rsidRDefault="00490F21">
            <w:pPr>
              <w:spacing w:after="10" w:line="259" w:lineRule="auto"/>
              <w:ind w:left="0" w:firstLine="0"/>
            </w:pPr>
            <w:r>
              <w:rPr>
                <w:sz w:val="18"/>
              </w:rPr>
              <w:t>歐元</w:t>
            </w:r>
            <w:r>
              <w:rPr>
                <w:rFonts w:ascii="Arial" w:eastAsia="Arial" w:hAnsi="Arial" w:cs="Arial"/>
                <w:sz w:val="18"/>
              </w:rPr>
              <w:t xml:space="preserve"> </w:t>
            </w:r>
          </w:p>
          <w:p w:rsidR="004D6F0E" w:rsidRDefault="00490F21">
            <w:pPr>
              <w:spacing w:after="0" w:line="259" w:lineRule="auto"/>
              <w:ind w:left="1150" w:firstLine="0"/>
              <w:jc w:val="center"/>
            </w:pP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25,000,000 </w:t>
            </w:r>
            <w:r>
              <w:rPr>
                <w:sz w:val="18"/>
              </w:rPr>
              <w:t>歐元</w:t>
            </w:r>
            <w:r>
              <w:rPr>
                <w:rFonts w:ascii="Arial" w:eastAsia="Arial" w:hAnsi="Arial" w:cs="Arial"/>
                <w:sz w:val="18"/>
              </w:rPr>
              <w:t xml:space="preserve">** </w:t>
            </w:r>
          </w:p>
          <w:p w:rsidR="004D6F0E" w:rsidRDefault="00490F21">
            <w:pPr>
              <w:spacing w:after="0" w:line="259" w:lineRule="auto"/>
              <w:ind w:left="0" w:right="17" w:firstLine="0"/>
              <w:jc w:val="right"/>
            </w:pPr>
            <w:r>
              <w:rPr>
                <w:rFonts w:ascii="Arial" w:eastAsia="Arial" w:hAnsi="Arial" w:cs="Arial"/>
                <w:sz w:val="18"/>
              </w:rPr>
              <w:t xml:space="preserve"> </w:t>
            </w:r>
          </w:p>
        </w:tc>
        <w:tc>
          <w:tcPr>
            <w:tcW w:w="1824" w:type="dxa"/>
            <w:tcBorders>
              <w:top w:val="nil"/>
              <w:left w:val="nil"/>
              <w:bottom w:val="nil"/>
              <w:right w:val="nil"/>
            </w:tcBorders>
          </w:tcPr>
          <w:p w:rsidR="004D6F0E" w:rsidRDefault="00490F21">
            <w:pPr>
              <w:spacing w:after="9" w:line="259" w:lineRule="auto"/>
              <w:ind w:left="264" w:firstLine="0"/>
            </w:pPr>
            <w:r>
              <w:rPr>
                <w:sz w:val="18"/>
              </w:rPr>
              <w:t>無</w:t>
            </w:r>
            <w:r>
              <w:rPr>
                <w:rFonts w:ascii="Arial" w:eastAsia="Arial" w:hAnsi="Arial" w:cs="Arial"/>
                <w:sz w:val="18"/>
              </w:rPr>
              <w:t xml:space="preserve"> </w:t>
            </w:r>
          </w:p>
          <w:p w:rsidR="004D6F0E" w:rsidRDefault="00490F21">
            <w:pPr>
              <w:spacing w:after="0" w:line="259" w:lineRule="auto"/>
              <w:ind w:left="1181"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658" w:firstLine="0"/>
              <w:jc w:val="center"/>
            </w:pPr>
            <w:r>
              <w:rPr>
                <w:rFonts w:ascii="Arial" w:eastAsia="Arial" w:hAnsi="Arial" w:cs="Arial"/>
                <w:sz w:val="18"/>
              </w:rPr>
              <w:t xml:space="preserve"> </w:t>
            </w:r>
          </w:p>
        </w:tc>
        <w:tc>
          <w:tcPr>
            <w:tcW w:w="1248"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94" w:type="dxa"/>
            <w:gridSpan w:val="3"/>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英鎊對沖股份類別</w:t>
            </w:r>
            <w:r>
              <w:rPr>
                <w:rFonts w:ascii="Arial" w:eastAsia="Arial" w:hAnsi="Arial" w:cs="Arial"/>
                <w:sz w:val="18"/>
              </w:rPr>
              <w:t xml:space="preserve"> </w:t>
            </w:r>
            <w:r>
              <w:rPr>
                <w:rFonts w:ascii="Arial" w:eastAsia="Arial" w:hAnsi="Arial" w:cs="Arial"/>
                <w:sz w:val="18"/>
              </w:rPr>
              <w:tab/>
              <w:t xml:space="preserve"> </w:t>
            </w:r>
          </w:p>
        </w:tc>
        <w:tc>
          <w:tcPr>
            <w:tcW w:w="1514" w:type="dxa"/>
            <w:tcBorders>
              <w:top w:val="nil"/>
              <w:left w:val="nil"/>
              <w:bottom w:val="nil"/>
              <w:right w:val="nil"/>
            </w:tcBorders>
            <w:shd w:val="clear" w:color="auto" w:fill="D9D9D9"/>
          </w:tcPr>
          <w:p w:rsidR="004D6F0E" w:rsidRDefault="00490F21">
            <w:pPr>
              <w:spacing w:after="0" w:line="259" w:lineRule="auto"/>
              <w:ind w:left="1150" w:firstLine="0"/>
              <w:jc w:val="center"/>
            </w:pPr>
            <w:r>
              <w:rPr>
                <w:rFonts w:ascii="Arial" w:eastAsia="Arial" w:hAnsi="Arial" w:cs="Arial"/>
                <w:sz w:val="18"/>
              </w:rPr>
              <w:t xml:space="preserve"> </w:t>
            </w:r>
          </w:p>
        </w:tc>
        <w:tc>
          <w:tcPr>
            <w:tcW w:w="2424" w:type="dxa"/>
            <w:tcBorders>
              <w:top w:val="nil"/>
              <w:left w:val="nil"/>
              <w:bottom w:val="nil"/>
              <w:right w:val="nil"/>
            </w:tcBorders>
            <w:shd w:val="clear" w:color="auto" w:fill="D9D9D9"/>
          </w:tcPr>
          <w:p w:rsidR="004D6F0E" w:rsidRDefault="00490F21">
            <w:pPr>
              <w:spacing w:after="0" w:line="259" w:lineRule="auto"/>
              <w:ind w:left="0" w:right="17" w:firstLine="0"/>
              <w:jc w:val="right"/>
            </w:pPr>
            <w:r>
              <w:rPr>
                <w:rFonts w:ascii="Arial" w:eastAsia="Arial" w:hAnsi="Arial" w:cs="Arial"/>
                <w:sz w:val="18"/>
              </w:rPr>
              <w:t xml:space="preserve"> </w:t>
            </w:r>
          </w:p>
        </w:tc>
        <w:tc>
          <w:tcPr>
            <w:tcW w:w="1824" w:type="dxa"/>
            <w:tcBorders>
              <w:top w:val="nil"/>
              <w:left w:val="nil"/>
              <w:bottom w:val="nil"/>
              <w:right w:val="nil"/>
            </w:tcBorders>
            <w:shd w:val="clear" w:color="auto" w:fill="D9D9D9"/>
          </w:tcPr>
          <w:p w:rsidR="004D6F0E" w:rsidRDefault="00490F21">
            <w:pPr>
              <w:spacing w:after="0" w:line="259" w:lineRule="auto"/>
              <w:ind w:left="1181"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658" w:firstLine="0"/>
              <w:jc w:val="center"/>
            </w:pPr>
            <w:r>
              <w:rPr>
                <w:rFonts w:ascii="Arial" w:eastAsia="Arial" w:hAnsi="Arial" w:cs="Arial"/>
                <w:sz w:val="18"/>
              </w:rPr>
              <w:t xml:space="preserve"> </w:t>
            </w:r>
          </w:p>
        </w:tc>
        <w:tc>
          <w:tcPr>
            <w:tcW w:w="1248"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2" w:type="dxa"/>
            <w:right w:w="0" w:type="dxa"/>
          </w:tblCellMar>
        </w:tblPrEx>
        <w:trPr>
          <w:gridBefore w:val="1"/>
          <w:gridAfter w:val="1"/>
          <w:wBefore w:w="115" w:type="dxa"/>
          <w:wAfter w:w="688" w:type="dxa"/>
          <w:trHeight w:val="1183"/>
        </w:trPr>
        <w:tc>
          <w:tcPr>
            <w:tcW w:w="1982" w:type="dxa"/>
            <w:tcBorders>
              <w:top w:val="nil"/>
              <w:left w:val="nil"/>
              <w:bottom w:val="nil"/>
              <w:right w:val="nil"/>
            </w:tcBorders>
          </w:tcPr>
          <w:p w:rsidR="004D6F0E" w:rsidRDefault="00490F21">
            <w:pPr>
              <w:spacing w:after="1" w:line="284" w:lineRule="auto"/>
              <w:ind w:left="0" w:right="31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b/>
                <w:sz w:val="18"/>
              </w:rPr>
              <w:t xml:space="preserve"> </w:t>
            </w: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22" w:line="259" w:lineRule="auto"/>
              <w:ind w:left="0" w:firstLine="0"/>
            </w:pPr>
            <w:r>
              <w:rPr>
                <w:rFonts w:ascii="Arial" w:eastAsia="Arial" w:hAnsi="Arial" w:cs="Arial"/>
                <w:sz w:val="18"/>
              </w:rPr>
              <w:t xml:space="preserve">S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2210" w:type="dxa"/>
            <w:gridSpan w:val="2"/>
            <w:tcBorders>
              <w:top w:val="nil"/>
              <w:left w:val="nil"/>
              <w:bottom w:val="nil"/>
              <w:right w:val="nil"/>
            </w:tcBorders>
          </w:tcPr>
          <w:p w:rsidR="004D6F0E" w:rsidRDefault="00490F21">
            <w:pPr>
              <w:spacing w:after="0" w:line="259" w:lineRule="auto"/>
              <w:ind w:left="696" w:right="744" w:firstLine="0"/>
            </w:pPr>
            <w:r>
              <w:rPr>
                <w:sz w:val="18"/>
              </w:rPr>
              <w:t>英鎊英鎊英鎊英鎊</w:t>
            </w:r>
            <w:r>
              <w:rPr>
                <w:rFonts w:ascii="Arial" w:eastAsia="Arial" w:hAnsi="Arial" w:cs="Arial"/>
                <w:sz w:val="18"/>
              </w:rPr>
              <w:t xml:space="preserve"> </w:t>
            </w:r>
          </w:p>
        </w:tc>
        <w:tc>
          <w:tcPr>
            <w:tcW w:w="2424" w:type="dxa"/>
            <w:tcBorders>
              <w:top w:val="nil"/>
              <w:left w:val="nil"/>
              <w:bottom w:val="nil"/>
              <w:right w:val="nil"/>
            </w:tcBorders>
          </w:tcPr>
          <w:p w:rsidR="004D6F0E" w:rsidRDefault="00490F21">
            <w:pPr>
              <w:spacing w:after="24" w:line="259" w:lineRule="auto"/>
              <w:ind w:left="295" w:firstLine="0"/>
            </w:pPr>
            <w:r>
              <w:rPr>
                <w:rFonts w:ascii="Arial" w:eastAsia="Arial" w:hAnsi="Arial" w:cs="Arial"/>
                <w:sz w:val="18"/>
              </w:rPr>
              <w:t xml:space="preserve">2,000 </w:t>
            </w:r>
            <w:r>
              <w:rPr>
                <w:sz w:val="18"/>
              </w:rPr>
              <w:t>英鎊</w:t>
            </w:r>
            <w:r>
              <w:rPr>
                <w:rFonts w:ascii="Arial" w:eastAsia="Arial" w:hAnsi="Arial" w:cs="Arial"/>
                <w:sz w:val="18"/>
              </w:rPr>
              <w:t xml:space="preserve"> </w:t>
            </w:r>
          </w:p>
          <w:p w:rsidR="004D6F0E" w:rsidRDefault="00490F21">
            <w:pPr>
              <w:spacing w:after="29" w:line="259" w:lineRule="auto"/>
              <w:ind w:left="295" w:firstLine="0"/>
            </w:pPr>
            <w:r>
              <w:rPr>
                <w:rFonts w:ascii="Arial" w:eastAsia="Arial" w:hAnsi="Arial" w:cs="Arial"/>
                <w:sz w:val="18"/>
              </w:rPr>
              <w:t xml:space="preserve">2,000 </w:t>
            </w:r>
            <w:r>
              <w:rPr>
                <w:sz w:val="18"/>
              </w:rPr>
              <w:t>英鎊</w:t>
            </w:r>
            <w:r>
              <w:rPr>
                <w:rFonts w:ascii="Arial" w:eastAsia="Arial" w:hAnsi="Arial" w:cs="Arial"/>
                <w:sz w:val="18"/>
              </w:rPr>
              <w:t xml:space="preserve"> </w:t>
            </w:r>
          </w:p>
          <w:p w:rsidR="004D6F0E" w:rsidRDefault="00490F21">
            <w:pPr>
              <w:spacing w:after="26" w:line="259" w:lineRule="auto"/>
              <w:ind w:left="0" w:firstLine="0"/>
            </w:pPr>
            <w:r>
              <w:rPr>
                <w:rFonts w:ascii="Arial" w:eastAsia="Arial" w:hAnsi="Arial" w:cs="Arial"/>
                <w:sz w:val="18"/>
              </w:rPr>
              <w:t xml:space="preserve">15,000,000 </w:t>
            </w:r>
            <w:r>
              <w:rPr>
                <w:sz w:val="18"/>
              </w:rPr>
              <w:t>英鎊</w:t>
            </w:r>
            <w:r>
              <w:rPr>
                <w:rFonts w:ascii="Arial" w:eastAsia="Arial" w:hAnsi="Arial" w:cs="Arial"/>
                <w:sz w:val="18"/>
              </w:rPr>
              <w:t xml:space="preserve">** </w:t>
            </w:r>
          </w:p>
          <w:p w:rsidR="004D6F0E" w:rsidRDefault="00490F21">
            <w:pPr>
              <w:spacing w:after="76" w:line="259" w:lineRule="auto"/>
              <w:ind w:left="0" w:firstLine="0"/>
            </w:pPr>
            <w:r>
              <w:rPr>
                <w:rFonts w:ascii="Arial" w:eastAsia="Arial" w:hAnsi="Arial" w:cs="Arial"/>
                <w:sz w:val="18"/>
              </w:rPr>
              <w:t xml:space="preserve">15,000,000 </w:t>
            </w:r>
            <w:r>
              <w:rPr>
                <w:sz w:val="18"/>
              </w:rPr>
              <w:t>英鎊</w:t>
            </w:r>
            <w:r>
              <w:rPr>
                <w:rFonts w:ascii="Arial" w:eastAsia="Arial" w:hAnsi="Arial" w:cs="Arial"/>
                <w:sz w:val="18"/>
              </w:rPr>
              <w:t xml:space="preserve">** </w:t>
            </w:r>
          </w:p>
          <w:p w:rsidR="004D6F0E" w:rsidRDefault="00490F21">
            <w:pPr>
              <w:spacing w:after="0" w:line="259" w:lineRule="auto"/>
              <w:ind w:left="44" w:firstLine="0"/>
              <w:jc w:val="center"/>
            </w:pPr>
            <w:r>
              <w:rPr>
                <w:rFonts w:ascii="Times New Roman" w:eastAsia="Times New Roman" w:hAnsi="Times New Roman" w:cs="Times New Roman"/>
                <w:sz w:val="20"/>
              </w:rPr>
              <w:t xml:space="preserve">I-80 </w:t>
            </w:r>
          </w:p>
        </w:tc>
        <w:tc>
          <w:tcPr>
            <w:tcW w:w="1824" w:type="dxa"/>
            <w:tcBorders>
              <w:top w:val="nil"/>
              <w:left w:val="nil"/>
              <w:bottom w:val="nil"/>
              <w:right w:val="nil"/>
            </w:tcBorders>
          </w:tcPr>
          <w:p w:rsidR="004D6F0E" w:rsidRDefault="00490F21">
            <w:pPr>
              <w:spacing w:after="24" w:line="259" w:lineRule="auto"/>
              <w:ind w:left="0" w:firstLine="0"/>
            </w:pPr>
            <w:r>
              <w:rPr>
                <w:rFonts w:ascii="Arial" w:eastAsia="Arial" w:hAnsi="Arial" w:cs="Arial"/>
                <w:sz w:val="18"/>
              </w:rPr>
              <w:t xml:space="preserve">750 </w:t>
            </w:r>
            <w:r>
              <w:rPr>
                <w:sz w:val="18"/>
              </w:rPr>
              <w:t>英鎊</w:t>
            </w:r>
            <w:r>
              <w:rPr>
                <w:rFonts w:ascii="Arial" w:eastAsia="Arial" w:hAnsi="Arial" w:cs="Arial"/>
                <w:sz w:val="18"/>
              </w:rPr>
              <w:t xml:space="preserve"> </w:t>
            </w:r>
          </w:p>
          <w:p w:rsidR="004D6F0E" w:rsidRDefault="00490F21">
            <w:pPr>
              <w:spacing w:after="0" w:line="259" w:lineRule="auto"/>
              <w:ind w:left="264" w:right="1116" w:hanging="264"/>
            </w:pPr>
            <w:r>
              <w:rPr>
                <w:rFonts w:ascii="Arial" w:eastAsia="Arial" w:hAnsi="Arial" w:cs="Arial"/>
                <w:sz w:val="18"/>
              </w:rPr>
              <w:t xml:space="preserve">750 </w:t>
            </w:r>
            <w:r>
              <w:rPr>
                <w:sz w:val="18"/>
              </w:rPr>
              <w:t>英鎊無無</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right="1126" w:firstLine="0"/>
            </w:pPr>
            <w:r>
              <w:rPr>
                <w:sz w:val="18"/>
              </w:rPr>
              <w:t>無無無無</w:t>
            </w:r>
            <w:r>
              <w:rPr>
                <w:rFonts w:ascii="Arial" w:eastAsia="Arial" w:hAnsi="Arial" w:cs="Arial"/>
                <w:sz w:val="18"/>
              </w:rPr>
              <w:t xml:space="preserve"> </w:t>
            </w:r>
          </w:p>
        </w:tc>
        <w:tc>
          <w:tcPr>
            <w:tcW w:w="561" w:type="dxa"/>
            <w:tcBorders>
              <w:top w:val="nil"/>
              <w:left w:val="nil"/>
              <w:bottom w:val="nil"/>
              <w:right w:val="nil"/>
            </w:tcBorders>
          </w:tcPr>
          <w:p w:rsidR="004D6F0E" w:rsidRDefault="00490F21">
            <w:pPr>
              <w:spacing w:after="1"/>
              <w:ind w:left="0" w:firstLine="0"/>
            </w:pPr>
            <w:r>
              <w:rPr>
                <w:rFonts w:ascii="Arial" w:eastAsia="Arial" w:hAnsi="Arial" w:cs="Arial"/>
                <w:sz w:val="18"/>
              </w:rPr>
              <w:t xml:space="preserve">0.05% 0.05% 0.01% </w:t>
            </w:r>
          </w:p>
          <w:p w:rsidR="004D6F0E" w:rsidRDefault="00490F21">
            <w:pPr>
              <w:spacing w:after="0" w:line="259" w:lineRule="auto"/>
              <w:ind w:left="0" w:firstLine="0"/>
              <w:jc w:val="both"/>
            </w:pPr>
            <w:r>
              <w:rPr>
                <w:rFonts w:ascii="Arial" w:eastAsia="Arial" w:hAnsi="Arial" w:cs="Arial"/>
                <w:sz w:val="18"/>
              </w:rPr>
              <w:t xml:space="preserve">0.01% </w:t>
            </w:r>
          </w:p>
        </w:tc>
      </w:tr>
    </w:tbl>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42" w:lineRule="auto"/>
        <w:ind w:left="0" w:right="11077" w:firstLine="0"/>
      </w:pPr>
      <w:r>
        <w:rPr>
          <w:rFonts w:ascii="Arial" w:eastAsia="Arial" w:hAnsi="Arial" w:cs="Arial"/>
          <w:sz w:val="12"/>
        </w:rPr>
        <w:t xml:space="preserve">   </w:t>
      </w:r>
    </w:p>
    <w:p w:rsidR="004D6F0E" w:rsidRDefault="00490F21">
      <w:pPr>
        <w:spacing w:after="0" w:line="259" w:lineRule="auto"/>
        <w:ind w:left="0" w:right="27" w:firstLine="0"/>
        <w:jc w:val="right"/>
      </w:pPr>
      <w:r>
        <w:rPr>
          <w:rFonts w:ascii="Arial" w:eastAsia="Arial" w:hAnsi="Arial" w:cs="Arial"/>
          <w:sz w:val="20"/>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tbl>
      <w:tblPr>
        <w:tblStyle w:val="TableGrid"/>
        <w:tblW w:w="11340" w:type="dxa"/>
        <w:tblInd w:w="0" w:type="dxa"/>
        <w:tblCellMar>
          <w:top w:w="20" w:type="dxa"/>
          <w:left w:w="0" w:type="dxa"/>
          <w:bottom w:w="0" w:type="dxa"/>
          <w:right w:w="27" w:type="dxa"/>
        </w:tblCellMar>
        <w:tblLook w:val="04A0" w:firstRow="1" w:lastRow="0" w:firstColumn="1" w:lastColumn="0" w:noHBand="0" w:noVBand="1"/>
      </w:tblPr>
      <w:tblGrid>
        <w:gridCol w:w="2613"/>
        <w:gridCol w:w="1565"/>
        <w:gridCol w:w="2249"/>
        <w:gridCol w:w="2129"/>
        <w:gridCol w:w="1536"/>
        <w:gridCol w:w="1248"/>
      </w:tblGrid>
      <w:tr w:rsidR="004D6F0E">
        <w:trPr>
          <w:trHeight w:val="233"/>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澳元對沖股份類別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b/>
                <w:sz w:val="18"/>
              </w:rPr>
              <w:t xml:space="preserve"> </w:t>
            </w:r>
          </w:p>
        </w:tc>
        <w:tc>
          <w:tcPr>
            <w:tcW w:w="1565"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AI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EI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669"/>
        </w:trPr>
        <w:tc>
          <w:tcPr>
            <w:tcW w:w="2614" w:type="dxa"/>
            <w:tcBorders>
              <w:top w:val="nil"/>
              <w:left w:val="nil"/>
              <w:bottom w:val="nil"/>
              <w:right w:val="nil"/>
            </w:tcBorders>
          </w:tcPr>
          <w:p w:rsidR="004D6F0E" w:rsidRDefault="00490F21">
            <w:pPr>
              <w:spacing w:after="23" w:line="259" w:lineRule="auto"/>
              <w:ind w:left="115" w:firstLine="0"/>
            </w:pPr>
            <w:r>
              <w:rPr>
                <w:rFonts w:ascii="Arial" w:eastAsia="Arial" w:hAnsi="Arial" w:cs="Arial"/>
                <w:sz w:val="18"/>
              </w:rPr>
              <w:lastRenderedPageBreak/>
              <w:t xml:space="preserve">I2 </w:t>
            </w:r>
            <w:r>
              <w:rPr>
                <w:sz w:val="18"/>
              </w:rPr>
              <w:t>類</w:t>
            </w:r>
            <w:r>
              <w:rPr>
                <w:sz w:val="18"/>
              </w:rPr>
              <w:t xml:space="preserve"> </w:t>
            </w:r>
            <w:r>
              <w:rPr>
                <w:rFonts w:ascii="Arial" w:eastAsia="Arial" w:hAnsi="Arial" w:cs="Arial"/>
                <w:sz w:val="18"/>
              </w:rPr>
              <w:t xml:space="preserve">H </w:t>
            </w:r>
            <w:r>
              <w:rPr>
                <w:sz w:val="18"/>
              </w:rPr>
              <w:t>澳元和</w:t>
            </w:r>
            <w:r>
              <w:rPr>
                <w:rFonts w:ascii="Arial" w:eastAsia="Arial" w:hAnsi="Arial" w:cs="Arial"/>
                <w:sz w:val="18"/>
              </w:rPr>
              <w:t xml:space="preserve"> </w:t>
            </w:r>
          </w:p>
          <w:p w:rsidR="004D6F0E" w:rsidRDefault="00490F21">
            <w:pPr>
              <w:spacing w:after="28"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vAlign w:val="bottom"/>
          </w:tcPr>
          <w:p w:rsidR="004D6F0E" w:rsidRDefault="00490F21">
            <w:pPr>
              <w:spacing w:after="125" w:line="259" w:lineRule="auto"/>
              <w:ind w:left="180" w:firstLine="0"/>
            </w:pPr>
            <w:r>
              <w:rPr>
                <w:sz w:val="18"/>
              </w:rPr>
              <w:t>澳元</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vAlign w:val="bottom"/>
          </w:tcPr>
          <w:p w:rsidR="004D6F0E" w:rsidRDefault="00490F21">
            <w:pPr>
              <w:spacing w:after="129" w:line="259" w:lineRule="auto"/>
              <w:ind w:left="180" w:firstLine="0"/>
            </w:pPr>
            <w:r>
              <w:rPr>
                <w:rFonts w:ascii="Arial" w:eastAsia="Arial" w:hAnsi="Arial" w:cs="Arial"/>
                <w:sz w:val="18"/>
              </w:rPr>
              <w:t xml:space="preserve">1,000,000 </w:t>
            </w:r>
            <w:r>
              <w:rPr>
                <w:sz w:val="18"/>
              </w:rPr>
              <w:t>澳元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vAlign w:val="bottom"/>
          </w:tcPr>
          <w:p w:rsidR="004D6F0E" w:rsidRDefault="00490F21">
            <w:pPr>
              <w:spacing w:after="125" w:line="259" w:lineRule="auto"/>
              <w:ind w:left="569" w:firstLine="0"/>
            </w:pPr>
            <w:r>
              <w:rPr>
                <w:sz w:val="18"/>
              </w:rPr>
              <w:t>無</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vAlign w:val="bottom"/>
          </w:tcPr>
          <w:p w:rsidR="004D6F0E" w:rsidRDefault="00490F21">
            <w:pPr>
              <w:spacing w:after="125"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新加坡元對沖股份類別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614"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7"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1,500,000 </w:t>
            </w:r>
            <w:r>
              <w:rPr>
                <w:sz w:val="18"/>
              </w:rPr>
              <w:t>新加坡元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7" w:line="259" w:lineRule="auto"/>
              <w:ind w:left="569" w:firstLine="0"/>
            </w:pPr>
            <w:r>
              <w:rPr>
                <w:sz w:val="18"/>
              </w:rPr>
              <w:t>無</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人民幣對沖股份類別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91" w:firstLine="0"/>
            </w:pPr>
            <w:r>
              <w:rPr>
                <w:sz w:val="18"/>
              </w:rPr>
              <w:t>人民幣</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173"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29"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5"/>
        </w:trPr>
        <w:tc>
          <w:tcPr>
            <w:tcW w:w="261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10" w:line="259" w:lineRule="auto"/>
              <w:ind w:left="91" w:firstLine="0"/>
            </w:pPr>
            <w:r>
              <w:rPr>
                <w:sz w:val="18"/>
              </w:rPr>
              <w:t>人民幣</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4" w:line="259" w:lineRule="auto"/>
              <w:ind w:left="173"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15" w:line="259" w:lineRule="auto"/>
              <w:ind w:left="29"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瑞士法郎對沖股份類別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0"/>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瑞士法郎</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2,000 </w:t>
            </w:r>
            <w:r>
              <w:rPr>
                <w:sz w:val="18"/>
              </w:rPr>
              <w:t>瑞士法郎</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125" w:firstLine="0"/>
            </w:pPr>
            <w:r>
              <w:rPr>
                <w:rFonts w:ascii="Arial" w:eastAsia="Arial" w:hAnsi="Arial" w:cs="Arial"/>
                <w:sz w:val="18"/>
              </w:rPr>
              <w:t xml:space="preserve">750 </w:t>
            </w:r>
            <w:r>
              <w:rPr>
                <w:sz w:val="18"/>
              </w:rPr>
              <w:t>瑞士法郎</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5"/>
        </w:trPr>
        <w:tc>
          <w:tcPr>
            <w:tcW w:w="261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10" w:line="259" w:lineRule="auto"/>
              <w:ind w:left="0" w:firstLine="0"/>
            </w:pPr>
            <w:r>
              <w:rPr>
                <w:sz w:val="18"/>
              </w:rPr>
              <w:t>瑞士法郎</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4" w:line="259" w:lineRule="auto"/>
              <w:ind w:left="0" w:firstLine="0"/>
            </w:pPr>
            <w:r>
              <w:rPr>
                <w:rFonts w:ascii="Arial" w:eastAsia="Arial" w:hAnsi="Arial" w:cs="Arial"/>
                <w:sz w:val="18"/>
              </w:rPr>
              <w:t xml:space="preserve">1,000,000 </w:t>
            </w:r>
            <w:r>
              <w:rPr>
                <w:sz w:val="18"/>
              </w:rPr>
              <w:t>瑞士法郎</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9" w:line="259" w:lineRule="auto"/>
              <w:ind w:left="569" w:firstLine="0"/>
            </w:pPr>
            <w:r>
              <w:rPr>
                <w:sz w:val="18"/>
              </w:rPr>
              <w:t>無</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紐西蘭元對沖股份類別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紐西蘭元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4" w:type="dxa"/>
            <w:tcBorders>
              <w:top w:val="nil"/>
              <w:left w:val="nil"/>
              <w:bottom w:val="nil"/>
              <w:right w:val="nil"/>
            </w:tcBorders>
          </w:tcPr>
          <w:p w:rsidR="004D6F0E" w:rsidRDefault="00490F21">
            <w:pPr>
              <w:spacing w:after="0" w:line="259" w:lineRule="auto"/>
              <w:ind w:left="115" w:right="298" w:firstLine="0"/>
              <w:jc w:val="right"/>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10" w:line="259" w:lineRule="auto"/>
              <w:ind w:left="0" w:firstLine="0"/>
            </w:pPr>
            <w:r>
              <w:rPr>
                <w:sz w:val="18"/>
              </w:rPr>
              <w:t>紐西蘭元</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5" w:line="259" w:lineRule="auto"/>
              <w:ind w:left="245"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15" w:line="259" w:lineRule="auto"/>
              <w:ind w:left="50"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加元對沖股份類別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b/>
                <w:sz w:val="18"/>
              </w:rPr>
              <w:t xml:space="preserve"> </w:t>
            </w:r>
          </w:p>
        </w:tc>
        <w:tc>
          <w:tcPr>
            <w:tcW w:w="1565"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305"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4"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10" w:line="259" w:lineRule="auto"/>
              <w:ind w:left="180" w:firstLine="0"/>
            </w:pPr>
            <w:r>
              <w:rPr>
                <w:sz w:val="18"/>
              </w:rPr>
              <w:t>加元</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4" w:line="259" w:lineRule="auto"/>
              <w:ind w:left="425" w:firstLine="0"/>
            </w:pPr>
            <w:r>
              <w:rPr>
                <w:rFonts w:ascii="Arial" w:eastAsia="Arial" w:hAnsi="Arial" w:cs="Arial"/>
                <w:sz w:val="18"/>
              </w:rPr>
              <w:t xml:space="preserve">2,000 </w:t>
            </w:r>
            <w:r>
              <w:rPr>
                <w:sz w:val="18"/>
              </w:rPr>
              <w:t>加元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14" w:line="259" w:lineRule="auto"/>
              <w:ind w:left="305" w:firstLine="0"/>
            </w:pPr>
            <w:r>
              <w:rPr>
                <w:rFonts w:ascii="Arial" w:eastAsia="Arial" w:hAnsi="Arial" w:cs="Arial"/>
                <w:sz w:val="18"/>
              </w:rPr>
              <w:t xml:space="preserve">750 </w:t>
            </w:r>
            <w:r>
              <w:rPr>
                <w:sz w:val="18"/>
              </w:rPr>
              <w:t>加元</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tabs>
                <w:tab w:val="center" w:pos="2239"/>
              </w:tabs>
              <w:spacing w:after="0" w:line="259" w:lineRule="auto"/>
              <w:ind w:left="0" w:firstLine="0"/>
            </w:pPr>
            <w:r>
              <w:rPr>
                <w:sz w:val="18"/>
              </w:rPr>
              <w:t>南非蘭特對沖股份類別</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shd w:val="clear" w:color="auto" w:fill="D9D9D9"/>
          </w:tcPr>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shd w:val="clear" w:color="auto" w:fill="D9D9D9"/>
          </w:tcPr>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614"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1565" w:type="dxa"/>
            <w:tcBorders>
              <w:top w:val="nil"/>
              <w:left w:val="nil"/>
              <w:bottom w:val="nil"/>
              <w:right w:val="nil"/>
            </w:tcBorders>
          </w:tcPr>
          <w:p w:rsidR="004D6F0E" w:rsidRDefault="00490F21">
            <w:pPr>
              <w:spacing w:after="0" w:line="259" w:lineRule="auto"/>
              <w:ind w:left="0" w:firstLine="0"/>
            </w:pPr>
            <w:r>
              <w:rPr>
                <w:sz w:val="18"/>
              </w:rPr>
              <w:t>南非蘭特</w:t>
            </w: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0" w:line="259" w:lineRule="auto"/>
              <w:ind w:left="194"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0" w:line="259" w:lineRule="auto"/>
              <w:ind w:left="50"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614" w:type="dxa"/>
            <w:tcBorders>
              <w:top w:val="nil"/>
              <w:left w:val="nil"/>
              <w:bottom w:val="nil"/>
              <w:right w:val="nil"/>
            </w:tcBorders>
          </w:tcPr>
          <w:p w:rsidR="004D6F0E" w:rsidRDefault="00490F21">
            <w:pPr>
              <w:spacing w:after="0" w:line="259" w:lineRule="auto"/>
              <w:ind w:left="115" w:right="298" w:firstLine="0"/>
              <w:jc w:val="right"/>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10" w:line="259" w:lineRule="auto"/>
              <w:ind w:left="0" w:firstLine="0"/>
            </w:pPr>
            <w:r>
              <w:rPr>
                <w:sz w:val="18"/>
              </w:rPr>
              <w:t>南非蘭特</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4" w:line="259" w:lineRule="auto"/>
              <w:ind w:left="194"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15" w:line="259" w:lineRule="auto"/>
              <w:ind w:left="50"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spacing w:after="0" w:line="259" w:lineRule="auto"/>
              <w:ind w:left="115" w:firstLine="0"/>
            </w:pPr>
            <w:r>
              <w:rPr>
                <w:sz w:val="18"/>
              </w:rPr>
              <w:t>捷克克朗對沖股份類別</w:t>
            </w:r>
            <w:r>
              <w:rPr>
                <w:rFonts w:ascii="Arial" w:eastAsia="Arial" w:hAnsi="Arial" w:cs="Arial"/>
                <w:sz w:val="18"/>
              </w:rPr>
              <w:t xml:space="preserve"> </w:t>
            </w:r>
          </w:p>
        </w:tc>
        <w:tc>
          <w:tcPr>
            <w:tcW w:w="1565" w:type="dxa"/>
            <w:tcBorders>
              <w:top w:val="nil"/>
              <w:left w:val="nil"/>
              <w:bottom w:val="nil"/>
              <w:right w:val="nil"/>
            </w:tcBorders>
            <w:shd w:val="clear" w:color="auto" w:fill="D9D9D9"/>
          </w:tcPr>
          <w:p w:rsidR="004D6F0E" w:rsidRDefault="004D6F0E">
            <w:pPr>
              <w:spacing w:after="160" w:line="259" w:lineRule="auto"/>
              <w:ind w:left="0" w:firstLine="0"/>
            </w:pPr>
          </w:p>
        </w:tc>
        <w:tc>
          <w:tcPr>
            <w:tcW w:w="2249" w:type="dxa"/>
            <w:tcBorders>
              <w:top w:val="nil"/>
              <w:left w:val="nil"/>
              <w:bottom w:val="nil"/>
              <w:right w:val="nil"/>
            </w:tcBorders>
            <w:shd w:val="clear" w:color="auto" w:fill="D9D9D9"/>
          </w:tcPr>
          <w:p w:rsidR="004D6F0E" w:rsidRDefault="004D6F0E">
            <w:pPr>
              <w:spacing w:after="160" w:line="259" w:lineRule="auto"/>
              <w:ind w:left="0" w:firstLine="0"/>
            </w:pPr>
          </w:p>
        </w:tc>
        <w:tc>
          <w:tcPr>
            <w:tcW w:w="2129" w:type="dxa"/>
            <w:tcBorders>
              <w:top w:val="nil"/>
              <w:left w:val="nil"/>
              <w:bottom w:val="nil"/>
              <w:right w:val="nil"/>
            </w:tcBorders>
            <w:shd w:val="clear" w:color="auto" w:fill="D9D9D9"/>
          </w:tcPr>
          <w:p w:rsidR="004D6F0E" w:rsidRDefault="004D6F0E">
            <w:pPr>
              <w:spacing w:after="160" w:line="259" w:lineRule="auto"/>
              <w:ind w:left="0" w:firstLine="0"/>
            </w:pPr>
          </w:p>
        </w:tc>
        <w:tc>
          <w:tcPr>
            <w:tcW w:w="1536"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614"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捷克克朗股份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65" w:type="dxa"/>
            <w:tcBorders>
              <w:top w:val="nil"/>
              <w:left w:val="nil"/>
              <w:bottom w:val="nil"/>
              <w:right w:val="nil"/>
            </w:tcBorders>
          </w:tcPr>
          <w:p w:rsidR="004D6F0E" w:rsidRDefault="00490F21">
            <w:pPr>
              <w:spacing w:after="7" w:line="259" w:lineRule="auto"/>
              <w:ind w:left="0" w:firstLine="0"/>
            </w:pPr>
            <w:r>
              <w:rPr>
                <w:sz w:val="18"/>
              </w:rPr>
              <w:t>捷克克朗</w:t>
            </w:r>
            <w:r>
              <w:rPr>
                <w:rFonts w:ascii="Arial" w:eastAsia="Arial" w:hAnsi="Arial" w:cs="Arial"/>
                <w:sz w:val="18"/>
              </w:rPr>
              <w:t xml:space="preserve"> </w:t>
            </w:r>
          </w:p>
          <w:p w:rsidR="004D6F0E" w:rsidRDefault="00490F21">
            <w:pPr>
              <w:spacing w:after="0" w:line="259" w:lineRule="auto"/>
              <w:ind w:left="0" w:right="158" w:firstLine="0"/>
              <w:jc w:val="right"/>
            </w:pPr>
            <w:r>
              <w:rPr>
                <w:rFonts w:ascii="Arial" w:eastAsia="Arial" w:hAnsi="Arial" w:cs="Arial"/>
                <w:sz w:val="18"/>
              </w:rPr>
              <w:t xml:space="preserve"> </w:t>
            </w:r>
          </w:p>
        </w:tc>
        <w:tc>
          <w:tcPr>
            <w:tcW w:w="2249" w:type="dxa"/>
            <w:tcBorders>
              <w:top w:val="nil"/>
              <w:left w:val="nil"/>
              <w:bottom w:val="nil"/>
              <w:right w:val="nil"/>
            </w:tcBorders>
          </w:tcPr>
          <w:p w:rsidR="004D6F0E" w:rsidRDefault="00490F21">
            <w:pPr>
              <w:spacing w:after="12" w:line="259" w:lineRule="auto"/>
              <w:ind w:left="194" w:firstLine="0"/>
            </w:pPr>
            <w:r>
              <w:rPr>
                <w:rFonts w:ascii="Arial" w:eastAsia="Arial" w:hAnsi="Arial" w:cs="Arial"/>
                <w:sz w:val="18"/>
              </w:rPr>
              <w:t xml:space="preserve">50,000 </w:t>
            </w:r>
            <w:r>
              <w:rPr>
                <w:sz w:val="18"/>
              </w:rPr>
              <w:t>捷克克朗</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2129" w:type="dxa"/>
            <w:tcBorders>
              <w:top w:val="nil"/>
              <w:left w:val="nil"/>
              <w:bottom w:val="nil"/>
              <w:right w:val="nil"/>
            </w:tcBorders>
          </w:tcPr>
          <w:p w:rsidR="004D6F0E" w:rsidRDefault="00490F21">
            <w:pPr>
              <w:spacing w:after="12" w:line="259" w:lineRule="auto"/>
              <w:ind w:left="0" w:firstLine="0"/>
            </w:pPr>
            <w:r>
              <w:rPr>
                <w:rFonts w:ascii="Arial" w:eastAsia="Arial" w:hAnsi="Arial" w:cs="Arial"/>
                <w:sz w:val="18"/>
              </w:rPr>
              <w:t xml:space="preserve">20,000 </w:t>
            </w:r>
            <w:r>
              <w:rPr>
                <w:sz w:val="18"/>
              </w:rPr>
              <w:t>捷克克朗</w:t>
            </w:r>
            <w:r>
              <w:rPr>
                <w:rFonts w:ascii="Arial" w:eastAsia="Arial" w:hAnsi="Arial" w:cs="Arial"/>
                <w:sz w:val="18"/>
              </w:rPr>
              <w:t xml:space="preserve"> </w:t>
            </w:r>
          </w:p>
          <w:p w:rsidR="004D6F0E" w:rsidRDefault="00490F21">
            <w:pPr>
              <w:spacing w:after="0" w:line="259" w:lineRule="auto"/>
              <w:ind w:left="1198" w:firstLine="0"/>
              <w:jc w:val="center"/>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37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614" w:type="dxa"/>
            <w:tcBorders>
              <w:top w:val="nil"/>
              <w:left w:val="nil"/>
              <w:bottom w:val="nil"/>
              <w:right w:val="nil"/>
            </w:tcBorders>
            <w:shd w:val="clear" w:color="auto" w:fill="D9D9D9"/>
          </w:tcPr>
          <w:p w:rsidR="004D6F0E" w:rsidRDefault="00490F21">
            <w:pPr>
              <w:spacing w:after="0" w:line="259" w:lineRule="auto"/>
              <w:ind w:left="115" w:firstLine="0"/>
            </w:pPr>
            <w:r>
              <w:rPr>
                <w:sz w:val="18"/>
              </w:rPr>
              <w:t>波蘭茲羅提對沖股份類別</w:t>
            </w:r>
            <w:r>
              <w:rPr>
                <w:rFonts w:ascii="Arial" w:eastAsia="Arial" w:hAnsi="Arial" w:cs="Arial"/>
                <w:sz w:val="18"/>
              </w:rPr>
              <w:t xml:space="preserve"> </w:t>
            </w:r>
          </w:p>
        </w:tc>
        <w:tc>
          <w:tcPr>
            <w:tcW w:w="1565" w:type="dxa"/>
            <w:tcBorders>
              <w:top w:val="nil"/>
              <w:left w:val="nil"/>
              <w:bottom w:val="nil"/>
              <w:right w:val="nil"/>
            </w:tcBorders>
            <w:shd w:val="clear" w:color="auto" w:fill="D9D9D9"/>
          </w:tcPr>
          <w:p w:rsidR="004D6F0E" w:rsidRDefault="004D6F0E">
            <w:pPr>
              <w:spacing w:after="160" w:line="259" w:lineRule="auto"/>
              <w:ind w:left="0" w:firstLine="0"/>
            </w:pPr>
          </w:p>
        </w:tc>
        <w:tc>
          <w:tcPr>
            <w:tcW w:w="2249" w:type="dxa"/>
            <w:tcBorders>
              <w:top w:val="nil"/>
              <w:left w:val="nil"/>
              <w:bottom w:val="nil"/>
              <w:right w:val="nil"/>
            </w:tcBorders>
            <w:shd w:val="clear" w:color="auto" w:fill="D9D9D9"/>
          </w:tcPr>
          <w:p w:rsidR="004D6F0E" w:rsidRDefault="004D6F0E">
            <w:pPr>
              <w:spacing w:after="160" w:line="259" w:lineRule="auto"/>
              <w:ind w:left="0" w:firstLine="0"/>
            </w:pPr>
          </w:p>
        </w:tc>
        <w:tc>
          <w:tcPr>
            <w:tcW w:w="2129" w:type="dxa"/>
            <w:tcBorders>
              <w:top w:val="nil"/>
              <w:left w:val="nil"/>
              <w:bottom w:val="nil"/>
              <w:right w:val="nil"/>
            </w:tcBorders>
            <w:shd w:val="clear" w:color="auto" w:fill="D9D9D9"/>
          </w:tcPr>
          <w:p w:rsidR="004D6F0E" w:rsidRDefault="004D6F0E">
            <w:pPr>
              <w:spacing w:after="160" w:line="259" w:lineRule="auto"/>
              <w:ind w:left="0" w:firstLine="0"/>
            </w:pPr>
          </w:p>
        </w:tc>
        <w:tc>
          <w:tcPr>
            <w:tcW w:w="1536"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5033"/>
          <w:tab w:val="center" w:pos="7087"/>
          <w:tab w:val="center" w:pos="8646"/>
          <w:tab w:val="center" w:pos="10348"/>
        </w:tabs>
        <w:ind w:left="0" w:firstLine="0"/>
      </w:pPr>
      <w:r>
        <w:rPr>
          <w:rFonts w:ascii="Arial" w:eastAsia="Arial" w:hAnsi="Arial" w:cs="Arial"/>
          <w:sz w:val="18"/>
        </w:rPr>
        <w:lastRenderedPageBreak/>
        <w:t xml:space="preserve">A2 </w:t>
      </w:r>
      <w:r>
        <w:rPr>
          <w:sz w:val="18"/>
        </w:rPr>
        <w:t>類</w:t>
      </w:r>
      <w:r>
        <w:rPr>
          <w:sz w:val="18"/>
        </w:rPr>
        <w:t xml:space="preserve"> </w:t>
      </w:r>
      <w:r>
        <w:rPr>
          <w:rFonts w:ascii="Arial" w:eastAsia="Arial" w:hAnsi="Arial" w:cs="Arial"/>
          <w:sz w:val="18"/>
        </w:rPr>
        <w:t xml:space="preserve">H </w:t>
      </w:r>
      <w:r>
        <w:rPr>
          <w:sz w:val="18"/>
        </w:rPr>
        <w:t>波蘭茲羅提股份</w:t>
      </w:r>
      <w:r>
        <w:rPr>
          <w:rFonts w:ascii="Arial" w:eastAsia="Arial" w:hAnsi="Arial" w:cs="Arial"/>
          <w:sz w:val="18"/>
        </w:rPr>
        <w:t xml:space="preserve"> </w:t>
      </w:r>
      <w:r>
        <w:rPr>
          <w:sz w:val="18"/>
        </w:rPr>
        <w:t>波蘭茲羅提</w:t>
      </w:r>
      <w:r>
        <w:rPr>
          <w:rFonts w:ascii="Arial" w:eastAsia="Arial" w:hAnsi="Arial" w:cs="Arial"/>
          <w:sz w:val="18"/>
        </w:rPr>
        <w:t xml:space="preserve"> </w:t>
      </w:r>
      <w:r>
        <w:rPr>
          <w:rFonts w:ascii="Arial" w:eastAsia="Arial" w:hAnsi="Arial" w:cs="Arial"/>
          <w:sz w:val="18"/>
        </w:rPr>
        <w:tab/>
      </w:r>
      <w:r>
        <w:rPr>
          <w:rFonts w:ascii="Arial" w:eastAsia="Arial" w:hAnsi="Arial" w:cs="Arial"/>
          <w:sz w:val="18"/>
        </w:rPr>
        <w:t xml:space="preserve">7,500 </w:t>
      </w:r>
      <w:r>
        <w:rPr>
          <w:sz w:val="18"/>
        </w:rPr>
        <w:t>波蘭茲羅提</w:t>
      </w:r>
      <w:r>
        <w:rPr>
          <w:rFonts w:ascii="Arial" w:eastAsia="Arial" w:hAnsi="Arial" w:cs="Arial"/>
          <w:sz w:val="18"/>
        </w:rPr>
        <w:t xml:space="preserve"> </w:t>
      </w:r>
      <w:r>
        <w:rPr>
          <w:rFonts w:ascii="Arial" w:eastAsia="Arial" w:hAnsi="Arial" w:cs="Arial"/>
          <w:sz w:val="18"/>
        </w:rPr>
        <w:tab/>
        <w:t xml:space="preserve">3,000 </w:t>
      </w:r>
      <w:r>
        <w:rPr>
          <w:sz w:val="18"/>
        </w:rPr>
        <w:t>波蘭茲羅提</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0" w:line="259" w:lineRule="auto"/>
        <w:ind w:left="0" w:firstLine="0"/>
      </w:pPr>
      <w:r>
        <w:rPr>
          <w:rFonts w:ascii="Arial" w:eastAsia="Arial" w:hAnsi="Arial" w:cs="Arial"/>
          <w:sz w:val="18"/>
        </w:rPr>
        <w:t xml:space="preserve"> </w:t>
      </w:r>
    </w:p>
    <w:p w:rsidR="004D6F0E" w:rsidRDefault="00490F21">
      <w:pPr>
        <w:tabs>
          <w:tab w:val="center" w:pos="5125"/>
        </w:tabs>
        <w:ind w:left="-13" w:firstLine="0"/>
      </w:pPr>
      <w:r>
        <w:rPr>
          <w:rFonts w:ascii="Arial" w:eastAsia="Arial" w:hAnsi="Arial" w:cs="Arial"/>
          <w:sz w:val="18"/>
        </w:rPr>
        <w:t>*</w:t>
      </w:r>
      <w:r>
        <w:rPr>
          <w:rFonts w:ascii="Arial" w:eastAsia="Arial" w:hAnsi="Arial" w:cs="Arial"/>
          <w:sz w:val="16"/>
        </w:rPr>
        <w:t xml:space="preserve"> </w:t>
      </w:r>
      <w:r>
        <w:rPr>
          <w:sz w:val="16"/>
        </w:rPr>
        <w:t>不適用於自動投資計劃（如有）。</w:t>
      </w:r>
      <w:r>
        <w:rPr>
          <w:rFonts w:ascii="Arial" w:eastAsia="Arial" w:hAnsi="Arial" w:cs="Arial"/>
          <w:sz w:val="16"/>
        </w:rPr>
        <w:t xml:space="preserve"> </w:t>
      </w:r>
      <w:r>
        <w:rPr>
          <w:rFonts w:ascii="Arial" w:eastAsia="Arial" w:hAnsi="Arial" w:cs="Arial"/>
          <w:sz w:val="16"/>
        </w:rPr>
        <w:tab/>
        <w:t xml:space="preserve">** </w:t>
      </w:r>
      <w:r>
        <w:rPr>
          <w:sz w:val="16"/>
        </w:rPr>
        <w:t>可由管理公司全權酌情豁免。</w:t>
      </w:r>
      <w:r>
        <w:rPr>
          <w:rFonts w:ascii="Arial" w:eastAsia="Arial" w:hAnsi="Arial" w:cs="Arial"/>
          <w:sz w:val="16"/>
        </w:rPr>
        <w:t xml:space="preserve"> </w:t>
      </w:r>
    </w:p>
    <w:p w:rsidR="004D6F0E" w:rsidRDefault="00490F21">
      <w:pPr>
        <w:spacing w:line="259" w:lineRule="auto"/>
        <w:ind w:left="54" w:right="806" w:hanging="10"/>
        <w:jc w:val="center"/>
      </w:pPr>
      <w:r>
        <w:rPr>
          <w:rFonts w:ascii="Arial" w:eastAsia="Arial" w:hAnsi="Arial" w:cs="Arial"/>
          <w:sz w:val="16"/>
        </w:rPr>
        <w:t xml:space="preserve">*** </w:t>
      </w:r>
      <w:r>
        <w:rPr>
          <w:sz w:val="16"/>
        </w:rPr>
        <w:t>各基金按季繳付的盧森堡年稅。</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spacing w:after="3141" w:line="259" w:lineRule="auto"/>
        <w:ind w:left="0" w:firstLine="0"/>
      </w:pPr>
      <w:r>
        <w:rPr>
          <w:rFonts w:ascii="Arial" w:eastAsia="Arial" w:hAnsi="Arial" w:cs="Arial"/>
          <w:sz w:val="16"/>
        </w:rPr>
        <w:t xml:space="preserve"> </w:t>
      </w:r>
      <w:r>
        <w:rPr>
          <w:rFonts w:ascii="Arial" w:eastAsia="Arial" w:hAnsi="Arial" w:cs="Arial"/>
          <w:sz w:val="16"/>
        </w:rPr>
        <w:tab/>
        <w:t xml:space="preserve"> </w:t>
      </w:r>
    </w:p>
    <w:p w:rsidR="004D6F0E" w:rsidRDefault="00490F21">
      <w:pPr>
        <w:spacing w:after="3" w:line="259" w:lineRule="auto"/>
        <w:ind w:right="86" w:hanging="10"/>
        <w:jc w:val="center"/>
      </w:pPr>
      <w:r>
        <w:rPr>
          <w:rFonts w:ascii="Times New Roman" w:eastAsia="Times New Roman" w:hAnsi="Times New Roman" w:cs="Times New Roman"/>
          <w:sz w:val="20"/>
        </w:rPr>
        <w:t xml:space="preserve">I-81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right="75" w:hanging="10"/>
        <w:jc w:val="right"/>
      </w:pPr>
      <w:r>
        <w:rPr>
          <w:sz w:val="18"/>
        </w:rPr>
        <w:t>聯博</w:t>
      </w:r>
      <w:r>
        <w:rPr>
          <w:rFonts w:ascii="Arial" w:eastAsia="Arial" w:hAnsi="Arial" w:cs="Arial"/>
          <w:sz w:val="18"/>
        </w:rPr>
        <w:t>—</w:t>
      </w:r>
      <w:r>
        <w:rPr>
          <w:sz w:val="18"/>
        </w:rPr>
        <w:t>新興市場債券基金</w:t>
      </w:r>
      <w:r>
        <w:rPr>
          <w:rFonts w:ascii="Arial" w:eastAsia="Arial" w:hAnsi="Arial" w:cs="Arial"/>
          <w:sz w:val="18"/>
        </w:rPr>
        <w:t xml:space="preserve"> </w:t>
      </w:r>
    </w:p>
    <w:tbl>
      <w:tblPr>
        <w:tblStyle w:val="TableGrid"/>
        <w:tblW w:w="11131" w:type="dxa"/>
        <w:tblInd w:w="0" w:type="dxa"/>
        <w:tblCellMar>
          <w:top w:w="0" w:type="dxa"/>
          <w:left w:w="0" w:type="dxa"/>
          <w:bottom w:w="3" w:type="dxa"/>
          <w:right w:w="0" w:type="dxa"/>
        </w:tblCellMar>
        <w:tblLook w:val="04A0" w:firstRow="1" w:lastRow="0" w:firstColumn="1" w:lastColumn="0" w:noHBand="0" w:noVBand="1"/>
      </w:tblPr>
      <w:tblGrid>
        <w:gridCol w:w="5585"/>
        <w:gridCol w:w="5585"/>
      </w:tblGrid>
      <w:tr w:rsidR="004D6F0E">
        <w:trPr>
          <w:trHeight w:val="616"/>
        </w:trPr>
        <w:tc>
          <w:tcPr>
            <w:tcW w:w="5755" w:type="dxa"/>
            <w:tcBorders>
              <w:top w:val="nil"/>
              <w:left w:val="nil"/>
              <w:bottom w:val="nil"/>
              <w:right w:val="nil"/>
            </w:tcBorders>
          </w:tcPr>
          <w:p w:rsidR="004D6F0E" w:rsidRDefault="00490F21">
            <w:pPr>
              <w:spacing w:after="39" w:line="259" w:lineRule="auto"/>
              <w:ind w:left="0" w:firstLine="0"/>
            </w:pPr>
            <w:r>
              <w:rPr>
                <w:sz w:val="20"/>
              </w:rPr>
              <w:t xml:space="preserve"> </w:t>
            </w:r>
          </w:p>
          <w:p w:rsidR="004D6F0E" w:rsidRDefault="00490F21">
            <w:pPr>
              <w:spacing w:after="0" w:line="259" w:lineRule="auto"/>
              <w:ind w:left="0" w:firstLine="0"/>
            </w:pPr>
            <w:r>
              <w:rPr>
                <w:sz w:val="23"/>
              </w:rPr>
              <w:t>其他基金資料</w:t>
            </w:r>
            <w:r>
              <w:rPr>
                <w:rFonts w:ascii="Arial" w:eastAsia="Arial" w:hAnsi="Arial" w:cs="Arial"/>
                <w:sz w:val="23"/>
              </w:rPr>
              <w:t xml:space="preserve"> </w:t>
            </w:r>
          </w:p>
        </w:tc>
        <w:tc>
          <w:tcPr>
            <w:tcW w:w="5376" w:type="dxa"/>
            <w:tcBorders>
              <w:top w:val="nil"/>
              <w:left w:val="nil"/>
              <w:bottom w:val="nil"/>
              <w:right w:val="nil"/>
            </w:tcBorders>
          </w:tcPr>
          <w:p w:rsidR="004D6F0E" w:rsidRDefault="004D6F0E">
            <w:pPr>
              <w:spacing w:after="160" w:line="259" w:lineRule="auto"/>
              <w:ind w:left="0" w:firstLine="0"/>
            </w:pPr>
          </w:p>
        </w:tc>
      </w:tr>
      <w:tr w:rsidR="004D6F0E">
        <w:trPr>
          <w:trHeight w:val="12678"/>
        </w:trPr>
        <w:tc>
          <w:tcPr>
            <w:tcW w:w="5755" w:type="dxa"/>
            <w:tcBorders>
              <w:top w:val="nil"/>
              <w:left w:val="nil"/>
              <w:bottom w:val="nil"/>
              <w:right w:val="nil"/>
            </w:tcBorders>
            <w:vAlign w:val="bottom"/>
          </w:tcPr>
          <w:p w:rsidR="004D6F0E" w:rsidRDefault="00490F21">
            <w:pPr>
              <w:spacing w:after="72" w:line="259" w:lineRule="auto"/>
              <w:ind w:left="0" w:firstLine="0"/>
            </w:pPr>
            <w:r>
              <w:lastRenderedPageBreak/>
              <w:t>主要投資類別</w:t>
            </w:r>
            <w:r>
              <w:rPr>
                <w:rFonts w:ascii="Arial" w:eastAsia="Arial" w:hAnsi="Arial" w:cs="Arial"/>
                <w:b/>
              </w:rPr>
              <w:t xml:space="preserve"> </w:t>
            </w:r>
          </w:p>
          <w:p w:rsidR="004D6F0E" w:rsidRDefault="00490F21">
            <w:pPr>
              <w:spacing w:after="124" w:line="276" w:lineRule="auto"/>
              <w:ind w:left="0" w:right="237" w:firstLine="0"/>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73" w:line="259" w:lineRule="auto"/>
              <w:ind w:left="0" w:firstLine="0"/>
            </w:pPr>
            <w:r>
              <w:t>風險資料</w:t>
            </w:r>
            <w:r>
              <w:rPr>
                <w:rFonts w:ascii="Arial" w:eastAsia="Arial" w:hAnsi="Arial" w:cs="Arial"/>
                <w:b/>
              </w:rPr>
              <w:t xml:space="preserve"> </w:t>
            </w:r>
          </w:p>
          <w:p w:rsidR="004D6F0E" w:rsidRDefault="00490F21">
            <w:pPr>
              <w:spacing w:after="20" w:line="259" w:lineRule="auto"/>
              <w:ind w:left="0" w:firstLine="0"/>
            </w:pPr>
            <w:r>
              <w:t>按計劃，本基金將使用金融衍生工具。第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p>
          <w:p w:rsidR="004D6F0E" w:rsidRDefault="00490F21">
            <w:pPr>
              <w:spacing w:after="18" w:line="259" w:lineRule="auto"/>
              <w:ind w:left="0" w:firstLine="0"/>
            </w:pPr>
            <w:r>
              <w:rPr>
                <w:rFonts w:ascii="Arial" w:eastAsia="Arial" w:hAnsi="Arial" w:cs="Arial"/>
              </w:rPr>
              <w:t>(9)</w:t>
            </w:r>
            <w:r>
              <w:t>至</w:t>
            </w:r>
            <w:r>
              <w:rPr>
                <w:rFonts w:ascii="Arial" w:eastAsia="Arial" w:hAnsi="Arial" w:cs="Arial"/>
              </w:rPr>
              <w:t>(13)</w:t>
            </w:r>
            <w:r>
              <w:t>項投資限制不適用於本基金。本基金另將使用風險值</w:t>
            </w:r>
          </w:p>
          <w:p w:rsidR="004D6F0E" w:rsidRDefault="00490F21">
            <w:pPr>
              <w:spacing w:after="83" w:line="289" w:lineRule="auto"/>
              <w:ind w:left="0" w:firstLine="0"/>
            </w:pPr>
            <w:r>
              <w:rPr>
                <w:rFonts w:ascii="Arial" w:eastAsia="Arial" w:hAnsi="Arial" w:cs="Arial"/>
              </w:rPr>
              <w:t>(VaR)</w:t>
            </w:r>
            <w:r>
              <w:t>方法。有關</w:t>
            </w:r>
            <w:r>
              <w:t xml:space="preserve"> </w:t>
            </w:r>
            <w:r>
              <w:rPr>
                <w:rFonts w:ascii="Arial" w:eastAsia="Arial" w:hAnsi="Arial" w:cs="Arial"/>
              </w:rPr>
              <w:t xml:space="preserve">VaR </w:t>
            </w:r>
            <w:r>
              <w:t>方法的進一步詳情，請參閱「附錄</w:t>
            </w:r>
            <w:r>
              <w:t xml:space="preserve"> </w:t>
            </w:r>
            <w:r>
              <w:rPr>
                <w:rFonts w:ascii="Arial" w:eastAsia="Arial" w:hAnsi="Arial" w:cs="Arial"/>
              </w:rPr>
              <w:t>C</w:t>
            </w:r>
            <w:r>
              <w:t>：有關金融衍生工具、金融技術及工具以及抵押品管理的額外資料」</w:t>
            </w:r>
            <w:r>
              <w:rPr>
                <w:sz w:val="20"/>
              </w:rPr>
              <w:t>。</w:t>
            </w:r>
            <w:r>
              <w:t>本基金將投資的固定收益證券須承受發售此等證券的私營及公營機構的信用風險，且其市場價值會受利率變動影響。由於本基金所投資的固定收益證券可能是低於投資級別的證券，本基金涉及的此類風險高於純粹投資於投資級別或具同等質素固定收益證券的基金。低於投資級別的證券所涉及的本息損失風險亦較大，其流動性普遍較差且價值波動較大。本基金不能保證會作出任何分派，而且本基金並無特定償還期。</w:t>
            </w:r>
            <w:r>
              <w:rPr>
                <w:rFonts w:ascii="Arial" w:eastAsia="Arial" w:hAnsi="Arial" w:cs="Arial"/>
              </w:rPr>
              <w:t xml:space="preserve"> </w:t>
            </w:r>
          </w:p>
          <w:p w:rsidR="004D6F0E" w:rsidRDefault="00490F21">
            <w:pPr>
              <w:spacing w:after="103" w:line="270" w:lineRule="auto"/>
              <w:ind w:left="0" w:firstLine="0"/>
            </w:pPr>
            <w:r>
              <w:t>本基金將投資於新興市場發行人的證券，因而可能會較純粹投資於已發展國家股本證券或發行人的基金面對較大的價格波動及顯著較低的流動性。此等證券亦須承</w:t>
            </w:r>
            <w:r>
              <w:t>受較大的政治或經濟不穩定、匯率波動、不同法律及會計體系間的差異、限制投資機會的國家政策及較高投資成本的風險。</w:t>
            </w:r>
            <w:r>
              <w:rPr>
                <w:rFonts w:ascii="Arial" w:eastAsia="Arial" w:hAnsi="Arial" w:cs="Arial"/>
              </w:rPr>
              <w:t xml:space="preserve"> </w:t>
            </w:r>
          </w:p>
          <w:p w:rsidR="004D6F0E" w:rsidRDefault="00490F21">
            <w:pPr>
              <w:spacing w:after="0" w:line="270" w:lineRule="auto"/>
              <w:ind w:left="0" w:firstLine="0"/>
            </w:pPr>
            <w:r>
              <w:t>本基金須承受市場、利率及貨幣波動及證券投資固有的其他風險。因此，不能保證投資目標將獲達致、投資資本將得以保全或資本得以增值。每月、每季或每年的投資業績均可能出現重大變化。</w:t>
            </w:r>
          </w:p>
          <w:p w:rsidR="004D6F0E" w:rsidRDefault="00490F21">
            <w:pPr>
              <w:spacing w:after="111" w:line="259" w:lineRule="auto"/>
              <w:ind w:left="0" w:firstLine="0"/>
            </w:pPr>
            <w:r>
              <w:t>本基金內的投資並非代表完整的投資計劃。</w:t>
            </w:r>
            <w:r>
              <w:rPr>
                <w:rFonts w:ascii="Arial" w:eastAsia="Arial" w:hAnsi="Arial" w:cs="Arial"/>
              </w:rPr>
              <w:t xml:space="preserve"> </w:t>
            </w:r>
          </w:p>
          <w:p w:rsidR="004D6F0E" w:rsidRDefault="00490F21">
            <w:pPr>
              <w:spacing w:after="117" w:line="274" w:lineRule="auto"/>
              <w:ind w:left="0" w:firstLine="0"/>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101" w:line="259" w:lineRule="auto"/>
              <w:ind w:left="0" w:firstLine="0"/>
            </w:pPr>
            <w:r>
              <w:rPr>
                <w:sz w:val="20"/>
              </w:rPr>
              <w:t>典型投資者的資料</w:t>
            </w:r>
            <w:r>
              <w:rPr>
                <w:rFonts w:ascii="Arial" w:eastAsia="Arial" w:hAnsi="Arial" w:cs="Arial"/>
                <w:b/>
                <w:sz w:val="20"/>
              </w:rPr>
              <w:t xml:space="preserve"> </w:t>
            </w:r>
          </w:p>
          <w:p w:rsidR="004D6F0E" w:rsidRDefault="00490F21">
            <w:pPr>
              <w:spacing w:after="104"/>
              <w:ind w:left="0" w:firstLine="0"/>
            </w:pPr>
            <w:r>
              <w:t>本基金適合尋求固定收益投資潛在收入且能承受較高風險的投資者。</w:t>
            </w:r>
            <w:r>
              <w:t>有關本基金是否適合其投資需要，投資者敬請諮詢其獨立財務顧問。</w:t>
            </w:r>
            <w:r>
              <w:rPr>
                <w:rFonts w:ascii="Arial" w:eastAsia="Arial" w:hAnsi="Arial" w:cs="Arial"/>
              </w:rPr>
              <w:t xml:space="preserve"> </w:t>
            </w:r>
          </w:p>
          <w:p w:rsidR="004D6F0E" w:rsidRDefault="00490F21">
            <w:pPr>
              <w:spacing w:after="76" w:line="259" w:lineRule="auto"/>
              <w:ind w:left="0" w:firstLine="0"/>
            </w:pPr>
            <w:r>
              <w:lastRenderedPageBreak/>
              <w:t>派息</w:t>
            </w:r>
            <w:r>
              <w:rPr>
                <w:rFonts w:ascii="Arial" w:eastAsia="Arial" w:hAnsi="Arial" w:cs="Arial"/>
                <w:b/>
              </w:rPr>
              <w:t xml:space="preserve"> </w:t>
            </w:r>
          </w:p>
          <w:p w:rsidR="004D6F0E" w:rsidRDefault="00490F21">
            <w:pPr>
              <w:spacing w:after="104" w:line="275" w:lineRule="auto"/>
              <w:ind w:left="0" w:firstLine="0"/>
            </w:pPr>
            <w:r>
              <w:t>就</w:t>
            </w:r>
            <w:r>
              <w:t xml:space="preserve"> </w:t>
            </w:r>
            <w:r>
              <w:rPr>
                <w:rFonts w:ascii="Arial" w:eastAsia="Arial" w:hAnsi="Arial" w:cs="Arial"/>
              </w:rPr>
              <w:t>A</w:t>
            </w:r>
            <w:r>
              <w:t>、</w:t>
            </w:r>
            <w:r>
              <w:rPr>
                <w:rFonts w:ascii="Arial" w:eastAsia="Arial" w:hAnsi="Arial" w:cs="Arial"/>
              </w:rPr>
              <w:t xml:space="preserve">C </w:t>
            </w:r>
            <w:r>
              <w:t>及</w:t>
            </w:r>
            <w:r>
              <w:t xml:space="preserve"> </w:t>
            </w:r>
            <w:r>
              <w:rPr>
                <w:rFonts w:ascii="Arial" w:eastAsia="Arial" w:hAnsi="Arial" w:cs="Arial"/>
              </w:rPr>
              <w:t xml:space="preserve">I </w:t>
            </w:r>
            <w:r>
              <w:t>類股份（及相應</w:t>
            </w:r>
            <w:r>
              <w:t xml:space="preserve"> </w:t>
            </w:r>
            <w:r>
              <w:rPr>
                <w:rFonts w:ascii="Arial" w:eastAsia="Arial" w:hAnsi="Arial" w:cs="Arial"/>
              </w:rPr>
              <w:t xml:space="preserve">H </w:t>
            </w:r>
            <w:r>
              <w:t>類股份）而言，管理公司擬按日宣派並按月派付股息，股息數額等於各類股份應佔本基金淨收入的全部或絕大部分。</w:t>
            </w:r>
            <w:r>
              <w:rPr>
                <w:rFonts w:ascii="Arial" w:eastAsia="Arial" w:hAnsi="Arial" w:cs="Arial"/>
              </w:rPr>
              <w:t xml:space="preserve"> </w:t>
            </w:r>
          </w:p>
          <w:p w:rsidR="004D6F0E" w:rsidRDefault="00490F21">
            <w:pPr>
              <w:spacing w:after="104" w:line="274" w:lineRule="auto"/>
              <w:ind w:left="0" w:firstLine="0"/>
            </w:pPr>
            <w:r>
              <w:t>就</w:t>
            </w:r>
            <w:r>
              <w:t xml:space="preserve"> </w:t>
            </w:r>
            <w:r>
              <w:rPr>
                <w:rFonts w:ascii="Arial" w:eastAsia="Arial" w:hAnsi="Arial" w:cs="Arial"/>
              </w:rPr>
              <w:t>AT</w:t>
            </w:r>
            <w:r>
              <w:t>、</w:t>
            </w:r>
            <w:r>
              <w:rPr>
                <w:rFonts w:ascii="Arial" w:eastAsia="Arial" w:hAnsi="Arial" w:cs="Arial"/>
              </w:rPr>
              <w:t>BT</w:t>
            </w:r>
            <w:r>
              <w:t>、</w:t>
            </w:r>
            <w:r>
              <w:rPr>
                <w:rFonts w:ascii="Arial" w:eastAsia="Arial" w:hAnsi="Arial" w:cs="Arial"/>
              </w:rPr>
              <w:t>CT</w:t>
            </w:r>
            <w:r>
              <w:t>、</w:t>
            </w:r>
            <w:r>
              <w:rPr>
                <w:rFonts w:ascii="Arial" w:eastAsia="Arial" w:hAnsi="Arial" w:cs="Arial"/>
              </w:rPr>
              <w:t>IT</w:t>
            </w:r>
            <w:r>
              <w:t>、</w:t>
            </w:r>
            <w:r>
              <w:rPr>
                <w:rFonts w:ascii="Arial" w:eastAsia="Arial" w:hAnsi="Arial" w:cs="Arial"/>
              </w:rPr>
              <w:t xml:space="preserve">NT </w:t>
            </w:r>
            <w:r>
              <w:t>及</w:t>
            </w:r>
            <w:r>
              <w:t xml:space="preserve"> </w:t>
            </w:r>
            <w:r>
              <w:rPr>
                <w:rFonts w:ascii="Arial" w:eastAsia="Arial" w:hAnsi="Arial" w:cs="Arial"/>
              </w:rPr>
              <w:t xml:space="preserve">ZT </w:t>
            </w:r>
            <w:r>
              <w:t>類股份（及相應</w:t>
            </w:r>
            <w:r>
              <w:t xml:space="preserve"> </w:t>
            </w:r>
            <w:r>
              <w:rPr>
                <w:rFonts w:ascii="Arial" w:eastAsia="Arial" w:hAnsi="Arial" w:cs="Arial"/>
              </w:rPr>
              <w:t xml:space="preserve">H </w:t>
            </w:r>
            <w:r>
              <w:t>類股份）而言，管理公司擬按月宣派及派付股息，股息數額等於各類股份應佔本基金淨收入的全部或絕大部分。</w:t>
            </w:r>
            <w:r>
              <w:rPr>
                <w:rFonts w:ascii="Arial" w:eastAsia="Arial" w:hAnsi="Arial" w:cs="Arial"/>
              </w:rPr>
              <w:t xml:space="preserve"> </w:t>
            </w:r>
          </w:p>
          <w:p w:rsidR="004D6F0E" w:rsidRDefault="00490F21">
            <w:pPr>
              <w:spacing w:after="0" w:line="259" w:lineRule="auto"/>
              <w:ind w:left="0" w:right="424" w:firstLine="0"/>
              <w:jc w:val="both"/>
            </w:pPr>
            <w:r>
              <w:t>就</w:t>
            </w:r>
            <w:r>
              <w:t xml:space="preserve"> </w:t>
            </w:r>
            <w:r>
              <w:rPr>
                <w:rFonts w:ascii="Arial" w:eastAsia="Arial" w:hAnsi="Arial" w:cs="Arial"/>
              </w:rPr>
              <w:t>AA</w:t>
            </w:r>
            <w:r>
              <w:t>、</w:t>
            </w:r>
            <w:r>
              <w:rPr>
                <w:rFonts w:ascii="Arial" w:eastAsia="Arial" w:hAnsi="Arial" w:cs="Arial"/>
              </w:rPr>
              <w:t xml:space="preserve">EA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類股份）而言，管理公司擬按月宣派及派付股息。管理公司擬保持每股有關股份類別的穩定的派息率。就</w:t>
            </w:r>
            <w:r>
              <w:t xml:space="preserve"> </w:t>
            </w:r>
            <w:r>
              <w:rPr>
                <w:rFonts w:ascii="Arial" w:eastAsia="Arial" w:hAnsi="Arial" w:cs="Arial"/>
              </w:rPr>
              <w:t xml:space="preserve">AR </w:t>
            </w:r>
            <w:r>
              <w:t>類股份而言，管理公司擬按年宣派及派付股息。派息率將來自未扣除費用及開支前的總收入，派息亦可包括已實現及未實現的收益及有關股份類別應佔的資本。由於費用及開支未令派息率降低，故每股有關類別股份的資產淨值將因有關費用及開支</w:t>
            </w:r>
            <w:r>
              <w:rPr>
                <w:sz w:val="18"/>
              </w:rPr>
              <w:t>而降低</w:t>
            </w:r>
            <w:r>
              <w:t>。</w:t>
            </w:r>
            <w:r>
              <w:rPr>
                <w:rFonts w:ascii="Arial" w:eastAsia="Arial" w:hAnsi="Arial" w:cs="Arial"/>
              </w:rPr>
              <w:t xml:space="preserve"> </w:t>
            </w:r>
          </w:p>
        </w:tc>
        <w:tc>
          <w:tcPr>
            <w:tcW w:w="5376" w:type="dxa"/>
            <w:tcBorders>
              <w:top w:val="nil"/>
              <w:left w:val="nil"/>
              <w:bottom w:val="nil"/>
              <w:right w:val="nil"/>
            </w:tcBorders>
          </w:tcPr>
          <w:p w:rsidR="004D6F0E" w:rsidRDefault="00490F21">
            <w:pPr>
              <w:spacing w:after="0" w:line="270" w:lineRule="auto"/>
              <w:ind w:left="1" w:firstLine="0"/>
            </w:pPr>
            <w:r>
              <w:lastRenderedPageBreak/>
              <w:t>本中支付。倘此等股份應佔的淨收入及淨實現利潤超出應付的已宣派數額，則超出的回報將於此等股份各自的資產淨值中反映。</w:t>
            </w:r>
          </w:p>
          <w:p w:rsidR="004D6F0E" w:rsidRDefault="00490F21">
            <w:pPr>
              <w:spacing w:after="112" w:line="259" w:lineRule="auto"/>
              <w:ind w:left="1" w:firstLine="0"/>
            </w:pPr>
            <w:r>
              <w:t>股息可按股東的選擇自動再投資。</w:t>
            </w:r>
            <w:r>
              <w:rPr>
                <w:rFonts w:ascii="Arial" w:eastAsia="Arial" w:hAnsi="Arial" w:cs="Arial"/>
              </w:rPr>
              <w:t xml:space="preserve"> </w:t>
            </w:r>
          </w:p>
          <w:p w:rsidR="004D6F0E" w:rsidRDefault="00490F21">
            <w:pPr>
              <w:spacing w:after="129"/>
              <w:ind w:left="0" w:firstLine="0"/>
            </w:pPr>
            <w:r>
              <w:t>就</w:t>
            </w:r>
            <w:r>
              <w:rPr>
                <w:rFonts w:ascii="Arial" w:eastAsia="Arial" w:hAnsi="Arial" w:cs="Arial"/>
              </w:rPr>
              <w:t>AI</w:t>
            </w:r>
            <w:r>
              <w:t>及</w:t>
            </w:r>
            <w:r>
              <w:rPr>
                <w:rFonts w:ascii="Arial" w:eastAsia="Arial" w:hAnsi="Arial" w:cs="Arial"/>
              </w:rPr>
              <w:t>EI</w:t>
            </w:r>
            <w:r>
              <w:t>類股份（及相應</w:t>
            </w:r>
            <w:r>
              <w:rPr>
                <w:rFonts w:ascii="Arial" w:eastAsia="Arial" w:hAnsi="Arial" w:cs="Arial"/>
              </w:rPr>
              <w:t>H</w:t>
            </w:r>
            <w:r>
              <w:t>類股份）而言，管理公司擬按月宣派及派付股息。管理公司擬保持每股有關股份類別的穩定的派息率，因派息可來自未扣除費用及開支前的總收入、已實現及未實現的收益及可能有重大程度來自有關類別應佔的資本。超過淨收入（扣除費用及開支後的總收入）的派息相當於退還投資者的原本投資本金，因此可能導致有關類別的每股資產淨值減少。如果每股資產淨值分別降至</w:t>
            </w:r>
            <w:r>
              <w:rPr>
                <w:rFonts w:ascii="Arial" w:eastAsia="Arial" w:hAnsi="Arial" w:cs="Arial"/>
              </w:rPr>
              <w:t>1</w:t>
            </w:r>
            <w:r>
              <w:t>美元</w:t>
            </w:r>
            <w:r>
              <w:t>及</w:t>
            </w:r>
            <w:r>
              <w:rPr>
                <w:rFonts w:ascii="Arial" w:eastAsia="Arial" w:hAnsi="Arial" w:cs="Arial"/>
              </w:rPr>
              <w:t>1</w:t>
            </w:r>
            <w:r>
              <w:t>澳元以下，則管理公司將全權酌情考慮</w:t>
            </w:r>
            <w:r>
              <w:t xml:space="preserve"> </w:t>
            </w:r>
            <w:r>
              <w:rPr>
                <w:rFonts w:ascii="Arial" w:eastAsia="Arial" w:hAnsi="Arial" w:cs="Arial"/>
              </w:rPr>
              <w:t>(i)</w:t>
            </w:r>
            <w:r>
              <w:t>重組該股份類別，包括透過與具有類似特點的某股份類別合併或</w:t>
            </w:r>
            <w:r>
              <w:rPr>
                <w:rFonts w:ascii="Arial" w:eastAsia="Arial" w:hAnsi="Arial" w:cs="Arial"/>
              </w:rPr>
              <w:t>(ii)</w:t>
            </w:r>
            <w:r>
              <w:t>清算該股份類別。股息可按股東的選擇自動再投資。</w:t>
            </w:r>
            <w:r>
              <w:rPr>
                <w:rFonts w:ascii="Arial" w:eastAsia="Arial" w:hAnsi="Arial" w:cs="Arial"/>
              </w:rPr>
              <w:t xml:space="preserve">  </w:t>
            </w:r>
          </w:p>
          <w:p w:rsidR="004D6F0E" w:rsidRDefault="00490F21">
            <w:pPr>
              <w:spacing w:after="105" w:line="273" w:lineRule="auto"/>
              <w:ind w:left="0" w:firstLine="0"/>
            </w:pPr>
            <w:r>
              <w:t>就</w:t>
            </w:r>
            <w:r>
              <w:t xml:space="preserve"> </w:t>
            </w:r>
            <w:r>
              <w:rPr>
                <w:rFonts w:ascii="Arial" w:eastAsia="Arial" w:hAnsi="Arial" w:cs="Arial"/>
              </w:rPr>
              <w:t>A2</w:t>
            </w:r>
            <w:r>
              <w:t>、</w:t>
            </w:r>
            <w:r>
              <w:rPr>
                <w:rFonts w:ascii="Arial" w:eastAsia="Arial" w:hAnsi="Arial" w:cs="Arial"/>
              </w:rPr>
              <w:t>C2</w:t>
            </w:r>
            <w:r>
              <w:t>、</w:t>
            </w:r>
            <w:r>
              <w:rPr>
                <w:rFonts w:ascii="Arial" w:eastAsia="Arial" w:hAnsi="Arial" w:cs="Arial"/>
              </w:rPr>
              <w:t>I2</w:t>
            </w:r>
            <w:r>
              <w:t>、</w:t>
            </w:r>
            <w:r>
              <w:rPr>
                <w:rFonts w:ascii="Arial" w:eastAsia="Arial" w:hAnsi="Arial" w:cs="Arial"/>
              </w:rPr>
              <w:t>N2</w:t>
            </w:r>
            <w:r>
              <w:t>、</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S1 2 </w:t>
            </w:r>
            <w:r>
              <w:t>類股份（及相應</w:t>
            </w:r>
            <w:r>
              <w:t xml:space="preserve"> </w:t>
            </w:r>
            <w:r>
              <w:rPr>
                <w:rFonts w:ascii="Arial" w:eastAsia="Arial" w:hAnsi="Arial" w:cs="Arial"/>
              </w:rPr>
              <w:t xml:space="preserve">H </w:t>
            </w:r>
            <w:r>
              <w:t>類股份）而言，管理公司現時無意就此等股份派付股息。因此，股份應佔的任何淨收入及淨實現利潤均將於此等股份各自的資產淨值中反映。</w:t>
            </w:r>
            <w:r>
              <w:rPr>
                <w:rFonts w:ascii="Arial" w:eastAsia="Arial" w:hAnsi="Arial" w:cs="Arial"/>
              </w:rPr>
              <w:t xml:space="preserve"> </w:t>
            </w:r>
          </w:p>
          <w:p w:rsidR="004D6F0E" w:rsidRDefault="00490F21">
            <w:pPr>
              <w:spacing w:after="95" w:line="276" w:lineRule="auto"/>
              <w:ind w:left="0" w:firstLine="0"/>
            </w:pPr>
            <w:r>
              <w:t>就</w:t>
            </w:r>
            <w:r>
              <w:t xml:space="preserve"> </w:t>
            </w:r>
            <w:r>
              <w:rPr>
                <w:rFonts w:ascii="Arial" w:eastAsia="Arial" w:hAnsi="Arial" w:cs="Arial"/>
              </w:rPr>
              <w:t xml:space="preserve">S1QD </w:t>
            </w:r>
            <w:r>
              <w:t>類股份（及相應</w:t>
            </w:r>
            <w:r>
              <w:t xml:space="preserve"> </w:t>
            </w:r>
            <w:r>
              <w:rPr>
                <w:rFonts w:ascii="Arial" w:eastAsia="Arial" w:hAnsi="Arial" w:cs="Arial"/>
              </w:rPr>
              <w:t xml:space="preserve">H </w:t>
            </w:r>
            <w:r>
              <w:t>類股份）而言，管理會擬按季宣派及派付股息，股息數額等於該等股份類別應佔本基金全部或絕大部分的淨收入。</w:t>
            </w:r>
            <w:r>
              <w:rPr>
                <w:rFonts w:ascii="Arial" w:eastAsia="Arial" w:hAnsi="Arial" w:cs="Arial"/>
              </w:rPr>
              <w:t xml:space="preserve">   </w:t>
            </w:r>
          </w:p>
          <w:p w:rsidR="004D6F0E" w:rsidRDefault="00490F21">
            <w:pPr>
              <w:spacing w:after="80" w:line="259" w:lineRule="auto"/>
              <w:ind w:left="1" w:firstLine="0"/>
            </w:pPr>
            <w:r>
              <w:t>管理公司、行政管理人、存管人及過戶代理費用</w:t>
            </w:r>
            <w:r>
              <w:rPr>
                <w:rFonts w:ascii="Arial" w:eastAsia="Arial" w:hAnsi="Arial" w:cs="Arial"/>
                <w:b/>
              </w:rPr>
              <w:t xml:space="preserve"> </w:t>
            </w:r>
          </w:p>
          <w:p w:rsidR="004D6F0E" w:rsidRDefault="00490F21">
            <w:pPr>
              <w:spacing w:after="98" w:line="282" w:lineRule="auto"/>
              <w:ind w:left="0" w:firstLine="0"/>
              <w:jc w:val="both"/>
            </w:pPr>
            <w:r>
              <w:t>就除</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SA</w:t>
            </w:r>
            <w:r>
              <w:t>、</w:t>
            </w:r>
            <w:r>
              <w:rPr>
                <w:rFonts w:ascii="Arial" w:eastAsia="Arial" w:hAnsi="Arial" w:cs="Arial"/>
              </w:rPr>
              <w:t xml:space="preserve">S1 2 </w:t>
            </w:r>
            <w:r>
              <w:t>及</w:t>
            </w:r>
            <w:r>
              <w:t xml:space="preserve"> </w:t>
            </w:r>
            <w:r>
              <w:rPr>
                <w:rFonts w:ascii="Arial" w:eastAsia="Arial" w:hAnsi="Arial" w:cs="Arial"/>
              </w:rPr>
              <w:t xml:space="preserve">S1QD </w:t>
            </w:r>
            <w:r>
              <w:t>類股份（及相應</w:t>
            </w:r>
            <w:r>
              <w:t xml:space="preserve"> </w:t>
            </w:r>
            <w:r>
              <w:rPr>
                <w:rFonts w:ascii="Arial" w:eastAsia="Arial" w:hAnsi="Arial" w:cs="Arial"/>
              </w:rPr>
              <w:t xml:space="preserve">H </w:t>
            </w:r>
            <w:r>
              <w:t>類股份）以外的所有股份（及相應</w:t>
            </w:r>
            <w:r>
              <w:t xml:space="preserve"> </w:t>
            </w:r>
            <w:r>
              <w:rPr>
                <w:rFonts w:ascii="Arial" w:eastAsia="Arial" w:hAnsi="Arial" w:cs="Arial"/>
              </w:rPr>
              <w:t xml:space="preserve">H </w:t>
            </w:r>
            <w:r>
              <w:t>類股份）而言，管理公司按此等股份應佔的總資產淨值自本基金資產獲付一項年費，數額為日均資產淨值的</w:t>
            </w:r>
            <w:r>
              <w:t xml:space="preserve"> </w:t>
            </w:r>
            <w:r>
              <w:rPr>
                <w:rFonts w:ascii="Arial" w:eastAsia="Arial" w:hAnsi="Arial" w:cs="Arial"/>
              </w:rPr>
              <w:t>0.05%</w:t>
            </w:r>
            <w:r>
              <w:t>。管理公司按</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SA</w:t>
            </w:r>
            <w:r>
              <w:t>、</w:t>
            </w:r>
            <w:r>
              <w:rPr>
                <w:rFonts w:ascii="Arial" w:eastAsia="Arial" w:hAnsi="Arial" w:cs="Arial"/>
              </w:rPr>
              <w:t xml:space="preserve">S1 2 </w:t>
            </w:r>
            <w:r>
              <w:t>及</w:t>
            </w:r>
            <w:r>
              <w:t xml:space="preserve"> </w:t>
            </w:r>
            <w:r>
              <w:rPr>
                <w:rFonts w:ascii="Arial" w:eastAsia="Arial" w:hAnsi="Arial" w:cs="Arial"/>
              </w:rPr>
              <w:t xml:space="preserve">S1QD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w:t>
            </w:r>
            <w:r>
              <w:t>或日均資產淨值的</w:t>
            </w:r>
            <w:r>
              <w:t xml:space="preserve"> </w:t>
            </w:r>
            <w:r>
              <w:rPr>
                <w:rFonts w:ascii="Arial" w:eastAsia="Arial" w:hAnsi="Arial" w:cs="Arial"/>
              </w:rPr>
              <w:t>0.01%</w:t>
            </w:r>
            <w:r>
              <w:t>（以較低者為準）。由於管理公司費用乃由投資於</w:t>
            </w:r>
            <w:r>
              <w:t xml:space="preserve"> </w:t>
            </w:r>
            <w:r>
              <w:rPr>
                <w:rFonts w:ascii="Arial" w:eastAsia="Arial" w:hAnsi="Arial" w:cs="Arial"/>
              </w:rPr>
              <w:t xml:space="preserve">ZT </w:t>
            </w:r>
            <w:r>
              <w:t>類股份的聯博基金支付，故為避免重複收費，</w:t>
            </w:r>
            <w:r>
              <w:rPr>
                <w:rFonts w:ascii="Arial" w:eastAsia="Arial" w:hAnsi="Arial" w:cs="Arial"/>
              </w:rPr>
              <w:t xml:space="preserve">ZT </w:t>
            </w:r>
            <w:r>
              <w:t>類股份獲豁免支付管理公司費用。</w:t>
            </w:r>
            <w:r>
              <w:rPr>
                <w:rFonts w:ascii="Arial" w:eastAsia="Arial" w:hAnsi="Arial" w:cs="Arial"/>
              </w:rPr>
              <w:t xml:space="preserve"> </w:t>
            </w:r>
          </w:p>
          <w:p w:rsidR="004D6F0E" w:rsidRDefault="00490F21">
            <w:pPr>
              <w:spacing w:after="92"/>
              <w:ind w:left="0" w:firstLine="0"/>
            </w:pPr>
            <w:r>
              <w:t>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部分「行政管理人、存管人及過戶代理費用」所規定的固定最高金額。此等費用的增或減是取決於本基金資產及交易量或其他原因。</w:t>
            </w:r>
            <w:r>
              <w:rPr>
                <w:rFonts w:ascii="Arial" w:eastAsia="Arial" w:hAnsi="Arial" w:cs="Arial"/>
                <w:sz w:val="20"/>
              </w:rPr>
              <w:t xml:space="preserve"> </w:t>
            </w:r>
          </w:p>
          <w:p w:rsidR="004D6F0E" w:rsidRDefault="00490F21">
            <w:pPr>
              <w:spacing w:after="72" w:line="259" w:lineRule="auto"/>
              <w:ind w:left="1" w:firstLine="0"/>
            </w:pPr>
            <w:r>
              <w:lastRenderedPageBreak/>
              <w:t>設立開支</w:t>
            </w:r>
            <w:r>
              <w:rPr>
                <w:rFonts w:ascii="Arial" w:eastAsia="Arial" w:hAnsi="Arial" w:cs="Arial"/>
                <w:b/>
              </w:rPr>
              <w:t xml:space="preserve"> </w:t>
            </w:r>
          </w:p>
          <w:p w:rsidR="004D6F0E" w:rsidRDefault="00490F21">
            <w:pPr>
              <w:spacing w:after="114" w:line="259" w:lineRule="auto"/>
              <w:ind w:left="1" w:firstLine="0"/>
            </w:pPr>
            <w:r>
              <w:t>本基金並無未攤銷設立開支。</w:t>
            </w:r>
            <w:r>
              <w:rPr>
                <w:rFonts w:ascii="Arial" w:eastAsia="Arial" w:hAnsi="Arial" w:cs="Arial"/>
              </w:rPr>
              <w:t xml:space="preserve"> </w:t>
            </w:r>
          </w:p>
          <w:p w:rsidR="004D6F0E" w:rsidRDefault="00490F21">
            <w:pPr>
              <w:spacing w:after="72" w:line="259" w:lineRule="auto"/>
              <w:ind w:left="1" w:firstLine="0"/>
            </w:pPr>
            <w:r>
              <w:t>過往表現</w:t>
            </w:r>
            <w:r>
              <w:rPr>
                <w:rFonts w:ascii="Arial" w:eastAsia="Arial" w:hAnsi="Arial" w:cs="Arial"/>
                <w:b/>
              </w:rPr>
              <w:t xml:space="preserve"> </w:t>
            </w:r>
          </w:p>
          <w:p w:rsidR="004D6F0E" w:rsidRDefault="00490F21">
            <w:pPr>
              <w:spacing w:after="87" w:line="284" w:lineRule="auto"/>
              <w:ind w:left="1" w:firstLine="0"/>
            </w:pPr>
            <w:r>
              <w:t>有</w:t>
            </w:r>
            <w:r>
              <w:t xml:space="preserve"> </w:t>
            </w:r>
            <w:r>
              <w:t>關</w:t>
            </w:r>
            <w:r>
              <w:t xml:space="preserve"> </w:t>
            </w:r>
            <w:r>
              <w:t>本</w:t>
            </w:r>
            <w:r>
              <w:t xml:space="preserve"> </w:t>
            </w:r>
            <w:r>
              <w:t>基</w:t>
            </w:r>
            <w:r>
              <w:t xml:space="preserve"> </w:t>
            </w:r>
            <w:r>
              <w:t>金</w:t>
            </w:r>
            <w:r>
              <w:t xml:space="preserve"> </w:t>
            </w:r>
            <w:r>
              <w:t>過</w:t>
            </w:r>
            <w:r>
              <w:t xml:space="preserve"> </w:t>
            </w:r>
            <w:r>
              <w:t>往</w:t>
            </w:r>
            <w:r>
              <w:t xml:space="preserve"> </w:t>
            </w:r>
            <w:r>
              <w:t>表</w:t>
            </w:r>
            <w:r>
              <w:t xml:space="preserve"> </w:t>
            </w:r>
            <w:r>
              <w:t>現</w:t>
            </w:r>
            <w:r>
              <w:t xml:space="preserve"> </w:t>
            </w:r>
            <w:r>
              <w:t>的</w:t>
            </w:r>
            <w:r>
              <w:t xml:space="preserve"> </w:t>
            </w:r>
            <w:r>
              <w:t>資</w:t>
            </w:r>
            <w:r>
              <w:t xml:space="preserve"> </w:t>
            </w:r>
            <w:r>
              <w:t>料</w:t>
            </w:r>
            <w:r>
              <w:t xml:space="preserve"> </w:t>
            </w:r>
            <w:r>
              <w:t>，</w:t>
            </w:r>
            <w:r>
              <w:t xml:space="preserve"> </w:t>
            </w:r>
            <w:r>
              <w:t>一</w:t>
            </w:r>
            <w:r>
              <w:t xml:space="preserve"> </w:t>
            </w:r>
            <w:r>
              <w:t>旦</w:t>
            </w:r>
            <w:r>
              <w:t xml:space="preserve"> </w:t>
            </w:r>
            <w:r>
              <w:t>公</w:t>
            </w:r>
            <w:r>
              <w:t xml:space="preserve"> </w:t>
            </w:r>
            <w:r>
              <w:t>佈</w:t>
            </w:r>
            <w:r>
              <w:t xml:space="preserve"> </w:t>
            </w:r>
            <w:r>
              <w:t>，</w:t>
            </w:r>
            <w:r>
              <w:t xml:space="preserve"> </w:t>
            </w:r>
            <w:r>
              <w:t>可</w:t>
            </w:r>
            <w:r>
              <w:t xml:space="preserve"> </w:t>
            </w:r>
            <w:r>
              <w:t>瀏</w:t>
            </w:r>
            <w:r>
              <w:t xml:space="preserve"> </w:t>
            </w:r>
            <w:r>
              <w:t>覽</w:t>
            </w:r>
            <w:r>
              <w:t xml:space="preserve"> </w:t>
            </w:r>
            <w:hyperlink r:id="rId234">
              <w:r>
                <w:rPr>
                  <w:rFonts w:ascii="Arial" w:eastAsia="Arial" w:hAnsi="Arial" w:cs="Arial"/>
                  <w:color w:val="0000FF"/>
                  <w:u w:val="single" w:color="0000FF"/>
                </w:rPr>
                <w:t>www.alliancebernstein.com</w:t>
              </w:r>
            </w:hyperlink>
            <w:hyperlink r:id="rId235">
              <w:r>
                <w:t>。</w:t>
              </w:r>
            </w:hyperlink>
            <w:r>
              <w:rPr>
                <w:rFonts w:ascii="Arial" w:eastAsia="Arial" w:hAnsi="Arial" w:cs="Arial"/>
              </w:rPr>
              <w:t xml:space="preserve"> </w:t>
            </w:r>
          </w:p>
          <w:p w:rsidR="004D6F0E" w:rsidRDefault="00490F21">
            <w:pPr>
              <w:spacing w:after="72" w:line="259" w:lineRule="auto"/>
              <w:ind w:left="1" w:firstLine="0"/>
            </w:pPr>
            <w:r>
              <w:t>歷史</w:t>
            </w:r>
            <w:r>
              <w:rPr>
                <w:rFonts w:ascii="Arial" w:eastAsia="Arial" w:hAnsi="Arial" w:cs="Arial"/>
                <w:b/>
              </w:rPr>
              <w:t xml:space="preserve"> </w:t>
            </w:r>
          </w:p>
          <w:p w:rsidR="004D6F0E" w:rsidRDefault="00490F21">
            <w:pPr>
              <w:spacing w:after="99" w:line="272" w:lineRule="auto"/>
              <w:ind w:left="1" w:firstLine="0"/>
              <w:jc w:val="both"/>
            </w:pPr>
            <w:r>
              <w:t>本基金於二零零六年三月二十二日設立，作為本傘子基金下的基金。</w:t>
            </w:r>
            <w:r>
              <w:rPr>
                <w:rFonts w:ascii="Arial" w:eastAsia="Arial" w:hAnsi="Arial" w:cs="Arial"/>
              </w:rPr>
              <w:t xml:space="preserve"> </w:t>
            </w:r>
          </w:p>
          <w:p w:rsidR="004D6F0E" w:rsidRDefault="00490F21">
            <w:pPr>
              <w:spacing w:after="0" w:line="259" w:lineRule="auto"/>
              <w:ind w:left="1" w:firstLine="0"/>
            </w:pPr>
            <w:r>
              <w:rPr>
                <w:rFonts w:ascii="Arial" w:eastAsia="Arial" w:hAnsi="Arial" w:cs="Arial"/>
              </w:rPr>
              <w:t xml:space="preserve"> </w:t>
            </w:r>
          </w:p>
        </w:tc>
      </w:tr>
    </w:tbl>
    <w:p w:rsidR="004D6F0E" w:rsidRDefault="00490F21">
      <w:pPr>
        <w:spacing w:after="85"/>
        <w:ind w:left="11" w:right="514"/>
      </w:pPr>
      <w:r>
        <w:lastRenderedPageBreak/>
        <w:t>管理公司也可決定支付的股息是否包括或在多大程度上包括已實現資本收益及／或是否或在多</w:t>
      </w:r>
      <w:r>
        <w:t>大程度上從相關股份類別應佔的資</w:t>
      </w:r>
    </w:p>
    <w:p w:rsidR="004D6F0E" w:rsidRDefault="00490F21">
      <w:pPr>
        <w:spacing w:after="3" w:line="259" w:lineRule="auto"/>
        <w:ind w:right="86" w:hanging="10"/>
        <w:jc w:val="center"/>
      </w:pPr>
      <w:r>
        <w:rPr>
          <w:rFonts w:ascii="Times New Roman" w:eastAsia="Times New Roman" w:hAnsi="Times New Roman" w:cs="Times New Roman"/>
          <w:sz w:val="20"/>
        </w:rPr>
        <w:t>I-82</w:t>
      </w:r>
      <w:r>
        <w:rPr>
          <w:rFonts w:ascii="Times New Roman" w:eastAsia="Times New Roman" w:hAnsi="Times New Roman" w:cs="Times New Roman"/>
          <w:sz w:val="18"/>
        </w:rPr>
        <w:t xml:space="preserve"> </w:t>
      </w:r>
    </w:p>
    <w:p w:rsidR="004D6F0E" w:rsidRDefault="00490F21">
      <w:pPr>
        <w:spacing w:after="0" w:line="259" w:lineRule="auto"/>
        <w:ind w:left="0" w:right="49" w:firstLine="0"/>
        <w:jc w:val="center"/>
      </w:pPr>
      <w:r>
        <w:rPr>
          <w:rFonts w:ascii="Arial" w:eastAsia="Arial" w:hAnsi="Arial" w:cs="Arial"/>
          <w:sz w:val="12"/>
        </w:rPr>
        <w:lastRenderedPageBreak/>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D6F0E">
      <w:pPr>
        <w:sectPr w:rsidR="004D6F0E">
          <w:headerReference w:type="even" r:id="rId236"/>
          <w:headerReference w:type="default" r:id="rId237"/>
          <w:footerReference w:type="even" r:id="rId238"/>
          <w:footerReference w:type="default" r:id="rId239"/>
          <w:headerReference w:type="first" r:id="rId240"/>
          <w:footerReference w:type="first" r:id="rId241"/>
          <w:pgSz w:w="12240" w:h="15840"/>
          <w:pgMar w:top="748" w:right="638" w:bottom="354" w:left="432" w:header="720" w:footer="720" w:gutter="0"/>
          <w:cols w:space="720"/>
          <w:titlePg/>
        </w:sectPr>
      </w:pPr>
    </w:p>
    <w:p w:rsidR="004D6F0E" w:rsidRDefault="00490F21">
      <w:pPr>
        <w:spacing w:after="114" w:line="252" w:lineRule="auto"/>
        <w:ind w:left="0" w:right="5705" w:firstLine="0"/>
      </w:pPr>
      <w:r>
        <w:rPr>
          <w:rFonts w:ascii="Arial" w:eastAsia="Arial" w:hAnsi="Arial" w:cs="Arial"/>
          <w:sz w:val="24"/>
        </w:rPr>
        <w:lastRenderedPageBreak/>
        <w:t xml:space="preserve"> </w:t>
      </w:r>
      <w:r>
        <w:rPr>
          <w:rFonts w:ascii="Times New Roman" w:eastAsia="Times New Roman" w:hAnsi="Times New Roman" w:cs="Times New Roman"/>
        </w:rPr>
        <w:t xml:space="preserve"> </w:t>
      </w:r>
    </w:p>
    <w:p w:rsidR="004D6F0E" w:rsidRDefault="00490F21">
      <w:pPr>
        <w:pStyle w:val="Heading2"/>
        <w:spacing w:after="142"/>
        <w:ind w:left="8"/>
      </w:pPr>
      <w:r>
        <w:t>聯博</w:t>
      </w:r>
      <w:r>
        <w:rPr>
          <w:rFonts w:ascii="Arial" w:eastAsia="Arial" w:hAnsi="Arial" w:cs="Arial"/>
        </w:rPr>
        <w:t>—</w:t>
      </w:r>
      <w:r>
        <w:t>按揭收益基金</w:t>
      </w:r>
      <w:r>
        <w:rPr>
          <w:rFonts w:ascii="Arial" w:eastAsia="Arial" w:hAnsi="Arial" w:cs="Arial"/>
          <w:sz w:val="30"/>
        </w:rPr>
        <w:t xml:space="preserve"> </w:t>
      </w:r>
    </w:p>
    <w:p w:rsidR="004D6F0E" w:rsidRDefault="00490F21">
      <w:pPr>
        <w:pStyle w:val="Heading3"/>
        <w:spacing w:after="187"/>
        <w:ind w:left="14"/>
      </w:pPr>
      <w:r>
        <w:t>投資目標及政策</w:t>
      </w:r>
      <w:r>
        <w:rPr>
          <w:rFonts w:ascii="Arial" w:eastAsia="Arial" w:hAnsi="Arial" w:cs="Arial"/>
        </w:rPr>
        <w:t xml:space="preserve"> </w:t>
      </w:r>
    </w:p>
    <w:p w:rsidR="004D6F0E" w:rsidRDefault="00490F21">
      <w:pPr>
        <w:spacing w:line="490" w:lineRule="auto"/>
        <w:ind w:left="11" w:right="767"/>
      </w:pPr>
      <w:r>
        <w:t>投資目標本基金的投資目標是實現較高的風險調整總回報。</w:t>
      </w:r>
      <w:r>
        <w:rPr>
          <w:rFonts w:ascii="Arial" w:eastAsia="Arial" w:hAnsi="Arial" w:cs="Arial"/>
          <w:b/>
        </w:rPr>
        <w:t xml:space="preserve"> </w:t>
      </w:r>
    </w:p>
    <w:p w:rsidR="004D6F0E" w:rsidRDefault="00490F21">
      <w:pPr>
        <w:spacing w:after="200"/>
        <w:ind w:left="11" w:right="2"/>
      </w:pPr>
      <w:r>
        <w:t>投資政策</w:t>
      </w:r>
      <w:r>
        <w:rPr>
          <w:rFonts w:ascii="Arial" w:eastAsia="Arial" w:hAnsi="Arial" w:cs="Arial"/>
        </w:rPr>
        <w:t xml:space="preserve"> </w:t>
      </w:r>
    </w:p>
    <w:p w:rsidR="004D6F0E" w:rsidRDefault="00490F21">
      <w:pPr>
        <w:spacing w:after="146"/>
        <w:ind w:left="11" w:right="2"/>
      </w:pPr>
      <w:r>
        <w:t>本基金擬透過投資於按揭相關證券及其他資產擔保證券，以尋求實現其投資目標。本基金可投資於多種發行人及保薦人所發行的投資級別和非投資級別證券。本基金可投資於固定及浮動利率證券，包括機構類按揭擔保證券及非機構類（即私人發行的）按揭擔保證券（「</w:t>
      </w:r>
      <w:r>
        <w:rPr>
          <w:rFonts w:ascii="Arial" w:eastAsia="Arial" w:hAnsi="Arial" w:cs="Arial"/>
        </w:rPr>
        <w:t>MBS</w:t>
      </w:r>
      <w:r>
        <w:t>」），以及其他資產擔保證券（「</w:t>
      </w:r>
      <w:r>
        <w:rPr>
          <w:rFonts w:ascii="Arial" w:eastAsia="Arial" w:hAnsi="Arial" w:cs="Arial"/>
        </w:rPr>
        <w:t>ABS</w:t>
      </w:r>
      <w:r>
        <w:t>」）、商業抵押擔保證券（「</w:t>
      </w:r>
      <w:r>
        <w:rPr>
          <w:rFonts w:ascii="Arial" w:eastAsia="Arial" w:hAnsi="Arial" w:cs="Arial"/>
        </w:rPr>
        <w:t>CMBS</w:t>
      </w:r>
      <w:r>
        <w:t>」）和抵押債務（「</w:t>
      </w:r>
      <w:r>
        <w:rPr>
          <w:rFonts w:ascii="Arial" w:eastAsia="Arial" w:hAnsi="Arial" w:cs="Arial"/>
        </w:rPr>
        <w:t>CDOs</w:t>
      </w:r>
      <w:r>
        <w:t>」）及相關金融衍生工具和貨幣。本基金至少將其總資產的三分之二投資於按揭相關證券。</w:t>
      </w:r>
      <w:r>
        <w:rPr>
          <w:rFonts w:ascii="Arial" w:eastAsia="Arial" w:hAnsi="Arial" w:cs="Arial"/>
          <w:sz w:val="24"/>
        </w:rPr>
        <w:t xml:space="preserve"> </w:t>
      </w:r>
    </w:p>
    <w:p w:rsidR="004D6F0E" w:rsidRDefault="00490F21">
      <w:pPr>
        <w:spacing w:after="34"/>
        <w:ind w:left="11" w:right="2"/>
      </w:pPr>
      <w:r>
        <w:t>信貸質素。本基金資產可投資於投資級別證券、低於投資級別的證券及投資管理人確定具備投資質素的</w:t>
      </w:r>
      <w:r>
        <w:t>無評級證券。然而，在正常市況下，預計本基金投資於低於投資級別證券的淨資產投資比例不會超過</w:t>
      </w:r>
      <w:r>
        <w:t xml:space="preserve"> </w:t>
      </w:r>
      <w:r>
        <w:rPr>
          <w:rFonts w:ascii="Arial" w:eastAsia="Arial" w:hAnsi="Arial" w:cs="Arial"/>
        </w:rPr>
        <w:t>50%</w:t>
      </w:r>
      <w:r>
        <w:t>（於購買時計量）。「投資級別」一詞指獲穆迪評為</w:t>
      </w:r>
      <w:r>
        <w:t xml:space="preserve"> </w:t>
      </w:r>
      <w:r>
        <w:rPr>
          <w:rFonts w:ascii="Arial" w:eastAsia="Arial" w:hAnsi="Arial" w:cs="Arial"/>
        </w:rPr>
        <w:t>Baa</w:t>
      </w:r>
      <w:r>
        <w:t>（包括</w:t>
      </w:r>
      <w:r>
        <w:t xml:space="preserve"> </w:t>
      </w:r>
      <w:r>
        <w:rPr>
          <w:rFonts w:ascii="Arial" w:eastAsia="Arial" w:hAnsi="Arial" w:cs="Arial"/>
        </w:rPr>
        <w:t>Baa1</w:t>
      </w:r>
      <w:r>
        <w:t>、</w:t>
      </w:r>
      <w:r>
        <w:rPr>
          <w:rFonts w:ascii="Arial" w:eastAsia="Arial" w:hAnsi="Arial" w:cs="Arial"/>
        </w:rPr>
        <w:t xml:space="preserve">Baa2 </w:t>
      </w:r>
      <w:r>
        <w:t>及</w:t>
      </w:r>
      <w:r>
        <w:t xml:space="preserve"> </w:t>
      </w:r>
      <w:r>
        <w:rPr>
          <w:rFonts w:ascii="Arial" w:eastAsia="Arial" w:hAnsi="Arial" w:cs="Arial"/>
        </w:rPr>
        <w:t>Baa3</w:t>
      </w:r>
      <w:r>
        <w:t>）或以上或獲標普評為</w:t>
      </w:r>
      <w:r>
        <w:t xml:space="preserve"> </w:t>
      </w:r>
      <w:r>
        <w:rPr>
          <w:rFonts w:ascii="Arial" w:eastAsia="Arial" w:hAnsi="Arial" w:cs="Arial"/>
        </w:rPr>
        <w:t>BBB</w:t>
      </w:r>
    </w:p>
    <w:p w:rsidR="004D6F0E" w:rsidRDefault="00490F21">
      <w:pPr>
        <w:spacing w:after="149"/>
        <w:ind w:left="11" w:right="2"/>
      </w:pPr>
      <w:r>
        <w:t>（包括</w:t>
      </w:r>
      <w:r>
        <w:t xml:space="preserve"> </w:t>
      </w:r>
      <w:r>
        <w:rPr>
          <w:rFonts w:ascii="Arial" w:eastAsia="Arial" w:hAnsi="Arial" w:cs="Arial"/>
        </w:rPr>
        <w:t>BBB+</w:t>
      </w:r>
      <w:r>
        <w:t>及</w:t>
      </w:r>
      <w:r>
        <w:t xml:space="preserve"> </w:t>
      </w:r>
      <w:r>
        <w:rPr>
          <w:rFonts w:ascii="Arial" w:eastAsia="Arial" w:hAnsi="Arial" w:cs="Arial"/>
        </w:rPr>
        <w:t>BBB-</w:t>
      </w:r>
      <w:r>
        <w:t>）或以上的固定收益證券。</w:t>
      </w:r>
      <w:r>
        <w:rPr>
          <w:rFonts w:ascii="Arial" w:eastAsia="Arial" w:hAnsi="Arial" w:cs="Arial"/>
          <w:sz w:val="24"/>
        </w:rPr>
        <w:t xml:space="preserve"> </w:t>
      </w:r>
    </w:p>
    <w:p w:rsidR="004D6F0E" w:rsidRDefault="00490F21">
      <w:pPr>
        <w:ind w:left="11" w:right="2"/>
      </w:pPr>
      <w:r>
        <w:t>若證券未獲評級，投資管理人將酌情決定應用其認為適當的信貸評級。對於不同的信貸評級，將應用較低者。</w:t>
      </w:r>
      <w:r>
        <w:rPr>
          <w:rFonts w:ascii="Arial" w:eastAsia="Arial" w:hAnsi="Arial" w:cs="Arial"/>
          <w:sz w:val="24"/>
        </w:rPr>
        <w:t xml:space="preserve"> </w:t>
      </w:r>
    </w:p>
    <w:p w:rsidR="004D6F0E" w:rsidRDefault="00490F21">
      <w:pPr>
        <w:spacing w:after="160"/>
        <w:ind w:left="11" w:right="2"/>
      </w:pPr>
      <w:r>
        <w:t>存續期。在正常市況下，管理本基金投資時，投資管理人擬建立加權平均有效存續期不超過八年的投資組合。</w:t>
      </w:r>
      <w:r>
        <w:rPr>
          <w:rFonts w:ascii="Arial" w:eastAsia="Arial" w:hAnsi="Arial" w:cs="Arial"/>
          <w:sz w:val="24"/>
        </w:rPr>
        <w:t xml:space="preserve"> </w:t>
      </w:r>
    </w:p>
    <w:p w:rsidR="004D6F0E" w:rsidRDefault="00490F21">
      <w:pPr>
        <w:spacing w:after="151"/>
        <w:ind w:left="11" w:right="2"/>
      </w:pPr>
      <w:r>
        <w:t>貨幣管理。投資管理人預計在正常市況下</w:t>
      </w:r>
      <w:r>
        <w:t>，將對沖非美元投資及其他風險（包括衍生工具風險）以使本基金的非美元淨貨幣風險不會超過本基金淨資產的</w:t>
      </w:r>
      <w:r>
        <w:t xml:space="preserve"> </w:t>
      </w:r>
      <w:r>
        <w:rPr>
          <w:rFonts w:ascii="Arial" w:eastAsia="Arial" w:hAnsi="Arial" w:cs="Arial"/>
        </w:rPr>
        <w:t>5%</w:t>
      </w:r>
      <w:r>
        <w:t>。</w:t>
      </w:r>
      <w:r>
        <w:rPr>
          <w:rFonts w:ascii="Arial" w:eastAsia="Arial" w:hAnsi="Arial" w:cs="Arial"/>
          <w:sz w:val="24"/>
        </w:rPr>
        <w:t xml:space="preserve"> </w:t>
      </w:r>
    </w:p>
    <w:p w:rsidR="004D6F0E" w:rsidRDefault="00490F21">
      <w:pPr>
        <w:spacing w:after="146"/>
        <w:ind w:left="11" w:right="2"/>
      </w:pPr>
      <w:r>
        <w:t>金融衍生工具／有效基金管理技術。投資管理人實施本基金投資策略時，或會使用範圍廣泛的衍生產品和策略。此等金融衍生工具可能包括但不限於﹕剝離式按揭相關證券（「</w:t>
      </w:r>
      <w:r>
        <w:rPr>
          <w:rFonts w:ascii="Arial" w:eastAsia="Arial" w:hAnsi="Arial" w:cs="Arial"/>
        </w:rPr>
        <w:t>SMRS</w:t>
      </w:r>
      <w:r>
        <w:t>」）、掉期合約（包括利率掉期合約（「</w:t>
      </w:r>
      <w:r>
        <w:rPr>
          <w:rFonts w:ascii="Arial" w:eastAsia="Arial" w:hAnsi="Arial" w:cs="Arial"/>
        </w:rPr>
        <w:t>IRS</w:t>
      </w:r>
      <w:r>
        <w:t>」）、總回報掉期合約（「</w:t>
      </w:r>
      <w:r>
        <w:rPr>
          <w:rFonts w:ascii="Arial" w:eastAsia="Arial" w:hAnsi="Arial" w:cs="Arial"/>
        </w:rPr>
        <w:t>TRS</w:t>
      </w:r>
      <w:r>
        <w:t>」）和信用違約掉期合約（「</w:t>
      </w:r>
      <w:r>
        <w:rPr>
          <w:rFonts w:ascii="Arial" w:eastAsia="Arial" w:hAnsi="Arial" w:cs="Arial"/>
        </w:rPr>
        <w:t>CDS</w:t>
      </w:r>
      <w:r>
        <w:t>」））、掉期期權、期權、期貨及貨幣交易（包</w:t>
      </w:r>
      <w:r>
        <w:t>括遠期貨幣合約）。金融衍生工具（包括場外市場衍生工具和交易所交易的金融衍生工具）及有效基金管理</w:t>
      </w:r>
      <w:r>
        <w:t>技術可用於以下目的：</w:t>
      </w:r>
      <w:r>
        <w:rPr>
          <w:rFonts w:ascii="Arial" w:eastAsia="Arial" w:hAnsi="Arial" w:cs="Arial"/>
        </w:rPr>
        <w:t>(i)</w:t>
      </w:r>
      <w:r>
        <w:t>用作直接投資於相關投資的替代性投資，</w:t>
      </w:r>
      <w:r>
        <w:rPr>
          <w:rFonts w:ascii="Arial" w:eastAsia="Arial" w:hAnsi="Arial" w:cs="Arial"/>
        </w:rPr>
        <w:t>(ii)</w:t>
      </w:r>
      <w:r>
        <w:t>管理存續期，</w:t>
      </w:r>
      <w:r>
        <w:rPr>
          <w:rFonts w:ascii="Arial" w:eastAsia="Arial" w:hAnsi="Arial" w:cs="Arial"/>
        </w:rPr>
        <w:t>(iii)</w:t>
      </w:r>
      <w:r>
        <w:t>對沖利率、信貸和貨幣波動及</w:t>
      </w:r>
      <w:r>
        <w:rPr>
          <w:rFonts w:ascii="Arial" w:eastAsia="Arial" w:hAnsi="Arial" w:cs="Arial"/>
        </w:rPr>
        <w:t>(iv)</w:t>
      </w:r>
      <w:r>
        <w:t>有效基金管理用途。就</w:t>
      </w:r>
      <w:r>
        <w:t xml:space="preserve"> </w:t>
      </w:r>
      <w:r>
        <w:rPr>
          <w:rFonts w:ascii="Arial" w:eastAsia="Arial" w:hAnsi="Arial" w:cs="Arial"/>
        </w:rPr>
        <w:t xml:space="preserve">CDS </w:t>
      </w:r>
      <w:r>
        <w:t>而言，本基金既可「賣出」保障性工具，以便增加投資，也可「買進」保障性工具，以便對沖信貸風險。</w:t>
      </w:r>
      <w:r>
        <w:rPr>
          <w:rFonts w:ascii="Arial" w:eastAsia="Arial" w:hAnsi="Arial" w:cs="Arial"/>
          <w:sz w:val="24"/>
        </w:rPr>
        <w:t xml:space="preserve"> </w:t>
      </w:r>
    </w:p>
    <w:p w:rsidR="004D6F0E" w:rsidRDefault="00490F21">
      <w:pPr>
        <w:spacing w:after="122"/>
        <w:ind w:left="11" w:right="2"/>
      </w:pPr>
      <w:r>
        <w:t>根據證券融資交易規例有關透明度之要求，下表反映本基金將投資證券融資交易（即借出證券交易以及回購協議及逆回購協議）（「</w:t>
      </w:r>
      <w:r>
        <w:rPr>
          <w:rFonts w:ascii="Arial" w:eastAsia="Arial" w:hAnsi="Arial" w:cs="Arial"/>
        </w:rPr>
        <w:t>SFT</w:t>
      </w:r>
      <w:r>
        <w:t>」）及總回報掉期及／或具類似特徵的其他金融衍生工具（「</w:t>
      </w:r>
      <w:r>
        <w:rPr>
          <w:rFonts w:ascii="Arial" w:eastAsia="Arial" w:hAnsi="Arial" w:cs="Arial"/>
        </w:rPr>
        <w:t>TRS</w:t>
      </w:r>
      <w:r>
        <w:t>」）的（如適用）預期及最高淨資產水平，並指明於若干情況下此比例或會較高。</w:t>
      </w:r>
      <w:r>
        <w:rPr>
          <w:rFonts w:ascii="Arial" w:eastAsia="Arial" w:hAnsi="Arial" w:cs="Arial"/>
        </w:rPr>
        <w:t xml:space="preserve"> </w:t>
      </w:r>
    </w:p>
    <w:p w:rsidR="004D6F0E" w:rsidRDefault="00490F21">
      <w:pPr>
        <w:spacing w:after="362" w:line="259" w:lineRule="auto"/>
        <w:ind w:left="0" w:firstLine="0"/>
      </w:pP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I-83 </w:t>
      </w:r>
    </w:p>
    <w:p w:rsidR="004D6F0E" w:rsidRDefault="00490F21">
      <w:pPr>
        <w:spacing w:after="0" w:line="259" w:lineRule="auto"/>
        <w:ind w:left="0" w:right="168" w:firstLine="0"/>
        <w:jc w:val="right"/>
      </w:pPr>
      <w:r>
        <w:rPr>
          <w:rFonts w:ascii="Times New Roman" w:eastAsia="Times New Roman" w:hAnsi="Times New Roman" w:cs="Times New Roman"/>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tbl>
      <w:tblPr>
        <w:tblStyle w:val="TableGrid"/>
        <w:tblW w:w="5030" w:type="dxa"/>
        <w:tblInd w:w="5" w:type="dxa"/>
        <w:tblCellMar>
          <w:top w:w="31" w:type="dxa"/>
          <w:left w:w="108" w:type="dxa"/>
          <w:bottom w:w="0" w:type="dxa"/>
          <w:right w:w="108" w:type="dxa"/>
        </w:tblCellMar>
        <w:tblLook w:val="04A0" w:firstRow="1" w:lastRow="0" w:firstColumn="1" w:lastColumn="0" w:noHBand="0" w:noVBand="1"/>
      </w:tblPr>
      <w:tblGrid>
        <w:gridCol w:w="2116"/>
        <w:gridCol w:w="1625"/>
        <w:gridCol w:w="1289"/>
      </w:tblGrid>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交易類型</w:t>
            </w:r>
            <w:r>
              <w:rPr>
                <w:rFonts w:ascii="Arial" w:eastAsia="Arial" w:hAnsi="Arial" w:cs="Arial"/>
                <w:b/>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預期範圍</w:t>
            </w:r>
            <w:r>
              <w:rPr>
                <w:rFonts w:ascii="Arial" w:eastAsia="Arial" w:hAnsi="Arial" w:cs="Arial"/>
                <w:b/>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最高</w:t>
            </w:r>
            <w:r>
              <w:rPr>
                <w:rFonts w:ascii="Arial" w:eastAsia="Arial" w:hAnsi="Arial" w:cs="Arial"/>
                <w:b/>
              </w:rPr>
              <w:t xml:space="preserve"> </w:t>
            </w:r>
          </w:p>
        </w:tc>
      </w:tr>
      <w:tr w:rsidR="004D6F0E">
        <w:trPr>
          <w:trHeight w:val="348"/>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TRS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0%-10%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25% </w:t>
            </w:r>
          </w:p>
        </w:tc>
      </w:tr>
      <w:tr w:rsidR="004D6F0E">
        <w:trPr>
          <w:trHeight w:val="626"/>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回購協議和逆回購協議</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0%-5%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w:t>
            </w:r>
          </w:p>
        </w:tc>
      </w:tr>
      <w:tr w:rsidR="004D6F0E">
        <w:trPr>
          <w:trHeight w:val="377"/>
        </w:trPr>
        <w:tc>
          <w:tcPr>
            <w:tcW w:w="1980"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借出證券交易</w:t>
            </w:r>
            <w:r>
              <w:rPr>
                <w:rFonts w:ascii="Arial" w:eastAsia="Arial" w:hAnsi="Arial" w:cs="Arial"/>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不適用</w:t>
            </w:r>
            <w:r>
              <w:rPr>
                <w:rFonts w:ascii="Arial" w:eastAsia="Arial" w:hAnsi="Arial" w:cs="Arial"/>
              </w:rPr>
              <w:t xml:space="preserve"> </w:t>
            </w:r>
          </w:p>
        </w:tc>
      </w:tr>
    </w:tbl>
    <w:p w:rsidR="004D6F0E" w:rsidRDefault="00490F21">
      <w:pPr>
        <w:spacing w:after="204" w:line="259" w:lineRule="auto"/>
        <w:ind w:left="0" w:firstLine="0"/>
      </w:pPr>
      <w:r>
        <w:rPr>
          <w:rFonts w:ascii="Arial" w:eastAsia="Arial" w:hAnsi="Arial" w:cs="Arial"/>
          <w:b/>
          <w:sz w:val="10"/>
        </w:rPr>
        <w:t xml:space="preserve"> </w:t>
      </w:r>
    </w:p>
    <w:p w:rsidR="004D6F0E" w:rsidRDefault="00490F21">
      <w:pPr>
        <w:spacing w:after="140" w:line="273" w:lineRule="auto"/>
        <w:ind w:left="14" w:right="41"/>
        <w:jc w:val="both"/>
      </w:pPr>
      <w:r>
        <w:t>有關</w:t>
      </w:r>
      <w:r>
        <w:t xml:space="preserve"> </w:t>
      </w:r>
      <w:r>
        <w:rPr>
          <w:rFonts w:ascii="Arial" w:eastAsia="Arial" w:hAnsi="Arial" w:cs="Arial"/>
        </w:rPr>
        <w:t xml:space="preserve">SFT </w:t>
      </w:r>
      <w:r>
        <w:t>及</w:t>
      </w:r>
      <w:r>
        <w:t xml:space="preserve"> </w:t>
      </w:r>
      <w:r>
        <w:rPr>
          <w:rFonts w:ascii="Arial" w:eastAsia="Arial" w:hAnsi="Arial" w:cs="Arial"/>
        </w:rPr>
        <w:t xml:space="preserve">TRS </w:t>
      </w:r>
      <w:r>
        <w:t>的進一步詳情，請參閱「附錄</w:t>
      </w:r>
      <w:r>
        <w:t xml:space="preserve"> </w:t>
      </w:r>
      <w:r>
        <w:rPr>
          <w:rFonts w:ascii="Arial" w:eastAsia="Arial" w:hAnsi="Arial" w:cs="Arial"/>
        </w:rPr>
        <w:t>C</w:t>
      </w:r>
      <w:r>
        <w:t>：有關金融衍生工具、金融技術及工具以及抵押品管理的額外資料」。</w:t>
      </w:r>
      <w:r>
        <w:t>槓桿手段。在實施本基金的投資策略時，投資管理人預期不會使用銀行借貸。本基金的預期槓桿水平預計將為其資產淨值的</w:t>
      </w:r>
      <w:r>
        <w:t xml:space="preserve"> </w:t>
      </w:r>
      <w:r>
        <w:rPr>
          <w:rFonts w:ascii="Arial" w:eastAsia="Arial" w:hAnsi="Arial" w:cs="Arial"/>
        </w:rPr>
        <w:t>0%</w:t>
      </w:r>
      <w:r>
        <w:t>至</w:t>
      </w:r>
      <w:r>
        <w:t xml:space="preserve"> </w:t>
      </w:r>
      <w:r>
        <w:rPr>
          <w:rFonts w:ascii="Arial" w:eastAsia="Arial" w:hAnsi="Arial" w:cs="Arial"/>
        </w:rPr>
        <w:t>100%</w:t>
      </w:r>
      <w:r>
        <w:t>之間。預期槓桿水平乃按本基金所持金融衍生工具的名義金額總值計算。根據日期為二零一一年五月三十日的盧森堡金融業監管委員會（</w:t>
      </w:r>
      <w:r>
        <w:rPr>
          <w:rFonts w:ascii="Arial" w:eastAsia="Arial" w:hAnsi="Arial" w:cs="Arial"/>
        </w:rPr>
        <w:t>CSSF</w:t>
      </w:r>
      <w:r>
        <w:t>）</w:t>
      </w:r>
      <w:r>
        <w:rPr>
          <w:rFonts w:ascii="Arial" w:eastAsia="Arial" w:hAnsi="Arial" w:cs="Arial"/>
        </w:rPr>
        <w:t xml:space="preserve">11/512 </w:t>
      </w:r>
      <w:r>
        <w:t>號公告，此計算方法並不計及特定金融衍生工具增加或減少</w:t>
      </w:r>
      <w:r>
        <w:lastRenderedPageBreak/>
        <w:t>本基金投資風險的情況，亦不允許以反向持倉對銷金融衍生工具。股東應注意：</w:t>
      </w:r>
      <w:r>
        <w:t xml:space="preserve"> </w:t>
      </w:r>
      <w:r>
        <w:rPr>
          <w:rFonts w:ascii="Arial" w:eastAsia="Arial" w:hAnsi="Arial" w:cs="Arial"/>
        </w:rPr>
        <w:t>(i)</w:t>
      </w:r>
      <w:r>
        <w:t>預期槓桿水平較高不一定表示投資風險水平較高及</w:t>
      </w:r>
      <w:r>
        <w:rPr>
          <w:rFonts w:ascii="Arial" w:eastAsia="Arial" w:hAnsi="Arial" w:cs="Arial"/>
        </w:rPr>
        <w:t>(ii)</w:t>
      </w:r>
      <w:r>
        <w:t>上述預期槓桿水平主要乃由使用衍生工具作對沖用途或有效基金管理</w:t>
      </w:r>
      <w:r>
        <w:t>而產生。此外，本基金的實際槓桿可能會偏離上述的預期槓桿水平。</w:t>
      </w:r>
      <w:r>
        <w:rPr>
          <w:rFonts w:ascii="Arial" w:eastAsia="Arial" w:hAnsi="Arial" w:cs="Arial"/>
          <w:sz w:val="24"/>
        </w:rPr>
        <w:t xml:space="preserve"> </w:t>
      </w:r>
    </w:p>
    <w:p w:rsidR="004D6F0E" w:rsidRDefault="00490F21">
      <w:pPr>
        <w:ind w:left="11" w:right="2"/>
      </w:pPr>
      <w:r>
        <w:t>風險度量。投資管理人將使用風險值（「</w:t>
      </w:r>
      <w:r>
        <w:rPr>
          <w:rFonts w:ascii="Arial" w:eastAsia="Arial" w:hAnsi="Arial" w:cs="Arial"/>
        </w:rPr>
        <w:t>VaR</w:t>
      </w:r>
      <w:r>
        <w:t>」）方法來監測本基金的全球風險（市場風險）。本基金的全球風險乃根據絕對</w:t>
      </w:r>
      <w:r>
        <w:t xml:space="preserve"> </w:t>
      </w:r>
      <w:r>
        <w:rPr>
          <w:rFonts w:ascii="Arial" w:eastAsia="Arial" w:hAnsi="Arial" w:cs="Arial"/>
        </w:rPr>
        <w:t xml:space="preserve">VaR </w:t>
      </w:r>
      <w:r>
        <w:t>方法計算，據此本基金的</w:t>
      </w:r>
      <w:r>
        <w:t xml:space="preserve"> </w:t>
      </w:r>
      <w:r>
        <w:rPr>
          <w:rFonts w:ascii="Arial" w:eastAsia="Arial" w:hAnsi="Arial" w:cs="Arial"/>
        </w:rPr>
        <w:t xml:space="preserve">VaR </w:t>
      </w:r>
      <w:r>
        <w:t>不得超出其資產淨值的</w:t>
      </w:r>
    </w:p>
    <w:p w:rsidR="004D6F0E" w:rsidRDefault="00490F21">
      <w:pPr>
        <w:spacing w:after="217" w:line="250" w:lineRule="auto"/>
        <w:ind w:left="11" w:hanging="10"/>
      </w:pPr>
      <w:r>
        <w:rPr>
          <w:rFonts w:ascii="Arial" w:eastAsia="Arial" w:hAnsi="Arial" w:cs="Arial"/>
        </w:rPr>
        <w:t>20%</w:t>
      </w:r>
      <w:r>
        <w:t>。</w:t>
      </w:r>
      <w:r>
        <w:rPr>
          <w:rFonts w:ascii="Arial" w:eastAsia="Arial" w:hAnsi="Arial" w:cs="Arial"/>
        </w:rPr>
        <w:t xml:space="preserve"> </w:t>
      </w:r>
    </w:p>
    <w:p w:rsidR="004D6F0E" w:rsidRDefault="00490F21">
      <w:pPr>
        <w:ind w:left="11" w:right="2"/>
      </w:pPr>
      <w:r>
        <w:t>基準。本基金的基準為具抵押隔夜融資利率</w:t>
      </w:r>
      <w:r>
        <w:rPr>
          <w:rFonts w:ascii="Arial" w:eastAsia="Arial" w:hAnsi="Arial" w:cs="Arial"/>
        </w:rPr>
        <w:t>(SOFR)</w:t>
      </w:r>
      <w:r>
        <w:t>。本基金利用該基準作表現比較。本基金採取主動式管理，投資管理人於實施本基金投資策略時不受其基準限制。儘管本基金可於若干市況下由投資管理人全權酌情決定持有基準內的絕大部分成分證券，但不會持有基準的每項成分證券，而且亦可持有並非基準一部分的證券。</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8"/>
        <w:ind w:left="11" w:right="2"/>
      </w:pPr>
      <w:r>
        <w:t>其他投資政策</w:t>
      </w:r>
      <w:r>
        <w:rPr>
          <w:rFonts w:ascii="Arial" w:eastAsia="Arial" w:hAnsi="Arial" w:cs="Arial"/>
          <w:b/>
        </w:rPr>
        <w:t xml:space="preserve"> </w:t>
      </w:r>
    </w:p>
    <w:p w:rsidR="004D6F0E" w:rsidRDefault="00490F21">
      <w:pPr>
        <w:spacing w:after="20" w:line="273" w:lineRule="auto"/>
        <w:ind w:left="14" w:right="41"/>
        <w:jc w:val="both"/>
      </w:pPr>
      <w:r>
        <w:t>缺乏流動性。本基金最多可將淨資產的</w:t>
      </w:r>
      <w:r>
        <w:t xml:space="preserve"> </w:t>
      </w:r>
      <w:r>
        <w:rPr>
          <w:rFonts w:ascii="Arial" w:eastAsia="Arial" w:hAnsi="Arial" w:cs="Arial"/>
        </w:rPr>
        <w:t>10%</w:t>
      </w:r>
      <w:r>
        <w:t>投資於缺乏流動性的證券。見第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「投資限制」第</w:t>
      </w:r>
      <w:r>
        <w:rPr>
          <w:rFonts w:ascii="Arial" w:eastAsia="Arial" w:hAnsi="Arial" w:cs="Arial"/>
        </w:rPr>
        <w:t>(5)</w:t>
      </w:r>
      <w:r>
        <w:t>段。本基金可能難以隨時出售該等證券。此外，轉售該等證券可能會有合約限制。此外，其他類別證券須受此</w:t>
      </w:r>
      <w:r>
        <w:t xml:space="preserve"> </w:t>
      </w:r>
      <w:r>
        <w:rPr>
          <w:rFonts w:ascii="Arial" w:eastAsia="Arial" w:hAnsi="Arial" w:cs="Arial"/>
        </w:rPr>
        <w:t>10%</w:t>
      </w:r>
      <w:r>
        <w:t>限制規限。防守性持倉</w:t>
      </w:r>
      <w:r>
        <w:rPr>
          <w:rFonts w:ascii="Arial" w:eastAsia="Arial" w:hAnsi="Arial" w:cs="Arial"/>
          <w:b/>
        </w:rPr>
        <w:t>—</w:t>
      </w:r>
      <w:r>
        <w:t>持有現金或</w:t>
      </w:r>
      <w:r>
        <w:t>現金等價物。作為暫時性的防守策略或為準備資金贖回證券或在預計不同國際市場追加投資，本基金可持有現金或現金等價物及短期固定收益證券（包括貨幣市場工具）。貨幣對沖股份類別</w:t>
      </w:r>
      <w:r>
        <w:rPr>
          <w:rFonts w:ascii="Arial" w:eastAsia="Arial" w:hAnsi="Arial" w:cs="Arial"/>
          <w:sz w:val="24"/>
        </w:rPr>
        <w:t xml:space="preserve"> </w:t>
      </w:r>
    </w:p>
    <w:p w:rsidR="004D6F0E" w:rsidRDefault="00490F21">
      <w:pPr>
        <w:ind w:left="11" w:right="2"/>
      </w:pPr>
      <w:r>
        <w:t>用某種貨幣（各稱「發售貨幣」）發售的一項或多項本基金股份類別可用該發售貨幣對沖。任何此等股份類別將構成「貨幣對沖股份類別」。貨幣對沖股份類別的目的是透過降低本基金基準貨幣（即美元）與相關發售貨幣之間匯率波動的影響，並</w:t>
      </w:r>
    </w:p>
    <w:p w:rsidR="004D6F0E" w:rsidRDefault="004D6F0E">
      <w:pPr>
        <w:sectPr w:rsidR="004D6F0E">
          <w:headerReference w:type="even" r:id="rId242"/>
          <w:headerReference w:type="default" r:id="rId243"/>
          <w:footerReference w:type="even" r:id="rId244"/>
          <w:footerReference w:type="default" r:id="rId245"/>
          <w:headerReference w:type="first" r:id="rId246"/>
          <w:footerReference w:type="first" r:id="rId247"/>
          <w:pgSz w:w="12240" w:h="15840"/>
          <w:pgMar w:top="1440" w:right="675" w:bottom="1440" w:left="432" w:header="720" w:footer="720" w:gutter="0"/>
          <w:cols w:num="2" w:space="720" w:equalWidth="0">
            <w:col w:w="5759" w:space="288"/>
            <w:col w:w="5086"/>
          </w:cols>
          <w:titlePg/>
        </w:sectPr>
      </w:pPr>
    </w:p>
    <w:p w:rsidR="004D6F0E" w:rsidRDefault="00490F21">
      <w:pPr>
        <w:spacing w:after="0" w:line="259" w:lineRule="auto"/>
        <w:ind w:left="0" w:firstLine="0"/>
        <w:jc w:val="both"/>
      </w:pPr>
      <w:r>
        <w:rPr>
          <w:rFonts w:ascii="Times New Roman" w:eastAsia="Times New Roman" w:hAnsi="Times New Roman" w:cs="Times New Roman"/>
        </w:rPr>
        <w:t xml:space="preserve"> </w:t>
      </w:r>
    </w:p>
    <w:p w:rsidR="004D6F0E" w:rsidRDefault="004D6F0E">
      <w:pPr>
        <w:sectPr w:rsidR="004D6F0E">
          <w:type w:val="continuous"/>
          <w:pgSz w:w="12240" w:h="15840"/>
          <w:pgMar w:top="1203" w:right="11761" w:bottom="1440" w:left="432" w:header="720" w:footer="720" w:gutter="0"/>
          <w:cols w:space="720"/>
        </w:sectPr>
      </w:pPr>
    </w:p>
    <w:p w:rsidR="004D6F0E" w:rsidRDefault="00490F21">
      <w:pPr>
        <w:spacing w:after="9" w:line="259" w:lineRule="auto"/>
        <w:ind w:left="0" w:firstLine="0"/>
        <w:jc w:val="both"/>
      </w:pPr>
      <w:r>
        <w:rPr>
          <w:rFonts w:ascii="Arial" w:eastAsia="Arial" w:hAnsi="Arial" w:cs="Arial"/>
          <w:sz w:val="18"/>
        </w:rPr>
        <w:t xml:space="preserve"> </w:t>
      </w:r>
    </w:p>
    <w:p w:rsidR="004D6F0E" w:rsidRDefault="00490F21">
      <w:pPr>
        <w:spacing w:after="0" w:line="259" w:lineRule="auto"/>
        <w:ind w:left="0" w:firstLine="0"/>
        <w:jc w:val="both"/>
      </w:pPr>
      <w:r>
        <w:rPr>
          <w:rFonts w:ascii="Arial" w:eastAsia="Arial" w:hAnsi="Arial" w:cs="Arial"/>
          <w:sz w:val="18"/>
        </w:rPr>
        <w:t xml:space="preserve"> </w:t>
      </w:r>
    </w:p>
    <w:p w:rsidR="004D6F0E" w:rsidRDefault="004D6F0E">
      <w:pPr>
        <w:sectPr w:rsidR="004D6F0E">
          <w:type w:val="continuous"/>
          <w:pgSz w:w="12240" w:h="15840"/>
          <w:pgMar w:top="1203" w:right="679" w:bottom="1440" w:left="11520" w:header="720" w:footer="720" w:gutter="0"/>
          <w:cols w:space="720"/>
        </w:sectPr>
      </w:pPr>
    </w:p>
    <w:p w:rsidR="004D6F0E" w:rsidRDefault="00490F21">
      <w:pPr>
        <w:spacing w:after="152"/>
        <w:ind w:left="11" w:right="2"/>
      </w:pPr>
      <w:r>
        <w:t>計及交易成本等實際考量因素，為投資者提供與本基金基準貨幣回報率更具相關性的回報率。採用的對沖策略在設計上是爲了降低（但未必消除）本基金基準貨幣和發售貨幣之間的貨幣風險。</w:t>
      </w:r>
      <w:r>
        <w:rPr>
          <w:rFonts w:ascii="Arial" w:eastAsia="Arial" w:hAnsi="Arial" w:cs="Arial"/>
          <w:sz w:val="24"/>
        </w:rPr>
        <w:t xml:space="preserve"> </w:t>
      </w:r>
    </w:p>
    <w:p w:rsidR="004D6F0E" w:rsidRDefault="00490F21">
      <w:pPr>
        <w:spacing w:after="198"/>
        <w:ind w:left="11" w:right="2"/>
      </w:pPr>
      <w:r>
        <w:t>貨幣對沖股份類別並不影響本基金所屬資產的投資管理，因為用發售貨幣對沖的只是貨幣對沖股份類別的資產淨值，而非本基金所屬資產。此類對沖活動引起的開支由引起該等開支的貨幣對沖股份類別承擔。</w:t>
      </w:r>
      <w:r>
        <w:rPr>
          <w:rFonts w:ascii="Arial" w:eastAsia="Arial" w:hAnsi="Arial" w:cs="Arial"/>
        </w:rPr>
        <w:t xml:space="preserve"> </w:t>
      </w:r>
    </w:p>
    <w:p w:rsidR="004D6F0E" w:rsidRDefault="00490F21">
      <w:pPr>
        <w:ind w:left="11" w:right="2"/>
      </w:pPr>
      <w:r>
        <w:t>與人民幣對沖股份類別掛鈎的風險因素。自二零零五年起，人民幣匯率不再與美元掛鈎。人民幣現已轉為參照一籃子外幣並基於市場供應及需求，採用受管控浮動匯率制度。人</w:t>
      </w:r>
      <w:r>
        <w:t>民幣於銀行間外匯市場兌其他主要貨幣的每日買賣價可在中國人民銀行公佈的中間價附近窄幅浮動。從離岸人民幣兌換為在岸人民幣的人民幣可兌換性是一個受管控的貨幣流程，須遵守中國政府在與香港金融管理局（香港金管局）的協調下頒佈的外匯管制政策及匯回限制</w:t>
      </w:r>
      <w:r>
        <w:t>。由於多個因素，離岸人民幣的價值可能會與在岸人民幣的價值相異而有關差異可能重大，該等因素包括但不限於中國政府不時</w:t>
      </w:r>
    </w:p>
    <w:p w:rsidR="004D6F0E" w:rsidRDefault="00490F21">
      <w:pPr>
        <w:ind w:left="11" w:right="2"/>
      </w:pPr>
      <w:r>
        <w:t>實施的外匯管制政策及匯回限制以及其他外部市場力量。自二零零五年起，中國政府實施的外匯管制政策已導致人民幣（包括離岸人民幣及在岸人民幣）整體升值。有關升值情況可能</w:t>
      </w:r>
      <w:r>
        <w:t>會亦可能不會持續，且無法保證人民幣不會於未來某個時刻貶值。一旦人民幣貶值，投資者於</w:t>
      </w:r>
      <w:r>
        <w:t xml:space="preserve"> </w:t>
      </w:r>
      <w:r>
        <w:rPr>
          <w:rFonts w:ascii="Arial" w:eastAsia="Arial" w:hAnsi="Arial" w:cs="Arial"/>
        </w:rPr>
        <w:t xml:space="preserve">H </w:t>
      </w:r>
      <w:r>
        <w:t>人民幣股份的投資的價值可能會受到不利影響。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H </w:t>
      </w:r>
      <w:r>
        <w:t>人民幣股份參與離岸人民幣市場，允許投資者在中國內地以外與香港市場內的核准銀行（獲香港金管局核准的銀行）自由交易離岸人民幣。</w:t>
      </w:r>
      <w:r>
        <w:rPr>
          <w:rFonts w:ascii="Arial" w:eastAsia="Arial" w:hAnsi="Arial" w:cs="Arial"/>
        </w:rPr>
        <w:t xml:space="preserve">H </w:t>
      </w:r>
      <w:r>
        <w:t>人民幣股份並無將離岸人民幣轉換為在岸人民幣的要求。</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lastRenderedPageBreak/>
        <w:t>負責任投資。本基金整合</w:t>
      </w:r>
      <w:r>
        <w:t xml:space="preserve"> </w:t>
      </w:r>
      <w:r>
        <w:rPr>
          <w:rFonts w:ascii="Arial" w:eastAsia="Arial" w:hAnsi="Arial" w:cs="Arial"/>
        </w:rPr>
        <w:t xml:space="preserve">ESG </w:t>
      </w:r>
      <w:r>
        <w:t>考慮因素。本基金應用若干排除</w:t>
      </w:r>
      <w:r>
        <w:t xml:space="preserve"> </w:t>
      </w:r>
      <w:r>
        <w:t>條</w:t>
      </w:r>
      <w:r>
        <w:t xml:space="preserve"> </w:t>
      </w:r>
      <w:r>
        <w:t>件</w:t>
      </w:r>
      <w:r>
        <w:t xml:space="preserve"> </w:t>
      </w:r>
      <w:r>
        <w:t>，</w:t>
      </w:r>
      <w:r>
        <w:t xml:space="preserve"> </w:t>
      </w:r>
      <w:r>
        <w:t>詳</w:t>
      </w:r>
      <w:r>
        <w:t xml:space="preserve"> </w:t>
      </w:r>
      <w:r>
        <w:t>情</w:t>
      </w:r>
      <w:r>
        <w:t xml:space="preserve"> </w:t>
      </w:r>
      <w:r>
        <w:t>登</w:t>
      </w:r>
      <w:r>
        <w:t xml:space="preserve"> </w:t>
      </w:r>
      <w:r>
        <w:t>載</w:t>
      </w:r>
      <w:r>
        <w:t xml:space="preserve"> </w:t>
      </w:r>
      <w:r>
        <w:t>於</w:t>
      </w:r>
      <w:r>
        <w:t xml:space="preserve"> </w:t>
      </w:r>
      <w:hyperlink r:id="rId248">
        <w:r>
          <w:rPr>
            <w:rFonts w:ascii="Arial" w:eastAsia="Arial" w:hAnsi="Arial" w:cs="Arial"/>
            <w:color w:val="0000FF"/>
            <w:u w:val="single" w:color="0000FF"/>
          </w:rPr>
          <w:t>www.alliancebernstein.com/go/</w:t>
        </w:r>
      </w:hyperlink>
    </w:p>
    <w:p w:rsidR="004D6F0E" w:rsidRDefault="00490F21">
      <w:pPr>
        <w:spacing w:after="15" w:line="254" w:lineRule="auto"/>
        <w:ind w:left="8" w:hanging="10"/>
      </w:pPr>
      <w:hyperlink r:id="rId249">
        <w:r>
          <w:rPr>
            <w:rFonts w:ascii="Arial" w:eastAsia="Arial" w:hAnsi="Arial" w:cs="Arial"/>
            <w:color w:val="0000FF"/>
            <w:u w:val="single" w:color="0000FF"/>
          </w:rPr>
          <w:t>ABFCPIExclusionChart</w:t>
        </w:r>
      </w:hyperlink>
      <w:hyperlink r:id="rId250">
        <w:r>
          <w:t>。</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本基金為推動環境及社會特徵的基金（</w:t>
      </w:r>
      <w:r>
        <w:rPr>
          <w:rFonts w:ascii="Arial" w:eastAsia="Arial" w:hAnsi="Arial" w:cs="Arial"/>
        </w:rPr>
        <w:t>S</w:t>
      </w:r>
      <w:r>
        <w:rPr>
          <w:rFonts w:ascii="Arial" w:eastAsia="Arial" w:hAnsi="Arial" w:cs="Arial"/>
        </w:rPr>
        <w:t xml:space="preserve">FDR </w:t>
      </w:r>
      <w:r>
        <w:t>第</w:t>
      </w:r>
      <w:r>
        <w:t xml:space="preserve"> </w:t>
      </w:r>
      <w:r>
        <w:rPr>
          <w:rFonts w:ascii="Arial" w:eastAsia="Arial" w:hAnsi="Arial" w:cs="Arial"/>
        </w:rPr>
        <w:t xml:space="preserve">8 </w:t>
      </w:r>
      <w:r>
        <w:t>條；更多資料請參閱「附錄</w:t>
      </w:r>
      <w:r>
        <w:t xml:space="preserve"> </w:t>
      </w:r>
      <w:r>
        <w:rPr>
          <w:rFonts w:ascii="Arial" w:eastAsia="Arial" w:hAnsi="Arial" w:cs="Arial"/>
        </w:rPr>
        <w:t>E</w:t>
      </w:r>
      <w:r>
        <w:t>：</w:t>
      </w:r>
      <w:r>
        <w:rPr>
          <w:rFonts w:ascii="Arial" w:eastAsia="Arial" w:hAnsi="Arial" w:cs="Arial"/>
        </w:rPr>
        <w:t xml:space="preserve">SFDR </w:t>
      </w:r>
      <w:r>
        <w:t>訂約前披露」）。</w:t>
      </w:r>
      <w:r>
        <w:rPr>
          <w:rFonts w:ascii="Arial" w:eastAsia="Arial" w:hAnsi="Arial" w:cs="Arial"/>
        </w:rPr>
        <w:t xml:space="preserve"> </w:t>
      </w:r>
    </w:p>
    <w:p w:rsidR="004D6F0E" w:rsidRDefault="004D6F0E">
      <w:pPr>
        <w:sectPr w:rsidR="004D6F0E">
          <w:type w:val="continuous"/>
          <w:pgSz w:w="12240" w:h="15840"/>
          <w:pgMar w:top="1440" w:right="720" w:bottom="1440" w:left="432" w:header="720" w:footer="720" w:gutter="0"/>
          <w:cols w:num="2" w:space="720" w:equalWidth="0">
            <w:col w:w="5388" w:space="660"/>
            <w:col w:w="5040"/>
          </w:cols>
        </w:sectPr>
      </w:pPr>
    </w:p>
    <w:p w:rsidR="004D6F0E" w:rsidRDefault="00490F21">
      <w:pPr>
        <w:pStyle w:val="Heading3"/>
        <w:spacing w:after="8"/>
        <w:ind w:left="4" w:firstLine="11088"/>
      </w:pPr>
      <w:r>
        <w:rPr>
          <w:rFonts w:ascii="Arial" w:eastAsia="Arial" w:hAnsi="Arial" w:cs="Arial"/>
          <w:sz w:val="18"/>
        </w:rPr>
        <w:lastRenderedPageBreak/>
        <w:t xml:space="preserve"> </w:t>
      </w:r>
      <w:r>
        <w:t>摘要資料</w:t>
      </w:r>
      <w:r>
        <w:rPr>
          <w:rFonts w:ascii="Arial" w:eastAsia="Arial" w:hAnsi="Arial" w:cs="Arial"/>
          <w:sz w:val="19"/>
        </w:rPr>
        <w:t xml:space="preserve"> </w:t>
      </w:r>
    </w:p>
    <w:p w:rsidR="004D6F0E" w:rsidRDefault="00490F21">
      <w:pPr>
        <w:spacing w:after="26" w:line="259" w:lineRule="auto"/>
        <w:ind w:left="0" w:right="-137" w:firstLine="0"/>
      </w:pPr>
      <w:r>
        <w:rPr>
          <w:rFonts w:ascii="Calibri" w:eastAsia="Calibri" w:hAnsi="Calibri" w:cs="Calibri"/>
          <w:noProof/>
          <w:sz w:val="22"/>
        </w:rPr>
        <mc:AlternateContent>
          <mc:Choice Requires="wpg">
            <w:drawing>
              <wp:inline distT="0" distB="0" distL="0" distR="0">
                <wp:extent cx="7159752" cy="18288"/>
                <wp:effectExtent l="0" t="0" r="0" b="0"/>
                <wp:docPr id="559377" name="Group 559377"/>
                <wp:cNvGraphicFramePr/>
                <a:graphic xmlns:a="http://schemas.openxmlformats.org/drawingml/2006/main">
                  <a:graphicData uri="http://schemas.microsoft.com/office/word/2010/wordprocessingGroup">
                    <wpg:wgp>
                      <wpg:cNvGrpSpPr/>
                      <wpg:grpSpPr>
                        <a:xfrm>
                          <a:off x="0" y="0"/>
                          <a:ext cx="7159752" cy="18288"/>
                          <a:chOff x="0" y="0"/>
                          <a:chExt cx="7159752" cy="18288"/>
                        </a:xfrm>
                      </wpg:grpSpPr>
                      <wps:wsp>
                        <wps:cNvPr id="658469" name="Shape 658469"/>
                        <wps:cNvSpPr/>
                        <wps:spPr>
                          <a:xfrm>
                            <a:off x="0" y="0"/>
                            <a:ext cx="7159752" cy="18288"/>
                          </a:xfrm>
                          <a:custGeom>
                            <a:avLst/>
                            <a:gdLst/>
                            <a:ahLst/>
                            <a:cxnLst/>
                            <a:rect l="0" t="0" r="0" b="0"/>
                            <a:pathLst>
                              <a:path w="7159752" h="18288">
                                <a:moveTo>
                                  <a:pt x="0" y="0"/>
                                </a:moveTo>
                                <a:lnTo>
                                  <a:pt x="7159752" y="0"/>
                                </a:lnTo>
                                <a:lnTo>
                                  <a:pt x="71597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377" style="width:563.76pt;height:1.44pt;mso-position-horizontal-relative:char;mso-position-vertical-relative:line" coordsize="71597,182">
                <v:shape id="Shape 658470" style="position:absolute;width:71597;height:182;left:0;top:0;" coordsize="7159752,18288" path="m0,0l7159752,0l7159752,18288l0,18288l0,0">
                  <v:stroke weight="0pt" endcap="flat" joinstyle="miter" miterlimit="10" on="false" color="#000000" opacity="0"/>
                  <v:fill on="true" color="#000000"/>
                </v:shape>
              </v:group>
            </w:pict>
          </mc:Fallback>
        </mc:AlternateContent>
      </w:r>
    </w:p>
    <w:tbl>
      <w:tblPr>
        <w:tblStyle w:val="TableGrid"/>
        <w:tblpPr w:vertAnchor="page" w:horzAnchor="page" w:tblpX="540" w:tblpY="7761"/>
        <w:tblOverlap w:val="never"/>
        <w:tblW w:w="10805" w:type="dxa"/>
        <w:tblInd w:w="0" w:type="dxa"/>
        <w:tblCellMar>
          <w:top w:w="6" w:type="dxa"/>
          <w:left w:w="0" w:type="dxa"/>
          <w:bottom w:w="0" w:type="dxa"/>
          <w:right w:w="0" w:type="dxa"/>
        </w:tblCellMar>
        <w:tblLook w:val="04A0" w:firstRow="1" w:lastRow="0" w:firstColumn="1" w:lastColumn="0" w:noHBand="0" w:noVBand="1"/>
      </w:tblPr>
      <w:tblGrid>
        <w:gridCol w:w="1387"/>
        <w:gridCol w:w="1389"/>
        <w:gridCol w:w="2326"/>
        <w:gridCol w:w="3565"/>
        <w:gridCol w:w="2138"/>
      </w:tblGrid>
      <w:tr w:rsidR="004D6F0E">
        <w:trPr>
          <w:trHeight w:val="7130"/>
        </w:trPr>
        <w:tc>
          <w:tcPr>
            <w:tcW w:w="2721" w:type="dxa"/>
            <w:tcBorders>
              <w:top w:val="nil"/>
              <w:left w:val="nil"/>
              <w:bottom w:val="nil"/>
              <w:right w:val="nil"/>
            </w:tcBorders>
          </w:tcPr>
          <w:p w:rsidR="004D6F0E" w:rsidRDefault="00490F21">
            <w:pPr>
              <w:spacing w:after="22" w:line="259" w:lineRule="auto"/>
              <w:ind w:left="0"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p w:rsidR="004D6F0E" w:rsidRDefault="00490F21">
            <w:pPr>
              <w:spacing w:after="24" w:line="259" w:lineRule="auto"/>
              <w:ind w:left="0"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139" w:line="259" w:lineRule="auto"/>
              <w:ind w:left="0" w:firstLine="0"/>
            </w:pPr>
            <w:r>
              <w:rPr>
                <w:rFonts w:ascii="Arial" w:eastAsia="Arial" w:hAnsi="Arial" w:cs="Arial"/>
                <w:sz w:val="18"/>
              </w:rPr>
              <w:t xml:space="preserve">AA </w:t>
            </w:r>
            <w:r>
              <w:rPr>
                <w:sz w:val="18"/>
              </w:rPr>
              <w:t>類股份</w:t>
            </w:r>
            <w:r>
              <w:rPr>
                <w:rFonts w:ascii="Arial" w:eastAsia="Arial" w:hAnsi="Arial" w:cs="Arial"/>
                <w:sz w:val="18"/>
              </w:rPr>
              <w:t xml:space="preserve"> </w:t>
            </w:r>
          </w:p>
          <w:p w:rsidR="004D6F0E" w:rsidRDefault="00490F21">
            <w:pPr>
              <w:spacing w:after="482" w:line="259" w:lineRule="auto"/>
              <w:ind w:left="0"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p w:rsidR="004D6F0E" w:rsidRDefault="00490F21">
            <w:pPr>
              <w:spacing w:after="387" w:line="259" w:lineRule="auto"/>
              <w:ind w:left="0" w:firstLine="0"/>
            </w:pPr>
            <w:r>
              <w:rPr>
                <w:rFonts w:ascii="Arial" w:eastAsia="Arial" w:hAnsi="Arial" w:cs="Arial"/>
                <w:sz w:val="18"/>
              </w:rPr>
              <w:t xml:space="preserve">EA </w:t>
            </w:r>
            <w:r>
              <w:rPr>
                <w:sz w:val="18"/>
              </w:rPr>
              <w:t>類股份</w:t>
            </w:r>
            <w:r>
              <w:rPr>
                <w:sz w:val="18"/>
              </w:rPr>
              <w:t xml:space="preserve"> </w:t>
            </w:r>
            <w:r>
              <w:rPr>
                <w:rFonts w:ascii="Arial" w:eastAsia="Arial" w:hAnsi="Arial" w:cs="Arial"/>
                <w:sz w:val="18"/>
                <w:vertAlign w:val="superscript"/>
              </w:rPr>
              <w:t>10</w:t>
            </w:r>
            <w:r>
              <w:rPr>
                <w:rFonts w:ascii="Arial" w:eastAsia="Arial" w:hAnsi="Arial" w:cs="Arial"/>
                <w:sz w:val="18"/>
              </w:rPr>
              <w:t xml:space="preserve"> </w:t>
            </w:r>
          </w:p>
          <w:p w:rsidR="004D6F0E" w:rsidRDefault="00490F21">
            <w:pPr>
              <w:spacing w:after="32" w:line="259" w:lineRule="auto"/>
              <w:ind w:left="0"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24" w:line="259" w:lineRule="auto"/>
              <w:ind w:left="0" w:firstLine="0"/>
            </w:pPr>
            <w:r>
              <w:rPr>
                <w:rFonts w:ascii="Arial" w:eastAsia="Arial" w:hAnsi="Arial" w:cs="Arial"/>
                <w:sz w:val="18"/>
              </w:rPr>
              <w:t xml:space="preserve">N2 </w:t>
            </w:r>
            <w:r>
              <w:rPr>
                <w:sz w:val="18"/>
              </w:rPr>
              <w:t>類股份</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NT </w:t>
            </w:r>
            <w:r>
              <w:rPr>
                <w:sz w:val="18"/>
              </w:rPr>
              <w:t>類股份</w:t>
            </w:r>
            <w:r>
              <w:rPr>
                <w:rFonts w:ascii="Arial" w:eastAsia="Arial" w:hAnsi="Arial" w:cs="Arial"/>
                <w:sz w:val="18"/>
              </w:rPr>
              <w:t xml:space="preserve"> </w:t>
            </w:r>
          </w:p>
          <w:p w:rsidR="004D6F0E" w:rsidRDefault="00490F21">
            <w:pPr>
              <w:spacing w:after="54" w:line="259" w:lineRule="auto"/>
              <w:ind w:left="0" w:firstLine="0"/>
            </w:pPr>
            <w:r>
              <w:rPr>
                <w:rFonts w:ascii="Arial" w:eastAsia="Arial" w:hAnsi="Arial" w:cs="Arial"/>
                <w:sz w:val="18"/>
              </w:rPr>
              <w:t xml:space="preserve">S </w:t>
            </w:r>
            <w:r>
              <w:rPr>
                <w:sz w:val="18"/>
              </w:rPr>
              <w:t>類股份</w:t>
            </w:r>
            <w:r>
              <w:rPr>
                <w:sz w:val="18"/>
              </w:rPr>
              <w:t xml:space="preserve"> </w:t>
            </w:r>
            <w:r>
              <w:rPr>
                <w:rFonts w:ascii="Arial" w:eastAsia="Arial" w:hAnsi="Arial" w:cs="Arial"/>
                <w:sz w:val="18"/>
                <w:vertAlign w:val="superscript"/>
              </w:rPr>
              <w:t xml:space="preserve">7 </w:t>
            </w:r>
          </w:p>
          <w:p w:rsidR="004D6F0E" w:rsidRDefault="00490F21">
            <w:pPr>
              <w:spacing w:after="14" w:line="259" w:lineRule="auto"/>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233" w:line="259" w:lineRule="auto"/>
              <w:ind w:left="0" w:firstLine="0"/>
            </w:pPr>
            <w:r>
              <w:rPr>
                <w:rFonts w:ascii="Arial" w:eastAsia="Arial" w:hAnsi="Arial" w:cs="Arial"/>
                <w:sz w:val="18"/>
              </w:rPr>
              <w:t xml:space="preserve">SA </w:t>
            </w:r>
            <w:r>
              <w:rPr>
                <w:sz w:val="18"/>
              </w:rPr>
              <w:t>類股份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410" w:line="259" w:lineRule="auto"/>
              <w:ind w:left="0" w:firstLine="0"/>
            </w:pPr>
            <w:r>
              <w:rPr>
                <w:rFonts w:ascii="Arial" w:eastAsia="Arial" w:hAnsi="Arial" w:cs="Arial"/>
                <w:sz w:val="18"/>
              </w:rPr>
              <w:t xml:space="preserve">AX </w:t>
            </w:r>
            <w:r>
              <w:rPr>
                <w:sz w:val="18"/>
              </w:rPr>
              <w:t>類及</w:t>
            </w:r>
            <w:r>
              <w:rPr>
                <w:sz w:val="18"/>
              </w:rPr>
              <w:t xml:space="preserve"> </w:t>
            </w:r>
            <w:r>
              <w:rPr>
                <w:rFonts w:ascii="Arial" w:eastAsia="Arial" w:hAnsi="Arial" w:cs="Arial"/>
                <w:sz w:val="18"/>
              </w:rPr>
              <w:t xml:space="preserve">A2X </w:t>
            </w:r>
            <w:r>
              <w:rPr>
                <w:sz w:val="18"/>
              </w:rPr>
              <w:t>類股份</w:t>
            </w:r>
            <w:r>
              <w:rPr>
                <w:rFonts w:ascii="Arial" w:eastAsia="Arial" w:hAnsi="Arial" w:cs="Arial"/>
                <w:sz w:val="18"/>
              </w:rPr>
              <w:t xml:space="preserve">† </w:t>
            </w:r>
          </w:p>
          <w:p w:rsidR="004D6F0E" w:rsidRDefault="00490F21">
            <w:pPr>
              <w:spacing w:after="551" w:line="259" w:lineRule="auto"/>
              <w:ind w:left="0" w:firstLine="0"/>
            </w:pPr>
            <w:r>
              <w:rPr>
                <w:rFonts w:ascii="Arial" w:eastAsia="Arial" w:hAnsi="Arial" w:cs="Arial"/>
                <w:sz w:val="18"/>
              </w:rPr>
              <w:t xml:space="preserve">ATX </w:t>
            </w:r>
            <w:r>
              <w:rPr>
                <w:sz w:val="18"/>
              </w:rPr>
              <w:t>類股份</w:t>
            </w:r>
            <w:r>
              <w:rPr>
                <w:rFonts w:ascii="Arial" w:eastAsia="Arial" w:hAnsi="Arial" w:cs="Arial"/>
                <w:sz w:val="18"/>
              </w:rPr>
              <w:t xml:space="preserve">† </w:t>
            </w:r>
          </w:p>
          <w:p w:rsidR="004D6F0E" w:rsidRDefault="00490F21">
            <w:pPr>
              <w:spacing w:after="595" w:line="259" w:lineRule="auto"/>
              <w:ind w:left="0" w:firstLine="0"/>
            </w:pPr>
            <w:r>
              <w:rPr>
                <w:rFonts w:ascii="Arial" w:eastAsia="Arial" w:hAnsi="Arial" w:cs="Arial"/>
                <w:sz w:val="18"/>
              </w:rPr>
              <w:lastRenderedPageBreak/>
              <w:t xml:space="preserve">BX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CX </w:t>
            </w:r>
            <w:r>
              <w:rPr>
                <w:sz w:val="18"/>
              </w:rPr>
              <w:t>類及</w:t>
            </w:r>
            <w:r>
              <w:rPr>
                <w:sz w:val="18"/>
              </w:rPr>
              <w:t xml:space="preserve"> </w:t>
            </w:r>
            <w:r>
              <w:rPr>
                <w:rFonts w:ascii="Arial" w:eastAsia="Arial" w:hAnsi="Arial" w:cs="Arial"/>
                <w:sz w:val="18"/>
              </w:rPr>
              <w:t xml:space="preserve">C2X </w:t>
            </w:r>
            <w:r>
              <w:rPr>
                <w:sz w:val="18"/>
              </w:rPr>
              <w:t>類股份</w:t>
            </w:r>
            <w:r>
              <w:rPr>
                <w:rFonts w:ascii="Arial" w:eastAsia="Arial" w:hAnsi="Arial" w:cs="Arial"/>
                <w:sz w:val="18"/>
              </w:rPr>
              <w:t xml:space="preserve">† </w:t>
            </w:r>
          </w:p>
        </w:tc>
        <w:tc>
          <w:tcPr>
            <w:tcW w:w="1399" w:type="dxa"/>
            <w:tcBorders>
              <w:top w:val="nil"/>
              <w:left w:val="nil"/>
              <w:bottom w:val="nil"/>
              <w:right w:val="nil"/>
            </w:tcBorders>
          </w:tcPr>
          <w:p w:rsidR="004D6F0E" w:rsidRDefault="00490F21">
            <w:pPr>
              <w:spacing w:after="417" w:line="335" w:lineRule="auto"/>
              <w:ind w:left="0" w:right="75" w:firstLine="0"/>
            </w:pPr>
            <w:r>
              <w:rPr>
                <w:sz w:val="18"/>
              </w:rPr>
              <w:lastRenderedPageBreak/>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r>
              <w:rPr>
                <w:sz w:val="18"/>
              </w:rPr>
              <w:t>最高為</w:t>
            </w:r>
            <w:r>
              <w:rPr>
                <w:sz w:val="18"/>
              </w:rPr>
              <w:t xml:space="preserve"> </w:t>
            </w:r>
            <w:r>
              <w:rPr>
                <w:rFonts w:ascii="Arial" w:eastAsia="Arial" w:hAnsi="Arial" w:cs="Arial"/>
                <w:sz w:val="18"/>
              </w:rPr>
              <w:t xml:space="preserve">5.00% </w:t>
            </w:r>
            <w:r>
              <w:rPr>
                <w:sz w:val="18"/>
              </w:rPr>
              <w:t>最高為</w:t>
            </w:r>
            <w:r>
              <w:rPr>
                <w:sz w:val="18"/>
              </w:rPr>
              <w:t xml:space="preserve"> </w:t>
            </w:r>
            <w:r>
              <w:rPr>
                <w:rFonts w:ascii="Arial" w:eastAsia="Arial" w:hAnsi="Arial" w:cs="Arial"/>
                <w:sz w:val="18"/>
              </w:rPr>
              <w:t xml:space="preserve">5.00% </w:t>
            </w:r>
            <w:r>
              <w:rPr>
                <w:sz w:val="18"/>
              </w:rPr>
              <w:t>無</w:t>
            </w:r>
            <w:r>
              <w:rPr>
                <w:rFonts w:ascii="Arial" w:eastAsia="Arial" w:hAnsi="Arial" w:cs="Arial"/>
                <w:sz w:val="18"/>
              </w:rPr>
              <w:t xml:space="preserve"> </w:t>
            </w:r>
          </w:p>
          <w:p w:rsidR="004D6F0E" w:rsidRDefault="00490F21">
            <w:pPr>
              <w:spacing w:after="372" w:line="259" w:lineRule="auto"/>
              <w:ind w:left="456" w:firstLine="0"/>
            </w:pPr>
            <w:r>
              <w:rPr>
                <w:sz w:val="18"/>
              </w:rPr>
              <w:t>無</w:t>
            </w:r>
            <w:r>
              <w:rPr>
                <w:rFonts w:ascii="Arial" w:eastAsia="Arial" w:hAnsi="Arial" w:cs="Arial"/>
                <w:sz w:val="18"/>
              </w:rPr>
              <w:t xml:space="preserve"> </w:t>
            </w:r>
          </w:p>
          <w:p w:rsidR="004D6F0E" w:rsidRDefault="00490F21">
            <w:pPr>
              <w:spacing w:after="359" w:line="319" w:lineRule="auto"/>
              <w:ind w:left="0" w:right="303" w:firstLine="0"/>
            </w:pPr>
            <w:r>
              <w:rPr>
                <w:sz w:val="18"/>
              </w:rPr>
              <w:t>最高為</w:t>
            </w:r>
            <w:r>
              <w:rPr>
                <w:sz w:val="18"/>
              </w:rPr>
              <w:t xml:space="preserve"> </w:t>
            </w:r>
            <w:r>
              <w:rPr>
                <w:rFonts w:ascii="Arial" w:eastAsia="Arial" w:hAnsi="Arial" w:cs="Arial"/>
                <w:sz w:val="18"/>
              </w:rPr>
              <w:t xml:space="preserve">1.50% </w:t>
            </w:r>
            <w:r>
              <w:rPr>
                <w:sz w:val="18"/>
              </w:rPr>
              <w:t>最高為</w:t>
            </w:r>
            <w:r>
              <w:rPr>
                <w:sz w:val="18"/>
              </w:rPr>
              <w:t xml:space="preserve"> </w:t>
            </w:r>
            <w:r>
              <w:rPr>
                <w:rFonts w:ascii="Arial" w:eastAsia="Arial" w:hAnsi="Arial" w:cs="Arial"/>
                <w:sz w:val="18"/>
              </w:rPr>
              <w:t xml:space="preserve">3.00% </w:t>
            </w:r>
            <w:r>
              <w:rPr>
                <w:sz w:val="18"/>
              </w:rPr>
              <w:t>最高為</w:t>
            </w:r>
            <w:r>
              <w:rPr>
                <w:sz w:val="18"/>
              </w:rPr>
              <w:t xml:space="preserve"> </w:t>
            </w:r>
            <w:r>
              <w:rPr>
                <w:rFonts w:ascii="Arial" w:eastAsia="Arial" w:hAnsi="Arial" w:cs="Arial"/>
                <w:sz w:val="18"/>
              </w:rPr>
              <w:t xml:space="preserve">3.00% </w:t>
            </w:r>
            <w:r>
              <w:rPr>
                <w:sz w:val="18"/>
              </w:rPr>
              <w:t>無無無最高為</w:t>
            </w:r>
            <w:r>
              <w:rPr>
                <w:sz w:val="18"/>
              </w:rPr>
              <w:t xml:space="preserve"> </w:t>
            </w:r>
            <w:r>
              <w:rPr>
                <w:rFonts w:ascii="Arial" w:eastAsia="Arial" w:hAnsi="Arial" w:cs="Arial"/>
                <w:sz w:val="18"/>
              </w:rPr>
              <w:t xml:space="preserve">5.00% </w:t>
            </w:r>
          </w:p>
          <w:p w:rsidR="004D6F0E" w:rsidRDefault="00490F21">
            <w:pPr>
              <w:spacing w:after="562"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557" w:line="259" w:lineRule="auto"/>
              <w:ind w:left="187" w:firstLine="0"/>
            </w:pPr>
            <w:r>
              <w:rPr>
                <w:sz w:val="18"/>
              </w:rPr>
              <w:t>不再發售</w:t>
            </w:r>
            <w:r>
              <w:rPr>
                <w:rFonts w:ascii="Arial" w:eastAsia="Arial" w:hAnsi="Arial" w:cs="Arial"/>
                <w:sz w:val="18"/>
              </w:rPr>
              <w:t xml:space="preserve"> </w:t>
            </w:r>
          </w:p>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474" w:type="dxa"/>
            <w:tcBorders>
              <w:top w:val="nil"/>
              <w:left w:val="nil"/>
              <w:bottom w:val="nil"/>
              <w:right w:val="nil"/>
            </w:tcBorders>
          </w:tcPr>
          <w:p w:rsidR="004D6F0E" w:rsidRDefault="00490F21">
            <w:pPr>
              <w:spacing w:after="0" w:line="273" w:lineRule="auto"/>
              <w:ind w:left="888" w:right="512" w:firstLine="0"/>
              <w:jc w:val="center"/>
            </w:pPr>
            <w:r>
              <w:rPr>
                <w:rFonts w:ascii="Arial" w:eastAsia="Arial" w:hAnsi="Arial" w:cs="Arial"/>
                <w:sz w:val="18"/>
              </w:rPr>
              <w:t xml:space="preserve">1.10% 1.10% </w:t>
            </w:r>
          </w:p>
          <w:p w:rsidR="004D6F0E" w:rsidRDefault="00490F21">
            <w:pPr>
              <w:spacing w:after="127" w:line="259" w:lineRule="auto"/>
              <w:ind w:left="328" w:firstLine="0"/>
              <w:jc w:val="center"/>
            </w:pPr>
            <w:r>
              <w:rPr>
                <w:rFonts w:ascii="Arial" w:eastAsia="Arial" w:hAnsi="Arial" w:cs="Arial"/>
                <w:sz w:val="18"/>
              </w:rPr>
              <w:t xml:space="preserve">1.10% </w:t>
            </w:r>
          </w:p>
          <w:p w:rsidR="004D6F0E" w:rsidRDefault="00490F21">
            <w:pPr>
              <w:spacing w:after="480" w:line="259" w:lineRule="auto"/>
              <w:ind w:left="328" w:firstLine="0"/>
              <w:jc w:val="center"/>
            </w:pPr>
            <w:r>
              <w:rPr>
                <w:rFonts w:ascii="Arial" w:eastAsia="Arial" w:hAnsi="Arial" w:cs="Arial"/>
                <w:sz w:val="18"/>
              </w:rPr>
              <w:t xml:space="preserve">1.55% </w:t>
            </w:r>
          </w:p>
          <w:p w:rsidR="004D6F0E" w:rsidRDefault="00490F21">
            <w:pPr>
              <w:spacing w:after="360" w:line="259" w:lineRule="auto"/>
              <w:ind w:left="328" w:firstLine="0"/>
              <w:jc w:val="center"/>
            </w:pPr>
            <w:r>
              <w:rPr>
                <w:rFonts w:ascii="Arial" w:eastAsia="Arial" w:hAnsi="Arial" w:cs="Arial"/>
                <w:sz w:val="18"/>
              </w:rPr>
              <w:t xml:space="preserve">1.10% </w:t>
            </w:r>
          </w:p>
          <w:p w:rsidR="004D6F0E" w:rsidRDefault="00490F21">
            <w:pPr>
              <w:spacing w:after="0" w:line="273" w:lineRule="auto"/>
              <w:ind w:left="888" w:right="512" w:firstLine="0"/>
              <w:jc w:val="center"/>
            </w:pPr>
            <w:r>
              <w:rPr>
                <w:rFonts w:ascii="Arial" w:eastAsia="Arial" w:hAnsi="Arial" w:cs="Arial"/>
                <w:sz w:val="18"/>
              </w:rPr>
              <w:t xml:space="preserve">0.55% 1.65% </w:t>
            </w:r>
          </w:p>
          <w:p w:rsidR="004D6F0E" w:rsidRDefault="00490F21">
            <w:pPr>
              <w:spacing w:after="25" w:line="257" w:lineRule="auto"/>
              <w:ind w:left="1055" w:right="678" w:firstLine="0"/>
              <w:jc w:val="center"/>
            </w:pPr>
            <w:r>
              <w:rPr>
                <w:rFonts w:ascii="Arial" w:eastAsia="Arial" w:hAnsi="Arial" w:cs="Arial"/>
                <w:sz w:val="18"/>
              </w:rPr>
              <w:t xml:space="preserve">1.65% </w:t>
            </w:r>
            <w:r>
              <w:rPr>
                <w:sz w:val="18"/>
              </w:rPr>
              <w:t>無</w:t>
            </w:r>
            <w:r>
              <w:rPr>
                <w:rFonts w:ascii="Arial" w:eastAsia="Arial" w:hAnsi="Arial" w:cs="Arial"/>
                <w:sz w:val="18"/>
              </w:rPr>
              <w:t xml:space="preserve"> </w:t>
            </w:r>
          </w:p>
          <w:p w:rsidR="004D6F0E" w:rsidRDefault="00490F21">
            <w:pPr>
              <w:spacing w:after="6" w:line="260" w:lineRule="auto"/>
              <w:ind w:left="1055" w:right="678" w:firstLine="0"/>
              <w:jc w:val="center"/>
            </w:pPr>
            <w:r>
              <w:rPr>
                <w:rFonts w:ascii="Arial" w:eastAsia="Arial" w:hAnsi="Arial" w:cs="Arial"/>
                <w:sz w:val="18"/>
              </w:rPr>
              <w:t xml:space="preserve">0.50% </w:t>
            </w:r>
            <w:r>
              <w:rPr>
                <w:sz w:val="18"/>
              </w:rPr>
              <w:t>無</w:t>
            </w:r>
            <w:r>
              <w:rPr>
                <w:rFonts w:ascii="Arial" w:eastAsia="Arial" w:hAnsi="Arial" w:cs="Arial"/>
                <w:sz w:val="18"/>
              </w:rPr>
              <w:t xml:space="preserve"> </w:t>
            </w:r>
          </w:p>
          <w:p w:rsidR="004D6F0E" w:rsidRDefault="00490F21">
            <w:pPr>
              <w:spacing w:after="158" w:line="240" w:lineRule="auto"/>
              <w:ind w:left="888" w:right="512" w:firstLine="0"/>
              <w:jc w:val="center"/>
            </w:pPr>
            <w:r>
              <w:rPr>
                <w:rFonts w:ascii="Arial" w:eastAsia="Arial" w:hAnsi="Arial" w:cs="Arial"/>
                <w:sz w:val="18"/>
              </w:rPr>
              <w:t xml:space="preserve">1.05% 1.00% 0.95% 1.05% 1.00% 0.95% </w:t>
            </w:r>
          </w:p>
          <w:p w:rsidR="004D6F0E" w:rsidRDefault="00490F21">
            <w:pPr>
              <w:spacing w:after="157" w:line="241" w:lineRule="auto"/>
              <w:ind w:left="888" w:right="512" w:firstLine="0"/>
              <w:jc w:val="center"/>
            </w:pPr>
            <w:r>
              <w:rPr>
                <w:rFonts w:ascii="Arial" w:eastAsia="Arial" w:hAnsi="Arial" w:cs="Arial"/>
                <w:sz w:val="18"/>
              </w:rPr>
              <w:t xml:space="preserve">1.05% 1.00% 0.95% </w:t>
            </w:r>
          </w:p>
          <w:p w:rsidR="004D6F0E" w:rsidRDefault="00490F21">
            <w:pPr>
              <w:spacing w:after="0" w:line="239" w:lineRule="auto"/>
              <w:ind w:left="888" w:right="512" w:firstLine="0"/>
              <w:jc w:val="center"/>
            </w:pPr>
            <w:r>
              <w:rPr>
                <w:rFonts w:ascii="Arial" w:eastAsia="Arial" w:hAnsi="Arial" w:cs="Arial"/>
                <w:sz w:val="18"/>
              </w:rPr>
              <w:t xml:space="preserve">1.50% 1.45% </w:t>
            </w:r>
          </w:p>
          <w:p w:rsidR="004D6F0E" w:rsidRDefault="00490F21">
            <w:pPr>
              <w:spacing w:after="607" w:line="259" w:lineRule="auto"/>
              <w:ind w:left="328" w:firstLine="0"/>
              <w:jc w:val="center"/>
            </w:pPr>
            <w:r>
              <w:rPr>
                <w:rFonts w:ascii="Arial" w:eastAsia="Arial" w:hAnsi="Arial" w:cs="Arial"/>
                <w:sz w:val="18"/>
              </w:rPr>
              <w:t xml:space="preserve">1.40% </w:t>
            </w:r>
          </w:p>
          <w:p w:rsidR="004D6F0E" w:rsidRDefault="00490F21">
            <w:pPr>
              <w:spacing w:after="0" w:line="259" w:lineRule="auto"/>
              <w:ind w:left="547" w:firstLine="0"/>
              <w:jc w:val="center"/>
            </w:pPr>
            <w:r>
              <w:rPr>
                <w:rFonts w:ascii="Times New Roman" w:eastAsia="Times New Roman" w:hAnsi="Times New Roman" w:cs="Times New Roman"/>
                <w:sz w:val="24"/>
              </w:rPr>
              <w:t xml:space="preserve"> </w:t>
            </w:r>
          </w:p>
        </w:tc>
        <w:tc>
          <w:tcPr>
            <w:tcW w:w="2714" w:type="dxa"/>
            <w:tcBorders>
              <w:top w:val="nil"/>
              <w:left w:val="nil"/>
              <w:bottom w:val="nil"/>
              <w:right w:val="nil"/>
            </w:tcBorders>
          </w:tcPr>
          <w:p w:rsidR="004D6F0E" w:rsidRDefault="00490F21">
            <w:pPr>
              <w:spacing w:after="440" w:line="319" w:lineRule="auto"/>
              <w:ind w:left="1092" w:right="1212" w:firstLine="0"/>
            </w:pPr>
            <w:r>
              <w:rPr>
                <w:sz w:val="18"/>
              </w:rPr>
              <w:t>無無無無</w:t>
            </w:r>
            <w:r>
              <w:rPr>
                <w:rFonts w:ascii="Arial" w:eastAsia="Arial" w:hAnsi="Arial" w:cs="Arial"/>
                <w:sz w:val="18"/>
              </w:rPr>
              <w:t xml:space="preserve"> </w:t>
            </w:r>
          </w:p>
          <w:p w:rsidR="004D6F0E" w:rsidRDefault="00490F21">
            <w:pPr>
              <w:spacing w:after="353" w:line="259" w:lineRule="auto"/>
              <w:ind w:left="926" w:firstLine="0"/>
            </w:pPr>
            <w:r>
              <w:rPr>
                <w:rFonts w:ascii="Arial" w:eastAsia="Arial" w:hAnsi="Arial" w:cs="Arial"/>
                <w:sz w:val="18"/>
              </w:rPr>
              <w:t xml:space="preserve">0.50% </w:t>
            </w:r>
          </w:p>
          <w:p w:rsidR="004D6F0E" w:rsidRDefault="00490F21">
            <w:pPr>
              <w:spacing w:after="353" w:line="312" w:lineRule="auto"/>
              <w:ind w:left="1092" w:right="1212" w:firstLine="0"/>
            </w:pPr>
            <w:r>
              <w:rPr>
                <w:sz w:val="18"/>
              </w:rPr>
              <w:t>無無無無無無無</w:t>
            </w:r>
            <w:r>
              <w:rPr>
                <w:rFonts w:ascii="Arial" w:eastAsia="Arial" w:hAnsi="Arial" w:cs="Arial"/>
                <w:sz w:val="18"/>
              </w:rPr>
              <w:t xml:space="preserve"> </w:t>
            </w:r>
          </w:p>
          <w:p w:rsidR="004D6F0E" w:rsidRDefault="00490F21">
            <w:pPr>
              <w:spacing w:after="569" w:line="259" w:lineRule="auto"/>
              <w:ind w:left="0" w:right="350" w:firstLine="0"/>
              <w:jc w:val="center"/>
            </w:pPr>
            <w:r>
              <w:rPr>
                <w:sz w:val="18"/>
              </w:rPr>
              <w:t>無</w:t>
            </w:r>
            <w:r>
              <w:rPr>
                <w:rFonts w:ascii="Arial" w:eastAsia="Arial" w:hAnsi="Arial" w:cs="Arial"/>
                <w:sz w:val="18"/>
              </w:rPr>
              <w:t xml:space="preserve"> </w:t>
            </w:r>
          </w:p>
          <w:p w:rsidR="004D6F0E" w:rsidRDefault="00490F21">
            <w:pPr>
              <w:spacing w:after="545" w:line="259" w:lineRule="auto"/>
              <w:ind w:left="926" w:firstLine="0"/>
            </w:pPr>
            <w:r>
              <w:rPr>
                <w:rFonts w:ascii="Arial" w:eastAsia="Arial" w:hAnsi="Arial" w:cs="Arial"/>
                <w:sz w:val="18"/>
              </w:rPr>
              <w:t xml:space="preserve">0.45% </w:t>
            </w:r>
          </w:p>
          <w:p w:rsidR="004D6F0E" w:rsidRDefault="00490F21">
            <w:pPr>
              <w:spacing w:after="0" w:line="259" w:lineRule="auto"/>
              <w:ind w:left="0" w:right="350" w:firstLine="0"/>
              <w:jc w:val="center"/>
            </w:pPr>
            <w:r>
              <w:rPr>
                <w:sz w:val="18"/>
              </w:rPr>
              <w:t>無</w:t>
            </w:r>
            <w:r>
              <w:rPr>
                <w:rFonts w:ascii="Arial" w:eastAsia="Arial" w:hAnsi="Arial" w:cs="Arial"/>
                <w:sz w:val="18"/>
              </w:rPr>
              <w:t xml:space="preserve"> </w:t>
            </w:r>
          </w:p>
        </w:tc>
        <w:tc>
          <w:tcPr>
            <w:tcW w:w="1495" w:type="dxa"/>
            <w:tcBorders>
              <w:top w:val="nil"/>
              <w:left w:val="nil"/>
              <w:bottom w:val="nil"/>
              <w:right w:val="nil"/>
            </w:tcBorders>
          </w:tcPr>
          <w:p w:rsidR="004D6F0E" w:rsidRDefault="00490F21">
            <w:pPr>
              <w:spacing w:after="7" w:line="275" w:lineRule="auto"/>
              <w:ind w:left="631" w:right="454" w:firstLine="0"/>
            </w:pPr>
            <w:r>
              <w:rPr>
                <w:sz w:val="18"/>
              </w:rPr>
              <w:t>無無無</w:t>
            </w:r>
            <w:r>
              <w:rPr>
                <w:rFonts w:ascii="Arial" w:eastAsia="Arial" w:hAnsi="Arial" w:cs="Arial"/>
                <w:sz w:val="18"/>
              </w:rPr>
              <w:t xml:space="preserve"> </w:t>
            </w:r>
          </w:p>
          <w:p w:rsidR="004D6F0E" w:rsidRDefault="00490F21">
            <w:pPr>
              <w:spacing w:after="0" w:line="286" w:lineRule="auto"/>
              <w:ind w:left="360"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p w:rsidR="004D6F0E" w:rsidRDefault="00490F21">
            <w:pPr>
              <w:spacing w:after="28"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357" w:line="308" w:lineRule="auto"/>
              <w:ind w:left="632" w:right="245" w:hanging="435"/>
            </w:pPr>
            <w:r>
              <w:rPr>
                <w:rFonts w:ascii="Arial" w:eastAsia="Arial" w:hAnsi="Arial" w:cs="Arial"/>
                <w:sz w:val="18"/>
              </w:rPr>
              <w:t xml:space="preserve">3 </w:t>
            </w:r>
            <w:r>
              <w:rPr>
                <w:sz w:val="18"/>
              </w:rPr>
              <w:t>年以上</w:t>
            </w:r>
            <w:r>
              <w:rPr>
                <w:rFonts w:ascii="Arial" w:eastAsia="Arial" w:hAnsi="Arial" w:cs="Arial"/>
                <w:sz w:val="18"/>
              </w:rPr>
              <w:t xml:space="preserve">=0% </w:t>
            </w:r>
            <w:r>
              <w:rPr>
                <w:sz w:val="18"/>
              </w:rPr>
              <w:t>無無無無無無無</w:t>
            </w:r>
            <w:r>
              <w:rPr>
                <w:rFonts w:ascii="Arial" w:eastAsia="Arial" w:hAnsi="Arial" w:cs="Arial"/>
                <w:sz w:val="18"/>
              </w:rPr>
              <w:t xml:space="preserve"> </w:t>
            </w:r>
          </w:p>
          <w:p w:rsidR="004D6F0E" w:rsidRDefault="00490F21">
            <w:pPr>
              <w:spacing w:after="217" w:line="259" w:lineRule="auto"/>
              <w:ind w:left="0" w:right="52" w:firstLine="0"/>
              <w:jc w:val="center"/>
            </w:pPr>
            <w:r>
              <w:rPr>
                <w:sz w:val="18"/>
              </w:rPr>
              <w:t>無</w:t>
            </w:r>
            <w:r>
              <w:rPr>
                <w:rFonts w:ascii="Arial" w:eastAsia="Arial" w:hAnsi="Arial" w:cs="Arial"/>
                <w:sz w:val="18"/>
              </w:rPr>
              <w:t xml:space="preserve"> </w:t>
            </w:r>
          </w:p>
          <w:p w:rsidR="004D6F0E" w:rsidRDefault="00490F21">
            <w:pPr>
              <w:spacing w:after="28" w:line="259" w:lineRule="auto"/>
              <w:ind w:left="0"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30" w:line="259" w:lineRule="auto"/>
              <w:ind w:left="202"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3" w:line="259" w:lineRule="auto"/>
              <w:ind w:left="202"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0" w:firstLine="197"/>
            </w:pPr>
            <w:r>
              <w:rPr>
                <w:rFonts w:ascii="Arial" w:eastAsia="Arial" w:hAnsi="Arial" w:cs="Arial"/>
                <w:sz w:val="18"/>
              </w:rPr>
              <w:t xml:space="preserve">3 </w:t>
            </w:r>
            <w:r>
              <w:rPr>
                <w:sz w:val="18"/>
              </w:rPr>
              <w:t>年以上</w:t>
            </w:r>
            <w:r>
              <w:rPr>
                <w:rFonts w:ascii="Arial" w:eastAsia="Arial" w:hAnsi="Arial" w:cs="Arial"/>
                <w:sz w:val="18"/>
              </w:rPr>
              <w:t xml:space="preserve">=0% </w:t>
            </w: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bl>
    <w:p w:rsidR="004D6F0E" w:rsidRDefault="00490F21">
      <w:pPr>
        <w:ind w:left="117" w:right="2"/>
      </w:pPr>
      <w:r>
        <w:t>基金特色</w:t>
      </w:r>
      <w:r>
        <w:rPr>
          <w:rFonts w:ascii="Arial" w:eastAsia="Arial" w:hAnsi="Arial" w:cs="Arial"/>
          <w:sz w:val="24"/>
        </w:rPr>
        <w:t xml:space="preserve"> </w:t>
      </w:r>
    </w:p>
    <w:tbl>
      <w:tblPr>
        <w:tblStyle w:val="TableGrid"/>
        <w:tblW w:w="11107" w:type="dxa"/>
        <w:tblInd w:w="108" w:type="dxa"/>
        <w:tblCellMar>
          <w:top w:w="27" w:type="dxa"/>
          <w:left w:w="0" w:type="dxa"/>
          <w:bottom w:w="0" w:type="dxa"/>
          <w:right w:w="0" w:type="dxa"/>
        </w:tblCellMar>
        <w:tblLook w:val="04A0" w:firstRow="1" w:lastRow="0" w:firstColumn="1" w:lastColumn="0" w:noHBand="0" w:noVBand="1"/>
      </w:tblPr>
      <w:tblGrid>
        <w:gridCol w:w="1618"/>
        <w:gridCol w:w="7265"/>
        <w:gridCol w:w="431"/>
        <w:gridCol w:w="4873"/>
      </w:tblGrid>
      <w:tr w:rsidR="004D6F0E">
        <w:trPr>
          <w:trHeight w:val="4967"/>
        </w:trPr>
        <w:tc>
          <w:tcPr>
            <w:tcW w:w="1668" w:type="dxa"/>
            <w:tcBorders>
              <w:top w:val="nil"/>
              <w:left w:val="nil"/>
              <w:bottom w:val="nil"/>
              <w:right w:val="nil"/>
            </w:tcBorders>
          </w:tcPr>
          <w:p w:rsidR="004D6F0E" w:rsidRDefault="00490F21">
            <w:pPr>
              <w:spacing w:after="0" w:line="259" w:lineRule="auto"/>
              <w:ind w:left="0" w:firstLine="0"/>
            </w:pPr>
            <w:r>
              <w:rPr>
                <w:sz w:val="18"/>
              </w:rPr>
              <w:lastRenderedPageBreak/>
              <w:t>基金貨幣</w:t>
            </w:r>
            <w:r>
              <w:rPr>
                <w:rFonts w:ascii="Arial" w:eastAsia="Arial" w:hAnsi="Arial" w:cs="Arial"/>
                <w:sz w:val="24"/>
              </w:rPr>
              <w:t xml:space="preserve"> </w:t>
            </w:r>
          </w:p>
          <w:p w:rsidR="004D6F0E" w:rsidRDefault="00490F21">
            <w:pPr>
              <w:spacing w:after="14"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sz w:val="18"/>
              </w:rPr>
              <w:t>資產淨值計算</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資產淨值公佈</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 w:line="259" w:lineRule="auto"/>
              <w:ind w:left="0" w:firstLine="0"/>
            </w:pPr>
            <w:r>
              <w:rPr>
                <w:sz w:val="18"/>
              </w:rPr>
              <w:t>股份類別名稱</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92" w:line="239" w:lineRule="auto"/>
              <w:ind w:left="0" w:right="1618" w:firstLine="0"/>
            </w:pPr>
            <w:r>
              <w:rPr>
                <w:rFonts w:ascii="Arial" w:eastAsia="Arial" w:hAnsi="Arial" w:cs="Arial"/>
                <w:sz w:val="18"/>
              </w:rPr>
              <w:t xml:space="preserve">  </w:t>
            </w:r>
          </w:p>
          <w:p w:rsidR="004D6F0E" w:rsidRDefault="00490F21">
            <w:pPr>
              <w:spacing w:after="0" w:line="259" w:lineRule="auto"/>
              <w:ind w:left="0" w:firstLine="0"/>
            </w:pPr>
            <w:r>
              <w:rPr>
                <w:sz w:val="18"/>
              </w:rPr>
              <w:t>指示截止時間</w:t>
            </w:r>
            <w:r>
              <w:rPr>
                <w:rFonts w:ascii="Arial" w:eastAsia="Arial" w:hAnsi="Arial" w:cs="Arial"/>
                <w:sz w:val="18"/>
              </w:rPr>
              <w:t xml:space="preserve"> </w:t>
            </w:r>
          </w:p>
        </w:tc>
        <w:tc>
          <w:tcPr>
            <w:tcW w:w="4567" w:type="dxa"/>
            <w:tcBorders>
              <w:top w:val="nil"/>
              <w:left w:val="nil"/>
              <w:bottom w:val="nil"/>
              <w:right w:val="nil"/>
            </w:tcBorders>
          </w:tcPr>
          <w:p w:rsidR="004D6F0E" w:rsidRDefault="00490F21">
            <w:pPr>
              <w:spacing w:after="0" w:line="261" w:lineRule="auto"/>
              <w:ind w:left="247" w:right="221" w:firstLine="0"/>
            </w:pPr>
            <w:r>
              <w:rPr>
                <w:sz w:val="18"/>
              </w:rPr>
              <w:t>美元</w:t>
            </w:r>
            <w:r>
              <w:rPr>
                <w:rFonts w:ascii="Arial" w:eastAsia="Arial" w:hAnsi="Arial" w:cs="Arial"/>
                <w:sz w:val="24"/>
              </w:rPr>
              <w:t xml:space="preserve"> </w:t>
            </w:r>
            <w:r>
              <w:rPr>
                <w:rFonts w:ascii="Arial" w:eastAsia="Arial" w:hAnsi="Arial" w:cs="Arial"/>
                <w:sz w:val="24"/>
              </w:rPr>
              <w:tab/>
            </w:r>
            <w:r>
              <w:rPr>
                <w:rFonts w:ascii="Arial" w:eastAsia="Arial" w:hAnsi="Arial" w:cs="Arial"/>
                <w:sz w:val="18"/>
              </w:rPr>
              <w:t xml:space="preserve">  </w:t>
            </w:r>
            <w:r>
              <w:rPr>
                <w:rFonts w:ascii="Arial" w:eastAsia="Arial" w:hAnsi="Arial" w:cs="Arial"/>
                <w:sz w:val="18"/>
              </w:rPr>
              <w:tab/>
              <w:t xml:space="preserve"> </w:t>
            </w:r>
            <w:r>
              <w:rPr>
                <w:sz w:val="18"/>
              </w:rPr>
              <w:t>每個營業日</w:t>
            </w:r>
            <w:r>
              <w:rPr>
                <w:rFonts w:ascii="Arial" w:eastAsia="Arial" w:hAnsi="Arial" w:cs="Arial"/>
                <w:sz w:val="24"/>
              </w:rPr>
              <w:t xml:space="preserve"> </w:t>
            </w:r>
          </w:p>
          <w:p w:rsidR="004D6F0E" w:rsidRDefault="00490F21">
            <w:pPr>
              <w:spacing w:after="0" w:line="261" w:lineRule="auto"/>
              <w:ind w:left="0" w:right="221" w:firstLine="0"/>
              <w:jc w:val="right"/>
            </w:pPr>
            <w:r>
              <w:rPr>
                <w:rFonts w:ascii="Arial" w:eastAsia="Arial" w:hAnsi="Arial" w:cs="Arial"/>
                <w:sz w:val="18"/>
              </w:rPr>
              <w:t xml:space="preserve"> </w:t>
            </w:r>
            <w:r>
              <w:rPr>
                <w:rFonts w:ascii="Arial" w:eastAsia="Arial" w:hAnsi="Arial" w:cs="Arial"/>
                <w:sz w:val="18"/>
              </w:rPr>
              <w:tab/>
              <w:t xml:space="preserve"> </w:t>
            </w:r>
            <w:r>
              <w:rPr>
                <w:sz w:val="18"/>
              </w:rPr>
              <w:t>可在</w:t>
            </w:r>
            <w:r>
              <w:rPr>
                <w:sz w:val="18"/>
              </w:rPr>
              <w:t xml:space="preserve"> </w:t>
            </w:r>
            <w:hyperlink r:id="rId251">
              <w:r>
                <w:rPr>
                  <w:rFonts w:ascii="Arial" w:eastAsia="Arial" w:hAnsi="Arial" w:cs="Arial"/>
                  <w:color w:val="0000FF"/>
                  <w:u w:val="single" w:color="0000FF"/>
                </w:rPr>
                <w:t>www.alliancebernstein.com</w:t>
              </w:r>
            </w:hyperlink>
            <w:r>
              <w:rPr>
                <w:rFonts w:ascii="Arial" w:eastAsia="Arial" w:hAnsi="Arial" w:cs="Arial"/>
                <w:color w:val="0000FF"/>
                <w:u w:val="single" w:color="0000FF"/>
              </w:rPr>
              <w:t xml:space="preserve"> </w:t>
            </w:r>
            <w:hyperlink r:id="rId252">
              <w:r>
                <w:rPr>
                  <w:sz w:val="18"/>
                </w:rPr>
                <w:t>查</w:t>
              </w:r>
            </w:hyperlink>
            <w:r>
              <w:rPr>
                <w:sz w:val="18"/>
              </w:rPr>
              <w:t>閱</w:t>
            </w:r>
            <w:r>
              <w:rPr>
                <w:rFonts w:ascii="Arial" w:eastAsia="Arial" w:hAnsi="Arial" w:cs="Arial"/>
                <w:sz w:val="18"/>
              </w:rPr>
              <w:t xml:space="preserve"> </w:t>
            </w:r>
          </w:p>
          <w:p w:rsidR="004D6F0E" w:rsidRDefault="00490F21">
            <w:pPr>
              <w:spacing w:after="0" w:line="259" w:lineRule="auto"/>
              <w:ind w:left="247" w:firstLine="0"/>
            </w:pPr>
            <w:r>
              <w:rPr>
                <w:rFonts w:ascii="Arial" w:eastAsia="Arial" w:hAnsi="Arial" w:cs="Arial"/>
                <w:i/>
                <w:sz w:val="18"/>
              </w:rPr>
              <w:t xml:space="preserve"> </w:t>
            </w:r>
          </w:p>
          <w:p w:rsidR="004D6F0E" w:rsidRDefault="00490F21">
            <w:pPr>
              <w:spacing w:after="0" w:line="278" w:lineRule="auto"/>
              <w:ind w:left="247" w:right="562" w:firstLine="0"/>
              <w:jc w:val="both"/>
            </w:pPr>
            <w:r>
              <w:rPr>
                <w:rFonts w:ascii="Arial" w:eastAsia="Arial" w:hAnsi="Arial" w:cs="Arial"/>
                <w:sz w:val="18"/>
              </w:rPr>
              <w:t xml:space="preserve">H </w:t>
            </w:r>
            <w:r>
              <w:rPr>
                <w:sz w:val="18"/>
              </w:rPr>
              <w:t>代表貨幣對沖股份類別。欲進一步了解股份類別對沖詳情，請參閱第</w:t>
            </w:r>
            <w:r>
              <w:rPr>
                <w:sz w:val="18"/>
              </w:rPr>
              <w:t xml:space="preserve"> </w:t>
            </w:r>
            <w:r>
              <w:rPr>
                <w:rFonts w:ascii="Arial" w:eastAsia="Arial" w:hAnsi="Arial" w:cs="Arial"/>
                <w:sz w:val="18"/>
              </w:rPr>
              <w:t xml:space="preserve">II </w:t>
            </w:r>
            <w:r>
              <w:rPr>
                <w:sz w:val="18"/>
              </w:rPr>
              <w:t>部分「如何購買股份</w:t>
            </w:r>
            <w:r>
              <w:rPr>
                <w:rFonts w:ascii="Arial" w:eastAsia="Arial" w:hAnsi="Arial" w:cs="Arial"/>
                <w:sz w:val="18"/>
              </w:rPr>
              <w:t xml:space="preserve"> – </w:t>
            </w:r>
            <w:r>
              <w:rPr>
                <w:sz w:val="18"/>
              </w:rPr>
              <w:t>貨幣對沖股份類別」和「風險因素</w:t>
            </w:r>
            <w:r>
              <w:rPr>
                <w:rFonts w:ascii="Arial" w:eastAsia="Arial" w:hAnsi="Arial" w:cs="Arial"/>
                <w:sz w:val="18"/>
              </w:rPr>
              <w:t xml:space="preserve"> – </w:t>
            </w:r>
            <w:r>
              <w:rPr>
                <w:sz w:val="18"/>
              </w:rPr>
              <w:t>貨幣對沖股份類別風險」。</w:t>
            </w:r>
            <w:r>
              <w:rPr>
                <w:rFonts w:ascii="Arial" w:eastAsia="Arial" w:hAnsi="Arial" w:cs="Arial"/>
                <w:sz w:val="18"/>
              </w:rPr>
              <w:t xml:space="preserve"> </w:t>
            </w:r>
          </w:p>
          <w:p w:rsidR="004D6F0E" w:rsidRDefault="00490F21">
            <w:pPr>
              <w:spacing w:after="0" w:line="259" w:lineRule="auto"/>
              <w:ind w:left="247" w:firstLine="0"/>
            </w:pPr>
            <w:r>
              <w:rPr>
                <w:rFonts w:ascii="Arial" w:eastAsia="Arial" w:hAnsi="Arial" w:cs="Arial"/>
                <w:i/>
                <w:sz w:val="18"/>
              </w:rPr>
              <w:t xml:space="preserve"> </w:t>
            </w:r>
          </w:p>
          <w:p w:rsidR="004D6F0E" w:rsidRDefault="00490F21">
            <w:pPr>
              <w:spacing w:after="7" w:line="257" w:lineRule="auto"/>
              <w:ind w:left="235" w:firstLine="0"/>
            </w:pPr>
            <w:r>
              <w:t>美元計價股份類別、歐元計價股份類別、港元計價股份類別及新加坡元計價股份類別</w:t>
            </w:r>
            <w:r>
              <w:rPr>
                <w:rFonts w:ascii="Arial" w:eastAsia="Arial" w:hAnsi="Arial" w:cs="Arial"/>
                <w:i/>
                <w:sz w:val="18"/>
              </w:rPr>
              <w:t xml:space="preserve"> </w:t>
            </w:r>
          </w:p>
          <w:p w:rsidR="004D6F0E" w:rsidRDefault="00490F21">
            <w:pPr>
              <w:spacing w:after="10" w:line="259" w:lineRule="auto"/>
              <w:ind w:left="247" w:firstLine="0"/>
            </w:pPr>
            <w:r>
              <w:rPr>
                <w:sz w:val="18"/>
              </w:rPr>
              <w:t>美國東部時間各營業日下午</w:t>
            </w:r>
            <w:r>
              <w:rPr>
                <w:sz w:val="18"/>
              </w:rPr>
              <w:t xml:space="preserve"> </w:t>
            </w:r>
            <w:r>
              <w:rPr>
                <w:rFonts w:ascii="Arial" w:eastAsia="Arial" w:hAnsi="Arial" w:cs="Arial"/>
                <w:sz w:val="18"/>
              </w:rPr>
              <w:t xml:space="preserve">4:00 </w:t>
            </w:r>
          </w:p>
          <w:p w:rsidR="004D6F0E" w:rsidRDefault="00490F21">
            <w:pPr>
              <w:spacing w:after="0" w:line="259" w:lineRule="auto"/>
              <w:ind w:left="247" w:firstLine="0"/>
            </w:pPr>
            <w:r>
              <w:rPr>
                <w:rFonts w:ascii="Arial" w:eastAsia="Arial" w:hAnsi="Arial" w:cs="Arial"/>
                <w:i/>
                <w:sz w:val="18"/>
              </w:rPr>
              <w:t xml:space="preserve"> </w:t>
            </w:r>
          </w:p>
          <w:p w:rsidR="004D6F0E" w:rsidRDefault="00490F21">
            <w:pPr>
              <w:spacing w:line="259" w:lineRule="auto"/>
              <w:ind w:left="235" w:firstLine="0"/>
            </w:pPr>
            <w:r>
              <w:t>貨幣對沖股份類別及日圓計價股份類別</w:t>
            </w:r>
            <w:r>
              <w:rPr>
                <w:rFonts w:ascii="Arial" w:eastAsia="Arial" w:hAnsi="Arial" w:cs="Arial"/>
                <w:i/>
                <w:sz w:val="18"/>
              </w:rPr>
              <w:t xml:space="preserve"> </w:t>
            </w:r>
          </w:p>
          <w:p w:rsidR="004D6F0E" w:rsidRDefault="00490F21">
            <w:pPr>
              <w:spacing w:after="15" w:line="259" w:lineRule="auto"/>
              <w:ind w:left="247" w:firstLine="0"/>
            </w:pPr>
            <w:r>
              <w:rPr>
                <w:sz w:val="18"/>
              </w:rPr>
              <w:t>歐洲中部時間各營業日下午</w:t>
            </w:r>
            <w:r>
              <w:rPr>
                <w:sz w:val="18"/>
              </w:rPr>
              <w:t xml:space="preserve"> </w:t>
            </w:r>
            <w:r>
              <w:rPr>
                <w:rFonts w:ascii="Arial" w:eastAsia="Arial" w:hAnsi="Arial" w:cs="Arial"/>
                <w:sz w:val="18"/>
              </w:rPr>
              <w:t xml:space="preserve">6:00 </w:t>
            </w:r>
          </w:p>
          <w:p w:rsidR="004D6F0E" w:rsidRDefault="00490F21">
            <w:pPr>
              <w:spacing w:after="0" w:line="259" w:lineRule="auto"/>
              <w:ind w:left="247" w:firstLine="0"/>
            </w:pPr>
            <w:r>
              <w:rPr>
                <w:rFonts w:ascii="Arial" w:eastAsia="Arial" w:hAnsi="Arial" w:cs="Arial"/>
                <w:sz w:val="18"/>
              </w:rPr>
              <w:t xml:space="preserve"> </w:t>
            </w:r>
          </w:p>
          <w:p w:rsidR="004D6F0E" w:rsidRDefault="00490F21">
            <w:pPr>
              <w:spacing w:after="2" w:line="259" w:lineRule="auto"/>
              <w:ind w:left="235" w:firstLine="0"/>
            </w:pPr>
            <w:r>
              <w:t>人民幣對沖股份類別</w:t>
            </w:r>
            <w:r>
              <w:rPr>
                <w:rFonts w:ascii="Arial" w:eastAsia="Arial" w:hAnsi="Arial" w:cs="Arial"/>
                <w:i/>
                <w:sz w:val="18"/>
              </w:rPr>
              <w:t xml:space="preserve"> </w:t>
            </w:r>
          </w:p>
          <w:p w:rsidR="004D6F0E" w:rsidRDefault="00490F21">
            <w:pPr>
              <w:spacing w:after="15" w:line="259" w:lineRule="auto"/>
              <w:ind w:left="247" w:firstLine="0"/>
            </w:pPr>
            <w:r>
              <w:rPr>
                <w:sz w:val="18"/>
              </w:rPr>
              <w:t>歐洲中部時間各營業日下午</w:t>
            </w:r>
            <w:r>
              <w:rPr>
                <w:sz w:val="18"/>
              </w:rPr>
              <w:t xml:space="preserve"> </w:t>
            </w:r>
            <w:r>
              <w:rPr>
                <w:rFonts w:ascii="Arial" w:eastAsia="Arial" w:hAnsi="Arial" w:cs="Arial"/>
                <w:sz w:val="18"/>
              </w:rPr>
              <w:t xml:space="preserve">1:00 </w:t>
            </w:r>
          </w:p>
          <w:p w:rsidR="004D6F0E" w:rsidRDefault="00490F21">
            <w:pPr>
              <w:spacing w:after="0" w:line="259" w:lineRule="auto"/>
              <w:ind w:left="247" w:firstLine="0"/>
            </w:pPr>
            <w:r>
              <w:rPr>
                <w:rFonts w:ascii="Arial" w:eastAsia="Arial" w:hAnsi="Arial" w:cs="Arial"/>
                <w:sz w:val="18"/>
              </w:rPr>
              <w:t xml:space="preserve"> </w:t>
            </w:r>
          </w:p>
        </w:tc>
        <w:tc>
          <w:tcPr>
            <w:tcW w:w="1200" w:type="dxa"/>
            <w:tcBorders>
              <w:top w:val="nil"/>
              <w:left w:val="nil"/>
              <w:bottom w:val="nil"/>
              <w:right w:val="nil"/>
            </w:tcBorders>
          </w:tcPr>
          <w:p w:rsidR="004D6F0E" w:rsidRDefault="00490F21">
            <w:pPr>
              <w:spacing w:after="7" w:line="259" w:lineRule="auto"/>
              <w:ind w:left="0" w:firstLine="0"/>
            </w:pPr>
            <w:r>
              <w:rPr>
                <w:sz w:val="18"/>
              </w:rPr>
              <w:t>派息</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tc>
        <w:tc>
          <w:tcPr>
            <w:tcW w:w="3672" w:type="dxa"/>
            <w:tcBorders>
              <w:top w:val="nil"/>
              <w:left w:val="nil"/>
              <w:bottom w:val="nil"/>
              <w:right w:val="nil"/>
            </w:tcBorders>
          </w:tcPr>
          <w:p w:rsidR="004D6F0E" w:rsidRDefault="00490F21">
            <w:pPr>
              <w:spacing w:after="0" w:line="264" w:lineRule="auto"/>
              <w:ind w:left="0" w:firstLine="12"/>
            </w:pPr>
            <w:r>
              <w:rPr>
                <w:rFonts w:ascii="Arial" w:eastAsia="Arial" w:hAnsi="Arial" w:cs="Arial"/>
                <w:i/>
                <w:sz w:val="18"/>
              </w:rPr>
              <w:t>A</w:t>
            </w:r>
            <w:r>
              <w:t>、</w:t>
            </w:r>
            <w:r>
              <w:rPr>
                <w:rFonts w:ascii="Arial" w:eastAsia="Arial" w:hAnsi="Arial" w:cs="Arial"/>
                <w:i/>
                <w:sz w:val="18"/>
              </w:rPr>
              <w:t>AX</w:t>
            </w:r>
            <w:r>
              <w:t>、</w:t>
            </w:r>
            <w:r>
              <w:rPr>
                <w:rFonts w:ascii="Arial" w:eastAsia="Arial" w:hAnsi="Arial" w:cs="Arial"/>
                <w:i/>
                <w:sz w:val="18"/>
              </w:rPr>
              <w:t>BX</w:t>
            </w:r>
            <w:r>
              <w:t>、</w:t>
            </w:r>
            <w:r>
              <w:rPr>
                <w:rFonts w:ascii="Arial" w:eastAsia="Arial" w:hAnsi="Arial" w:cs="Arial"/>
                <w:i/>
                <w:sz w:val="18"/>
              </w:rPr>
              <w:t>C</w:t>
            </w:r>
            <w:r>
              <w:t>、</w:t>
            </w:r>
            <w:r>
              <w:rPr>
                <w:rFonts w:ascii="Arial" w:eastAsia="Arial" w:hAnsi="Arial" w:cs="Arial"/>
                <w:i/>
                <w:sz w:val="18"/>
              </w:rPr>
              <w:t>CX</w:t>
            </w:r>
            <w:r>
              <w:t>、</w:t>
            </w:r>
            <w:r>
              <w:rPr>
                <w:rFonts w:ascii="Arial" w:eastAsia="Arial" w:hAnsi="Arial" w:cs="Arial"/>
                <w:i/>
                <w:sz w:val="18"/>
              </w:rPr>
              <w:t>I</w:t>
            </w:r>
            <w:r>
              <w:t>、</w:t>
            </w:r>
            <w:r>
              <w:rPr>
                <w:rFonts w:ascii="Arial" w:eastAsia="Arial" w:hAnsi="Arial" w:cs="Arial"/>
                <w:i/>
                <w:sz w:val="18"/>
              </w:rPr>
              <w:t>IX</w:t>
            </w:r>
            <w:r>
              <w:t>、</w:t>
            </w:r>
            <w:r>
              <w:rPr>
                <w:rFonts w:ascii="Arial" w:eastAsia="Arial" w:hAnsi="Arial" w:cs="Arial"/>
                <w:i/>
                <w:sz w:val="18"/>
              </w:rPr>
              <w:t xml:space="preserve">S </w:t>
            </w:r>
            <w:r>
              <w:t>及</w:t>
            </w:r>
            <w:r>
              <w:rPr>
                <w:rFonts w:ascii="Arial" w:eastAsia="Arial" w:hAnsi="Arial" w:cs="Arial"/>
                <w:i/>
                <w:sz w:val="18"/>
              </w:rPr>
              <w:t xml:space="preserve">S1X </w:t>
            </w:r>
            <w:r>
              <w:t>類股份</w:t>
            </w:r>
            <w:r>
              <w:rPr>
                <w:rFonts w:ascii="Arial" w:eastAsia="Arial" w:hAnsi="Arial" w:cs="Arial"/>
                <w:i/>
                <w:sz w:val="18"/>
              </w:rPr>
              <w:t xml:space="preserve"> </w:t>
            </w:r>
          </w:p>
          <w:p w:rsidR="004D6F0E" w:rsidRDefault="00490F21">
            <w:pPr>
              <w:spacing w:line="259" w:lineRule="auto"/>
              <w:ind w:left="12" w:firstLine="0"/>
            </w:pPr>
            <w:r>
              <w:rPr>
                <w:sz w:val="18"/>
              </w:rPr>
              <w:t>每日宣派，按月派付</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0" w:line="270" w:lineRule="auto"/>
              <w:ind w:left="12" w:firstLine="0"/>
            </w:pPr>
            <w:r>
              <w:rPr>
                <w:rFonts w:ascii="Arial" w:eastAsia="Arial" w:hAnsi="Arial" w:cs="Arial"/>
                <w:i/>
                <w:sz w:val="18"/>
              </w:rPr>
              <w:t>AT</w:t>
            </w:r>
            <w:r>
              <w:t>、</w:t>
            </w:r>
            <w:r>
              <w:rPr>
                <w:rFonts w:ascii="Arial" w:eastAsia="Arial" w:hAnsi="Arial" w:cs="Arial"/>
                <w:i/>
                <w:sz w:val="18"/>
              </w:rPr>
              <w:t>ATX</w:t>
            </w:r>
            <w:r>
              <w:t>、</w:t>
            </w:r>
            <w:r>
              <w:rPr>
                <w:rFonts w:ascii="Arial" w:eastAsia="Arial" w:hAnsi="Arial" w:cs="Arial"/>
                <w:i/>
                <w:sz w:val="18"/>
              </w:rPr>
              <w:t>IT</w:t>
            </w:r>
            <w:r>
              <w:t>、</w:t>
            </w:r>
            <w:r>
              <w:rPr>
                <w:rFonts w:ascii="Arial" w:eastAsia="Arial" w:hAnsi="Arial" w:cs="Arial"/>
                <w:i/>
                <w:sz w:val="18"/>
              </w:rPr>
              <w:t>NT</w:t>
            </w:r>
            <w:r>
              <w:t>及</w:t>
            </w:r>
            <w:r>
              <w:rPr>
                <w:rFonts w:ascii="Arial" w:eastAsia="Arial" w:hAnsi="Arial" w:cs="Arial"/>
                <w:i/>
                <w:sz w:val="18"/>
              </w:rPr>
              <w:t>ZT</w:t>
            </w:r>
            <w:r>
              <w:t>類股份</w:t>
            </w:r>
            <w:r>
              <w:rPr>
                <w:sz w:val="18"/>
              </w:rPr>
              <w:t>按月宣派及派付</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0" w:line="259" w:lineRule="auto"/>
              <w:ind w:left="12" w:firstLine="0"/>
            </w:pPr>
            <w:r>
              <w:rPr>
                <w:rFonts w:ascii="Arial" w:eastAsia="Arial" w:hAnsi="Arial" w:cs="Arial"/>
                <w:i/>
                <w:sz w:val="18"/>
              </w:rPr>
              <w:t>AA</w:t>
            </w:r>
            <w:r>
              <w:t>、</w:t>
            </w:r>
            <w:r>
              <w:rPr>
                <w:rFonts w:ascii="Arial" w:eastAsia="Arial" w:hAnsi="Arial" w:cs="Arial"/>
                <w:i/>
                <w:sz w:val="18"/>
              </w:rPr>
              <w:t>EA</w:t>
            </w:r>
            <w:r>
              <w:t>及</w:t>
            </w:r>
            <w:r>
              <w:rPr>
                <w:rFonts w:ascii="Arial" w:eastAsia="Arial" w:hAnsi="Arial" w:cs="Arial"/>
                <w:i/>
                <w:sz w:val="18"/>
              </w:rPr>
              <w:t>SA</w:t>
            </w:r>
            <w:r>
              <w:t>類股份</w:t>
            </w:r>
            <w:r>
              <w:rPr>
                <w:rFonts w:ascii="Arial" w:eastAsia="Arial" w:hAnsi="Arial" w:cs="Arial"/>
                <w:i/>
                <w:sz w:val="18"/>
              </w:rPr>
              <w:t xml:space="preserve"> </w:t>
            </w:r>
          </w:p>
          <w:p w:rsidR="004D6F0E" w:rsidRDefault="00490F21">
            <w:pPr>
              <w:spacing w:after="0" w:line="268" w:lineRule="auto"/>
              <w:ind w:left="12" w:firstLine="0"/>
            </w:pPr>
            <w:r>
              <w:rPr>
                <w:sz w:val="18"/>
              </w:rPr>
              <w:t>按月宣派及派付，派息率來自於總收入（扣除費用及開支前）</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0" w:line="259" w:lineRule="auto"/>
              <w:ind w:left="12" w:firstLine="0"/>
            </w:pPr>
            <w:r>
              <w:rPr>
                <w:rFonts w:ascii="Arial" w:eastAsia="Arial" w:hAnsi="Arial" w:cs="Arial"/>
                <w:i/>
                <w:sz w:val="18"/>
              </w:rPr>
              <w:t>AR</w:t>
            </w:r>
            <w:r>
              <w:t>類股份</w:t>
            </w:r>
            <w:r>
              <w:rPr>
                <w:rFonts w:ascii="Arial" w:eastAsia="Arial" w:hAnsi="Arial" w:cs="Arial"/>
                <w:i/>
                <w:sz w:val="18"/>
              </w:rPr>
              <w:t xml:space="preserve"> </w:t>
            </w:r>
          </w:p>
          <w:p w:rsidR="004D6F0E" w:rsidRDefault="00490F21">
            <w:pPr>
              <w:spacing w:after="0"/>
              <w:ind w:left="12" w:firstLine="0"/>
            </w:pPr>
            <w:r>
              <w:rPr>
                <w:sz w:val="18"/>
              </w:rPr>
              <w:t>按年宣派及派付，派息率來自於總收入（扣除費用及開支前）</w:t>
            </w:r>
            <w:r>
              <w:rPr>
                <w:rFonts w:ascii="Arial" w:eastAsia="Arial" w:hAnsi="Arial" w:cs="Arial"/>
                <w:sz w:val="18"/>
              </w:rPr>
              <w:t xml:space="preserve"> </w:t>
            </w:r>
          </w:p>
          <w:p w:rsidR="004D6F0E" w:rsidRDefault="00490F21">
            <w:pPr>
              <w:spacing w:after="0" w:line="259" w:lineRule="auto"/>
              <w:ind w:left="12" w:firstLine="0"/>
            </w:pPr>
            <w:r>
              <w:rPr>
                <w:rFonts w:ascii="Arial" w:eastAsia="Arial" w:hAnsi="Arial" w:cs="Arial"/>
                <w:sz w:val="18"/>
              </w:rPr>
              <w:t xml:space="preserve"> </w:t>
            </w:r>
          </w:p>
          <w:p w:rsidR="004D6F0E" w:rsidRDefault="00490F21">
            <w:pPr>
              <w:spacing w:after="4" w:line="256" w:lineRule="auto"/>
              <w:ind w:left="0" w:firstLine="12"/>
            </w:pPr>
            <w:r>
              <w:rPr>
                <w:rFonts w:ascii="Arial" w:eastAsia="Arial" w:hAnsi="Arial" w:cs="Arial"/>
                <w:i/>
                <w:sz w:val="18"/>
              </w:rPr>
              <w:t>A2</w:t>
            </w:r>
            <w:r>
              <w:t>、</w:t>
            </w:r>
            <w:r>
              <w:rPr>
                <w:rFonts w:ascii="Arial" w:eastAsia="Arial" w:hAnsi="Arial" w:cs="Arial"/>
                <w:i/>
                <w:sz w:val="18"/>
              </w:rPr>
              <w:t>A2X</w:t>
            </w:r>
            <w:r>
              <w:t>、</w:t>
            </w:r>
            <w:r>
              <w:rPr>
                <w:rFonts w:ascii="Arial" w:eastAsia="Arial" w:hAnsi="Arial" w:cs="Arial"/>
                <w:i/>
                <w:sz w:val="18"/>
              </w:rPr>
              <w:t>C2</w:t>
            </w:r>
            <w:r>
              <w:t>、</w:t>
            </w:r>
            <w:r>
              <w:rPr>
                <w:rFonts w:ascii="Arial" w:eastAsia="Arial" w:hAnsi="Arial" w:cs="Arial"/>
                <w:i/>
                <w:sz w:val="18"/>
              </w:rPr>
              <w:t>C2X</w:t>
            </w:r>
            <w:r>
              <w:t>、</w:t>
            </w:r>
            <w:r>
              <w:rPr>
                <w:rFonts w:ascii="Arial" w:eastAsia="Arial" w:hAnsi="Arial" w:cs="Arial"/>
                <w:i/>
                <w:sz w:val="18"/>
              </w:rPr>
              <w:t>I2</w:t>
            </w:r>
            <w:r>
              <w:t>、</w:t>
            </w:r>
            <w:r>
              <w:rPr>
                <w:rFonts w:ascii="Arial" w:eastAsia="Arial" w:hAnsi="Arial" w:cs="Arial"/>
                <w:i/>
                <w:sz w:val="18"/>
              </w:rPr>
              <w:t>I2X</w:t>
            </w:r>
            <w:r>
              <w:t>、</w:t>
            </w:r>
            <w:r>
              <w:rPr>
                <w:rFonts w:ascii="Arial" w:eastAsia="Arial" w:hAnsi="Arial" w:cs="Arial"/>
                <w:i/>
                <w:sz w:val="18"/>
              </w:rPr>
              <w:t>N2</w:t>
            </w:r>
            <w:r>
              <w:t>、</w:t>
            </w:r>
            <w:r>
              <w:rPr>
                <w:rFonts w:ascii="Arial" w:eastAsia="Arial" w:hAnsi="Arial" w:cs="Arial"/>
                <w:i/>
                <w:sz w:val="18"/>
              </w:rPr>
              <w:t>S1</w:t>
            </w:r>
            <w:r>
              <w:t>及</w:t>
            </w:r>
            <w:r>
              <w:rPr>
                <w:rFonts w:ascii="Arial" w:eastAsia="Arial" w:hAnsi="Arial" w:cs="Arial"/>
                <w:i/>
                <w:sz w:val="18"/>
              </w:rPr>
              <w:t xml:space="preserve">S2 </w:t>
            </w:r>
            <w:r>
              <w:t>類股份</w:t>
            </w:r>
            <w:r>
              <w:rPr>
                <w:rFonts w:ascii="Arial" w:eastAsia="Arial" w:hAnsi="Arial" w:cs="Arial"/>
                <w:i/>
                <w:sz w:val="18"/>
              </w:rPr>
              <w:t xml:space="preserve"> </w:t>
            </w:r>
          </w:p>
          <w:p w:rsidR="004D6F0E" w:rsidRDefault="00490F21">
            <w:pPr>
              <w:spacing w:after="7" w:line="259" w:lineRule="auto"/>
              <w:ind w:left="12" w:firstLine="0"/>
            </w:pPr>
            <w:r>
              <w:rPr>
                <w:sz w:val="18"/>
              </w:rPr>
              <w:t>無。</w:t>
            </w:r>
            <w:r>
              <w:rPr>
                <w:rFonts w:ascii="Arial" w:eastAsia="Arial" w:hAnsi="Arial" w:cs="Arial"/>
                <w:sz w:val="18"/>
              </w:rPr>
              <w:t xml:space="preserve"> </w:t>
            </w:r>
          </w:p>
          <w:p w:rsidR="004D6F0E" w:rsidRDefault="00490F21">
            <w:pPr>
              <w:spacing w:after="17" w:line="259" w:lineRule="auto"/>
              <w:ind w:left="12" w:firstLine="0"/>
            </w:pPr>
            <w:r>
              <w:rPr>
                <w:rFonts w:ascii="Arial" w:eastAsia="Arial" w:hAnsi="Arial" w:cs="Arial"/>
                <w:sz w:val="18"/>
              </w:rPr>
              <w:t xml:space="preserve"> </w:t>
            </w:r>
          </w:p>
          <w:p w:rsidR="004D6F0E" w:rsidRDefault="00490F21">
            <w:pPr>
              <w:spacing w:after="0" w:line="259" w:lineRule="auto"/>
              <w:ind w:left="12" w:firstLine="0"/>
            </w:pPr>
            <w:r>
              <w:rPr>
                <w:sz w:val="18"/>
              </w:rPr>
              <w:t>見下文「派息」。</w:t>
            </w:r>
            <w:r>
              <w:rPr>
                <w:rFonts w:ascii="Arial" w:eastAsia="Arial" w:hAnsi="Arial" w:cs="Arial"/>
                <w:i/>
                <w:sz w:val="24"/>
              </w:rPr>
              <w:t xml:space="preserve"> </w:t>
            </w:r>
          </w:p>
          <w:p w:rsidR="004D6F0E" w:rsidRDefault="00490F21">
            <w:pPr>
              <w:spacing w:after="0" w:line="259" w:lineRule="auto"/>
              <w:ind w:left="12" w:firstLine="0"/>
            </w:pPr>
            <w:r>
              <w:rPr>
                <w:rFonts w:ascii="Arial" w:eastAsia="Arial" w:hAnsi="Arial" w:cs="Arial"/>
                <w:i/>
                <w:sz w:val="18"/>
              </w:rPr>
              <w:t xml:space="preserve"> </w:t>
            </w:r>
          </w:p>
          <w:p w:rsidR="004D6F0E" w:rsidRDefault="00490F21">
            <w:pPr>
              <w:spacing w:after="0" w:line="259" w:lineRule="auto"/>
              <w:ind w:left="12" w:firstLine="0"/>
            </w:pPr>
            <w:r>
              <w:rPr>
                <w:rFonts w:ascii="Arial" w:eastAsia="Arial" w:hAnsi="Arial" w:cs="Arial"/>
                <w:sz w:val="18"/>
              </w:rPr>
              <w:t>*</w:t>
            </w:r>
            <w:r>
              <w:rPr>
                <w:sz w:val="18"/>
              </w:rPr>
              <w:t>包括對沖股份類別</w:t>
            </w:r>
            <w:r>
              <w:rPr>
                <w:rFonts w:ascii="Arial" w:eastAsia="Arial" w:hAnsi="Arial" w:cs="Arial"/>
                <w:i/>
                <w:sz w:val="18"/>
              </w:rPr>
              <w:t xml:space="preserve"> </w:t>
            </w:r>
          </w:p>
        </w:tc>
      </w:tr>
    </w:tbl>
    <w:p w:rsidR="004D6F0E" w:rsidRDefault="00490F21">
      <w:pPr>
        <w:spacing w:after="0" w:line="259" w:lineRule="auto"/>
        <w:ind w:left="4022" w:firstLine="0"/>
        <w:jc w:val="center"/>
      </w:pPr>
      <w:r>
        <w:rPr>
          <w:rFonts w:ascii="Arial" w:eastAsia="Arial" w:hAnsi="Arial" w:cs="Arial"/>
          <w:sz w:val="18"/>
        </w:rPr>
        <w:t xml:space="preserve"> </w:t>
      </w:r>
    </w:p>
    <w:p w:rsidR="004D6F0E" w:rsidRDefault="00490F21">
      <w:pPr>
        <w:spacing w:after="0" w:line="259" w:lineRule="auto"/>
        <w:ind w:left="-7" w:right="-130" w:firstLine="0"/>
      </w:pPr>
      <w:r>
        <w:rPr>
          <w:rFonts w:ascii="Calibri" w:eastAsia="Calibri" w:hAnsi="Calibri" w:cs="Calibri"/>
          <w:noProof/>
          <w:sz w:val="22"/>
        </w:rPr>
        <mc:AlternateContent>
          <mc:Choice Requires="wpg">
            <w:drawing>
              <wp:inline distT="0" distB="0" distL="0" distR="0">
                <wp:extent cx="7159752" cy="335280"/>
                <wp:effectExtent l="0" t="0" r="0" b="0"/>
                <wp:docPr id="559378" name="Group 559378"/>
                <wp:cNvGraphicFramePr/>
                <a:graphic xmlns:a="http://schemas.openxmlformats.org/drawingml/2006/main">
                  <a:graphicData uri="http://schemas.microsoft.com/office/word/2010/wordprocessingGroup">
                    <wpg:wgp>
                      <wpg:cNvGrpSpPr/>
                      <wpg:grpSpPr>
                        <a:xfrm>
                          <a:off x="0" y="0"/>
                          <a:ext cx="7159752" cy="335280"/>
                          <a:chOff x="0" y="0"/>
                          <a:chExt cx="7159752" cy="335280"/>
                        </a:xfrm>
                      </wpg:grpSpPr>
                      <wps:wsp>
                        <wps:cNvPr id="40903" name="Rectangle 40903"/>
                        <wps:cNvSpPr/>
                        <wps:spPr>
                          <a:xfrm>
                            <a:off x="73152" y="36485"/>
                            <a:ext cx="1370193" cy="152019"/>
                          </a:xfrm>
                          <a:prstGeom prst="rect">
                            <a:avLst/>
                          </a:prstGeom>
                          <a:ln>
                            <a:noFill/>
                          </a:ln>
                        </wps:spPr>
                        <wps:txbx>
                          <w:txbxContent>
                            <w:p w:rsidR="004D6F0E" w:rsidRDefault="00490F21">
                              <w:pPr>
                                <w:spacing w:after="160" w:line="259" w:lineRule="auto"/>
                                <w:ind w:left="0" w:firstLine="0"/>
                              </w:pPr>
                              <w:r>
                                <w:rPr>
                                  <w:sz w:val="18"/>
                                </w:rPr>
                                <w:t>股份類別費用及收費</w:t>
                              </w:r>
                            </w:p>
                          </w:txbxContent>
                        </wps:txbx>
                        <wps:bodyPr horzOverflow="overflow" vert="horz" lIns="0" tIns="0" rIns="0" bIns="0" rtlCol="0">
                          <a:noAutofit/>
                        </wps:bodyPr>
                      </wps:wsp>
                      <wps:wsp>
                        <wps:cNvPr id="40904" name="Rectangle 40904"/>
                        <wps:cNvSpPr/>
                        <wps:spPr>
                          <a:xfrm>
                            <a:off x="1132332" y="34441"/>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1</w:t>
                              </w:r>
                            </w:p>
                          </w:txbxContent>
                        </wps:txbx>
                        <wps:bodyPr horzOverflow="overflow" vert="horz" lIns="0" tIns="0" rIns="0" bIns="0" rtlCol="0">
                          <a:noAutofit/>
                        </wps:bodyPr>
                      </wps:wsp>
                      <wps:wsp>
                        <wps:cNvPr id="40905" name="Rectangle 40905"/>
                        <wps:cNvSpPr/>
                        <wps:spPr>
                          <a:xfrm>
                            <a:off x="1173480" y="40363"/>
                            <a:ext cx="44515" cy="150510"/>
                          </a:xfrm>
                          <a:prstGeom prst="rect">
                            <a:avLst/>
                          </a:prstGeom>
                          <a:ln>
                            <a:noFill/>
                          </a:ln>
                        </wps:spPr>
                        <wps:txbx>
                          <w:txbxContent>
                            <w:p w:rsidR="004D6F0E" w:rsidRDefault="00490F21">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658473" name="Shape 65847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74" name="Shape 658474"/>
                        <wps:cNvSpPr/>
                        <wps:spPr>
                          <a:xfrm>
                            <a:off x="457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75" name="Shape 658475"/>
                        <wps:cNvSpPr/>
                        <wps:spPr>
                          <a:xfrm>
                            <a:off x="22860" y="0"/>
                            <a:ext cx="1197864" cy="18288"/>
                          </a:xfrm>
                          <a:custGeom>
                            <a:avLst/>
                            <a:gdLst/>
                            <a:ahLst/>
                            <a:cxnLst/>
                            <a:rect l="0" t="0" r="0" b="0"/>
                            <a:pathLst>
                              <a:path w="1197864" h="18288">
                                <a:moveTo>
                                  <a:pt x="0" y="0"/>
                                </a:moveTo>
                                <a:lnTo>
                                  <a:pt x="1197864" y="0"/>
                                </a:lnTo>
                                <a:lnTo>
                                  <a:pt x="1197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76" name="Shape 658476"/>
                        <wps:cNvSpPr/>
                        <wps:spPr>
                          <a:xfrm>
                            <a:off x="12207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77" name="Shape 658477"/>
                        <wps:cNvSpPr/>
                        <wps:spPr>
                          <a:xfrm>
                            <a:off x="1239012" y="0"/>
                            <a:ext cx="2552700" cy="18288"/>
                          </a:xfrm>
                          <a:custGeom>
                            <a:avLst/>
                            <a:gdLst/>
                            <a:ahLst/>
                            <a:cxnLst/>
                            <a:rect l="0" t="0" r="0" b="0"/>
                            <a:pathLst>
                              <a:path w="2552700" h="18288">
                                <a:moveTo>
                                  <a:pt x="0" y="0"/>
                                </a:moveTo>
                                <a:lnTo>
                                  <a:pt x="2552700" y="0"/>
                                </a:lnTo>
                                <a:lnTo>
                                  <a:pt x="25527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78" name="Shape 658478"/>
                        <wps:cNvSpPr/>
                        <wps:spPr>
                          <a:xfrm>
                            <a:off x="37917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79" name="Shape 658479"/>
                        <wps:cNvSpPr/>
                        <wps:spPr>
                          <a:xfrm>
                            <a:off x="3810000" y="0"/>
                            <a:ext cx="153924" cy="18288"/>
                          </a:xfrm>
                          <a:custGeom>
                            <a:avLst/>
                            <a:gdLst/>
                            <a:ahLst/>
                            <a:cxnLst/>
                            <a:rect l="0" t="0" r="0" b="0"/>
                            <a:pathLst>
                              <a:path w="153924" h="18288">
                                <a:moveTo>
                                  <a:pt x="0" y="0"/>
                                </a:moveTo>
                                <a:lnTo>
                                  <a:pt x="153924" y="0"/>
                                </a:lnTo>
                                <a:lnTo>
                                  <a:pt x="15392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80" name="Shape 658480"/>
                        <wps:cNvSpPr/>
                        <wps:spPr>
                          <a:xfrm>
                            <a:off x="396392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81" name="Shape 658481"/>
                        <wps:cNvSpPr/>
                        <wps:spPr>
                          <a:xfrm>
                            <a:off x="3982212" y="0"/>
                            <a:ext cx="751332" cy="18288"/>
                          </a:xfrm>
                          <a:custGeom>
                            <a:avLst/>
                            <a:gdLst/>
                            <a:ahLst/>
                            <a:cxnLst/>
                            <a:rect l="0" t="0" r="0" b="0"/>
                            <a:pathLst>
                              <a:path w="751332" h="18288">
                                <a:moveTo>
                                  <a:pt x="0" y="0"/>
                                </a:moveTo>
                                <a:lnTo>
                                  <a:pt x="751332" y="0"/>
                                </a:lnTo>
                                <a:lnTo>
                                  <a:pt x="7513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82" name="Shape 658482"/>
                        <wps:cNvSpPr/>
                        <wps:spPr>
                          <a:xfrm>
                            <a:off x="47335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83" name="Shape 658483"/>
                        <wps:cNvSpPr/>
                        <wps:spPr>
                          <a:xfrm>
                            <a:off x="4751832" y="0"/>
                            <a:ext cx="2407920" cy="18288"/>
                          </a:xfrm>
                          <a:custGeom>
                            <a:avLst/>
                            <a:gdLst/>
                            <a:ahLst/>
                            <a:cxnLst/>
                            <a:rect l="0" t="0" r="0" b="0"/>
                            <a:pathLst>
                              <a:path w="2407920" h="18288">
                                <a:moveTo>
                                  <a:pt x="0" y="0"/>
                                </a:moveTo>
                                <a:lnTo>
                                  <a:pt x="2407920" y="0"/>
                                </a:lnTo>
                                <a:lnTo>
                                  <a:pt x="24079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8" name="Rectangle 40918"/>
                        <wps:cNvSpPr/>
                        <wps:spPr>
                          <a:xfrm>
                            <a:off x="1827276" y="185839"/>
                            <a:ext cx="760095" cy="152019"/>
                          </a:xfrm>
                          <a:prstGeom prst="rect">
                            <a:avLst/>
                          </a:prstGeom>
                          <a:ln>
                            <a:noFill/>
                          </a:ln>
                        </wps:spPr>
                        <wps:txbx>
                          <w:txbxContent>
                            <w:p w:rsidR="004D6F0E" w:rsidRDefault="00490F21">
                              <w:pPr>
                                <w:spacing w:after="160" w:line="259" w:lineRule="auto"/>
                                <w:ind w:left="0" w:firstLine="0"/>
                              </w:pPr>
                              <w:r>
                                <w:rPr>
                                  <w:sz w:val="18"/>
                                </w:rPr>
                                <w:t>首次銷售費</w:t>
                              </w:r>
                            </w:p>
                          </w:txbxContent>
                        </wps:txbx>
                        <wps:bodyPr horzOverflow="overflow" vert="horz" lIns="0" tIns="0" rIns="0" bIns="0" rtlCol="0">
                          <a:noAutofit/>
                        </wps:bodyPr>
                      </wps:wsp>
                      <wps:wsp>
                        <wps:cNvPr id="40919" name="Rectangle 40919"/>
                        <wps:cNvSpPr/>
                        <wps:spPr>
                          <a:xfrm>
                            <a:off x="2429256"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3</w:t>
                              </w:r>
                            </w:p>
                          </w:txbxContent>
                        </wps:txbx>
                        <wps:bodyPr horzOverflow="overflow" vert="horz" lIns="0" tIns="0" rIns="0" bIns="0" rtlCol="0">
                          <a:noAutofit/>
                        </wps:bodyPr>
                      </wps:wsp>
                      <wps:wsp>
                        <wps:cNvPr id="40920" name="Rectangle 40920"/>
                        <wps:cNvSpPr/>
                        <wps:spPr>
                          <a:xfrm>
                            <a:off x="2470404"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486" name="Shape 658486"/>
                        <wps:cNvSpPr/>
                        <wps:spPr>
                          <a:xfrm>
                            <a:off x="1487424" y="329184"/>
                            <a:ext cx="1322845" cy="9144"/>
                          </a:xfrm>
                          <a:custGeom>
                            <a:avLst/>
                            <a:gdLst/>
                            <a:ahLst/>
                            <a:cxnLst/>
                            <a:rect l="0" t="0" r="0" b="0"/>
                            <a:pathLst>
                              <a:path w="1322845" h="9144">
                                <a:moveTo>
                                  <a:pt x="0" y="0"/>
                                </a:moveTo>
                                <a:lnTo>
                                  <a:pt x="1322845" y="0"/>
                                </a:lnTo>
                                <a:lnTo>
                                  <a:pt x="13228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2" name="Rectangle 40922"/>
                        <wps:cNvSpPr/>
                        <wps:spPr>
                          <a:xfrm>
                            <a:off x="3372612" y="185839"/>
                            <a:ext cx="456057" cy="152019"/>
                          </a:xfrm>
                          <a:prstGeom prst="rect">
                            <a:avLst/>
                          </a:prstGeom>
                          <a:ln>
                            <a:noFill/>
                          </a:ln>
                        </wps:spPr>
                        <wps:txbx>
                          <w:txbxContent>
                            <w:p w:rsidR="004D6F0E" w:rsidRDefault="00490F21">
                              <w:pPr>
                                <w:spacing w:after="160" w:line="259" w:lineRule="auto"/>
                                <w:ind w:left="0" w:firstLine="0"/>
                              </w:pPr>
                              <w:r>
                                <w:rPr>
                                  <w:sz w:val="18"/>
                                </w:rPr>
                                <w:t>管理費</w:t>
                              </w:r>
                            </w:p>
                          </w:txbxContent>
                        </wps:txbx>
                        <wps:bodyPr horzOverflow="overflow" vert="horz" lIns="0" tIns="0" rIns="0" bIns="0" rtlCol="0">
                          <a:noAutofit/>
                        </wps:bodyPr>
                      </wps:wsp>
                      <wps:wsp>
                        <wps:cNvPr id="40923" name="Rectangle 40923"/>
                        <wps:cNvSpPr/>
                        <wps:spPr>
                          <a:xfrm>
                            <a:off x="3745992"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4</w:t>
                              </w:r>
                            </w:p>
                          </w:txbxContent>
                        </wps:txbx>
                        <wps:bodyPr horzOverflow="overflow" vert="horz" lIns="0" tIns="0" rIns="0" bIns="0" rtlCol="0">
                          <a:noAutofit/>
                        </wps:bodyPr>
                      </wps:wsp>
                      <wps:wsp>
                        <wps:cNvPr id="40924" name="Rectangle 40924"/>
                        <wps:cNvSpPr/>
                        <wps:spPr>
                          <a:xfrm>
                            <a:off x="3787140"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489" name="Shape 658489"/>
                        <wps:cNvSpPr/>
                        <wps:spPr>
                          <a:xfrm>
                            <a:off x="2918460" y="329184"/>
                            <a:ext cx="1322845" cy="9144"/>
                          </a:xfrm>
                          <a:custGeom>
                            <a:avLst/>
                            <a:gdLst/>
                            <a:ahLst/>
                            <a:cxnLst/>
                            <a:rect l="0" t="0" r="0" b="0"/>
                            <a:pathLst>
                              <a:path w="1322845" h="9144">
                                <a:moveTo>
                                  <a:pt x="0" y="0"/>
                                </a:moveTo>
                                <a:lnTo>
                                  <a:pt x="1322845" y="0"/>
                                </a:lnTo>
                                <a:lnTo>
                                  <a:pt x="13228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6" name="Rectangle 40926"/>
                        <wps:cNvSpPr/>
                        <wps:spPr>
                          <a:xfrm>
                            <a:off x="4805172" y="185839"/>
                            <a:ext cx="456057" cy="152019"/>
                          </a:xfrm>
                          <a:prstGeom prst="rect">
                            <a:avLst/>
                          </a:prstGeom>
                          <a:ln>
                            <a:noFill/>
                          </a:ln>
                        </wps:spPr>
                        <wps:txbx>
                          <w:txbxContent>
                            <w:p w:rsidR="004D6F0E" w:rsidRDefault="00490F21">
                              <w:pPr>
                                <w:spacing w:after="160" w:line="259" w:lineRule="auto"/>
                                <w:ind w:left="0" w:firstLine="0"/>
                              </w:pPr>
                              <w:r>
                                <w:rPr>
                                  <w:sz w:val="18"/>
                                </w:rPr>
                                <w:t>分銷費</w:t>
                              </w:r>
                            </w:p>
                          </w:txbxContent>
                        </wps:txbx>
                        <wps:bodyPr horzOverflow="overflow" vert="horz" lIns="0" tIns="0" rIns="0" bIns="0" rtlCol="0">
                          <a:noAutofit/>
                        </wps:bodyPr>
                      </wps:wsp>
                      <wps:wsp>
                        <wps:cNvPr id="40927" name="Rectangle 40927"/>
                        <wps:cNvSpPr/>
                        <wps:spPr>
                          <a:xfrm>
                            <a:off x="5178552"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5</w:t>
                              </w:r>
                            </w:p>
                          </w:txbxContent>
                        </wps:txbx>
                        <wps:bodyPr horzOverflow="overflow" vert="horz" lIns="0" tIns="0" rIns="0" bIns="0" rtlCol="0">
                          <a:noAutofit/>
                        </wps:bodyPr>
                      </wps:wsp>
                      <wps:wsp>
                        <wps:cNvPr id="40928" name="Rectangle 40928"/>
                        <wps:cNvSpPr/>
                        <wps:spPr>
                          <a:xfrm>
                            <a:off x="5219700"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492" name="Shape 658492"/>
                        <wps:cNvSpPr/>
                        <wps:spPr>
                          <a:xfrm>
                            <a:off x="4351020" y="329184"/>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0" name="Rectangle 40930"/>
                        <wps:cNvSpPr/>
                        <wps:spPr>
                          <a:xfrm>
                            <a:off x="6007608" y="185839"/>
                            <a:ext cx="1064134" cy="152019"/>
                          </a:xfrm>
                          <a:prstGeom prst="rect">
                            <a:avLst/>
                          </a:prstGeom>
                          <a:ln>
                            <a:noFill/>
                          </a:ln>
                        </wps:spPr>
                        <wps:txbx>
                          <w:txbxContent>
                            <w:p w:rsidR="004D6F0E" w:rsidRDefault="00490F21">
                              <w:pPr>
                                <w:spacing w:after="160" w:line="259" w:lineRule="auto"/>
                                <w:ind w:left="0" w:firstLine="0"/>
                              </w:pPr>
                              <w:r>
                                <w:rPr>
                                  <w:sz w:val="18"/>
                                </w:rPr>
                                <w:t>或有遞延銷售費</w:t>
                              </w:r>
                            </w:p>
                          </w:txbxContent>
                        </wps:txbx>
                        <wps:bodyPr horzOverflow="overflow" vert="horz" lIns="0" tIns="0" rIns="0" bIns="0" rtlCol="0">
                          <a:noAutofit/>
                        </wps:bodyPr>
                      </wps:wsp>
                      <wps:wsp>
                        <wps:cNvPr id="40931" name="Rectangle 40931"/>
                        <wps:cNvSpPr/>
                        <wps:spPr>
                          <a:xfrm>
                            <a:off x="6838188" y="183792"/>
                            <a:ext cx="56348" cy="95259"/>
                          </a:xfrm>
                          <a:prstGeom prst="rect">
                            <a:avLst/>
                          </a:prstGeom>
                          <a:ln>
                            <a:noFill/>
                          </a:ln>
                        </wps:spPr>
                        <wps:txbx>
                          <w:txbxContent>
                            <w:p w:rsidR="004D6F0E" w:rsidRDefault="00490F21">
                              <w:pPr>
                                <w:spacing w:after="160" w:line="259" w:lineRule="auto"/>
                                <w:ind w:left="0" w:firstLine="0"/>
                              </w:pPr>
                              <w:r>
                                <w:rPr>
                                  <w:rFonts w:ascii="Arial" w:eastAsia="Arial" w:hAnsi="Arial" w:cs="Arial"/>
                                  <w:b/>
                                  <w:sz w:val="12"/>
                                </w:rPr>
                                <w:t>6</w:t>
                              </w:r>
                            </w:p>
                          </w:txbxContent>
                        </wps:txbx>
                        <wps:bodyPr horzOverflow="overflow" vert="horz" lIns="0" tIns="0" rIns="0" bIns="0" rtlCol="0">
                          <a:noAutofit/>
                        </wps:bodyPr>
                      </wps:wsp>
                      <wps:wsp>
                        <wps:cNvPr id="40932" name="Rectangle 40932"/>
                        <wps:cNvSpPr/>
                        <wps:spPr>
                          <a:xfrm>
                            <a:off x="6879336" y="166417"/>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s:wsp>
                        <wps:cNvPr id="658495" name="Shape 658495"/>
                        <wps:cNvSpPr/>
                        <wps:spPr>
                          <a:xfrm>
                            <a:off x="5782056" y="329184"/>
                            <a:ext cx="1322832" cy="9144"/>
                          </a:xfrm>
                          <a:custGeom>
                            <a:avLst/>
                            <a:gdLst/>
                            <a:ahLst/>
                            <a:cxnLst/>
                            <a:rect l="0" t="0" r="0" b="0"/>
                            <a:pathLst>
                              <a:path w="1322832" h="9144">
                                <a:moveTo>
                                  <a:pt x="0" y="0"/>
                                </a:moveTo>
                                <a:lnTo>
                                  <a:pt x="1322832" y="0"/>
                                </a:lnTo>
                                <a:lnTo>
                                  <a:pt x="13228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59378" o:spid="_x0000_s1341" style="width:563.75pt;height:26.4pt;mso-position-horizontal-relative:char;mso-position-vertical-relative:line" coordsize="71597,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">
                <v:rect id="Rectangle 40903" o:spid="_x0000_s1342" style="position:absolute;left:731;top:364;width:1370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" filled="f" stroked="f">
                  <v:textbox inset="0,0,0,0">
                    <w:txbxContent>
                      <w:p w:rsidR="004D6F0E" w:rsidRDefault="00490F21">
                        <w:pPr>
                          <w:spacing w:after="160" w:line="259" w:lineRule="auto"/>
                          <w:ind w:left="0" w:firstLine="0"/>
                        </w:pPr>
                        <w:r>
                          <w:rPr>
                            <w:sz w:val="18"/>
                          </w:rPr>
                          <w:t>股份類別費用及收費</w:t>
                        </w:r>
                      </w:p>
                    </w:txbxContent>
                  </v:textbox>
                </v:rect>
                <v:rect id="Rectangle 40904" o:spid="_x0000_s1343" style="position:absolute;left:11323;top:344;width:563;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b/>
                            <w:sz w:val="12"/>
                          </w:rPr>
                          <w:t>1</w:t>
                        </w:r>
                      </w:p>
                    </w:txbxContent>
                  </v:textbox>
                </v:rect>
                <v:rect id="Rectangle 40905" o:spid="_x0000_s1344" style="position:absolute;left:11734;top:403;width:4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rPr>
                          <w:t xml:space="preserve"> </w:t>
                        </w:r>
                      </w:p>
                    </w:txbxContent>
                  </v:textbox>
                </v:rect>
                <v:shape id="Shape 658473" o:spid="_x0000_s1345"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" path="m,l9144,r,18288l,18288,,e" fillcolor="black" stroked="f" strokeweight="0">
                  <v:stroke miterlimit="83231f" joinstyle="miter"/>
                  <v:path arrowok="t" textboxrect="0,0,9144,18288"/>
                </v:shape>
                <v:shape id="Shape 658474" o:spid="_x0000_s1346" style="position:absolute;left: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" path="m,l18288,r,18288l,18288,,e" fillcolor="black" stroked="f" strokeweight="0">
                  <v:stroke miterlimit="83231f" joinstyle="miter"/>
                  <v:path arrowok="t" textboxrect="0,0,18288,18288"/>
                </v:shape>
                <v:shape id="Shape 658475" o:spid="_x0000_s1347" style="position:absolute;left:228;width:11979;height:182;visibility:visible;mso-wrap-style:square;v-text-anchor:top" coordsize="1197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" path="m,l1197864,r,18288l,18288,,e" fillcolor="black" stroked="f" strokeweight="0">
                  <v:stroke miterlimit="83231f" joinstyle="miter"/>
                  <v:path arrowok="t" textboxrect="0,0,1197864,18288"/>
                </v:shape>
                <v:shape id="Shape 658476" o:spid="_x0000_s1348" style="position:absolute;left:1220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" path="m,l18288,r,18288l,18288,,e" fillcolor="black" stroked="f" strokeweight="0">
                  <v:stroke miterlimit="83231f" joinstyle="miter"/>
                  <v:path arrowok="t" textboxrect="0,0,18288,18288"/>
                </v:shape>
                <v:shape id="Shape 658477" o:spid="_x0000_s1349" style="position:absolute;left:12390;width:25527;height:182;visibility:visible;mso-wrap-style:square;v-text-anchor:top" coordsize="25527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" path="m,l2552700,r,18288l,18288,,e" fillcolor="black" stroked="f" strokeweight="0">
                  <v:stroke miterlimit="83231f" joinstyle="miter"/>
                  <v:path arrowok="t" textboxrect="0,0,2552700,18288"/>
                </v:shape>
                <v:shape id="Shape 658478" o:spid="_x0000_s1350" style="position:absolute;left:3791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" path="m,l18288,r,18288l,18288,,e" fillcolor="black" stroked="f" strokeweight="0">
                  <v:stroke miterlimit="83231f" joinstyle="miter"/>
                  <v:path arrowok="t" textboxrect="0,0,18288,18288"/>
                </v:shape>
                <v:shape id="Shape 658479" o:spid="_x0000_s1351" style="position:absolute;left:38100;width:1539;height:182;visibility:visible;mso-wrap-style:square;v-text-anchor:top" coordsize="15392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" path="m,l153924,r,18288l,18288,,e" fillcolor="black" stroked="f" strokeweight="0">
                  <v:stroke miterlimit="83231f" joinstyle="miter"/>
                  <v:path arrowok="t" textboxrect="0,0,153924,18288"/>
                </v:shape>
                <v:shape id="Shape 658480" o:spid="_x0000_s1352" style="position:absolute;left:3963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" path="m,l18288,r,18288l,18288,,e" fillcolor="black" stroked="f" strokeweight="0">
                  <v:stroke miterlimit="83231f" joinstyle="miter"/>
                  <v:path arrowok="t" textboxrect="0,0,18288,18288"/>
                </v:shape>
                <v:shape id="Shape 658481" o:spid="_x0000_s1353" style="position:absolute;left:39822;width:7513;height:182;visibility:visible;mso-wrap-style:square;v-text-anchor:top" coordsize="7513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" path="m,l751332,r,18288l,18288,,e" fillcolor="black" stroked="f" strokeweight="0">
                  <v:stroke miterlimit="83231f" joinstyle="miter"/>
                  <v:path arrowok="t" textboxrect="0,0,751332,18288"/>
                </v:shape>
                <v:shape id="Shape 658482" o:spid="_x0000_s1354" style="position:absolute;left:4733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" path="m,l18288,r,18288l,18288,,e" fillcolor="black" stroked="f" strokeweight="0">
                  <v:stroke miterlimit="83231f" joinstyle="miter"/>
                  <v:path arrowok="t" textboxrect="0,0,18288,18288"/>
                </v:shape>
                <v:shape id="Shape 658483" o:spid="_x0000_s1355" style="position:absolute;left:47518;width:24079;height:182;visibility:visible;mso-wrap-style:square;v-text-anchor:top" coordsize="240792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" path="m,l2407920,r,18288l,18288,,e" fillcolor="black" stroked="f" strokeweight="0">
                  <v:stroke miterlimit="83231f" joinstyle="miter"/>
                  <v:path arrowok="t" textboxrect="0,0,2407920,18288"/>
                </v:shape>
                <v:rect id="Rectangle 40918" o:spid="_x0000_s1356" style="position:absolute;left:18272;top:1858;width:760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" filled="f" stroked="f">
                  <v:textbox inset="0,0,0,0">
                    <w:txbxContent>
                      <w:p w:rsidR="004D6F0E" w:rsidRDefault="00490F21">
                        <w:pPr>
                          <w:spacing w:after="160" w:line="259" w:lineRule="auto"/>
                          <w:ind w:left="0" w:firstLine="0"/>
                        </w:pPr>
                        <w:r>
                          <w:rPr>
                            <w:sz w:val="18"/>
                          </w:rPr>
                          <w:t>首次銷售費</w:t>
                        </w:r>
                      </w:p>
                    </w:txbxContent>
                  </v:textbox>
                </v:rect>
                <v:rect id="Rectangle 40919" o:spid="_x0000_s1357" style="position:absolute;left:24292;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3</w:t>
                        </w:r>
                      </w:p>
                    </w:txbxContent>
                  </v:textbox>
                </v:rect>
                <v:rect id="Rectangle 40920" o:spid="_x0000_s1358" style="position:absolute;left:24704;top:166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486" o:spid="_x0000_s1359" style="position:absolute;left:14874;top:3291;width:13228;height:92;visibility:visible;mso-wrap-style:square;v-text-anchor:top" coordsize="13228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" path="m,l1322845,r,9144l,9144,,e" fillcolor="black" stroked="f" strokeweight="0">
                  <v:stroke miterlimit="83231f" joinstyle="miter"/>
                  <v:path arrowok="t" textboxrect="0,0,1322845,9144"/>
                </v:shape>
                <v:rect id="Rectangle 40922" o:spid="_x0000_s1360" style="position:absolute;left:33726;top:1858;width:45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" filled="f" stroked="f">
                  <v:textbox inset="0,0,0,0">
                    <w:txbxContent>
                      <w:p w:rsidR="004D6F0E" w:rsidRDefault="00490F21">
                        <w:pPr>
                          <w:spacing w:after="160" w:line="259" w:lineRule="auto"/>
                          <w:ind w:left="0" w:firstLine="0"/>
                        </w:pPr>
                        <w:r>
                          <w:rPr>
                            <w:sz w:val="18"/>
                          </w:rPr>
                          <w:t>管理費</w:t>
                        </w:r>
                      </w:p>
                    </w:txbxContent>
                  </v:textbox>
                </v:rect>
                <v:rect id="Rectangle 40923" o:spid="_x0000_s1361" style="position:absolute;left:37459;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4</w:t>
                        </w:r>
                      </w:p>
                    </w:txbxContent>
                  </v:textbox>
                </v:rect>
                <v:rect id="Rectangle 40924" o:spid="_x0000_s1362" style="position:absolute;left:37871;top:166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489" o:spid="_x0000_s1363" style="position:absolute;left:29184;top:3291;width:13229;height:92;visibility:visible;mso-wrap-style:square;v-text-anchor:top" coordsize="13228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" path="m,l1322845,r,9144l,9144,,e" fillcolor="black" stroked="f" strokeweight="0">
                  <v:stroke miterlimit="83231f" joinstyle="miter"/>
                  <v:path arrowok="t" textboxrect="0,0,1322845,9144"/>
                </v:shape>
                <v:rect id="Rectangle 40926" o:spid="_x0000_s1364" style="position:absolute;left:48051;top:1858;width:456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" filled="f" stroked="f">
                  <v:textbox inset="0,0,0,0">
                    <w:txbxContent>
                      <w:p w:rsidR="004D6F0E" w:rsidRDefault="00490F21">
                        <w:pPr>
                          <w:spacing w:after="160" w:line="259" w:lineRule="auto"/>
                          <w:ind w:left="0" w:firstLine="0"/>
                        </w:pPr>
                        <w:r>
                          <w:rPr>
                            <w:sz w:val="18"/>
                          </w:rPr>
                          <w:t>分銷費</w:t>
                        </w:r>
                      </w:p>
                    </w:txbxContent>
                  </v:textbox>
                </v:rect>
                <v:rect id="Rectangle 40927" o:spid="_x0000_s1365" style="position:absolute;left:51785;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3Pt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ni8Tv83QlXQC6eAAAA//8DAFBLAQItABQABgAIAAAAIQDb4fbL7gAAAIUBAAATAAAAAAAA&#10;AAAAAAAAAAAAAABbQ29udGVudF9UeXBlc10ueG1sUEsBAi0AFAAGAAgAAAAhAFr0LFu/AAAAFQEA&#10;AAsAAAAAAAAAAAAAAAAAHwEAAF9yZWxzLy5yZWxzUEsBAi0AFAAGAAgAAAAhAMZXc+3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b/>
                            <w:sz w:val="12"/>
                          </w:rPr>
                          <w:t>5</w:t>
                        </w:r>
                      </w:p>
                    </w:txbxContent>
                  </v:textbox>
                </v:rect>
                <v:rect id="Rectangle 40928" o:spid="_x0000_s1366" style="position:absolute;left:52197;top:166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492" o:spid="_x0000_s1367" style="position:absolute;left:43510;top:3291;width:13228;height:92;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" path="m,l1322832,r,9144l,9144,,e" fillcolor="black" stroked="f" strokeweight="0">
                  <v:stroke miterlimit="83231f" joinstyle="miter"/>
                  <v:path arrowok="t" textboxrect="0,0,1322832,9144"/>
                </v:shape>
                <v:rect id="Rectangle 40930" o:spid="_x0000_s1368" style="position:absolute;left:60076;top:1858;width:106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" filled="f" stroked="f">
                  <v:textbox inset="0,0,0,0">
                    <w:txbxContent>
                      <w:p w:rsidR="004D6F0E" w:rsidRDefault="00490F21">
                        <w:pPr>
                          <w:spacing w:after="160" w:line="259" w:lineRule="auto"/>
                          <w:ind w:left="0" w:firstLine="0"/>
                        </w:pPr>
                        <w:r>
                          <w:rPr>
                            <w:sz w:val="18"/>
                          </w:rPr>
                          <w:t>或有遞延銷售費</w:t>
                        </w:r>
                      </w:p>
                    </w:txbxContent>
                  </v:textbox>
                </v:rect>
                <v:rect id="Rectangle 40931" o:spid="_x0000_s1369" style="position:absolute;left:68381;top:1837;width:56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b/>
                            <w:sz w:val="12"/>
                          </w:rPr>
                          <w:t>6</w:t>
                        </w:r>
                      </w:p>
                    </w:txbxContent>
                  </v:textbox>
                </v:rect>
                <v:rect id="Rectangle 40932" o:spid="_x0000_s1370" style="position:absolute;left:68793;top:166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v:shape id="Shape 658495" o:spid="_x0000_s1371" style="position:absolute;left:57820;top:3291;width:13228;height:92;visibility:visible;mso-wrap-style:square;v-text-anchor:top" coordsize="13228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" path="m,l1322832,r,9144l,9144,,e" fillcolor="black" stroked="f" strokeweight="0">
                  <v:stroke miterlimit="83231f" joinstyle="miter"/>
                  <v:path arrowok="t" textboxrect="0,0,1322832,9144"/>
                </v:shape>
                <w10:anchorlock/>
              </v:group>
            </w:pict>
          </mc:Fallback>
        </mc:AlternateContent>
      </w:r>
      <w:r>
        <w:rPr>
          <w:rFonts w:ascii="Arial" w:eastAsia="Arial" w:hAnsi="Arial" w:cs="Arial"/>
          <w:b/>
          <w:sz w:val="18"/>
        </w:rPr>
        <w:t xml:space="preserve"> </w:t>
      </w:r>
    </w:p>
    <w:p w:rsidR="004D6F0E" w:rsidRDefault="00490F21">
      <w:pPr>
        <w:shd w:val="clear" w:color="auto" w:fill="D9D9D9"/>
        <w:spacing w:after="11" w:line="250" w:lineRule="auto"/>
        <w:ind w:left="110" w:right="552" w:hanging="10"/>
      </w:pP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sz w:val="18"/>
        </w:rPr>
        <w:t>美元計價股份類別</w:t>
      </w:r>
      <w:r>
        <w:rPr>
          <w:rFonts w:ascii="Arial" w:eastAsia="Arial" w:hAnsi="Arial" w:cs="Arial"/>
          <w:b/>
          <w:sz w:val="18"/>
        </w:rPr>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rPr>
          <w:rFonts w:ascii="Arial" w:eastAsia="Arial" w:hAnsi="Arial" w:cs="Arial"/>
          <w:b/>
          <w:sz w:val="18"/>
        </w:rPr>
        <w:tab/>
        <w:t xml:space="preserve"> </w:t>
      </w:r>
      <w:r>
        <w:br w:type="page"/>
      </w:r>
    </w:p>
    <w:tbl>
      <w:tblPr>
        <w:tblStyle w:val="TableGrid"/>
        <w:tblpPr w:vertAnchor="page" w:horzAnchor="page" w:tblpX="432" w:tblpY="11851"/>
        <w:tblOverlap w:val="never"/>
        <w:tblW w:w="10912" w:type="dxa"/>
        <w:tblInd w:w="0" w:type="dxa"/>
        <w:tblCellMar>
          <w:top w:w="3" w:type="dxa"/>
          <w:left w:w="0" w:type="dxa"/>
          <w:bottom w:w="0" w:type="dxa"/>
          <w:right w:w="0" w:type="dxa"/>
        </w:tblCellMar>
        <w:tblLook w:val="04A0" w:firstRow="1" w:lastRow="0" w:firstColumn="1" w:lastColumn="0" w:noHBand="0" w:noVBand="1"/>
      </w:tblPr>
      <w:tblGrid>
        <w:gridCol w:w="2829"/>
        <w:gridCol w:w="2544"/>
        <w:gridCol w:w="2256"/>
        <w:gridCol w:w="1754"/>
        <w:gridCol w:w="1529"/>
      </w:tblGrid>
      <w:tr w:rsidR="004D6F0E">
        <w:trPr>
          <w:trHeight w:val="212"/>
        </w:trPr>
        <w:tc>
          <w:tcPr>
            <w:tcW w:w="2829" w:type="dxa"/>
            <w:tcBorders>
              <w:top w:val="nil"/>
              <w:left w:val="nil"/>
              <w:bottom w:val="nil"/>
              <w:right w:val="nil"/>
            </w:tcBorders>
          </w:tcPr>
          <w:p w:rsidR="004D6F0E" w:rsidRDefault="00490F21">
            <w:pPr>
              <w:spacing w:after="0" w:line="259" w:lineRule="auto"/>
              <w:ind w:left="108" w:firstLine="0"/>
            </w:pPr>
            <w:r>
              <w:rPr>
                <w:rFonts w:ascii="Arial" w:eastAsia="Arial" w:hAnsi="Arial" w:cs="Arial"/>
                <w:sz w:val="18"/>
              </w:rPr>
              <w:lastRenderedPageBreak/>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529" w:type="dxa"/>
            <w:tcBorders>
              <w:top w:val="nil"/>
              <w:left w:val="nil"/>
              <w:bottom w:val="nil"/>
              <w:right w:val="nil"/>
            </w:tcBorders>
          </w:tcPr>
          <w:p w:rsidR="004D6F0E" w:rsidRDefault="00490F21">
            <w:pPr>
              <w:spacing w:after="0" w:line="259" w:lineRule="auto"/>
              <w:ind w:left="0" w:right="19" w:firstLine="0"/>
              <w:jc w:val="center"/>
            </w:pPr>
            <w:r>
              <w:rPr>
                <w:sz w:val="18"/>
              </w:rPr>
              <w:t>無</w:t>
            </w:r>
            <w:r>
              <w:rPr>
                <w:rFonts w:ascii="Arial" w:eastAsia="Arial" w:hAnsi="Arial" w:cs="Arial"/>
                <w:sz w:val="18"/>
              </w:rPr>
              <w:t xml:space="preserve"> </w:t>
            </w:r>
          </w:p>
        </w:tc>
      </w:tr>
      <w:tr w:rsidR="004D6F0E">
        <w:trPr>
          <w:trHeight w:val="942"/>
        </w:trPr>
        <w:tc>
          <w:tcPr>
            <w:tcW w:w="2829" w:type="dxa"/>
            <w:tcBorders>
              <w:top w:val="nil"/>
              <w:left w:val="nil"/>
              <w:bottom w:val="nil"/>
              <w:right w:val="nil"/>
            </w:tcBorders>
            <w:vAlign w:val="center"/>
          </w:tcPr>
          <w:p w:rsidR="004D6F0E" w:rsidRDefault="00490F21">
            <w:pPr>
              <w:spacing w:after="0" w:line="259" w:lineRule="auto"/>
              <w:ind w:left="108"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sz w:val="18"/>
              </w:rPr>
              <w:t xml:space="preserve"> </w:t>
            </w:r>
            <w:r>
              <w:rPr>
                <w:rFonts w:ascii="Arial" w:eastAsia="Arial" w:hAnsi="Arial" w:cs="Arial"/>
                <w:sz w:val="18"/>
                <w:vertAlign w:val="superscript"/>
              </w:rPr>
              <w:t>10</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1529" w:type="dxa"/>
            <w:tcBorders>
              <w:top w:val="nil"/>
              <w:left w:val="nil"/>
              <w:bottom w:val="nil"/>
              <w:right w:val="nil"/>
            </w:tcBorders>
          </w:tcPr>
          <w:p w:rsidR="004D6F0E" w:rsidRDefault="00490F21">
            <w:pPr>
              <w:spacing w:after="30" w:line="259" w:lineRule="auto"/>
              <w:ind w:left="33" w:firstLine="0"/>
              <w:jc w:val="both"/>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0" w:right="15" w:firstLine="0"/>
              <w:jc w:val="center"/>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0" w:right="15" w:firstLine="0"/>
              <w:jc w:val="center"/>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230" w:firstLine="0"/>
            </w:pPr>
            <w:r>
              <w:rPr>
                <w:rFonts w:ascii="Arial" w:eastAsia="Arial" w:hAnsi="Arial" w:cs="Arial"/>
                <w:sz w:val="18"/>
              </w:rPr>
              <w:lastRenderedPageBreak/>
              <w:t xml:space="preserve">3 </w:t>
            </w:r>
            <w:r>
              <w:rPr>
                <w:sz w:val="18"/>
              </w:rPr>
              <w:t>年以上</w:t>
            </w:r>
            <w:r>
              <w:rPr>
                <w:rFonts w:ascii="Arial" w:eastAsia="Arial" w:hAnsi="Arial" w:cs="Arial"/>
                <w:sz w:val="18"/>
              </w:rPr>
              <w:t xml:space="preserve">=0% </w:t>
            </w:r>
          </w:p>
        </w:tc>
      </w:tr>
      <w:tr w:rsidR="004D6F0E">
        <w:trPr>
          <w:trHeight w:val="262"/>
        </w:trPr>
        <w:tc>
          <w:tcPr>
            <w:tcW w:w="2829"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24"/>
              </w:rPr>
              <w:lastRenderedPageBreak/>
              <w:t xml:space="preserve"> </w:t>
            </w:r>
          </w:p>
        </w:tc>
        <w:tc>
          <w:tcPr>
            <w:tcW w:w="2544" w:type="dxa"/>
            <w:tcBorders>
              <w:top w:val="nil"/>
              <w:left w:val="nil"/>
              <w:bottom w:val="nil"/>
              <w:right w:val="nil"/>
            </w:tcBorders>
          </w:tcPr>
          <w:p w:rsidR="004D6F0E" w:rsidRDefault="00490F21">
            <w:pPr>
              <w:spacing w:after="0" w:line="259" w:lineRule="auto"/>
              <w:ind w:left="51" w:firstLine="0"/>
            </w:pPr>
            <w:r>
              <w:rPr>
                <w:rFonts w:ascii="Arial" w:eastAsia="Arial" w:hAnsi="Arial" w:cs="Arial"/>
                <w:sz w:val="24"/>
              </w:rPr>
              <w:t xml:space="preserve"> </w:t>
            </w:r>
          </w:p>
        </w:tc>
        <w:tc>
          <w:tcPr>
            <w:tcW w:w="2256" w:type="dxa"/>
            <w:tcBorders>
              <w:top w:val="nil"/>
              <w:left w:val="nil"/>
              <w:bottom w:val="nil"/>
              <w:right w:val="nil"/>
            </w:tcBorders>
          </w:tcPr>
          <w:p w:rsidR="004D6F0E" w:rsidRDefault="004D6F0E">
            <w:pPr>
              <w:spacing w:after="160" w:line="259" w:lineRule="auto"/>
              <w:ind w:left="0" w:firstLine="0"/>
            </w:pPr>
          </w:p>
        </w:tc>
        <w:tc>
          <w:tcPr>
            <w:tcW w:w="1754" w:type="dxa"/>
            <w:tcBorders>
              <w:top w:val="nil"/>
              <w:left w:val="nil"/>
              <w:bottom w:val="nil"/>
              <w:right w:val="nil"/>
            </w:tcBorders>
          </w:tcPr>
          <w:p w:rsidR="004D6F0E" w:rsidRDefault="004D6F0E">
            <w:pPr>
              <w:spacing w:after="160" w:line="259" w:lineRule="auto"/>
              <w:ind w:left="0" w:firstLine="0"/>
            </w:pPr>
          </w:p>
        </w:tc>
        <w:tc>
          <w:tcPr>
            <w:tcW w:w="1529" w:type="dxa"/>
            <w:tcBorders>
              <w:top w:val="nil"/>
              <w:left w:val="nil"/>
              <w:bottom w:val="nil"/>
              <w:right w:val="nil"/>
            </w:tcBorders>
          </w:tcPr>
          <w:p w:rsidR="004D6F0E" w:rsidRDefault="004D6F0E">
            <w:pPr>
              <w:spacing w:after="160" w:line="259" w:lineRule="auto"/>
              <w:ind w:left="0" w:firstLine="0"/>
            </w:pPr>
          </w:p>
        </w:tc>
      </w:tr>
    </w:tbl>
    <w:p w:rsidR="004D6F0E" w:rsidRDefault="00490F21">
      <w:pPr>
        <w:spacing w:after="12" w:line="259" w:lineRule="auto"/>
        <w:ind w:left="0" w:right="5" w:firstLine="0"/>
        <w:jc w:val="right"/>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rPr>
        <w:t xml:space="preserve"> </w:t>
      </w:r>
    </w:p>
    <w:tbl>
      <w:tblPr>
        <w:tblStyle w:val="TableGrid"/>
        <w:tblW w:w="11275" w:type="dxa"/>
        <w:tblInd w:w="-7" w:type="dxa"/>
        <w:tblCellMar>
          <w:top w:w="0" w:type="dxa"/>
          <w:left w:w="0" w:type="dxa"/>
          <w:bottom w:w="0" w:type="dxa"/>
          <w:right w:w="207" w:type="dxa"/>
        </w:tblCellMar>
        <w:tblLook w:val="04A0" w:firstRow="1" w:lastRow="0" w:firstColumn="1" w:lastColumn="0" w:noHBand="0" w:noVBand="1"/>
      </w:tblPr>
      <w:tblGrid>
        <w:gridCol w:w="2837"/>
        <w:gridCol w:w="2544"/>
        <w:gridCol w:w="2256"/>
        <w:gridCol w:w="1754"/>
        <w:gridCol w:w="1884"/>
      </w:tblGrid>
      <w:tr w:rsidR="004D6F0E">
        <w:trPr>
          <w:trHeight w:val="595"/>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IX </w:t>
            </w:r>
            <w:r>
              <w:rPr>
                <w:sz w:val="18"/>
              </w:rPr>
              <w:t>類及</w:t>
            </w:r>
            <w:r>
              <w:rPr>
                <w:sz w:val="18"/>
              </w:rPr>
              <w:t xml:space="preserve"> </w:t>
            </w:r>
            <w:r>
              <w:rPr>
                <w:rFonts w:ascii="Arial" w:eastAsia="Arial" w:hAnsi="Arial" w:cs="Arial"/>
                <w:sz w:val="18"/>
              </w:rPr>
              <w:t xml:space="preserve">I2X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256" w:type="dxa"/>
            <w:tcBorders>
              <w:top w:val="nil"/>
              <w:left w:val="nil"/>
              <w:bottom w:val="nil"/>
              <w:right w:val="nil"/>
            </w:tcBorders>
          </w:tcPr>
          <w:p w:rsidR="004D6F0E" w:rsidRDefault="00490F21">
            <w:pPr>
              <w:spacing w:after="0" w:line="239" w:lineRule="auto"/>
              <w:ind w:left="0" w:right="975" w:firstLine="0"/>
            </w:pPr>
            <w:r>
              <w:rPr>
                <w:rFonts w:ascii="Arial" w:eastAsia="Arial" w:hAnsi="Arial" w:cs="Arial"/>
                <w:sz w:val="18"/>
              </w:rPr>
              <w:t xml:space="preserve">0.50% 0.45% </w:t>
            </w:r>
          </w:p>
          <w:p w:rsidR="004D6F0E" w:rsidRDefault="00490F21">
            <w:pPr>
              <w:spacing w:after="0" w:line="259" w:lineRule="auto"/>
              <w:ind w:left="0" w:firstLine="0"/>
            </w:pPr>
            <w:r>
              <w:rPr>
                <w:rFonts w:ascii="Arial" w:eastAsia="Arial" w:hAnsi="Arial" w:cs="Arial"/>
                <w:sz w:val="18"/>
              </w:rPr>
              <w:t xml:space="preserve">0.40% </w:t>
            </w:r>
          </w:p>
        </w:tc>
        <w:tc>
          <w:tcPr>
            <w:tcW w:w="1754"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vAlign w:val="center"/>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26"/>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S1X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0.40%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437"/>
        </w:trPr>
        <w:tc>
          <w:tcPr>
            <w:tcW w:w="2837"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ZT </w:t>
            </w:r>
            <w:r>
              <w:rPr>
                <w:sz w:val="18"/>
              </w:rPr>
              <w:t>類股份</w:t>
            </w:r>
            <w:r>
              <w:rPr>
                <w:sz w:val="18"/>
              </w:rPr>
              <w:t xml:space="preserve"> </w:t>
            </w:r>
            <w:r>
              <w:rPr>
                <w:rFonts w:ascii="Arial" w:eastAsia="Arial" w:hAnsi="Arial" w:cs="Arial"/>
                <w:sz w:val="18"/>
                <w:vertAlign w:val="superscript"/>
              </w:rPr>
              <w:t>9</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7" w:line="259" w:lineRule="auto"/>
              <w:ind w:left="665"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r>
      <w:tr w:rsidR="004D6F0E">
        <w:trPr>
          <w:trHeight w:val="246"/>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622"/>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AX </w:t>
            </w:r>
            <w:r>
              <w:rPr>
                <w:sz w:val="18"/>
              </w:rPr>
              <w:t>類及</w:t>
            </w:r>
            <w:r>
              <w:rPr>
                <w:sz w:val="18"/>
              </w:rPr>
              <w:t xml:space="preserve"> </w:t>
            </w:r>
            <w:r>
              <w:rPr>
                <w:rFonts w:ascii="Arial" w:eastAsia="Arial" w:hAnsi="Arial" w:cs="Arial"/>
                <w:sz w:val="18"/>
              </w:rPr>
              <w:t xml:space="preserve">A2X </w:t>
            </w:r>
            <w:r>
              <w:rPr>
                <w:sz w:val="18"/>
              </w:rPr>
              <w:t>類股份</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56" w:type="dxa"/>
            <w:tcBorders>
              <w:top w:val="nil"/>
              <w:left w:val="nil"/>
              <w:bottom w:val="nil"/>
              <w:right w:val="nil"/>
            </w:tcBorders>
          </w:tcPr>
          <w:p w:rsidR="004D6F0E" w:rsidRDefault="00490F21">
            <w:pPr>
              <w:spacing w:after="0" w:line="239" w:lineRule="auto"/>
              <w:ind w:left="0" w:right="975" w:firstLine="0"/>
            </w:pPr>
            <w:r>
              <w:rPr>
                <w:rFonts w:ascii="Arial" w:eastAsia="Arial" w:hAnsi="Arial" w:cs="Arial"/>
                <w:sz w:val="18"/>
              </w:rPr>
              <w:t xml:space="preserve">1.05% 1.00% </w:t>
            </w:r>
          </w:p>
          <w:p w:rsidR="004D6F0E" w:rsidRDefault="00490F21">
            <w:pPr>
              <w:spacing w:after="0" w:line="259" w:lineRule="auto"/>
              <w:ind w:left="0" w:firstLine="0"/>
            </w:pPr>
            <w:r>
              <w:rPr>
                <w:rFonts w:ascii="Arial" w:eastAsia="Arial" w:hAnsi="Arial" w:cs="Arial"/>
                <w:sz w:val="18"/>
              </w:rPr>
              <w:t xml:space="preserve">0.95% </w:t>
            </w:r>
          </w:p>
        </w:tc>
        <w:tc>
          <w:tcPr>
            <w:tcW w:w="1754"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vAlign w:val="center"/>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27"/>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931"/>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BX </w:t>
            </w:r>
            <w:r>
              <w:rPr>
                <w:sz w:val="18"/>
              </w:rPr>
              <w:t>類股份</w:t>
            </w:r>
            <w:r>
              <w:rPr>
                <w:sz w:val="18"/>
              </w:rPr>
              <w:t xml:space="preserve"> </w:t>
            </w:r>
            <w:r>
              <w:rPr>
                <w:rFonts w:ascii="Arial" w:eastAsia="Arial" w:hAnsi="Arial" w:cs="Arial"/>
                <w:sz w:val="18"/>
                <w:vertAlign w:val="superscript"/>
              </w:rPr>
              <w:t>2†</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187" w:firstLine="0"/>
            </w:pPr>
            <w:r>
              <w:rPr>
                <w:sz w:val="18"/>
              </w:rPr>
              <w:t>不再發售</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39" w:lineRule="auto"/>
              <w:ind w:left="0" w:right="975" w:firstLine="0"/>
            </w:pPr>
            <w:r>
              <w:rPr>
                <w:rFonts w:ascii="Arial" w:eastAsia="Arial" w:hAnsi="Arial" w:cs="Arial"/>
                <w:sz w:val="18"/>
              </w:rPr>
              <w:t xml:space="preserve">1.05% 1.00% </w:t>
            </w:r>
          </w:p>
          <w:p w:rsidR="004D6F0E" w:rsidRDefault="00490F21">
            <w:pPr>
              <w:spacing w:after="0" w:line="259" w:lineRule="auto"/>
              <w:ind w:left="0" w:firstLine="0"/>
            </w:pPr>
            <w:r>
              <w:rPr>
                <w:rFonts w:ascii="Arial" w:eastAsia="Arial" w:hAnsi="Arial" w:cs="Arial"/>
                <w:sz w:val="18"/>
              </w:rPr>
              <w:t xml:space="preserve">0.95% </w:t>
            </w:r>
          </w:p>
        </w:tc>
        <w:tc>
          <w:tcPr>
            <w:tcW w:w="175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0.45% </w:t>
            </w:r>
          </w:p>
        </w:tc>
        <w:tc>
          <w:tcPr>
            <w:tcW w:w="1884" w:type="dxa"/>
            <w:tcBorders>
              <w:top w:val="nil"/>
              <w:left w:val="nil"/>
              <w:bottom w:val="nil"/>
              <w:right w:val="nil"/>
            </w:tcBorders>
          </w:tcPr>
          <w:p w:rsidR="004D6F0E" w:rsidRDefault="00490F21">
            <w:pPr>
              <w:spacing w:after="30" w:line="259" w:lineRule="auto"/>
              <w:ind w:left="34"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=3.0% </w:t>
            </w:r>
          </w:p>
          <w:p w:rsidR="004D6F0E" w:rsidRDefault="00490F21">
            <w:pPr>
              <w:spacing w:after="27" w:line="259" w:lineRule="auto"/>
              <w:ind w:left="254"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54"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230"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66"/>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1.55% </w:t>
            </w:r>
          </w:p>
        </w:tc>
        <w:tc>
          <w:tcPr>
            <w:tcW w:w="1754" w:type="dxa"/>
            <w:tcBorders>
              <w:top w:val="nil"/>
              <w:left w:val="nil"/>
              <w:bottom w:val="nil"/>
              <w:right w:val="nil"/>
            </w:tcBorders>
            <w:vAlign w:val="center"/>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393" w:hanging="36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 xml:space="preserve">=1.0% </w:t>
            </w:r>
            <w:r>
              <w:rPr>
                <w:sz w:val="18"/>
              </w:rPr>
              <w:t>此後</w:t>
            </w:r>
            <w:r>
              <w:rPr>
                <w:rFonts w:ascii="Arial" w:eastAsia="Arial" w:hAnsi="Arial" w:cs="Arial"/>
                <w:sz w:val="18"/>
              </w:rPr>
              <w:t xml:space="preserve">=0% </w:t>
            </w:r>
          </w:p>
        </w:tc>
      </w:tr>
      <w:tr w:rsidR="004D6F0E">
        <w:trPr>
          <w:trHeight w:val="242"/>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0.55%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436"/>
        </w:trPr>
        <w:tc>
          <w:tcPr>
            <w:tcW w:w="2837"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0.50% </w:t>
            </w:r>
          </w:p>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9" w:line="259" w:lineRule="auto"/>
              <w:ind w:left="665"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r>
      <w:tr w:rsidR="004D6F0E">
        <w:trPr>
          <w:trHeight w:val="24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34"/>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435"/>
        </w:trPr>
        <w:tc>
          <w:tcPr>
            <w:tcW w:w="2837"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29"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9" w:line="259" w:lineRule="auto"/>
              <w:ind w:left="665"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r>
      <w:tr w:rsidR="004D6F0E">
        <w:trPr>
          <w:trHeight w:val="239"/>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436"/>
        </w:trPr>
        <w:tc>
          <w:tcPr>
            <w:tcW w:w="2837"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29"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18"/>
                <w:vertAlign w:val="superscript"/>
              </w:rPr>
              <w:t xml:space="preserve"> </w:t>
            </w:r>
          </w:p>
          <w:p w:rsidR="004D6F0E" w:rsidRDefault="00490F21">
            <w:pPr>
              <w:spacing w:after="0" w:line="259" w:lineRule="auto"/>
              <w:ind w:left="1289" w:firstLine="0"/>
              <w:jc w:val="center"/>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1001" w:firstLine="0"/>
              <w:jc w:val="center"/>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日圓計價股份類別</w:t>
            </w:r>
            <w:r>
              <w:rPr>
                <w:rFonts w:ascii="Arial" w:eastAsia="Arial" w:hAnsi="Arial" w:cs="Arial"/>
                <w:b/>
                <w:sz w:val="18"/>
              </w:rPr>
              <w:t xml:space="preserve"> </w:t>
            </w:r>
            <w:r>
              <w:rPr>
                <w:rFonts w:ascii="Arial" w:eastAsia="Arial" w:hAnsi="Arial" w:cs="Arial"/>
                <w:b/>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289" w:firstLine="0"/>
              <w:jc w:val="center"/>
            </w:pPr>
            <w:r>
              <w:rPr>
                <w:rFonts w:ascii="Arial" w:eastAsia="Arial" w:hAnsi="Arial" w:cs="Arial"/>
                <w:b/>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1001" w:firstLine="0"/>
              <w:jc w:val="center"/>
            </w:pPr>
            <w:r>
              <w:rPr>
                <w:rFonts w:ascii="Arial" w:eastAsia="Arial" w:hAnsi="Arial" w:cs="Arial"/>
                <w:b/>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8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42"/>
        </w:trPr>
        <w:tc>
          <w:tcPr>
            <w:tcW w:w="2837"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289" w:firstLine="0"/>
              <w:jc w:val="center"/>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0.50% </w:t>
            </w:r>
          </w:p>
          <w:p w:rsidR="004D6F0E" w:rsidRDefault="00490F21">
            <w:pPr>
              <w:spacing w:after="0" w:line="259" w:lineRule="auto"/>
              <w:ind w:left="1001" w:firstLine="0"/>
              <w:jc w:val="center"/>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33"/>
        </w:trPr>
        <w:tc>
          <w:tcPr>
            <w:tcW w:w="2837" w:type="dxa"/>
            <w:tcBorders>
              <w:top w:val="nil"/>
              <w:left w:val="nil"/>
              <w:bottom w:val="nil"/>
              <w:right w:val="nil"/>
            </w:tcBorders>
            <w:shd w:val="clear" w:color="auto" w:fill="D9D9D9"/>
          </w:tcPr>
          <w:p w:rsidR="004D6F0E" w:rsidRDefault="00490F21">
            <w:pPr>
              <w:spacing w:after="0" w:line="259" w:lineRule="auto"/>
              <w:ind w:left="115" w:firstLine="0"/>
            </w:pPr>
            <w:r>
              <w:rPr>
                <w:sz w:val="18"/>
              </w:rPr>
              <w:t>澳元對沖股份類別</w:t>
            </w:r>
            <w:r>
              <w:rPr>
                <w:rFonts w:ascii="Arial" w:eastAsia="Arial" w:hAnsi="Arial" w:cs="Arial"/>
                <w:sz w:val="24"/>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shd w:val="clear" w:color="auto" w:fill="D9D9D9"/>
          </w:tcPr>
          <w:p w:rsidR="004D6F0E" w:rsidRDefault="00490F21">
            <w:pPr>
              <w:spacing w:after="0" w:line="259" w:lineRule="auto"/>
              <w:ind w:left="756" w:firstLine="0"/>
            </w:pPr>
            <w:r>
              <w:rPr>
                <w:rFonts w:ascii="Arial" w:eastAsia="Arial" w:hAnsi="Arial" w:cs="Arial"/>
                <w:sz w:val="18"/>
              </w:rPr>
              <w:t xml:space="preserve"> </w:t>
            </w:r>
          </w:p>
        </w:tc>
      </w:tr>
      <w:tr w:rsidR="004D6F0E">
        <w:trPr>
          <w:trHeight w:val="24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31"/>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b/>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5.00%</w:t>
            </w:r>
            <w:r>
              <w:rPr>
                <w:rFonts w:ascii="Arial" w:eastAsia="Arial" w:hAnsi="Arial" w:cs="Arial"/>
                <w:sz w:val="24"/>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933"/>
        </w:trPr>
        <w:tc>
          <w:tcPr>
            <w:tcW w:w="2837" w:type="dxa"/>
            <w:tcBorders>
              <w:top w:val="nil"/>
              <w:left w:val="nil"/>
              <w:bottom w:val="nil"/>
              <w:right w:val="nil"/>
            </w:tcBorders>
            <w:vAlign w:val="center"/>
          </w:tcPr>
          <w:p w:rsidR="004D6F0E" w:rsidRDefault="00490F21">
            <w:pPr>
              <w:spacing w:after="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sz w:val="18"/>
              </w:rPr>
              <w:t xml:space="preserve"> </w:t>
            </w:r>
            <w:r>
              <w:rPr>
                <w:rFonts w:ascii="Arial" w:eastAsia="Arial" w:hAnsi="Arial" w:cs="Arial"/>
                <w:sz w:val="18"/>
                <w:vertAlign w:val="superscript"/>
              </w:rPr>
              <w:t>10</w:t>
            </w:r>
            <w:r>
              <w:rPr>
                <w:rFonts w:ascii="Arial" w:eastAsia="Arial" w:hAnsi="Arial" w:cs="Arial"/>
                <w:sz w:val="18"/>
              </w:rPr>
              <w:t xml:space="preserve"> </w:t>
            </w:r>
          </w:p>
        </w:tc>
        <w:tc>
          <w:tcPr>
            <w:tcW w:w="2544" w:type="dxa"/>
            <w:tcBorders>
              <w:top w:val="nil"/>
              <w:left w:val="nil"/>
              <w:bottom w:val="nil"/>
              <w:right w:val="nil"/>
            </w:tcBorders>
            <w:vAlign w:val="center"/>
          </w:tcPr>
          <w:p w:rsidR="004D6F0E" w:rsidRDefault="00490F21">
            <w:pPr>
              <w:spacing w:after="0" w:line="259" w:lineRule="auto"/>
              <w:ind w:left="456" w:firstLine="0"/>
            </w:pPr>
            <w:r>
              <w:rPr>
                <w:sz w:val="18"/>
              </w:rPr>
              <w:t>無</w:t>
            </w:r>
            <w:r>
              <w:rPr>
                <w:rFonts w:ascii="Arial" w:eastAsia="Arial" w:hAnsi="Arial" w:cs="Arial"/>
                <w:sz w:val="18"/>
              </w:rPr>
              <w:t xml:space="preserve"> </w:t>
            </w:r>
          </w:p>
        </w:tc>
        <w:tc>
          <w:tcPr>
            <w:tcW w:w="2256"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vAlign w:val="center"/>
          </w:tcPr>
          <w:p w:rsidR="004D6F0E" w:rsidRDefault="00490F21">
            <w:pPr>
              <w:spacing w:after="0" w:line="259" w:lineRule="auto"/>
              <w:ind w:left="0" w:firstLine="0"/>
            </w:pPr>
            <w:r>
              <w:rPr>
                <w:rFonts w:ascii="Arial" w:eastAsia="Arial" w:hAnsi="Arial" w:cs="Arial"/>
                <w:sz w:val="18"/>
              </w:rPr>
              <w:t xml:space="preserve">0.50% </w:t>
            </w:r>
          </w:p>
        </w:tc>
        <w:tc>
          <w:tcPr>
            <w:tcW w:w="1884" w:type="dxa"/>
            <w:tcBorders>
              <w:top w:val="nil"/>
              <w:left w:val="nil"/>
              <w:bottom w:val="nil"/>
              <w:right w:val="nil"/>
            </w:tcBorders>
          </w:tcPr>
          <w:p w:rsidR="004D6F0E" w:rsidRDefault="00490F21">
            <w:pPr>
              <w:spacing w:after="39" w:line="259" w:lineRule="auto"/>
              <w:ind w:left="0" w:firstLine="0"/>
            </w:pPr>
            <w:r>
              <w:rPr>
                <w:sz w:val="18"/>
              </w:rPr>
              <w:t>持有</w:t>
            </w:r>
            <w:r>
              <w:rPr>
                <w:sz w:val="18"/>
              </w:rPr>
              <w:t xml:space="preserve"> </w:t>
            </w:r>
            <w:r>
              <w:rPr>
                <w:rFonts w:ascii="Arial" w:eastAsia="Arial" w:hAnsi="Arial" w:cs="Arial"/>
                <w:sz w:val="18"/>
              </w:rPr>
              <w:t xml:space="preserve">0–1 </w:t>
            </w:r>
            <w:r>
              <w:rPr>
                <w:sz w:val="18"/>
              </w:rPr>
              <w:t>年</w:t>
            </w:r>
            <w:r>
              <w:rPr>
                <w:rFonts w:ascii="Arial" w:eastAsia="Arial" w:hAnsi="Arial" w:cs="Arial"/>
                <w:sz w:val="18"/>
              </w:rPr>
              <w:t>=3.0%</w:t>
            </w:r>
            <w:r>
              <w:rPr>
                <w:rFonts w:ascii="Arial" w:eastAsia="Arial" w:hAnsi="Arial" w:cs="Arial"/>
                <w:sz w:val="18"/>
                <w:vertAlign w:val="superscript"/>
              </w:rPr>
              <w:t>6</w:t>
            </w:r>
            <w:r>
              <w:rPr>
                <w:rFonts w:ascii="Arial" w:eastAsia="Arial" w:hAnsi="Arial" w:cs="Arial"/>
                <w:sz w:val="18"/>
              </w:rPr>
              <w:t xml:space="preserve"> </w:t>
            </w:r>
          </w:p>
          <w:p w:rsidR="004D6F0E" w:rsidRDefault="00490F21">
            <w:pPr>
              <w:spacing w:after="27" w:line="259" w:lineRule="auto"/>
              <w:ind w:left="235" w:firstLine="0"/>
            </w:pPr>
            <w:r>
              <w:rPr>
                <w:rFonts w:ascii="Arial" w:eastAsia="Arial" w:hAnsi="Arial" w:cs="Arial"/>
                <w:sz w:val="18"/>
              </w:rPr>
              <w:t xml:space="preserve">1–2 </w:t>
            </w:r>
            <w:r>
              <w:rPr>
                <w:sz w:val="18"/>
              </w:rPr>
              <w:t>年</w:t>
            </w:r>
            <w:r>
              <w:rPr>
                <w:rFonts w:ascii="Arial" w:eastAsia="Arial" w:hAnsi="Arial" w:cs="Arial"/>
                <w:sz w:val="18"/>
              </w:rPr>
              <w:t xml:space="preserve">=2.0% </w:t>
            </w:r>
          </w:p>
          <w:p w:rsidR="004D6F0E" w:rsidRDefault="00490F21">
            <w:pPr>
              <w:spacing w:after="25" w:line="259" w:lineRule="auto"/>
              <w:ind w:left="235" w:firstLine="0"/>
            </w:pPr>
            <w:r>
              <w:rPr>
                <w:rFonts w:ascii="Arial" w:eastAsia="Arial" w:hAnsi="Arial" w:cs="Arial"/>
                <w:sz w:val="18"/>
              </w:rPr>
              <w:t xml:space="preserve">2–3 </w:t>
            </w:r>
            <w:r>
              <w:rPr>
                <w:sz w:val="18"/>
              </w:rPr>
              <w:t>年</w:t>
            </w:r>
            <w:r>
              <w:rPr>
                <w:rFonts w:ascii="Arial" w:eastAsia="Arial" w:hAnsi="Arial" w:cs="Arial"/>
                <w:sz w:val="18"/>
              </w:rPr>
              <w:t xml:space="preserve">=1.0% </w:t>
            </w:r>
          </w:p>
          <w:p w:rsidR="004D6F0E" w:rsidRDefault="00490F21">
            <w:pPr>
              <w:spacing w:after="0" w:line="259" w:lineRule="auto"/>
              <w:ind w:left="230" w:firstLine="0"/>
            </w:pPr>
            <w:r>
              <w:rPr>
                <w:rFonts w:ascii="Arial" w:eastAsia="Arial" w:hAnsi="Arial" w:cs="Arial"/>
                <w:sz w:val="18"/>
              </w:rPr>
              <w:t xml:space="preserve">3 </w:t>
            </w:r>
            <w:r>
              <w:rPr>
                <w:sz w:val="18"/>
              </w:rPr>
              <w:t>年以上</w:t>
            </w:r>
            <w:r>
              <w:rPr>
                <w:rFonts w:ascii="Arial" w:eastAsia="Arial" w:hAnsi="Arial" w:cs="Arial"/>
                <w:sz w:val="18"/>
              </w:rPr>
              <w:t xml:space="preserve">=0% </w:t>
            </w:r>
          </w:p>
        </w:tc>
      </w:tr>
      <w:tr w:rsidR="004D6F0E">
        <w:trPr>
          <w:trHeight w:val="441"/>
        </w:trPr>
        <w:tc>
          <w:tcPr>
            <w:tcW w:w="2837"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547" w:firstLine="0"/>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0.50% </w:t>
            </w:r>
          </w:p>
          <w:p w:rsidR="004D6F0E" w:rsidRDefault="00490F21">
            <w:pPr>
              <w:spacing w:after="0" w:line="259" w:lineRule="auto"/>
              <w:ind w:left="257" w:firstLine="0"/>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257" w:firstLine="0"/>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9" w:line="259" w:lineRule="auto"/>
              <w:ind w:left="670" w:firstLine="0"/>
            </w:pPr>
            <w:r>
              <w:rPr>
                <w:sz w:val="18"/>
              </w:rPr>
              <w:t>無</w:t>
            </w:r>
            <w:r>
              <w:rPr>
                <w:rFonts w:ascii="Arial" w:eastAsia="Arial" w:hAnsi="Arial" w:cs="Arial"/>
                <w:sz w:val="18"/>
              </w:rPr>
              <w:t xml:space="preserve"> </w:t>
            </w:r>
          </w:p>
          <w:p w:rsidR="004D6F0E" w:rsidRDefault="00490F21">
            <w:pPr>
              <w:spacing w:after="0" w:line="259" w:lineRule="auto"/>
              <w:ind w:left="756" w:firstLine="0"/>
            </w:pP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新加坡元對沖股份類別</w:t>
            </w:r>
            <w:r>
              <w:rPr>
                <w:rFonts w:ascii="Arial" w:eastAsia="Arial" w:hAnsi="Arial" w:cs="Arial"/>
                <w:b/>
                <w:sz w:val="18"/>
              </w:rPr>
              <w:t xml:space="preserve"> </w:t>
            </w:r>
            <w:r>
              <w:rPr>
                <w:rFonts w:ascii="Arial" w:eastAsia="Arial" w:hAnsi="Arial" w:cs="Arial"/>
                <w:b/>
                <w:sz w:val="18"/>
              </w:rPr>
              <w:tab/>
            </w:r>
            <w:r>
              <w:rPr>
                <w:rFonts w:ascii="Arial" w:eastAsia="Arial" w:hAnsi="Arial" w:cs="Arial"/>
                <w:sz w:val="18"/>
              </w:rPr>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289" w:firstLine="0"/>
              <w:jc w:val="center"/>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1001" w:firstLine="0"/>
              <w:jc w:val="center"/>
            </w:pPr>
            <w:r>
              <w:rPr>
                <w:rFonts w:ascii="Arial" w:eastAsia="Arial" w:hAnsi="Arial" w:cs="Arial"/>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84"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7"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2544" w:type="dxa"/>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1754" w:type="dxa"/>
            <w:tcBorders>
              <w:top w:val="nil"/>
              <w:left w:val="nil"/>
              <w:bottom w:val="nil"/>
              <w:right w:val="nil"/>
            </w:tcBorders>
          </w:tcPr>
          <w:p w:rsidR="004D6F0E" w:rsidRDefault="00490F21">
            <w:pPr>
              <w:spacing w:after="0" w:line="259" w:lineRule="auto"/>
              <w:ind w:left="166" w:firstLine="0"/>
            </w:pPr>
            <w:r>
              <w:rPr>
                <w:sz w:val="18"/>
              </w:rPr>
              <w:t>無</w:t>
            </w: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436"/>
        </w:trPr>
        <w:tc>
          <w:tcPr>
            <w:tcW w:w="2837"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289" w:firstLine="0"/>
              <w:jc w:val="center"/>
            </w:pPr>
            <w:r>
              <w:rPr>
                <w:rFonts w:ascii="Arial" w:eastAsia="Arial" w:hAnsi="Arial" w:cs="Arial"/>
                <w:sz w:val="18"/>
              </w:rPr>
              <w:t xml:space="preserve"> </w:t>
            </w:r>
          </w:p>
        </w:tc>
        <w:tc>
          <w:tcPr>
            <w:tcW w:w="2256"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1001" w:firstLine="0"/>
              <w:jc w:val="center"/>
            </w:pPr>
            <w:r>
              <w:rPr>
                <w:rFonts w:ascii="Arial" w:eastAsia="Arial" w:hAnsi="Arial" w:cs="Arial"/>
                <w:sz w:val="18"/>
              </w:rPr>
              <w:t xml:space="preserve"> </w:t>
            </w:r>
          </w:p>
        </w:tc>
        <w:tc>
          <w:tcPr>
            <w:tcW w:w="1754" w:type="dxa"/>
            <w:tcBorders>
              <w:top w:val="nil"/>
              <w:left w:val="nil"/>
              <w:bottom w:val="nil"/>
              <w:right w:val="nil"/>
            </w:tcBorders>
          </w:tcPr>
          <w:p w:rsidR="004D6F0E" w:rsidRDefault="00490F21">
            <w:pPr>
              <w:spacing w:after="9"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84" w:type="dxa"/>
            <w:tcBorders>
              <w:top w:val="nil"/>
              <w:left w:val="nil"/>
              <w:bottom w:val="nil"/>
              <w:right w:val="nil"/>
            </w:tcBorders>
          </w:tcPr>
          <w:p w:rsidR="004D6F0E" w:rsidRDefault="00490F21">
            <w:pPr>
              <w:spacing w:after="0" w:line="259" w:lineRule="auto"/>
              <w:ind w:left="665" w:firstLine="0"/>
            </w:pPr>
            <w:r>
              <w:rPr>
                <w:sz w:val="18"/>
              </w:rPr>
              <w:t>無</w:t>
            </w:r>
            <w:r>
              <w:rPr>
                <w:rFonts w:ascii="Arial" w:eastAsia="Arial" w:hAnsi="Arial" w:cs="Arial"/>
                <w:sz w:val="18"/>
              </w:rPr>
              <w:t xml:space="preserve"> </w:t>
            </w:r>
          </w:p>
        </w:tc>
      </w:tr>
      <w:tr w:rsidR="004D6F0E">
        <w:trPr>
          <w:trHeight w:val="235"/>
        </w:trPr>
        <w:tc>
          <w:tcPr>
            <w:tcW w:w="2837"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南非蘭特對沖股份類別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tcBorders>
              <w:top w:val="nil"/>
              <w:left w:val="nil"/>
              <w:bottom w:val="nil"/>
              <w:right w:val="nil"/>
            </w:tcBorders>
            <w:shd w:val="clear" w:color="auto" w:fill="D9D9D9"/>
          </w:tcPr>
          <w:p w:rsidR="004D6F0E" w:rsidRDefault="00490F21">
            <w:pPr>
              <w:spacing w:after="0" w:line="259" w:lineRule="auto"/>
              <w:ind w:left="1289" w:firstLine="0"/>
              <w:jc w:val="center"/>
            </w:pPr>
            <w:r>
              <w:rPr>
                <w:rFonts w:ascii="Arial" w:eastAsia="Arial" w:hAnsi="Arial" w:cs="Arial"/>
                <w:sz w:val="18"/>
              </w:rPr>
              <w:t xml:space="preserve"> </w:t>
            </w:r>
          </w:p>
        </w:tc>
        <w:tc>
          <w:tcPr>
            <w:tcW w:w="2256" w:type="dxa"/>
            <w:tcBorders>
              <w:top w:val="nil"/>
              <w:left w:val="nil"/>
              <w:bottom w:val="nil"/>
              <w:right w:val="nil"/>
            </w:tcBorders>
            <w:shd w:val="clear" w:color="auto" w:fill="D9D9D9"/>
          </w:tcPr>
          <w:p w:rsidR="004D6F0E" w:rsidRDefault="00490F21">
            <w:pPr>
              <w:spacing w:after="0" w:line="259" w:lineRule="auto"/>
              <w:ind w:left="1001" w:firstLine="0"/>
              <w:jc w:val="center"/>
            </w:pPr>
            <w:r>
              <w:rPr>
                <w:rFonts w:ascii="Arial" w:eastAsia="Arial" w:hAnsi="Arial" w:cs="Arial"/>
                <w:sz w:val="18"/>
              </w:rPr>
              <w:t xml:space="preserve"> </w:t>
            </w:r>
          </w:p>
        </w:tc>
        <w:tc>
          <w:tcPr>
            <w:tcW w:w="1754"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sz w:val="18"/>
              </w:rPr>
              <w:t xml:space="preserve"> </w:t>
            </w:r>
          </w:p>
        </w:tc>
        <w:tc>
          <w:tcPr>
            <w:tcW w:w="1884"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spacing w:after="12" w:line="259" w:lineRule="auto"/>
        <w:ind w:left="0" w:right="5" w:firstLine="0"/>
        <w:jc w:val="right"/>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rPr>
        <w:t xml:space="preserve"> </w:t>
      </w:r>
    </w:p>
    <w:p w:rsidR="004D6F0E" w:rsidRDefault="00490F21">
      <w:pPr>
        <w:spacing w:after="0" w:line="259" w:lineRule="auto"/>
        <w:ind w:left="0" w:right="948" w:firstLine="0"/>
        <w:jc w:val="right"/>
      </w:pPr>
      <w:r>
        <w:rPr>
          <w:rFonts w:ascii="Arial" w:eastAsia="Arial" w:hAnsi="Arial" w:cs="Arial"/>
          <w:sz w:val="18"/>
        </w:rPr>
        <w:t xml:space="preserve"> </w:t>
      </w:r>
    </w:p>
    <w:p w:rsidR="004D6F0E" w:rsidRDefault="00490F21">
      <w:pPr>
        <w:spacing w:after="0" w:line="259" w:lineRule="auto"/>
        <w:ind w:left="108"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0" w:line="259" w:lineRule="auto"/>
        <w:ind w:left="9127" w:firstLine="0"/>
      </w:pPr>
      <w:r>
        <w:rPr>
          <w:rFonts w:ascii="Arial" w:eastAsia="Arial" w:hAnsi="Arial" w:cs="Arial"/>
          <w:sz w:val="18"/>
        </w:rPr>
        <w:t xml:space="preserve"> </w:t>
      </w:r>
    </w:p>
    <w:tbl>
      <w:tblPr>
        <w:tblStyle w:val="TableGrid"/>
        <w:tblW w:w="11275" w:type="dxa"/>
        <w:tblInd w:w="-7" w:type="dxa"/>
        <w:tblCellMar>
          <w:top w:w="23" w:type="dxa"/>
          <w:left w:w="0" w:type="dxa"/>
          <w:bottom w:w="0" w:type="dxa"/>
          <w:right w:w="115" w:type="dxa"/>
        </w:tblCellMar>
        <w:tblLook w:val="04A0" w:firstRow="1" w:lastRow="0" w:firstColumn="1" w:lastColumn="0" w:noHBand="0" w:noVBand="1"/>
      </w:tblPr>
      <w:tblGrid>
        <w:gridCol w:w="107"/>
        <w:gridCol w:w="2722"/>
        <w:gridCol w:w="7"/>
        <w:gridCol w:w="2537"/>
        <w:gridCol w:w="7"/>
        <w:gridCol w:w="2415"/>
        <w:gridCol w:w="7"/>
        <w:gridCol w:w="2011"/>
        <w:gridCol w:w="243"/>
        <w:gridCol w:w="223"/>
        <w:gridCol w:w="996"/>
      </w:tblGrid>
      <w:tr w:rsidR="004D6F0E">
        <w:trPr>
          <w:trHeight w:val="235"/>
        </w:trPr>
        <w:tc>
          <w:tcPr>
            <w:tcW w:w="2837" w:type="dxa"/>
            <w:gridSpan w:val="3"/>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人民幣</w:t>
            </w:r>
            <w:r>
              <w:rPr>
                <w:rFonts w:ascii="Arial" w:eastAsia="Arial" w:hAnsi="Arial" w:cs="Arial"/>
                <w:b/>
                <w:sz w:val="18"/>
              </w:rPr>
              <w:t>*</w:t>
            </w:r>
            <w:r>
              <w:rPr>
                <w:sz w:val="18"/>
              </w:rPr>
              <w:t>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gridSpan w:val="2"/>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gridSpan w:val="2"/>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gridSpan w:val="2"/>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837" w:type="dxa"/>
            <w:gridSpan w:val="3"/>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12"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547" w:firstLine="0"/>
            </w:pPr>
            <w:r>
              <w:rPr>
                <w:rFonts w:ascii="Arial" w:eastAsia="Arial" w:hAnsi="Arial" w:cs="Arial"/>
                <w:sz w:val="18"/>
              </w:rPr>
              <w:t xml:space="preserve">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257" w:firstLine="0"/>
            </w:pPr>
            <w:r>
              <w:rPr>
                <w:rFonts w:ascii="Arial" w:eastAsia="Arial" w:hAnsi="Arial" w:cs="Arial"/>
                <w:sz w:val="18"/>
              </w:rPr>
              <w:t xml:space="preserve"> </w:t>
            </w:r>
          </w:p>
        </w:tc>
        <w:tc>
          <w:tcPr>
            <w:tcW w:w="2254"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歐元對沖股份類別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gridSpan w:val="2"/>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gridSpan w:val="2"/>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gridSpan w:val="2"/>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3"/>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1"/>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0.55%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4"/>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1.50%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0.55%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436"/>
        </w:trPr>
        <w:tc>
          <w:tcPr>
            <w:tcW w:w="2837" w:type="dxa"/>
            <w:gridSpan w:val="3"/>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gridSpan w:val="2"/>
            <w:tcBorders>
              <w:top w:val="nil"/>
              <w:left w:val="nil"/>
              <w:bottom w:val="nil"/>
              <w:right w:val="nil"/>
            </w:tcBorders>
          </w:tcPr>
          <w:p w:rsidR="004D6F0E" w:rsidRDefault="00490F21">
            <w:pPr>
              <w:spacing w:after="9"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0.50%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瑞士法郎對沖股份類別</w:t>
            </w:r>
            <w:r>
              <w:rPr>
                <w:rFonts w:ascii="Arial" w:eastAsia="Arial" w:hAnsi="Arial" w:cs="Arial"/>
                <w:sz w:val="18"/>
              </w:rPr>
              <w:t xml:space="preserve"> </w:t>
            </w:r>
            <w:r>
              <w:rPr>
                <w:rFonts w:ascii="Arial" w:eastAsia="Arial" w:hAnsi="Arial" w:cs="Arial"/>
                <w:sz w:val="18"/>
              </w:rPr>
              <w:tab/>
              <w:t xml:space="preserve"> </w:t>
            </w:r>
          </w:p>
        </w:tc>
        <w:tc>
          <w:tcPr>
            <w:tcW w:w="2544" w:type="dxa"/>
            <w:gridSpan w:val="2"/>
            <w:tcBorders>
              <w:top w:val="nil"/>
              <w:left w:val="nil"/>
              <w:bottom w:val="nil"/>
              <w:right w:val="nil"/>
            </w:tcBorders>
            <w:shd w:val="clear" w:color="auto" w:fill="D9D9D9"/>
          </w:tcPr>
          <w:p w:rsidR="004D6F0E" w:rsidRDefault="00490F21">
            <w:pPr>
              <w:spacing w:after="0" w:line="259" w:lineRule="auto"/>
              <w:ind w:left="1197" w:firstLine="0"/>
              <w:jc w:val="center"/>
            </w:pPr>
            <w:r>
              <w:rPr>
                <w:rFonts w:ascii="Arial" w:eastAsia="Arial" w:hAnsi="Arial" w:cs="Arial"/>
                <w:sz w:val="18"/>
              </w:rPr>
              <w:t xml:space="preserve"> </w:t>
            </w:r>
          </w:p>
        </w:tc>
        <w:tc>
          <w:tcPr>
            <w:tcW w:w="2422" w:type="dxa"/>
            <w:gridSpan w:val="2"/>
            <w:tcBorders>
              <w:top w:val="nil"/>
              <w:left w:val="nil"/>
              <w:bottom w:val="nil"/>
              <w:right w:val="nil"/>
            </w:tcBorders>
            <w:shd w:val="clear" w:color="auto" w:fill="D9D9D9"/>
          </w:tcPr>
          <w:p w:rsidR="004D6F0E" w:rsidRDefault="00490F21">
            <w:pPr>
              <w:spacing w:after="0" w:line="259" w:lineRule="auto"/>
              <w:ind w:left="744" w:firstLine="0"/>
              <w:jc w:val="center"/>
            </w:pPr>
            <w:r>
              <w:rPr>
                <w:rFonts w:ascii="Arial" w:eastAsia="Arial" w:hAnsi="Arial" w:cs="Arial"/>
                <w:sz w:val="18"/>
              </w:rPr>
              <w:t xml:space="preserve"> </w:t>
            </w:r>
          </w:p>
        </w:tc>
        <w:tc>
          <w:tcPr>
            <w:tcW w:w="2254" w:type="dxa"/>
            <w:gridSpan w:val="2"/>
            <w:tcBorders>
              <w:top w:val="nil"/>
              <w:left w:val="nil"/>
              <w:bottom w:val="nil"/>
              <w:right w:val="nil"/>
            </w:tcBorders>
            <w:shd w:val="clear" w:color="auto" w:fill="D9D9D9"/>
          </w:tcPr>
          <w:p w:rsidR="004D6F0E" w:rsidRDefault="00490F21">
            <w:pPr>
              <w:spacing w:after="0" w:line="259" w:lineRule="auto"/>
              <w:ind w:left="576" w:firstLine="0"/>
              <w:jc w:val="center"/>
            </w:pPr>
            <w:r>
              <w:rPr>
                <w:rFonts w:ascii="Arial" w:eastAsia="Arial" w:hAnsi="Arial" w:cs="Arial"/>
                <w:sz w:val="18"/>
              </w:rPr>
              <w:t xml:space="preserve"> </w:t>
            </w: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7"/>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437"/>
        </w:trPr>
        <w:tc>
          <w:tcPr>
            <w:tcW w:w="2837" w:type="dxa"/>
            <w:gridSpan w:val="3"/>
            <w:tcBorders>
              <w:top w:val="nil"/>
              <w:left w:val="nil"/>
              <w:bottom w:val="nil"/>
              <w:right w:val="nil"/>
            </w:tcBorders>
          </w:tcPr>
          <w:p w:rsidR="004D6F0E" w:rsidRDefault="00490F21">
            <w:pPr>
              <w:spacing w:after="39"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sz w:val="18"/>
              </w:rPr>
              <w:t xml:space="preserve"> </w:t>
            </w:r>
            <w:r>
              <w:rPr>
                <w:rFonts w:ascii="Arial" w:eastAsia="Arial" w:hAnsi="Arial" w:cs="Arial"/>
                <w:sz w:val="18"/>
                <w:vertAlign w:val="superscript"/>
              </w:rPr>
              <w:t>8</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lastRenderedPageBreak/>
              <w:t xml:space="preserve"> </w:t>
            </w:r>
            <w:r>
              <w:rPr>
                <w:rFonts w:ascii="Arial" w:eastAsia="Arial" w:hAnsi="Arial" w:cs="Arial"/>
                <w:sz w:val="18"/>
              </w:rPr>
              <w:tab/>
              <w:t xml:space="preserve"> </w:t>
            </w:r>
          </w:p>
        </w:tc>
        <w:tc>
          <w:tcPr>
            <w:tcW w:w="2544" w:type="dxa"/>
            <w:gridSpan w:val="2"/>
            <w:tcBorders>
              <w:top w:val="nil"/>
              <w:left w:val="nil"/>
              <w:bottom w:val="nil"/>
              <w:right w:val="nil"/>
            </w:tcBorders>
          </w:tcPr>
          <w:p w:rsidR="004D6F0E" w:rsidRDefault="00490F21">
            <w:pPr>
              <w:spacing w:after="14" w:line="259" w:lineRule="auto"/>
              <w:ind w:left="0" w:firstLine="0"/>
            </w:pPr>
            <w:r>
              <w:rPr>
                <w:sz w:val="18"/>
              </w:rPr>
              <w:lastRenderedPageBreak/>
              <w:t>最高為</w:t>
            </w:r>
            <w:r>
              <w:rPr>
                <w:sz w:val="18"/>
              </w:rPr>
              <w:t xml:space="preserve"> </w:t>
            </w:r>
            <w:r>
              <w:rPr>
                <w:rFonts w:ascii="Arial" w:eastAsia="Arial" w:hAnsi="Arial" w:cs="Arial"/>
                <w:sz w:val="18"/>
              </w:rPr>
              <w:t xml:space="preserve">1.50% </w:t>
            </w:r>
          </w:p>
          <w:p w:rsidR="004D6F0E" w:rsidRDefault="00490F21">
            <w:pPr>
              <w:spacing w:after="0" w:line="259" w:lineRule="auto"/>
              <w:ind w:left="1197" w:firstLine="0"/>
              <w:jc w:val="center"/>
            </w:pPr>
            <w:r>
              <w:rPr>
                <w:rFonts w:ascii="Arial" w:eastAsia="Arial" w:hAnsi="Arial" w:cs="Arial"/>
                <w:sz w:val="18"/>
              </w:rPr>
              <w:lastRenderedPageBreak/>
              <w:t xml:space="preserve">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lastRenderedPageBreak/>
              <w:t xml:space="preserve">0.55% </w:t>
            </w:r>
          </w:p>
          <w:p w:rsidR="004D6F0E" w:rsidRDefault="00490F21">
            <w:pPr>
              <w:spacing w:after="0" w:line="259" w:lineRule="auto"/>
              <w:ind w:left="744" w:firstLine="0"/>
              <w:jc w:val="center"/>
            </w:pPr>
            <w:r>
              <w:rPr>
                <w:rFonts w:ascii="Arial" w:eastAsia="Arial" w:hAnsi="Arial" w:cs="Arial"/>
                <w:sz w:val="18"/>
              </w:rPr>
              <w:lastRenderedPageBreak/>
              <w:t xml:space="preserve"> </w:t>
            </w:r>
          </w:p>
        </w:tc>
        <w:tc>
          <w:tcPr>
            <w:tcW w:w="2254" w:type="dxa"/>
            <w:gridSpan w:val="2"/>
            <w:tcBorders>
              <w:top w:val="nil"/>
              <w:left w:val="nil"/>
              <w:bottom w:val="nil"/>
              <w:right w:val="nil"/>
            </w:tcBorders>
          </w:tcPr>
          <w:p w:rsidR="004D6F0E" w:rsidRDefault="00490F21">
            <w:pPr>
              <w:spacing w:after="9" w:line="259" w:lineRule="auto"/>
              <w:ind w:left="0" w:firstLine="0"/>
            </w:pPr>
            <w:r>
              <w:rPr>
                <w:sz w:val="18"/>
              </w:rPr>
              <w:lastRenderedPageBreak/>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lastRenderedPageBreak/>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lastRenderedPageBreak/>
              <w:t>無</w:t>
            </w: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254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2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436"/>
        </w:trPr>
        <w:tc>
          <w:tcPr>
            <w:tcW w:w="2837" w:type="dxa"/>
            <w:gridSpan w:val="3"/>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gridSpan w:val="2"/>
            <w:tcBorders>
              <w:top w:val="nil"/>
              <w:left w:val="nil"/>
              <w:bottom w:val="nil"/>
              <w:right w:val="nil"/>
            </w:tcBorders>
          </w:tcPr>
          <w:p w:rsidR="004D6F0E" w:rsidRDefault="00490F21">
            <w:pPr>
              <w:spacing w:after="14" w:line="259" w:lineRule="auto"/>
              <w:ind w:left="0" w:firstLine="0"/>
            </w:pPr>
            <w:r>
              <w:rPr>
                <w:sz w:val="18"/>
              </w:rPr>
              <w:t>最高為</w:t>
            </w:r>
            <w:r>
              <w:rPr>
                <w:sz w:val="18"/>
              </w:rPr>
              <w:t xml:space="preserve"> </w:t>
            </w:r>
            <w:r>
              <w:rPr>
                <w:rFonts w:ascii="Arial" w:eastAsia="Arial" w:hAnsi="Arial" w:cs="Arial"/>
                <w:sz w:val="18"/>
              </w:rPr>
              <w:t xml:space="preserve">5.00%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gridSpan w:val="2"/>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sz w:val="18"/>
              </w:rPr>
              <w:t xml:space="preserve"> </w:t>
            </w:r>
          </w:p>
        </w:tc>
        <w:tc>
          <w:tcPr>
            <w:tcW w:w="254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2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4"/>
        </w:trPr>
        <w:tc>
          <w:tcPr>
            <w:tcW w:w="2837" w:type="dxa"/>
            <w:gridSpan w:val="3"/>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254"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435"/>
        </w:trPr>
        <w:tc>
          <w:tcPr>
            <w:tcW w:w="2837" w:type="dxa"/>
            <w:gridSpan w:val="3"/>
            <w:tcBorders>
              <w:top w:val="nil"/>
              <w:left w:val="nil"/>
              <w:bottom w:val="nil"/>
              <w:right w:val="nil"/>
            </w:tcBorders>
          </w:tcPr>
          <w:p w:rsidR="004D6F0E" w:rsidRDefault="00490F21">
            <w:pPr>
              <w:spacing w:after="38" w:line="259" w:lineRule="auto"/>
              <w:ind w:left="115" w:firstLine="0"/>
            </w:pPr>
            <w:r>
              <w:rPr>
                <w:rFonts w:ascii="Arial" w:eastAsia="Arial" w:hAnsi="Arial" w:cs="Arial"/>
                <w:sz w:val="18"/>
              </w:rPr>
              <w:t xml:space="preserve">S2 </w:t>
            </w:r>
            <w:r>
              <w:rPr>
                <w:sz w:val="18"/>
              </w:rPr>
              <w:t>類</w:t>
            </w:r>
            <w:r>
              <w:rPr>
                <w:sz w:val="18"/>
              </w:rPr>
              <w:t xml:space="preserve"> </w:t>
            </w:r>
            <w:r>
              <w:rPr>
                <w:rFonts w:ascii="Arial" w:eastAsia="Arial" w:hAnsi="Arial" w:cs="Arial"/>
                <w:sz w:val="18"/>
              </w:rPr>
              <w:t xml:space="preserve">H </w:t>
            </w:r>
            <w:r>
              <w:rPr>
                <w:sz w:val="18"/>
              </w:rPr>
              <w:t>加元股份</w:t>
            </w:r>
            <w:r>
              <w:rPr>
                <w:sz w:val="18"/>
              </w:rPr>
              <w:t xml:space="preserve"> </w:t>
            </w:r>
            <w:r>
              <w:rPr>
                <w:rFonts w:ascii="Arial" w:eastAsia="Arial" w:hAnsi="Arial" w:cs="Arial"/>
                <w:sz w:val="18"/>
                <w:vertAlign w:val="superscript"/>
              </w:rPr>
              <w:t>7</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2544" w:type="dxa"/>
            <w:gridSpan w:val="2"/>
            <w:tcBorders>
              <w:top w:val="nil"/>
              <w:left w:val="nil"/>
              <w:bottom w:val="nil"/>
              <w:right w:val="nil"/>
            </w:tcBorders>
          </w:tcPr>
          <w:p w:rsidR="004D6F0E" w:rsidRDefault="00490F21">
            <w:pPr>
              <w:spacing w:after="7" w:line="259" w:lineRule="auto"/>
              <w:ind w:left="456" w:firstLine="0"/>
            </w:pPr>
            <w:r>
              <w:rPr>
                <w:sz w:val="18"/>
              </w:rPr>
              <w:t>無</w:t>
            </w:r>
            <w:r>
              <w:rPr>
                <w:rFonts w:ascii="Arial" w:eastAsia="Arial" w:hAnsi="Arial" w:cs="Arial"/>
                <w:sz w:val="18"/>
              </w:rPr>
              <w:t xml:space="preserve"> </w:t>
            </w:r>
          </w:p>
          <w:p w:rsidR="004D6F0E" w:rsidRDefault="00490F21">
            <w:pPr>
              <w:spacing w:after="0" w:line="259" w:lineRule="auto"/>
              <w:ind w:left="1197" w:firstLine="0"/>
              <w:jc w:val="center"/>
            </w:pPr>
            <w:r>
              <w:rPr>
                <w:rFonts w:ascii="Arial" w:eastAsia="Arial" w:hAnsi="Arial" w:cs="Arial"/>
                <w:sz w:val="18"/>
              </w:rPr>
              <w:t xml:space="preserve"> </w:t>
            </w:r>
          </w:p>
        </w:tc>
        <w:tc>
          <w:tcPr>
            <w:tcW w:w="2422" w:type="dxa"/>
            <w:gridSpan w:val="2"/>
            <w:tcBorders>
              <w:top w:val="nil"/>
              <w:left w:val="nil"/>
              <w:bottom w:val="nil"/>
              <w:right w:val="nil"/>
            </w:tcBorders>
          </w:tcPr>
          <w:p w:rsidR="004D6F0E" w:rsidRDefault="00490F21">
            <w:pPr>
              <w:spacing w:after="7" w:line="259" w:lineRule="auto"/>
              <w:ind w:left="166" w:firstLine="0"/>
            </w:pPr>
            <w:r>
              <w:rPr>
                <w:sz w:val="18"/>
              </w:rPr>
              <w:t>無</w:t>
            </w:r>
            <w:r>
              <w:rPr>
                <w:rFonts w:ascii="Arial" w:eastAsia="Arial" w:hAnsi="Arial" w:cs="Arial"/>
                <w:sz w:val="18"/>
              </w:rPr>
              <w:t xml:space="preserve"> </w:t>
            </w:r>
          </w:p>
          <w:p w:rsidR="004D6F0E" w:rsidRDefault="00490F21">
            <w:pPr>
              <w:spacing w:after="0" w:line="259" w:lineRule="auto"/>
              <w:ind w:left="744" w:firstLine="0"/>
              <w:jc w:val="center"/>
            </w:pPr>
            <w:r>
              <w:rPr>
                <w:rFonts w:ascii="Arial" w:eastAsia="Arial" w:hAnsi="Arial" w:cs="Arial"/>
                <w:sz w:val="18"/>
              </w:rPr>
              <w:t xml:space="preserve"> </w:t>
            </w:r>
          </w:p>
        </w:tc>
        <w:tc>
          <w:tcPr>
            <w:tcW w:w="2254" w:type="dxa"/>
            <w:gridSpan w:val="2"/>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76" w:firstLine="0"/>
              <w:jc w:val="center"/>
            </w:pPr>
            <w:r>
              <w:rPr>
                <w:rFonts w:ascii="Arial" w:eastAsia="Arial" w:hAnsi="Arial" w:cs="Arial"/>
                <w:sz w:val="18"/>
              </w:rPr>
              <w:t xml:space="preserve"> </w:t>
            </w:r>
          </w:p>
        </w:tc>
        <w:tc>
          <w:tcPr>
            <w:tcW w:w="1219"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r>
      <w:tr w:rsidR="004D6F0E">
        <w:trPr>
          <w:trHeight w:val="235"/>
        </w:trPr>
        <w:tc>
          <w:tcPr>
            <w:tcW w:w="2837" w:type="dxa"/>
            <w:gridSpan w:val="3"/>
            <w:tcBorders>
              <w:top w:val="nil"/>
              <w:left w:val="nil"/>
              <w:bottom w:val="nil"/>
              <w:right w:val="nil"/>
            </w:tcBorders>
            <w:shd w:val="clear" w:color="auto" w:fill="D9D9D9"/>
          </w:tcPr>
          <w:p w:rsidR="004D6F0E" w:rsidRDefault="00490F21">
            <w:pPr>
              <w:spacing w:after="0" w:line="259" w:lineRule="auto"/>
              <w:ind w:left="115" w:firstLine="0"/>
            </w:pPr>
            <w:r>
              <w:rPr>
                <w:sz w:val="18"/>
              </w:rPr>
              <w:t>英鎊對沖股份類別</w:t>
            </w:r>
            <w:r>
              <w:rPr>
                <w:rFonts w:ascii="Arial" w:eastAsia="Arial" w:hAnsi="Arial" w:cs="Arial"/>
                <w:sz w:val="18"/>
              </w:rPr>
              <w:t xml:space="preserve"> </w:t>
            </w:r>
          </w:p>
        </w:tc>
        <w:tc>
          <w:tcPr>
            <w:tcW w:w="254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422"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2254" w:type="dxa"/>
            <w:gridSpan w:val="2"/>
            <w:tcBorders>
              <w:top w:val="nil"/>
              <w:left w:val="nil"/>
              <w:bottom w:val="nil"/>
              <w:right w:val="nil"/>
            </w:tcBorders>
            <w:shd w:val="clear" w:color="auto" w:fill="D9D9D9"/>
          </w:tcPr>
          <w:p w:rsidR="004D6F0E" w:rsidRDefault="004D6F0E">
            <w:pPr>
              <w:spacing w:after="160" w:line="259" w:lineRule="auto"/>
              <w:ind w:left="0" w:firstLine="0"/>
            </w:pPr>
          </w:p>
        </w:tc>
        <w:tc>
          <w:tcPr>
            <w:tcW w:w="1219" w:type="dxa"/>
            <w:gridSpan w:val="2"/>
            <w:tcBorders>
              <w:top w:val="nil"/>
              <w:left w:val="nil"/>
              <w:bottom w:val="nil"/>
              <w:right w:val="nil"/>
            </w:tcBorders>
            <w:shd w:val="clear" w:color="auto" w:fill="D9D9D9"/>
          </w:tcPr>
          <w:p w:rsidR="004D6F0E" w:rsidRDefault="004D6F0E">
            <w:pPr>
              <w:spacing w:after="160" w:line="259" w:lineRule="auto"/>
              <w:ind w:left="0" w:firstLine="0"/>
            </w:pPr>
          </w:p>
        </w:tc>
      </w:tr>
      <w:tr w:rsidR="004D6F0E">
        <w:tblPrEx>
          <w:tblCellMar>
            <w:top w:w="3" w:type="dxa"/>
            <w:right w:w="0" w:type="dxa"/>
          </w:tblCellMar>
        </w:tblPrEx>
        <w:trPr>
          <w:gridBefore w:val="1"/>
          <w:gridAfter w:val="1"/>
          <w:wBefore w:w="108" w:type="dxa"/>
          <w:wAfter w:w="996" w:type="dxa"/>
          <w:trHeight w:val="215"/>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01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466"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r w:rsidR="004D6F0E">
        <w:tblPrEx>
          <w:tblCellMar>
            <w:top w:w="3" w:type="dxa"/>
            <w:right w:w="0" w:type="dxa"/>
          </w:tblCellMar>
        </w:tblPrEx>
        <w:trPr>
          <w:gridBefore w:val="1"/>
          <w:gridAfter w:val="1"/>
          <w:wBefore w:w="108" w:type="dxa"/>
          <w:wAfter w:w="996" w:type="dxa"/>
          <w:trHeight w:val="212"/>
        </w:trPr>
        <w:tc>
          <w:tcPr>
            <w:tcW w:w="2722"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p>
        </w:tc>
        <w:tc>
          <w:tcPr>
            <w:tcW w:w="2544" w:type="dxa"/>
            <w:gridSpan w:val="2"/>
            <w:tcBorders>
              <w:top w:val="nil"/>
              <w:left w:val="nil"/>
              <w:bottom w:val="nil"/>
              <w:right w:val="nil"/>
            </w:tcBorders>
          </w:tcPr>
          <w:p w:rsidR="004D6F0E" w:rsidRDefault="00490F21">
            <w:pPr>
              <w:spacing w:after="0" w:line="259" w:lineRule="auto"/>
              <w:ind w:left="0" w:firstLine="0"/>
            </w:pPr>
            <w:r>
              <w:rPr>
                <w:sz w:val="18"/>
              </w:rPr>
              <w:t>最高為</w:t>
            </w:r>
            <w:r>
              <w:rPr>
                <w:sz w:val="18"/>
              </w:rPr>
              <w:t xml:space="preserve"> </w:t>
            </w:r>
            <w:r>
              <w:rPr>
                <w:rFonts w:ascii="Arial" w:eastAsia="Arial" w:hAnsi="Arial" w:cs="Arial"/>
                <w:sz w:val="18"/>
              </w:rPr>
              <w:t xml:space="preserve">5.00% </w:t>
            </w:r>
          </w:p>
        </w:tc>
        <w:tc>
          <w:tcPr>
            <w:tcW w:w="2422" w:type="dxa"/>
            <w:gridSpan w:val="2"/>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1.10% </w:t>
            </w:r>
          </w:p>
        </w:tc>
        <w:tc>
          <w:tcPr>
            <w:tcW w:w="2018" w:type="dxa"/>
            <w:gridSpan w:val="2"/>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466" w:type="dxa"/>
            <w:gridSpan w:val="2"/>
            <w:tcBorders>
              <w:top w:val="nil"/>
              <w:left w:val="nil"/>
              <w:bottom w:val="nil"/>
              <w:right w:val="nil"/>
            </w:tcBorders>
          </w:tcPr>
          <w:p w:rsidR="004D6F0E" w:rsidRDefault="00490F21">
            <w:pPr>
              <w:spacing w:after="0" w:line="259" w:lineRule="auto"/>
              <w:ind w:left="0" w:right="50" w:firstLine="0"/>
              <w:jc w:val="right"/>
            </w:pPr>
            <w:r>
              <w:rPr>
                <w:sz w:val="18"/>
              </w:rPr>
              <w:t>無</w:t>
            </w:r>
            <w:r>
              <w:rPr>
                <w:rFonts w:ascii="Arial" w:eastAsia="Arial" w:hAnsi="Arial" w:cs="Arial"/>
                <w:sz w:val="18"/>
              </w:rPr>
              <w:t xml:space="preserve"> </w:t>
            </w:r>
          </w:p>
        </w:tc>
      </w:tr>
    </w:tbl>
    <w:p w:rsidR="004D6F0E" w:rsidRDefault="004D6F0E">
      <w:pPr>
        <w:sectPr w:rsidR="004D6F0E">
          <w:pgSz w:w="12240" w:h="15840"/>
          <w:pgMar w:top="759" w:right="670" w:bottom="949" w:left="432" w:header="720" w:footer="720" w:gutter="0"/>
          <w:cols w:space="720"/>
          <w:titlePg/>
        </w:sectPr>
      </w:pP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22"/>
        </w:numPr>
        <w:ind w:right="13" w:hanging="360"/>
        <w:jc w:val="both"/>
      </w:pPr>
      <w:r>
        <w:rPr>
          <w:sz w:val="16"/>
        </w:rPr>
        <w:t>管理公司、行政管理人、存管人及過戶代理有權自本基金資產收取下文「其他基金資料－管理公司、行政管理人、存管人及過戶代理費用」所述的費用。本基金亦承擔其所有其他開支。見第</w:t>
      </w:r>
      <w:r>
        <w:rPr>
          <w:sz w:val="16"/>
        </w:rPr>
        <w:t xml:space="preserve"> </w:t>
      </w:r>
      <w:r>
        <w:rPr>
          <w:rFonts w:ascii="Arial" w:eastAsia="Arial" w:hAnsi="Arial" w:cs="Arial"/>
          <w:sz w:val="16"/>
        </w:rPr>
        <w:t xml:space="preserve">II </w:t>
      </w:r>
      <w:r>
        <w:rPr>
          <w:sz w:val="16"/>
        </w:rPr>
        <w:t>部分「如何購買股份」及「附加資料－費用及開支」。管理公司已自願承諾（直至管理公司代表本傘子基金向股東發出相反通告為止），倘於任何財政年度，本基金以下股份類別涉及的費用及開支總額（包括第</w:t>
      </w:r>
      <w:r>
        <w:rPr>
          <w:sz w:val="16"/>
        </w:rPr>
        <w:t xml:space="preserve"> </w:t>
      </w:r>
      <w:r>
        <w:rPr>
          <w:rFonts w:ascii="Arial" w:eastAsia="Arial" w:hAnsi="Arial" w:cs="Arial"/>
          <w:sz w:val="16"/>
        </w:rPr>
        <w:t xml:space="preserve">II </w:t>
      </w:r>
      <w:r>
        <w:rPr>
          <w:sz w:val="16"/>
        </w:rPr>
        <w:t>部分「附加資料－費用及開支」所載的任何管理費及所有其他費用及開支，包括盧森堡年稅，但不包括某些其他稅項、經紀佣金（如適用）和借款利息）超出本基金以下股份類別（及相應</w:t>
      </w:r>
      <w:r>
        <w:rPr>
          <w:sz w:val="16"/>
        </w:rPr>
        <w:t xml:space="preserve"> </w:t>
      </w:r>
      <w:r>
        <w:rPr>
          <w:rFonts w:ascii="Arial" w:eastAsia="Arial" w:hAnsi="Arial" w:cs="Arial"/>
          <w:sz w:val="16"/>
        </w:rPr>
        <w:t xml:space="preserve">H </w:t>
      </w:r>
      <w:r>
        <w:rPr>
          <w:sz w:val="16"/>
        </w:rPr>
        <w:t>類股份）應佔本基金該財政年度平均資產淨值的以下百分比：</w:t>
      </w:r>
      <w:r>
        <w:rPr>
          <w:rFonts w:ascii="Arial" w:eastAsia="Arial" w:hAnsi="Arial" w:cs="Arial"/>
          <w:sz w:val="16"/>
        </w:rPr>
        <w:t>A(1.50%)</w:t>
      </w:r>
      <w:r>
        <w:rPr>
          <w:sz w:val="16"/>
        </w:rPr>
        <w:t>、</w:t>
      </w:r>
      <w:r>
        <w:rPr>
          <w:rFonts w:ascii="Arial" w:eastAsia="Arial" w:hAnsi="Arial" w:cs="Arial"/>
          <w:sz w:val="16"/>
        </w:rPr>
        <w:t>AX(1.25%)</w:t>
      </w:r>
      <w:r>
        <w:rPr>
          <w:sz w:val="16"/>
        </w:rPr>
        <w:t>、</w:t>
      </w:r>
      <w:r>
        <w:rPr>
          <w:sz w:val="16"/>
        </w:rPr>
        <w:t xml:space="preserve"> </w:t>
      </w:r>
      <w:r>
        <w:rPr>
          <w:rFonts w:ascii="Arial" w:eastAsia="Arial" w:hAnsi="Arial" w:cs="Arial"/>
          <w:sz w:val="16"/>
        </w:rPr>
        <w:t>A2(1.50%)</w:t>
      </w:r>
      <w:r>
        <w:rPr>
          <w:sz w:val="16"/>
        </w:rPr>
        <w:t>、</w:t>
      </w:r>
      <w:r>
        <w:rPr>
          <w:rFonts w:ascii="Arial" w:eastAsia="Arial" w:hAnsi="Arial" w:cs="Arial"/>
          <w:sz w:val="16"/>
        </w:rPr>
        <w:t>A2X(1.25%)</w:t>
      </w:r>
      <w:r>
        <w:rPr>
          <w:sz w:val="16"/>
        </w:rPr>
        <w:t>、</w:t>
      </w:r>
      <w:r>
        <w:rPr>
          <w:rFonts w:ascii="Arial" w:eastAsia="Arial" w:hAnsi="Arial" w:cs="Arial"/>
          <w:sz w:val="16"/>
        </w:rPr>
        <w:t>AT(1.50</w:t>
      </w:r>
      <w:r>
        <w:rPr>
          <w:rFonts w:ascii="Arial" w:eastAsia="Arial" w:hAnsi="Arial" w:cs="Arial"/>
          <w:sz w:val="16"/>
        </w:rPr>
        <w:t>%)</w:t>
      </w:r>
      <w:r>
        <w:rPr>
          <w:sz w:val="16"/>
        </w:rPr>
        <w:t>、</w:t>
      </w:r>
      <w:r>
        <w:rPr>
          <w:rFonts w:ascii="Arial" w:eastAsia="Arial" w:hAnsi="Arial" w:cs="Arial"/>
          <w:sz w:val="16"/>
        </w:rPr>
        <w:t>ATX(1.25%)</w:t>
      </w:r>
      <w:r>
        <w:rPr>
          <w:sz w:val="16"/>
        </w:rPr>
        <w:t>、</w:t>
      </w:r>
      <w:r>
        <w:rPr>
          <w:rFonts w:ascii="Arial" w:eastAsia="Arial" w:hAnsi="Arial" w:cs="Arial"/>
          <w:sz w:val="16"/>
        </w:rPr>
        <w:t>AA(1.50%)</w:t>
      </w:r>
      <w:r>
        <w:rPr>
          <w:sz w:val="16"/>
        </w:rPr>
        <w:t>、</w:t>
      </w:r>
      <w:r>
        <w:rPr>
          <w:sz w:val="16"/>
        </w:rPr>
        <w:t xml:space="preserve"> </w:t>
      </w:r>
      <w:r>
        <w:rPr>
          <w:rFonts w:ascii="Arial" w:eastAsia="Arial" w:hAnsi="Arial" w:cs="Arial"/>
          <w:sz w:val="16"/>
        </w:rPr>
        <w:t>AR(1.50%)</w:t>
      </w:r>
      <w:r>
        <w:rPr>
          <w:sz w:val="16"/>
        </w:rPr>
        <w:t>、</w:t>
      </w:r>
      <w:r>
        <w:rPr>
          <w:rFonts w:ascii="Arial" w:eastAsia="Arial" w:hAnsi="Arial" w:cs="Arial"/>
          <w:sz w:val="16"/>
        </w:rPr>
        <w:t>BX(1.70%)</w:t>
      </w:r>
      <w:r>
        <w:rPr>
          <w:sz w:val="16"/>
        </w:rPr>
        <w:t>、</w:t>
      </w:r>
      <w:r>
        <w:rPr>
          <w:rFonts w:ascii="Arial" w:eastAsia="Arial" w:hAnsi="Arial" w:cs="Arial"/>
          <w:sz w:val="16"/>
        </w:rPr>
        <w:t>C(1.95%)</w:t>
      </w:r>
      <w:r>
        <w:rPr>
          <w:sz w:val="16"/>
        </w:rPr>
        <w:t>、</w:t>
      </w:r>
      <w:r>
        <w:rPr>
          <w:rFonts w:ascii="Arial" w:eastAsia="Arial" w:hAnsi="Arial" w:cs="Arial"/>
          <w:sz w:val="16"/>
        </w:rPr>
        <w:t>CX(1.70%)</w:t>
      </w:r>
      <w:r>
        <w:rPr>
          <w:sz w:val="16"/>
        </w:rPr>
        <w:t>、</w:t>
      </w:r>
      <w:r>
        <w:rPr>
          <w:rFonts w:ascii="Arial" w:eastAsia="Arial" w:hAnsi="Arial" w:cs="Arial"/>
          <w:sz w:val="16"/>
        </w:rPr>
        <w:t>C2(1.95%)</w:t>
      </w:r>
      <w:r>
        <w:rPr>
          <w:sz w:val="16"/>
        </w:rPr>
        <w:t>、</w:t>
      </w:r>
      <w:r>
        <w:rPr>
          <w:rFonts w:ascii="Arial" w:eastAsia="Arial" w:hAnsi="Arial" w:cs="Arial"/>
          <w:sz w:val="16"/>
        </w:rPr>
        <w:t xml:space="preserve"> C2X(1.70%)</w:t>
      </w:r>
      <w:r>
        <w:rPr>
          <w:sz w:val="16"/>
        </w:rPr>
        <w:t>、</w:t>
      </w:r>
      <w:r>
        <w:rPr>
          <w:rFonts w:ascii="Arial" w:eastAsia="Arial" w:hAnsi="Arial" w:cs="Arial"/>
          <w:sz w:val="16"/>
        </w:rPr>
        <w:t>EA (2.00%)</w:t>
      </w:r>
      <w:r>
        <w:rPr>
          <w:sz w:val="16"/>
        </w:rPr>
        <w:t>、</w:t>
      </w:r>
      <w:r>
        <w:rPr>
          <w:rFonts w:ascii="Arial" w:eastAsia="Arial" w:hAnsi="Arial" w:cs="Arial"/>
          <w:sz w:val="16"/>
        </w:rPr>
        <w:t>I(0.95%)</w:t>
      </w:r>
      <w:r>
        <w:rPr>
          <w:sz w:val="16"/>
        </w:rPr>
        <w:t>、</w:t>
      </w:r>
      <w:r>
        <w:rPr>
          <w:rFonts w:ascii="Arial" w:eastAsia="Arial" w:hAnsi="Arial" w:cs="Arial"/>
          <w:sz w:val="16"/>
        </w:rPr>
        <w:t>IT</w:t>
      </w:r>
      <w:r>
        <w:rPr>
          <w:rFonts w:ascii="Arial" w:eastAsia="Arial" w:hAnsi="Arial" w:cs="Arial"/>
          <w:sz w:val="24"/>
        </w:rPr>
        <w:t xml:space="preserve"> </w:t>
      </w:r>
      <w:r>
        <w:rPr>
          <w:rFonts w:ascii="Arial" w:eastAsia="Arial" w:hAnsi="Arial" w:cs="Arial"/>
          <w:sz w:val="16"/>
        </w:rPr>
        <w:t>(0.95%)</w:t>
      </w:r>
      <w:r>
        <w:rPr>
          <w:sz w:val="16"/>
        </w:rPr>
        <w:t>、</w:t>
      </w:r>
      <w:r>
        <w:rPr>
          <w:rFonts w:ascii="Arial" w:eastAsia="Arial" w:hAnsi="Arial" w:cs="Arial"/>
          <w:sz w:val="16"/>
        </w:rPr>
        <w:t>IX(0.70%)</w:t>
      </w:r>
      <w:r>
        <w:rPr>
          <w:sz w:val="16"/>
        </w:rPr>
        <w:t>、</w:t>
      </w:r>
      <w:r>
        <w:rPr>
          <w:sz w:val="16"/>
        </w:rPr>
        <w:t xml:space="preserve"> </w:t>
      </w:r>
      <w:r>
        <w:rPr>
          <w:rFonts w:ascii="Arial" w:eastAsia="Arial" w:hAnsi="Arial" w:cs="Arial"/>
          <w:sz w:val="16"/>
        </w:rPr>
        <w:t>I2(0.95%)</w:t>
      </w:r>
      <w:r>
        <w:rPr>
          <w:sz w:val="16"/>
        </w:rPr>
        <w:t>、</w:t>
      </w:r>
      <w:r>
        <w:rPr>
          <w:rFonts w:ascii="Arial" w:eastAsia="Arial" w:hAnsi="Arial" w:cs="Arial"/>
          <w:sz w:val="16"/>
        </w:rPr>
        <w:t>I2X(0.70%)</w:t>
      </w:r>
      <w:r>
        <w:rPr>
          <w:sz w:val="16"/>
        </w:rPr>
        <w:t>、</w:t>
      </w:r>
      <w:r>
        <w:rPr>
          <w:rFonts w:ascii="Arial" w:eastAsia="Arial" w:hAnsi="Arial" w:cs="Arial"/>
          <w:sz w:val="16"/>
        </w:rPr>
        <w:t>N2 (2.05%)</w:t>
      </w:r>
      <w:r>
        <w:rPr>
          <w:sz w:val="16"/>
        </w:rPr>
        <w:t>、</w:t>
      </w:r>
      <w:r>
        <w:rPr>
          <w:rFonts w:ascii="Arial" w:eastAsia="Arial" w:hAnsi="Arial" w:cs="Arial"/>
          <w:sz w:val="16"/>
        </w:rPr>
        <w:t>NT (2.05%)</w:t>
      </w:r>
      <w:r>
        <w:rPr>
          <w:sz w:val="16"/>
        </w:rPr>
        <w:t>、</w:t>
      </w:r>
      <w:r>
        <w:rPr>
          <w:rFonts w:ascii="Arial" w:eastAsia="Arial" w:hAnsi="Arial" w:cs="Arial"/>
          <w:sz w:val="16"/>
        </w:rPr>
        <w:t>S(0.15%)</w:t>
      </w:r>
      <w:r>
        <w:rPr>
          <w:sz w:val="16"/>
        </w:rPr>
        <w:t>、</w:t>
      </w:r>
      <w:r>
        <w:rPr>
          <w:sz w:val="16"/>
        </w:rPr>
        <w:t xml:space="preserve"> </w:t>
      </w:r>
      <w:r>
        <w:rPr>
          <w:rFonts w:ascii="Arial" w:eastAsia="Arial" w:hAnsi="Arial" w:cs="Arial"/>
          <w:sz w:val="16"/>
        </w:rPr>
        <w:t>S1(0.65%)</w:t>
      </w:r>
      <w:r>
        <w:rPr>
          <w:sz w:val="16"/>
        </w:rPr>
        <w:t>、</w:t>
      </w:r>
      <w:r>
        <w:rPr>
          <w:rFonts w:ascii="Arial" w:eastAsia="Arial" w:hAnsi="Arial" w:cs="Arial"/>
          <w:sz w:val="16"/>
        </w:rPr>
        <w:t>S2 (0.15%)</w:t>
      </w:r>
      <w:r>
        <w:rPr>
          <w:sz w:val="16"/>
        </w:rPr>
        <w:t>、</w:t>
      </w:r>
      <w:r>
        <w:rPr>
          <w:rFonts w:ascii="Arial" w:eastAsia="Arial" w:hAnsi="Arial" w:cs="Arial"/>
          <w:sz w:val="16"/>
        </w:rPr>
        <w:t>SA(0.15%)</w:t>
      </w:r>
      <w:r>
        <w:rPr>
          <w:sz w:val="16"/>
        </w:rPr>
        <w:t>、</w:t>
      </w:r>
      <w:r>
        <w:rPr>
          <w:rFonts w:ascii="Arial" w:eastAsia="Arial" w:hAnsi="Arial" w:cs="Arial"/>
          <w:sz w:val="16"/>
        </w:rPr>
        <w:t>S1X(0.55%)</w:t>
      </w:r>
      <w:r>
        <w:rPr>
          <w:sz w:val="16"/>
        </w:rPr>
        <w:t>及</w:t>
      </w:r>
      <w:r>
        <w:rPr>
          <w:sz w:val="16"/>
        </w:rPr>
        <w:t xml:space="preserve"> </w:t>
      </w:r>
      <w:r>
        <w:rPr>
          <w:rFonts w:ascii="Arial" w:eastAsia="Arial" w:hAnsi="Arial" w:cs="Arial"/>
          <w:sz w:val="16"/>
        </w:rPr>
        <w:t>ZT(0.05%)</w:t>
      </w:r>
      <w:r>
        <w:rPr>
          <w:sz w:val="16"/>
        </w:rPr>
        <w:t>，則本傘子基金可自應付管理公司的款項中扣減（或</w:t>
      </w:r>
      <w:r>
        <w:rPr>
          <w:sz w:val="16"/>
        </w:rPr>
        <w:t>管理公司將另行承擔）超出的費用及開支。</w:t>
      </w:r>
      <w:r>
        <w:rPr>
          <w:rFonts w:ascii="Arial" w:eastAsia="Arial" w:hAnsi="Arial" w:cs="Arial"/>
          <w:sz w:val="16"/>
        </w:rPr>
        <w:t xml:space="preserve"> </w:t>
      </w:r>
    </w:p>
    <w:p w:rsidR="004D6F0E" w:rsidRDefault="00490F21">
      <w:pPr>
        <w:numPr>
          <w:ilvl w:val="0"/>
          <w:numId w:val="22"/>
        </w:numPr>
        <w:ind w:right="13" w:hanging="360"/>
        <w:jc w:val="both"/>
      </w:pPr>
      <w:r>
        <w:rPr>
          <w:rFonts w:ascii="Arial" w:eastAsia="Arial" w:hAnsi="Arial" w:cs="Arial"/>
          <w:sz w:val="16"/>
        </w:rPr>
        <w:t xml:space="preserve">BX </w:t>
      </w:r>
      <w:r>
        <w:rPr>
          <w:sz w:val="16"/>
        </w:rPr>
        <w:t>類股份自認購日起六年後合資格轉入</w:t>
      </w:r>
      <w:r>
        <w:rPr>
          <w:sz w:val="16"/>
        </w:rPr>
        <w:t xml:space="preserve"> </w:t>
      </w:r>
      <w:r>
        <w:rPr>
          <w:rFonts w:ascii="Arial" w:eastAsia="Arial" w:hAnsi="Arial" w:cs="Arial"/>
          <w:sz w:val="16"/>
        </w:rPr>
        <w:t xml:space="preserve">AX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numPr>
          <w:ilvl w:val="0"/>
          <w:numId w:val="22"/>
        </w:numPr>
        <w:ind w:right="13" w:hanging="360"/>
        <w:jc w:val="both"/>
      </w:pPr>
      <w:r>
        <w:rPr>
          <w:sz w:val="16"/>
        </w:rPr>
        <w:t>佔購買價的百分比。</w:t>
      </w:r>
      <w:r>
        <w:rPr>
          <w:rFonts w:ascii="Arial" w:eastAsia="Arial" w:hAnsi="Arial" w:cs="Arial"/>
          <w:sz w:val="16"/>
        </w:rPr>
        <w:t xml:space="preserve"> </w:t>
      </w:r>
    </w:p>
    <w:p w:rsidR="004D6F0E" w:rsidRDefault="00490F21">
      <w:pPr>
        <w:numPr>
          <w:ilvl w:val="0"/>
          <w:numId w:val="22"/>
        </w:numPr>
        <w:ind w:right="13" w:hanging="360"/>
        <w:jc w:val="both"/>
      </w:pPr>
      <w:r>
        <w:rPr>
          <w:sz w:val="16"/>
        </w:rPr>
        <w:t>佔每日平均資產淨值的年百分比。就某些類股份而言，管理費亦可包括支付給分銷商或其他金融中介和服務供應商的費用。有關管理費的進一步詳情，請參閱第</w:t>
      </w:r>
      <w:r>
        <w:rPr>
          <w:sz w:val="16"/>
        </w:rPr>
        <w:t xml:space="preserve"> </w:t>
      </w:r>
      <w:r>
        <w:rPr>
          <w:rFonts w:ascii="Arial" w:eastAsia="Arial" w:hAnsi="Arial" w:cs="Arial"/>
          <w:sz w:val="16"/>
        </w:rPr>
        <w:t xml:space="preserve">II </w:t>
      </w:r>
      <w:r>
        <w:rPr>
          <w:sz w:val="16"/>
        </w:rPr>
        <w:t>部分「附加資料－費用及開支」。就</w:t>
      </w:r>
      <w:r>
        <w:rPr>
          <w:sz w:val="16"/>
        </w:rPr>
        <w:t xml:space="preserve"> </w:t>
      </w:r>
      <w:r>
        <w:rPr>
          <w:rFonts w:ascii="Arial" w:eastAsia="Arial" w:hAnsi="Arial" w:cs="Arial"/>
          <w:sz w:val="16"/>
        </w:rPr>
        <w:t>AX</w:t>
      </w:r>
      <w:r>
        <w:rPr>
          <w:sz w:val="16"/>
        </w:rPr>
        <w:t>、</w:t>
      </w:r>
      <w:r>
        <w:rPr>
          <w:sz w:val="16"/>
        </w:rPr>
        <w:t xml:space="preserve"> </w:t>
      </w:r>
      <w:r>
        <w:rPr>
          <w:rFonts w:ascii="Arial" w:eastAsia="Arial" w:hAnsi="Arial" w:cs="Arial"/>
          <w:sz w:val="16"/>
        </w:rPr>
        <w:t>A2X</w:t>
      </w:r>
      <w:r>
        <w:rPr>
          <w:sz w:val="16"/>
        </w:rPr>
        <w:t>、</w:t>
      </w:r>
      <w:r>
        <w:rPr>
          <w:rFonts w:ascii="Arial" w:eastAsia="Arial" w:hAnsi="Arial" w:cs="Arial"/>
          <w:sz w:val="16"/>
        </w:rPr>
        <w:t xml:space="preserve"> ATX</w:t>
      </w:r>
      <w:r>
        <w:rPr>
          <w:sz w:val="16"/>
        </w:rPr>
        <w:t>、</w:t>
      </w:r>
      <w:r>
        <w:rPr>
          <w:rFonts w:ascii="Arial" w:eastAsia="Arial" w:hAnsi="Arial" w:cs="Arial"/>
          <w:sz w:val="16"/>
        </w:rPr>
        <w:t>BX</w:t>
      </w:r>
      <w:r>
        <w:rPr>
          <w:sz w:val="16"/>
        </w:rPr>
        <w:t>、</w:t>
      </w:r>
      <w:r>
        <w:rPr>
          <w:rFonts w:ascii="Arial" w:eastAsia="Arial" w:hAnsi="Arial" w:cs="Arial"/>
          <w:sz w:val="16"/>
        </w:rPr>
        <w:t>CX</w:t>
      </w:r>
      <w:r>
        <w:rPr>
          <w:sz w:val="16"/>
        </w:rPr>
        <w:t>、</w:t>
      </w:r>
      <w:r>
        <w:rPr>
          <w:rFonts w:ascii="Arial" w:eastAsia="Arial" w:hAnsi="Arial" w:cs="Arial"/>
          <w:sz w:val="16"/>
        </w:rPr>
        <w:t>C2X</w:t>
      </w:r>
      <w:r>
        <w:rPr>
          <w:sz w:val="16"/>
        </w:rPr>
        <w:t>、</w:t>
      </w:r>
      <w:r>
        <w:rPr>
          <w:rFonts w:ascii="Arial" w:eastAsia="Arial" w:hAnsi="Arial" w:cs="Arial"/>
          <w:sz w:val="16"/>
        </w:rPr>
        <w:t xml:space="preserve"> IX </w:t>
      </w:r>
      <w:r>
        <w:rPr>
          <w:sz w:val="16"/>
        </w:rPr>
        <w:t>及</w:t>
      </w:r>
      <w:r>
        <w:rPr>
          <w:sz w:val="16"/>
        </w:rPr>
        <w:t xml:space="preserve"> </w:t>
      </w:r>
      <w:r>
        <w:rPr>
          <w:rFonts w:ascii="Arial" w:eastAsia="Arial" w:hAnsi="Arial" w:cs="Arial"/>
          <w:sz w:val="16"/>
        </w:rPr>
        <w:t xml:space="preserve">I2X </w:t>
      </w:r>
      <w:r>
        <w:rPr>
          <w:sz w:val="16"/>
        </w:rPr>
        <w:t>類股份而言，所列連續費用水平適用於</w:t>
      </w:r>
      <w:r>
        <w:rPr>
          <w:rFonts w:ascii="Arial" w:eastAsia="Arial" w:hAnsi="Arial" w:cs="Arial"/>
          <w:sz w:val="16"/>
        </w:rPr>
        <w:t>(1)</w:t>
      </w:r>
      <w:r>
        <w:rPr>
          <w:sz w:val="16"/>
        </w:rPr>
        <w:t>本基金淨資產的首</w:t>
      </w:r>
      <w:r>
        <w:rPr>
          <w:sz w:val="16"/>
        </w:rPr>
        <w:t xml:space="preserve"> </w:t>
      </w:r>
      <w:r>
        <w:rPr>
          <w:rFonts w:ascii="Arial" w:eastAsia="Arial" w:hAnsi="Arial" w:cs="Arial"/>
          <w:sz w:val="16"/>
        </w:rPr>
        <w:t xml:space="preserve">100,000,000 </w:t>
      </w:r>
      <w:r>
        <w:rPr>
          <w:sz w:val="16"/>
        </w:rPr>
        <w:t>美元，</w:t>
      </w:r>
      <w:r>
        <w:rPr>
          <w:rFonts w:ascii="Arial" w:eastAsia="Arial" w:hAnsi="Arial" w:cs="Arial"/>
          <w:sz w:val="16"/>
        </w:rPr>
        <w:t>(2)</w:t>
      </w:r>
      <w:r>
        <w:rPr>
          <w:sz w:val="16"/>
        </w:rPr>
        <w:t>本基金淨資產的次</w:t>
      </w:r>
      <w:r>
        <w:rPr>
          <w:sz w:val="16"/>
        </w:rPr>
        <w:t xml:space="preserve"> </w:t>
      </w:r>
      <w:r>
        <w:rPr>
          <w:rFonts w:ascii="Arial" w:eastAsia="Arial" w:hAnsi="Arial" w:cs="Arial"/>
          <w:sz w:val="16"/>
        </w:rPr>
        <w:t xml:space="preserve">100,000,000 </w:t>
      </w:r>
      <w:r>
        <w:rPr>
          <w:sz w:val="16"/>
        </w:rPr>
        <w:t>美元及</w:t>
      </w:r>
      <w:r>
        <w:rPr>
          <w:sz w:val="16"/>
        </w:rPr>
        <w:t xml:space="preserve"> </w:t>
      </w:r>
      <w:r>
        <w:rPr>
          <w:rFonts w:ascii="Arial" w:eastAsia="Arial" w:hAnsi="Arial" w:cs="Arial"/>
          <w:sz w:val="16"/>
        </w:rPr>
        <w:t xml:space="preserve">(3) </w:t>
      </w:r>
      <w:r>
        <w:rPr>
          <w:sz w:val="16"/>
        </w:rPr>
        <w:t>本基金淨資產數額超過</w:t>
      </w:r>
    </w:p>
    <w:p w:rsidR="004D6F0E" w:rsidRDefault="00490F21">
      <w:pPr>
        <w:spacing w:after="9" w:line="269" w:lineRule="auto"/>
        <w:ind w:left="354"/>
        <w:jc w:val="both"/>
      </w:pPr>
      <w:r>
        <w:rPr>
          <w:rFonts w:ascii="Arial" w:eastAsia="Arial" w:hAnsi="Arial" w:cs="Arial"/>
          <w:sz w:val="16"/>
        </w:rPr>
        <w:t xml:space="preserve">200,000,000 </w:t>
      </w:r>
      <w:r>
        <w:rPr>
          <w:sz w:val="16"/>
        </w:rPr>
        <w:t>美元。</w:t>
      </w:r>
      <w:r>
        <w:rPr>
          <w:rFonts w:ascii="Arial" w:eastAsia="Arial" w:hAnsi="Arial" w:cs="Arial"/>
          <w:sz w:val="16"/>
        </w:rPr>
        <w:t xml:space="preserve">  </w:t>
      </w:r>
    </w:p>
    <w:p w:rsidR="004D6F0E" w:rsidRDefault="00490F21">
      <w:pPr>
        <w:numPr>
          <w:ilvl w:val="0"/>
          <w:numId w:val="22"/>
        </w:numPr>
        <w:ind w:right="13" w:hanging="360"/>
        <w:jc w:val="both"/>
      </w:pPr>
      <w:r>
        <w:rPr>
          <w:sz w:val="16"/>
        </w:rPr>
        <w:t>佔每日平均資產淨值的年百分比。</w:t>
      </w:r>
      <w:r>
        <w:rPr>
          <w:rFonts w:ascii="Arial" w:eastAsia="Arial" w:hAnsi="Arial" w:cs="Arial"/>
          <w:sz w:val="16"/>
        </w:rPr>
        <w:t xml:space="preserve">   </w:t>
      </w:r>
    </w:p>
    <w:p w:rsidR="004D6F0E" w:rsidRDefault="00490F21">
      <w:pPr>
        <w:numPr>
          <w:ilvl w:val="0"/>
          <w:numId w:val="22"/>
        </w:numPr>
        <w:ind w:right="13" w:hanging="360"/>
        <w:jc w:val="both"/>
      </w:pPr>
      <w:r>
        <w:rPr>
          <w:sz w:val="16"/>
        </w:rPr>
        <w:t>佔所贖回股份的現</w:t>
      </w:r>
      <w:r>
        <w:rPr>
          <w:sz w:val="16"/>
        </w:rPr>
        <w:t>行資產淨值或原始成本此兩數字中較低者的有關百分比，並視乎該等股份的持有時間而定。</w:t>
      </w:r>
      <w:r>
        <w:rPr>
          <w:rFonts w:ascii="Arial" w:eastAsia="Arial" w:hAnsi="Arial" w:cs="Arial"/>
          <w:sz w:val="16"/>
        </w:rPr>
        <w:t xml:space="preserve">CDSC </w:t>
      </w:r>
      <w:r>
        <w:rPr>
          <w:sz w:val="16"/>
        </w:rPr>
        <w:t>股份僅可透過分銷商授權發售此等股份的交易商認購。考慮投資於</w:t>
      </w:r>
      <w:r>
        <w:rPr>
          <w:sz w:val="16"/>
        </w:rPr>
        <w:t xml:space="preserve"> </w:t>
      </w:r>
      <w:r>
        <w:rPr>
          <w:rFonts w:ascii="Arial" w:eastAsia="Arial" w:hAnsi="Arial" w:cs="Arial"/>
          <w:sz w:val="16"/>
        </w:rPr>
        <w:t xml:space="preserve">CDSC </w:t>
      </w:r>
      <w:r>
        <w:rPr>
          <w:sz w:val="16"/>
        </w:rPr>
        <w:t>股份的投資者應向其財務顧問了解詳情。就</w:t>
      </w:r>
      <w:r>
        <w:rPr>
          <w:sz w:val="16"/>
        </w:rPr>
        <w:t xml:space="preserve"> </w:t>
      </w:r>
      <w:r>
        <w:rPr>
          <w:rFonts w:ascii="Arial" w:eastAsia="Arial" w:hAnsi="Arial" w:cs="Arial"/>
          <w:sz w:val="16"/>
        </w:rPr>
        <w:t>C</w:t>
      </w:r>
      <w:r>
        <w:rPr>
          <w:sz w:val="16"/>
        </w:rPr>
        <w:t>、</w:t>
      </w:r>
      <w:r>
        <w:rPr>
          <w:rFonts w:ascii="Arial" w:eastAsia="Arial" w:hAnsi="Arial" w:cs="Arial"/>
          <w:sz w:val="16"/>
        </w:rPr>
        <w:t>CX</w:t>
      </w:r>
      <w:r>
        <w:rPr>
          <w:sz w:val="16"/>
        </w:rPr>
        <w:t>、</w:t>
      </w:r>
      <w:r>
        <w:rPr>
          <w:rFonts w:ascii="Arial" w:eastAsia="Arial" w:hAnsi="Arial" w:cs="Arial"/>
          <w:sz w:val="16"/>
        </w:rPr>
        <w:t xml:space="preserve">C2 </w:t>
      </w:r>
      <w:r>
        <w:rPr>
          <w:sz w:val="16"/>
        </w:rPr>
        <w:t>和</w:t>
      </w:r>
      <w:r>
        <w:rPr>
          <w:sz w:val="16"/>
        </w:rPr>
        <w:t xml:space="preserve"> </w:t>
      </w:r>
      <w:r>
        <w:rPr>
          <w:rFonts w:ascii="Arial" w:eastAsia="Arial" w:hAnsi="Arial" w:cs="Arial"/>
          <w:sz w:val="16"/>
        </w:rPr>
        <w:t xml:space="preserve">C2X </w:t>
      </w:r>
      <w:r>
        <w:rPr>
          <w:sz w:val="16"/>
        </w:rPr>
        <w:t>類股份而言</w:t>
      </w:r>
    </w:p>
    <w:p w:rsidR="004D6F0E" w:rsidRDefault="00490F21">
      <w:pPr>
        <w:ind w:left="370" w:right="13" w:hanging="10"/>
        <w:jc w:val="both"/>
      </w:pPr>
      <w:r>
        <w:rPr>
          <w:sz w:val="16"/>
        </w:rPr>
        <w:t>，交易商可在某些情況下選擇減免或有遞延銷售費。</w:t>
      </w:r>
      <w:r>
        <w:rPr>
          <w:rFonts w:ascii="Arial" w:eastAsia="Arial" w:hAnsi="Arial" w:cs="Arial"/>
          <w:sz w:val="16"/>
        </w:rPr>
        <w:t xml:space="preserve"> </w:t>
      </w:r>
    </w:p>
    <w:p w:rsidR="004D6F0E" w:rsidRDefault="00490F21">
      <w:pPr>
        <w:numPr>
          <w:ilvl w:val="0"/>
          <w:numId w:val="22"/>
        </w:numPr>
        <w:ind w:right="13" w:hanging="360"/>
        <w:jc w:val="both"/>
      </w:pPr>
      <w:r>
        <w:rPr>
          <w:rFonts w:ascii="Arial" w:eastAsia="Arial" w:hAnsi="Arial" w:cs="Arial"/>
          <w:sz w:val="16"/>
        </w:rPr>
        <w:t>S</w:t>
      </w:r>
      <w:r>
        <w:rPr>
          <w:sz w:val="16"/>
        </w:rPr>
        <w:t>、</w:t>
      </w:r>
      <w:r>
        <w:rPr>
          <w:rFonts w:ascii="Arial" w:eastAsia="Arial" w:hAnsi="Arial" w:cs="Arial"/>
          <w:sz w:val="16"/>
        </w:rPr>
        <w:t xml:space="preserve">S2 </w:t>
      </w:r>
      <w:r>
        <w:rPr>
          <w:sz w:val="16"/>
        </w:rPr>
        <w:t>及</w:t>
      </w:r>
      <w:r>
        <w:rPr>
          <w:sz w:val="16"/>
        </w:rPr>
        <w:t xml:space="preserve"> </w:t>
      </w:r>
      <w:r>
        <w:rPr>
          <w:rFonts w:ascii="Arial" w:eastAsia="Arial" w:hAnsi="Arial" w:cs="Arial"/>
          <w:sz w:val="16"/>
        </w:rPr>
        <w:t xml:space="preserve">SA </w:t>
      </w:r>
      <w:r>
        <w:rPr>
          <w:sz w:val="16"/>
        </w:rPr>
        <w:t>類股份（及相應對沖股份類別）乃保留給已與管理公司訂立協議且被另行收取投資管理費的機構投資者。</w:t>
      </w:r>
      <w:r>
        <w:rPr>
          <w:rFonts w:ascii="Arial" w:eastAsia="Arial" w:hAnsi="Arial" w:cs="Arial"/>
          <w:sz w:val="16"/>
        </w:rPr>
        <w:t xml:space="preserve"> </w:t>
      </w:r>
    </w:p>
    <w:p w:rsidR="004D6F0E" w:rsidRDefault="00490F21">
      <w:pPr>
        <w:numPr>
          <w:ilvl w:val="0"/>
          <w:numId w:val="22"/>
        </w:numPr>
        <w:ind w:right="13" w:hanging="360"/>
        <w:jc w:val="both"/>
      </w:pPr>
      <w:r>
        <w:rPr>
          <w:sz w:val="16"/>
        </w:rPr>
        <w:t>有關此股份類別的進一步資料，請參閱第</w:t>
      </w:r>
      <w:r>
        <w:rPr>
          <w:sz w:val="16"/>
        </w:rPr>
        <w:t xml:space="preserve"> </w:t>
      </w:r>
      <w:r>
        <w:rPr>
          <w:rFonts w:ascii="Arial" w:eastAsia="Arial" w:hAnsi="Arial" w:cs="Arial"/>
          <w:sz w:val="16"/>
        </w:rPr>
        <w:t xml:space="preserve">II </w:t>
      </w:r>
      <w:r>
        <w:rPr>
          <w:sz w:val="16"/>
        </w:rPr>
        <w:t>部分「附加股份類別資料」。</w:t>
      </w:r>
      <w:r>
        <w:rPr>
          <w:rFonts w:ascii="Arial" w:eastAsia="Arial" w:hAnsi="Arial" w:cs="Arial"/>
          <w:sz w:val="16"/>
        </w:rPr>
        <w:t xml:space="preserve"> </w:t>
      </w:r>
    </w:p>
    <w:p w:rsidR="004D6F0E" w:rsidRDefault="00490F21">
      <w:pPr>
        <w:numPr>
          <w:ilvl w:val="0"/>
          <w:numId w:val="22"/>
        </w:numPr>
        <w:ind w:right="13" w:hanging="360"/>
        <w:jc w:val="both"/>
      </w:pPr>
      <w:r>
        <w:rPr>
          <w:rFonts w:ascii="Arial" w:eastAsia="Arial" w:hAnsi="Arial" w:cs="Arial"/>
          <w:sz w:val="16"/>
        </w:rPr>
        <w:t xml:space="preserve">ZT </w:t>
      </w:r>
      <w:r>
        <w:rPr>
          <w:sz w:val="16"/>
        </w:rPr>
        <w:t>類股份保留供聯博基金投資。</w:t>
      </w:r>
      <w:r>
        <w:rPr>
          <w:rFonts w:ascii="Arial" w:eastAsia="Arial" w:hAnsi="Arial" w:cs="Arial"/>
          <w:sz w:val="16"/>
        </w:rPr>
        <w:t xml:space="preserve"> </w:t>
      </w:r>
    </w:p>
    <w:p w:rsidR="004D6F0E" w:rsidRDefault="00490F21">
      <w:pPr>
        <w:numPr>
          <w:ilvl w:val="0"/>
          <w:numId w:val="22"/>
        </w:numPr>
        <w:ind w:right="13" w:hanging="360"/>
        <w:jc w:val="both"/>
      </w:pPr>
      <w:r>
        <w:rPr>
          <w:rFonts w:ascii="Arial" w:eastAsia="Arial" w:hAnsi="Arial" w:cs="Arial"/>
          <w:sz w:val="16"/>
        </w:rPr>
        <w:t xml:space="preserve">EA </w:t>
      </w:r>
      <w:r>
        <w:rPr>
          <w:sz w:val="16"/>
        </w:rPr>
        <w:t>類股份（及相應</w:t>
      </w:r>
      <w:r>
        <w:rPr>
          <w:sz w:val="16"/>
        </w:rPr>
        <w:t xml:space="preserve"> </w:t>
      </w:r>
      <w:r>
        <w:rPr>
          <w:rFonts w:ascii="Arial" w:eastAsia="Arial" w:hAnsi="Arial" w:cs="Arial"/>
          <w:sz w:val="16"/>
        </w:rPr>
        <w:t xml:space="preserve">H </w:t>
      </w:r>
      <w:r>
        <w:rPr>
          <w:sz w:val="16"/>
        </w:rPr>
        <w:t>類股份）自認購日起三年後將轉入</w:t>
      </w:r>
      <w:r>
        <w:rPr>
          <w:sz w:val="16"/>
        </w:rPr>
        <w:t xml:space="preserve"> </w:t>
      </w:r>
      <w:r>
        <w:rPr>
          <w:rFonts w:ascii="Arial" w:eastAsia="Arial" w:hAnsi="Arial" w:cs="Arial"/>
          <w:sz w:val="16"/>
        </w:rPr>
        <w:t xml:space="preserve">AA </w:t>
      </w:r>
      <w:r>
        <w:rPr>
          <w:sz w:val="16"/>
        </w:rPr>
        <w:t>類股份</w:t>
      </w:r>
    </w:p>
    <w:p w:rsidR="004D6F0E" w:rsidRDefault="00490F21">
      <w:pPr>
        <w:ind w:left="371" w:right="13" w:hanging="10"/>
        <w:jc w:val="both"/>
      </w:pPr>
      <w:r>
        <w:rPr>
          <w:sz w:val="16"/>
        </w:rPr>
        <w:t>（及相應</w:t>
      </w:r>
      <w:r>
        <w:rPr>
          <w:sz w:val="16"/>
        </w:rPr>
        <w:t xml:space="preserve"> </w:t>
      </w:r>
      <w:r>
        <w:rPr>
          <w:rFonts w:ascii="Arial" w:eastAsia="Arial" w:hAnsi="Arial" w:cs="Arial"/>
          <w:sz w:val="16"/>
        </w:rPr>
        <w:t xml:space="preserve">H </w:t>
      </w:r>
      <w:r>
        <w:rPr>
          <w:sz w:val="16"/>
        </w:rPr>
        <w:t>類股份），本傘子基金和管理公司均不會因此收取費用。欲進一步了解換股詳情，請參閱認購章程第</w:t>
      </w:r>
      <w:r>
        <w:rPr>
          <w:sz w:val="16"/>
        </w:rPr>
        <w:t xml:space="preserve"> </w:t>
      </w:r>
      <w:r>
        <w:rPr>
          <w:rFonts w:ascii="Arial" w:eastAsia="Arial" w:hAnsi="Arial" w:cs="Arial"/>
          <w:sz w:val="16"/>
        </w:rPr>
        <w:t xml:space="preserve">II </w:t>
      </w:r>
      <w:r>
        <w:rPr>
          <w:sz w:val="16"/>
        </w:rPr>
        <w:t>部分的「如何交換或轉換股份</w:t>
      </w:r>
      <w:r>
        <w:rPr>
          <w:rFonts w:ascii="Arial" w:eastAsia="Arial" w:hAnsi="Arial" w:cs="Arial"/>
          <w:sz w:val="16"/>
        </w:rPr>
        <w:t>—</w:t>
      </w:r>
      <w:r>
        <w:rPr>
          <w:sz w:val="16"/>
        </w:rPr>
        <w:t>轉換</w:t>
      </w:r>
      <w:r>
        <w:rPr>
          <w:sz w:val="16"/>
        </w:rPr>
        <w:t xml:space="preserve"> </w:t>
      </w:r>
      <w:r>
        <w:rPr>
          <w:rFonts w:ascii="Arial" w:eastAsia="Arial" w:hAnsi="Arial" w:cs="Arial"/>
          <w:sz w:val="16"/>
        </w:rPr>
        <w:t xml:space="preserve">CDSC </w:t>
      </w:r>
      <w:r>
        <w:rPr>
          <w:sz w:val="16"/>
        </w:rPr>
        <w:t>股份」</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lastRenderedPageBreak/>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345" w:right="13" w:hanging="358"/>
        <w:jc w:val="both"/>
      </w:pPr>
      <w:r>
        <w:rPr>
          <w:rFonts w:ascii="Arial" w:eastAsia="Arial" w:hAnsi="Arial" w:cs="Arial"/>
          <w:sz w:val="16"/>
        </w:rPr>
        <w:t xml:space="preserve">* </w:t>
      </w:r>
      <w:r>
        <w:rPr>
          <w:sz w:val="16"/>
        </w:rPr>
        <w:t>「人民幣」指離岸人民幣（「</w:t>
      </w:r>
      <w:r>
        <w:rPr>
          <w:rFonts w:ascii="Arial" w:eastAsia="Arial" w:hAnsi="Arial" w:cs="Arial"/>
          <w:sz w:val="16"/>
        </w:rPr>
        <w:t>CNH</w:t>
      </w:r>
      <w:r>
        <w:rPr>
          <w:sz w:val="16"/>
        </w:rPr>
        <w:t>」），而非稱為</w:t>
      </w:r>
      <w:r>
        <w:rPr>
          <w:sz w:val="16"/>
        </w:rPr>
        <w:t xml:space="preserve"> </w:t>
      </w:r>
      <w:r>
        <w:rPr>
          <w:rFonts w:ascii="Arial" w:eastAsia="Arial" w:hAnsi="Arial" w:cs="Arial"/>
          <w:sz w:val="16"/>
        </w:rPr>
        <w:t xml:space="preserve">CNY </w:t>
      </w:r>
      <w:r>
        <w:rPr>
          <w:sz w:val="16"/>
        </w:rPr>
        <w:t>的在岸人民幣。</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spacing w:after="25"/>
        <w:ind w:left="347" w:right="13" w:hanging="360"/>
        <w:jc w:val="both"/>
      </w:pPr>
      <w:r>
        <w:rPr>
          <w:rFonts w:ascii="Arial" w:eastAsia="Arial" w:hAnsi="Arial" w:cs="Arial"/>
          <w:sz w:val="16"/>
        </w:rPr>
        <w:t>†   AX</w:t>
      </w:r>
      <w:r>
        <w:rPr>
          <w:sz w:val="16"/>
        </w:rPr>
        <w:t>、</w:t>
      </w:r>
      <w:r>
        <w:rPr>
          <w:rFonts w:ascii="Arial" w:eastAsia="Arial" w:hAnsi="Arial" w:cs="Arial"/>
          <w:sz w:val="16"/>
        </w:rPr>
        <w:t>A2X</w:t>
      </w:r>
      <w:r>
        <w:rPr>
          <w:sz w:val="16"/>
        </w:rPr>
        <w:t>、</w:t>
      </w:r>
      <w:r>
        <w:rPr>
          <w:rFonts w:ascii="Arial" w:eastAsia="Arial" w:hAnsi="Arial" w:cs="Arial"/>
          <w:sz w:val="16"/>
        </w:rPr>
        <w:t>ATX</w:t>
      </w:r>
      <w:r>
        <w:rPr>
          <w:sz w:val="16"/>
        </w:rPr>
        <w:t>、</w:t>
      </w:r>
      <w:r>
        <w:rPr>
          <w:rFonts w:ascii="Arial" w:eastAsia="Arial" w:hAnsi="Arial" w:cs="Arial"/>
          <w:sz w:val="16"/>
        </w:rPr>
        <w:t>BX</w:t>
      </w:r>
      <w:r>
        <w:rPr>
          <w:sz w:val="16"/>
        </w:rPr>
        <w:t>、</w:t>
      </w:r>
      <w:r>
        <w:rPr>
          <w:rFonts w:ascii="Arial" w:eastAsia="Arial" w:hAnsi="Arial" w:cs="Arial"/>
          <w:sz w:val="16"/>
        </w:rPr>
        <w:t>CX</w:t>
      </w:r>
      <w:r>
        <w:rPr>
          <w:sz w:val="16"/>
        </w:rPr>
        <w:t>、</w:t>
      </w:r>
      <w:r>
        <w:rPr>
          <w:rFonts w:ascii="Arial" w:eastAsia="Arial" w:hAnsi="Arial" w:cs="Arial"/>
          <w:sz w:val="16"/>
        </w:rPr>
        <w:t>C2X</w:t>
      </w:r>
      <w:r>
        <w:rPr>
          <w:sz w:val="16"/>
        </w:rPr>
        <w:t>、</w:t>
      </w:r>
      <w:r>
        <w:rPr>
          <w:rFonts w:ascii="Arial" w:eastAsia="Arial" w:hAnsi="Arial" w:cs="Arial"/>
          <w:sz w:val="16"/>
        </w:rPr>
        <w:t>IX</w:t>
      </w:r>
      <w:r>
        <w:rPr>
          <w:sz w:val="16"/>
        </w:rPr>
        <w:t>、</w:t>
      </w:r>
      <w:r>
        <w:rPr>
          <w:rFonts w:ascii="Arial" w:eastAsia="Arial" w:hAnsi="Arial" w:cs="Arial"/>
          <w:sz w:val="16"/>
        </w:rPr>
        <w:t xml:space="preserve">I2X </w:t>
      </w:r>
      <w:r>
        <w:rPr>
          <w:sz w:val="16"/>
        </w:rPr>
        <w:t>及</w:t>
      </w:r>
      <w:r>
        <w:rPr>
          <w:sz w:val="16"/>
        </w:rPr>
        <w:t xml:space="preserve"> </w:t>
      </w:r>
      <w:r>
        <w:rPr>
          <w:rFonts w:ascii="Arial" w:eastAsia="Arial" w:hAnsi="Arial" w:cs="Arial"/>
          <w:sz w:val="16"/>
        </w:rPr>
        <w:t xml:space="preserve">S1X </w:t>
      </w:r>
      <w:r>
        <w:rPr>
          <w:sz w:val="16"/>
        </w:rPr>
        <w:t>類股份已終止，除自此等股份類別的現有股東認購外，不再接納新認購。</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b/>
          <w:sz w:val="18"/>
        </w:rPr>
        <w:t xml:space="preserve"> </w:t>
      </w:r>
      <w:r>
        <w:rPr>
          <w:rFonts w:ascii="Arial" w:eastAsia="Arial" w:hAnsi="Arial" w:cs="Arial"/>
          <w:b/>
          <w:sz w:val="18"/>
        </w:rPr>
        <w:tab/>
        <w:t xml:space="preserve"> </w:t>
      </w:r>
    </w:p>
    <w:p w:rsidR="004D6F0E" w:rsidRDefault="004D6F0E">
      <w:pPr>
        <w:sectPr w:rsidR="004D6F0E">
          <w:type w:val="continuous"/>
          <w:pgSz w:w="12240" w:h="15840"/>
          <w:pgMar w:top="1440" w:right="679" w:bottom="1440" w:left="432" w:header="720" w:footer="720" w:gutter="0"/>
          <w:cols w:num="2" w:space="639"/>
        </w:sectPr>
      </w:pPr>
    </w:p>
    <w:p w:rsidR="004D6F0E" w:rsidRDefault="00490F21">
      <w:pPr>
        <w:spacing w:after="71" w:line="259" w:lineRule="auto"/>
        <w:ind w:left="0" w:right="184" w:firstLine="0"/>
        <w:jc w:val="right"/>
      </w:pPr>
      <w:r>
        <w:rPr>
          <w:rFonts w:ascii="Times New Roman" w:eastAsia="Times New Roman" w:hAnsi="Times New Roman" w:cs="Times New Roman"/>
          <w:sz w:val="16"/>
        </w:rPr>
        <w:lastRenderedPageBreak/>
        <w:t xml:space="preserve"> </w:t>
      </w:r>
    </w:p>
    <w:p w:rsidR="004D6F0E" w:rsidRDefault="00490F21">
      <w:pPr>
        <w:spacing w:after="27" w:line="259" w:lineRule="auto"/>
        <w:ind w:left="0" w:right="-28" w:firstLine="0"/>
      </w:pPr>
      <w:r>
        <w:rPr>
          <w:rFonts w:ascii="Calibri" w:eastAsia="Calibri" w:hAnsi="Calibri" w:cs="Calibri"/>
          <w:noProof/>
          <w:sz w:val="22"/>
        </w:rPr>
        <mc:AlternateContent>
          <mc:Choice Requires="wpg">
            <w:drawing>
              <wp:inline distT="0" distB="0" distL="0" distR="0">
                <wp:extent cx="7200900" cy="18288"/>
                <wp:effectExtent l="0" t="0" r="0" b="0"/>
                <wp:docPr id="606667" name="Group 606667"/>
                <wp:cNvGraphicFramePr/>
                <a:graphic xmlns:a="http://schemas.openxmlformats.org/drawingml/2006/main">
                  <a:graphicData uri="http://schemas.microsoft.com/office/word/2010/wordprocessingGroup">
                    <wpg:wgp>
                      <wpg:cNvGrpSpPr/>
                      <wpg:grpSpPr>
                        <a:xfrm>
                          <a:off x="0" y="0"/>
                          <a:ext cx="7200900" cy="18288"/>
                          <a:chOff x="0" y="0"/>
                          <a:chExt cx="7200900" cy="18288"/>
                        </a:xfrm>
                      </wpg:grpSpPr>
                      <wps:wsp>
                        <wps:cNvPr id="658523" name="Shape 658523"/>
                        <wps:cNvSpPr/>
                        <wps:spPr>
                          <a:xfrm>
                            <a:off x="0" y="0"/>
                            <a:ext cx="7200900" cy="18288"/>
                          </a:xfrm>
                          <a:custGeom>
                            <a:avLst/>
                            <a:gdLst/>
                            <a:ahLst/>
                            <a:cxnLst/>
                            <a:rect l="0" t="0" r="0" b="0"/>
                            <a:pathLst>
                              <a:path w="7200900" h="18288">
                                <a:moveTo>
                                  <a:pt x="0" y="0"/>
                                </a:moveTo>
                                <a:lnTo>
                                  <a:pt x="7200900" y="0"/>
                                </a:lnTo>
                                <a:lnTo>
                                  <a:pt x="720090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67" style="width:567pt;height:1.44pt;mso-position-horizontal-relative:char;mso-position-vertical-relative:line" coordsize="72009,182">
                <v:shape id="Shape 658524" style="position:absolute;width:72009;height:182;left:0;top:0;" coordsize="7200900,18288" path="m0,0l7200900,0l7200900,18288l0,18288l0,0">
                  <v:stroke weight="0pt" endcap="flat" joinstyle="miter" miterlimit="10" on="false" color="#000000" opacity="0"/>
                  <v:fill on="true" color="#000000"/>
                </v:shape>
              </v:group>
            </w:pict>
          </mc:Fallback>
        </mc:AlternateContent>
      </w:r>
    </w:p>
    <w:p w:rsidR="004D6F0E" w:rsidRDefault="00490F21">
      <w:pPr>
        <w:ind w:left="124" w:right="2"/>
      </w:pPr>
      <w:r>
        <w:t>其他股份類別特色</w:t>
      </w:r>
      <w:r>
        <w:rPr>
          <w:rFonts w:ascii="Arial" w:eastAsia="Arial" w:hAnsi="Arial" w:cs="Arial"/>
          <w:sz w:val="24"/>
        </w:rPr>
        <w:t xml:space="preserve"> </w:t>
      </w:r>
    </w:p>
    <w:p w:rsidR="004D6F0E" w:rsidRDefault="00490F21">
      <w:pPr>
        <w:spacing w:after="88" w:line="265" w:lineRule="auto"/>
        <w:ind w:right="220" w:hanging="10"/>
        <w:jc w:val="right"/>
      </w:pPr>
      <w:r>
        <w:rPr>
          <w:sz w:val="18"/>
        </w:rPr>
        <w:t>盧森堡年稅</w:t>
      </w:r>
      <w:r>
        <w:t>（</w:t>
      </w:r>
      <w:r>
        <w:rPr>
          <w:rFonts w:ascii="Arial" w:eastAsia="Arial" w:hAnsi="Arial" w:cs="Arial"/>
          <w:b/>
          <w:i/>
          <w:sz w:val="18"/>
        </w:rPr>
        <w:t xml:space="preserve">Taxe </w:t>
      </w:r>
    </w:p>
    <w:p w:rsidR="004D6F0E" w:rsidRDefault="00490F21">
      <w:pPr>
        <w:tabs>
          <w:tab w:val="center" w:pos="3118"/>
          <w:tab w:val="center" w:pos="5103"/>
          <w:tab w:val="center" w:pos="7794"/>
          <w:tab w:val="right" w:pos="11312"/>
        </w:tabs>
        <w:ind w:left="0" w:firstLine="0"/>
      </w:pPr>
      <w:r>
        <w:rPr>
          <w:rFonts w:ascii="Arial" w:eastAsia="Arial" w:hAnsi="Arial" w:cs="Arial"/>
          <w:b/>
          <w:sz w:val="28"/>
          <w:vertAlign w:val="superscript"/>
        </w:rPr>
        <w:t xml:space="preserve"> </w:t>
      </w:r>
      <w:r>
        <w:rPr>
          <w:rFonts w:ascii="Arial" w:eastAsia="Arial" w:hAnsi="Arial" w:cs="Arial"/>
          <w:b/>
          <w:sz w:val="28"/>
          <w:vertAlign w:val="superscript"/>
        </w:rPr>
        <w:tab/>
      </w:r>
      <w:r>
        <w:rPr>
          <w:sz w:val="18"/>
        </w:rPr>
        <w:t>發售貨幣</w:t>
      </w:r>
      <w:r>
        <w:rPr>
          <w:rFonts w:ascii="Arial" w:eastAsia="Arial" w:hAnsi="Arial" w:cs="Arial"/>
          <w:sz w:val="24"/>
        </w:rPr>
        <w:t xml:space="preserve"> </w:t>
      </w:r>
      <w:r>
        <w:rPr>
          <w:rFonts w:ascii="Arial" w:eastAsia="Arial" w:hAnsi="Arial" w:cs="Arial"/>
          <w:sz w:val="24"/>
        </w:rPr>
        <w:tab/>
      </w:r>
      <w:r>
        <w:rPr>
          <w:sz w:val="18"/>
        </w:rPr>
        <w:t>最低首次投資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sz w:val="18"/>
        </w:rPr>
        <w:t>最低後續投資</w:t>
      </w:r>
      <w:r>
        <w:rPr>
          <w:rFonts w:ascii="Arial" w:eastAsia="Arial" w:hAnsi="Arial" w:cs="Arial"/>
          <w:b/>
          <w:sz w:val="18"/>
        </w:rPr>
        <w:t>*</w:t>
      </w:r>
      <w:r>
        <w:rPr>
          <w:rFonts w:ascii="Arial" w:eastAsia="Arial" w:hAnsi="Arial" w:cs="Arial"/>
          <w:sz w:val="24"/>
        </w:rPr>
        <w:t xml:space="preserve"> </w:t>
      </w:r>
      <w:r>
        <w:rPr>
          <w:sz w:val="18"/>
        </w:rPr>
        <w:t>最高投資</w:t>
      </w:r>
      <w:r>
        <w:rPr>
          <w:rFonts w:ascii="Arial" w:eastAsia="Arial" w:hAnsi="Arial" w:cs="Arial"/>
          <w:b/>
          <w:sz w:val="18"/>
        </w:rPr>
        <w:t>**</w:t>
      </w:r>
      <w:r>
        <w:rPr>
          <w:rFonts w:ascii="Arial" w:eastAsia="Arial" w:hAnsi="Arial" w:cs="Arial"/>
          <w:sz w:val="24"/>
        </w:rPr>
        <w:t xml:space="preserve"> </w:t>
      </w:r>
      <w:r>
        <w:rPr>
          <w:rFonts w:ascii="Arial" w:eastAsia="Arial" w:hAnsi="Arial" w:cs="Arial"/>
          <w:sz w:val="24"/>
        </w:rPr>
        <w:tab/>
      </w:r>
      <w:r>
        <w:rPr>
          <w:rFonts w:ascii="Arial" w:eastAsia="Arial" w:hAnsi="Arial" w:cs="Arial"/>
          <w:b/>
          <w:i/>
          <w:sz w:val="18"/>
        </w:rPr>
        <w:t>d'Abonnement</w:t>
      </w:r>
      <w:r>
        <w:t>）</w:t>
      </w:r>
      <w:r>
        <w:rPr>
          <w:rFonts w:ascii="Arial" w:eastAsia="Arial" w:hAnsi="Arial" w:cs="Arial"/>
          <w:b/>
          <w:sz w:val="18"/>
        </w:rPr>
        <w:t>***</w:t>
      </w:r>
      <w:r>
        <w:rPr>
          <w:rFonts w:ascii="Arial" w:eastAsia="Arial" w:hAnsi="Arial" w:cs="Arial"/>
          <w:sz w:val="24"/>
        </w:rPr>
        <w:t xml:space="preserve"> </w:t>
      </w:r>
    </w:p>
    <w:p w:rsidR="004D6F0E" w:rsidRDefault="00490F21">
      <w:pPr>
        <w:spacing w:after="12" w:line="259" w:lineRule="auto"/>
        <w:ind w:left="2354" w:firstLine="0"/>
      </w:pPr>
      <w:r>
        <w:rPr>
          <w:rFonts w:ascii="Calibri" w:eastAsia="Calibri" w:hAnsi="Calibri" w:cs="Calibri"/>
          <w:noProof/>
          <w:sz w:val="22"/>
        </w:rPr>
        <mc:AlternateContent>
          <mc:Choice Requires="wpg">
            <w:drawing>
              <wp:inline distT="0" distB="0" distL="0" distR="0">
                <wp:extent cx="5650992" cy="6096"/>
                <wp:effectExtent l="0" t="0" r="0" b="0"/>
                <wp:docPr id="606668" name="Group 606668"/>
                <wp:cNvGraphicFramePr/>
                <a:graphic xmlns:a="http://schemas.openxmlformats.org/drawingml/2006/main">
                  <a:graphicData uri="http://schemas.microsoft.com/office/word/2010/wordprocessingGroup">
                    <wpg:wgp>
                      <wpg:cNvGrpSpPr/>
                      <wpg:grpSpPr>
                        <a:xfrm>
                          <a:off x="0" y="0"/>
                          <a:ext cx="5650992" cy="6096"/>
                          <a:chOff x="0" y="0"/>
                          <a:chExt cx="5650992" cy="6096"/>
                        </a:xfrm>
                      </wpg:grpSpPr>
                      <wps:wsp>
                        <wps:cNvPr id="658525" name="Shape 658525"/>
                        <wps:cNvSpPr/>
                        <wps:spPr>
                          <a:xfrm>
                            <a:off x="0" y="0"/>
                            <a:ext cx="970788" cy="9144"/>
                          </a:xfrm>
                          <a:custGeom>
                            <a:avLst/>
                            <a:gdLst/>
                            <a:ahLst/>
                            <a:cxnLst/>
                            <a:rect l="0" t="0" r="0" b="0"/>
                            <a:pathLst>
                              <a:path w="970788" h="9144">
                                <a:moveTo>
                                  <a:pt x="0" y="0"/>
                                </a:moveTo>
                                <a:lnTo>
                                  <a:pt x="970788" y="0"/>
                                </a:lnTo>
                                <a:lnTo>
                                  <a:pt x="970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26" name="Shape 658526"/>
                        <wps:cNvSpPr/>
                        <wps:spPr>
                          <a:xfrm>
                            <a:off x="1080516" y="0"/>
                            <a:ext cx="1330452" cy="9144"/>
                          </a:xfrm>
                          <a:custGeom>
                            <a:avLst/>
                            <a:gdLst/>
                            <a:ahLst/>
                            <a:cxnLst/>
                            <a:rect l="0" t="0" r="0" b="0"/>
                            <a:pathLst>
                              <a:path w="1330452" h="9144">
                                <a:moveTo>
                                  <a:pt x="0" y="0"/>
                                </a:moveTo>
                                <a:lnTo>
                                  <a:pt x="1330452" y="0"/>
                                </a:lnTo>
                                <a:lnTo>
                                  <a:pt x="1330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27" name="Shape 658527"/>
                        <wps:cNvSpPr/>
                        <wps:spPr>
                          <a:xfrm>
                            <a:off x="2520696" y="0"/>
                            <a:ext cx="970801" cy="9144"/>
                          </a:xfrm>
                          <a:custGeom>
                            <a:avLst/>
                            <a:gdLst/>
                            <a:ahLst/>
                            <a:cxnLst/>
                            <a:rect l="0" t="0" r="0" b="0"/>
                            <a:pathLst>
                              <a:path w="970801" h="9144">
                                <a:moveTo>
                                  <a:pt x="0" y="0"/>
                                </a:moveTo>
                                <a:lnTo>
                                  <a:pt x="970801" y="0"/>
                                </a:lnTo>
                                <a:lnTo>
                                  <a:pt x="9708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28" name="Shape 658528"/>
                        <wps:cNvSpPr/>
                        <wps:spPr>
                          <a:xfrm>
                            <a:off x="3599688" y="0"/>
                            <a:ext cx="790956" cy="9144"/>
                          </a:xfrm>
                          <a:custGeom>
                            <a:avLst/>
                            <a:gdLst/>
                            <a:ahLst/>
                            <a:cxnLst/>
                            <a:rect l="0" t="0" r="0" b="0"/>
                            <a:pathLst>
                              <a:path w="790956" h="9144">
                                <a:moveTo>
                                  <a:pt x="0" y="0"/>
                                </a:moveTo>
                                <a:lnTo>
                                  <a:pt x="790956" y="0"/>
                                </a:lnTo>
                                <a:lnTo>
                                  <a:pt x="7909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29" name="Shape 658529"/>
                        <wps:cNvSpPr/>
                        <wps:spPr>
                          <a:xfrm>
                            <a:off x="450037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68" style="width:444.96pt;height:0.47998pt;mso-position-horizontal-relative:char;mso-position-vertical-relative:line" coordsize="56509,60">
                <v:shape id="Shape 658530" style="position:absolute;width:9707;height:91;left:0;top:0;" coordsize="970788,9144" path="m0,0l970788,0l970788,9144l0,9144l0,0">
                  <v:stroke weight="0pt" endcap="flat" joinstyle="miter" miterlimit="10" on="false" color="#000000" opacity="0"/>
                  <v:fill on="true" color="#000000"/>
                </v:shape>
                <v:shape id="Shape 658531" style="position:absolute;width:13304;height:91;left:10805;top:0;" coordsize="1330452,9144" path="m0,0l1330452,0l1330452,9144l0,9144l0,0">
                  <v:stroke weight="0pt" endcap="flat" joinstyle="miter" miterlimit="10" on="false" color="#000000" opacity="0"/>
                  <v:fill on="true" color="#000000"/>
                </v:shape>
                <v:shape id="Shape 658532" style="position:absolute;width:9708;height:91;left:25206;top:0;" coordsize="970801,9144" path="m0,0l970801,0l970801,9144l0,9144l0,0">
                  <v:stroke weight="0pt" endcap="flat" joinstyle="miter" miterlimit="10" on="false" color="#000000" opacity="0"/>
                  <v:fill on="true" color="#000000"/>
                </v:shape>
                <v:shape id="Shape 658533" style="position:absolute;width:7909;height:91;left:35996;top:0;" coordsize="790956,9144" path="m0,0l790956,0l790956,9144l0,9144l0,0">
                  <v:stroke weight="0pt" endcap="flat" joinstyle="miter" miterlimit="10" on="false" color="#000000" opacity="0"/>
                  <v:fill on="true" color="#000000"/>
                </v:shape>
                <v:shape id="Shape 658534" style="position:absolute;width:11506;height:91;left:45003;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5" w:firstLine="0"/>
      </w:pP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340" w:type="dxa"/>
        <w:tblInd w:w="0" w:type="dxa"/>
        <w:tblCellMar>
          <w:top w:w="20" w:type="dxa"/>
          <w:left w:w="0" w:type="dxa"/>
          <w:bottom w:w="0" w:type="dxa"/>
          <w:right w:w="77" w:type="dxa"/>
        </w:tblCellMar>
        <w:tblLook w:val="04A0" w:firstRow="1" w:lastRow="0" w:firstColumn="1" w:lastColumn="0" w:noHBand="0" w:noVBand="1"/>
      </w:tblPr>
      <w:tblGrid>
        <w:gridCol w:w="2758"/>
        <w:gridCol w:w="1536"/>
        <w:gridCol w:w="2186"/>
        <w:gridCol w:w="1805"/>
        <w:gridCol w:w="1807"/>
        <w:gridCol w:w="1248"/>
      </w:tblGrid>
      <w:tr w:rsidR="004D6F0E">
        <w:trPr>
          <w:trHeight w:val="264"/>
        </w:trPr>
        <w:tc>
          <w:tcPr>
            <w:tcW w:w="2758"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美元計價股份類別</w:t>
            </w:r>
            <w:r>
              <w:rPr>
                <w:rFonts w:ascii="Arial" w:eastAsia="Arial" w:hAnsi="Arial" w:cs="Arial"/>
                <w:b/>
                <w:sz w:val="18"/>
              </w:rPr>
              <w:t xml:space="preserve"> </w:t>
            </w:r>
            <w:r>
              <w:rPr>
                <w:rFonts w:ascii="Arial" w:eastAsia="Arial" w:hAnsi="Arial" w:cs="Arial"/>
                <w:b/>
                <w:sz w:val="18"/>
              </w:rPr>
              <w:tab/>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0" w:right="82" w:firstLine="0"/>
              <w:jc w:val="right"/>
            </w:pPr>
            <w:r>
              <w:rPr>
                <w:rFonts w:ascii="Arial" w:eastAsia="Arial" w:hAnsi="Arial" w:cs="Arial"/>
                <w:b/>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05" w:type="dxa"/>
            <w:tcBorders>
              <w:top w:val="nil"/>
              <w:left w:val="nil"/>
              <w:bottom w:val="nil"/>
              <w:right w:val="nil"/>
            </w:tcBorders>
            <w:shd w:val="clear" w:color="auto" w:fill="D9D9D9"/>
          </w:tcPr>
          <w:p w:rsidR="004D6F0E" w:rsidRDefault="00490F21">
            <w:pPr>
              <w:spacing w:after="0" w:line="259" w:lineRule="auto"/>
              <w:ind w:left="0" w:right="106" w:firstLine="0"/>
              <w:jc w:val="right"/>
            </w:pPr>
            <w:r>
              <w:rPr>
                <w:rFonts w:ascii="Arial" w:eastAsia="Arial" w:hAnsi="Arial" w:cs="Arial"/>
                <w:b/>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691" w:firstLine="0"/>
              <w:jc w:val="center"/>
            </w:pPr>
            <w:r>
              <w:rPr>
                <w:rFonts w:ascii="Arial" w:eastAsia="Arial" w:hAnsi="Arial" w:cs="Arial"/>
                <w:b/>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 </w:t>
            </w:r>
            <w:r>
              <w:rPr>
                <w:sz w:val="18"/>
              </w:rPr>
              <w:t>類及</w:t>
            </w:r>
            <w:r>
              <w:rPr>
                <w:sz w:val="18"/>
              </w:rPr>
              <w:t xml:space="preserve"> </w:t>
            </w: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24"/>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24"/>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 </w:t>
            </w:r>
            <w:r>
              <w:rPr>
                <w:sz w:val="18"/>
              </w:rPr>
              <w:t>類及</w:t>
            </w:r>
            <w:r>
              <w:rPr>
                <w:sz w:val="18"/>
              </w:rPr>
              <w:t xml:space="preserve"> </w:t>
            </w: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NT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SA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AX </w:t>
            </w:r>
            <w:r>
              <w:rPr>
                <w:sz w:val="18"/>
              </w:rPr>
              <w:t>類及</w:t>
            </w:r>
            <w:r>
              <w:rPr>
                <w:sz w:val="18"/>
              </w:rPr>
              <w:t xml:space="preserve"> </w:t>
            </w:r>
            <w:r>
              <w:rPr>
                <w:rFonts w:ascii="Arial" w:eastAsia="Arial" w:hAnsi="Arial" w:cs="Arial"/>
                <w:sz w:val="18"/>
              </w:rPr>
              <w:t xml:space="preserve">A2X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49" w:firstLine="0"/>
            </w:pPr>
            <w:r>
              <w:rPr>
                <w:sz w:val="18"/>
              </w:rPr>
              <w:t>不再發售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47" w:firstLine="0"/>
            </w:pPr>
            <w:r>
              <w:rPr>
                <w:sz w:val="18"/>
              </w:rPr>
              <w:t>不再發售</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CX </w:t>
            </w:r>
            <w:r>
              <w:rPr>
                <w:sz w:val="18"/>
              </w:rPr>
              <w:t>類及</w:t>
            </w:r>
            <w:r>
              <w:rPr>
                <w:sz w:val="18"/>
              </w:rPr>
              <w:t xml:space="preserve"> </w:t>
            </w:r>
            <w:r>
              <w:rPr>
                <w:rFonts w:ascii="Arial" w:eastAsia="Arial" w:hAnsi="Arial" w:cs="Arial"/>
                <w:sz w:val="18"/>
              </w:rPr>
              <w:t xml:space="preserve">C2X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美元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IX </w:t>
            </w:r>
            <w:r>
              <w:rPr>
                <w:sz w:val="18"/>
              </w:rPr>
              <w:t>類及</w:t>
            </w:r>
            <w:r>
              <w:rPr>
                <w:sz w:val="18"/>
              </w:rPr>
              <w:t xml:space="preserve"> </w:t>
            </w:r>
            <w:r>
              <w:rPr>
                <w:rFonts w:ascii="Arial" w:eastAsia="Arial" w:hAnsi="Arial" w:cs="Arial"/>
                <w:sz w:val="18"/>
              </w:rPr>
              <w:t xml:space="preserve">I2X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S1X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美元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436"/>
        </w:trPr>
        <w:tc>
          <w:tcPr>
            <w:tcW w:w="2758"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ZT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10" w:line="259" w:lineRule="auto"/>
              <w:ind w:left="180" w:firstLine="0"/>
            </w:pPr>
            <w:r>
              <w:rPr>
                <w:sz w:val="18"/>
              </w:rPr>
              <w:t>美元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14" w:line="259" w:lineRule="auto"/>
              <w:ind w:left="86" w:firstLine="0"/>
            </w:pPr>
            <w:r>
              <w:rPr>
                <w:rFonts w:ascii="Arial" w:eastAsia="Arial" w:hAnsi="Arial" w:cs="Arial"/>
                <w:sz w:val="18"/>
              </w:rPr>
              <w:t xml:space="preserve">25,000,000 </w:t>
            </w:r>
            <w:r>
              <w:rPr>
                <w:sz w:val="18"/>
              </w:rPr>
              <w:t>美元</w:t>
            </w:r>
            <w:r>
              <w:rPr>
                <w:rFonts w:ascii="Arial" w:eastAsia="Arial" w:hAnsi="Arial" w:cs="Arial"/>
                <w:sz w:val="18"/>
              </w:rPr>
              <w:t xml:space="preserve">** </w:t>
            </w:r>
          </w:p>
          <w:p w:rsidR="004D6F0E" w:rsidRDefault="00490F21">
            <w:pPr>
              <w:spacing w:after="0" w:line="259" w:lineRule="auto"/>
              <w:ind w:left="809" w:firstLine="0"/>
            </w:pP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9"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271"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歐元計價股份類別</w:t>
            </w: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809" w:firstLine="0"/>
            </w:pPr>
            <w:r>
              <w:rPr>
                <w:rFonts w:ascii="Arial" w:eastAsia="Arial" w:hAnsi="Arial" w:cs="Arial"/>
                <w:sz w:val="18"/>
              </w:rPr>
              <w:t xml:space="preserve"> </w:t>
            </w:r>
          </w:p>
        </w:tc>
        <w:tc>
          <w:tcPr>
            <w:tcW w:w="1805" w:type="dxa"/>
            <w:tcBorders>
              <w:top w:val="nil"/>
              <w:left w:val="nil"/>
              <w:bottom w:val="nil"/>
              <w:right w:val="nil"/>
            </w:tcBorders>
            <w:shd w:val="clear" w:color="auto" w:fill="D9D9D9"/>
          </w:tcPr>
          <w:p w:rsidR="004D6F0E" w:rsidRDefault="00490F21">
            <w:pPr>
              <w:spacing w:after="0" w:line="259" w:lineRule="auto"/>
              <w:ind w:left="607" w:firstLine="0"/>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41"/>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AX </w:t>
            </w:r>
            <w:r>
              <w:rPr>
                <w:sz w:val="18"/>
              </w:rPr>
              <w:t>類及</w:t>
            </w:r>
            <w:r>
              <w:rPr>
                <w:sz w:val="18"/>
              </w:rPr>
              <w:t xml:space="preserve"> </w:t>
            </w:r>
            <w:r>
              <w:rPr>
                <w:rFonts w:ascii="Arial" w:eastAsia="Arial" w:hAnsi="Arial" w:cs="Arial"/>
                <w:sz w:val="18"/>
              </w:rPr>
              <w:t xml:space="preserve">A2X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0" w:firstLine="0"/>
            </w:pPr>
            <w:r>
              <w:rPr>
                <w:sz w:val="18"/>
              </w:rPr>
              <w:t>不再向新投資者發售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BX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449" w:firstLine="0"/>
            </w:pPr>
            <w:r>
              <w:rPr>
                <w:sz w:val="18"/>
              </w:rPr>
              <w:t>不再發售</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47" w:firstLine="0"/>
            </w:pPr>
            <w:r>
              <w:rPr>
                <w:sz w:val="18"/>
              </w:rPr>
              <w:t>不再發售</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0" w:firstLine="0"/>
            </w:pPr>
            <w:r>
              <w:rPr>
                <w:sz w:val="18"/>
              </w:rPr>
              <w:t>不再發售</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C2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82"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254"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 </w:t>
            </w:r>
            <w:r>
              <w:rPr>
                <w:sz w:val="18"/>
              </w:rPr>
              <w:t>類及</w:t>
            </w:r>
            <w:r>
              <w:rPr>
                <w:sz w:val="18"/>
              </w:rPr>
              <w:t xml:space="preserve"> </w:t>
            </w:r>
            <w:r>
              <w:rPr>
                <w:rFonts w:ascii="Arial" w:eastAsia="Arial" w:hAnsi="Arial" w:cs="Arial"/>
                <w:sz w:val="18"/>
              </w:rPr>
              <w:t xml:space="preserve">I2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137"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518" w:firstLine="0"/>
            </w:pPr>
            <w:r>
              <w:rPr>
                <w:sz w:val="18"/>
              </w:rPr>
              <w:t>無</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58" w:type="dxa"/>
            <w:tcBorders>
              <w:top w:val="nil"/>
              <w:left w:val="nil"/>
              <w:bottom w:val="nil"/>
              <w:right w:val="nil"/>
            </w:tcBorders>
          </w:tcPr>
          <w:p w:rsidR="004D6F0E" w:rsidRDefault="00490F21">
            <w:pPr>
              <w:spacing w:after="12" w:line="259" w:lineRule="auto"/>
              <w:ind w:left="115" w:firstLine="0"/>
            </w:pPr>
            <w:r>
              <w:rPr>
                <w:rFonts w:ascii="Arial" w:eastAsia="Arial" w:hAnsi="Arial" w:cs="Arial"/>
                <w:sz w:val="18"/>
              </w:rPr>
              <w:t xml:space="preserve">S1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7" w:line="259" w:lineRule="auto"/>
              <w:ind w:left="180" w:firstLine="0"/>
            </w:pPr>
            <w:r>
              <w:rPr>
                <w:sz w:val="18"/>
              </w:rPr>
              <w:t>歐元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11" w:line="259" w:lineRule="auto"/>
              <w:ind w:left="86" w:firstLine="0"/>
            </w:pPr>
            <w:r>
              <w:rPr>
                <w:rFonts w:ascii="Arial" w:eastAsia="Arial" w:hAnsi="Arial" w:cs="Arial"/>
                <w:sz w:val="18"/>
              </w:rPr>
              <w:t xml:space="preserve">25,000,000 </w:t>
            </w:r>
            <w:r>
              <w:rPr>
                <w:sz w:val="18"/>
              </w:rPr>
              <w:t>歐元</w:t>
            </w:r>
            <w:r>
              <w:rPr>
                <w:rFonts w:ascii="Arial" w:eastAsia="Arial" w:hAnsi="Arial" w:cs="Arial"/>
                <w:sz w:val="18"/>
              </w:rPr>
              <w:t xml:space="preserve">** </w:t>
            </w:r>
          </w:p>
          <w:p w:rsidR="004D6F0E" w:rsidRDefault="00490F21">
            <w:pPr>
              <w:spacing w:after="0" w:line="259" w:lineRule="auto"/>
              <w:ind w:left="809" w:firstLine="0"/>
            </w:pP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7" w:line="259" w:lineRule="auto"/>
              <w:ind w:left="518" w:firstLine="0"/>
            </w:pPr>
            <w:r>
              <w:rPr>
                <w:sz w:val="18"/>
              </w:rPr>
              <w:t>無</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7" w:line="259" w:lineRule="auto"/>
              <w:ind w:left="271"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3"/>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港元計價股份類別</w:t>
            </w: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809" w:firstLine="0"/>
            </w:pPr>
            <w:r>
              <w:rPr>
                <w:rFonts w:ascii="Arial" w:eastAsia="Arial" w:hAnsi="Arial" w:cs="Arial"/>
                <w:sz w:val="18"/>
              </w:rPr>
              <w:t xml:space="preserve"> </w:t>
            </w:r>
          </w:p>
        </w:tc>
        <w:tc>
          <w:tcPr>
            <w:tcW w:w="1805" w:type="dxa"/>
            <w:tcBorders>
              <w:top w:val="nil"/>
              <w:left w:val="nil"/>
              <w:bottom w:val="nil"/>
              <w:right w:val="nil"/>
            </w:tcBorders>
            <w:shd w:val="clear" w:color="auto" w:fill="D9D9D9"/>
          </w:tcPr>
          <w:p w:rsidR="004D6F0E" w:rsidRDefault="00490F21">
            <w:pPr>
              <w:spacing w:after="0" w:line="259" w:lineRule="auto"/>
              <w:ind w:left="607" w:firstLine="0"/>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41"/>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lastRenderedPageBreak/>
              <w:t xml:space="preserve">A2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31"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180" w:firstLine="0"/>
            </w:pPr>
            <w:r>
              <w:rPr>
                <w:sz w:val="18"/>
              </w:rPr>
              <w:t>港元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331" w:firstLine="0"/>
            </w:pPr>
            <w:r>
              <w:rPr>
                <w:rFonts w:ascii="Arial" w:eastAsia="Arial" w:hAnsi="Arial" w:cs="Arial"/>
                <w:sz w:val="18"/>
              </w:rPr>
              <w:t xml:space="preserve">15,000 </w:t>
            </w:r>
            <w:r>
              <w:rPr>
                <w:sz w:val="18"/>
              </w:rPr>
              <w:t>港元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5,000 </w:t>
            </w:r>
            <w:r>
              <w:rPr>
                <w:sz w:val="18"/>
              </w:rPr>
              <w:t>港元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58"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AA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10" w:line="259" w:lineRule="auto"/>
              <w:ind w:left="180" w:firstLine="0"/>
            </w:pPr>
            <w:r>
              <w:rPr>
                <w:sz w:val="18"/>
              </w:rPr>
              <w:t>港元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14" w:line="259" w:lineRule="auto"/>
              <w:ind w:left="331" w:firstLine="0"/>
            </w:pPr>
            <w:r>
              <w:rPr>
                <w:rFonts w:ascii="Arial" w:eastAsia="Arial" w:hAnsi="Arial" w:cs="Arial"/>
                <w:sz w:val="18"/>
              </w:rPr>
              <w:t xml:space="preserve">15,000 </w:t>
            </w:r>
            <w:r>
              <w:rPr>
                <w:sz w:val="18"/>
              </w:rPr>
              <w:t>港元</w:t>
            </w:r>
            <w:r>
              <w:rPr>
                <w:rFonts w:ascii="Arial" w:eastAsia="Arial" w:hAnsi="Arial" w:cs="Arial"/>
                <w:sz w:val="18"/>
              </w:rPr>
              <w:t xml:space="preserve"> </w:t>
            </w:r>
          </w:p>
          <w:p w:rsidR="004D6F0E" w:rsidRDefault="00490F21">
            <w:pPr>
              <w:spacing w:after="0" w:line="259" w:lineRule="auto"/>
              <w:ind w:left="809" w:firstLine="0"/>
            </w:pP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14" w:line="259" w:lineRule="auto"/>
              <w:ind w:left="180" w:firstLine="0"/>
            </w:pPr>
            <w:r>
              <w:rPr>
                <w:rFonts w:ascii="Arial" w:eastAsia="Arial" w:hAnsi="Arial" w:cs="Arial"/>
                <w:sz w:val="18"/>
              </w:rPr>
              <w:t xml:space="preserve">5,000 </w:t>
            </w:r>
            <w:r>
              <w:rPr>
                <w:sz w:val="18"/>
              </w:rPr>
              <w:t>港元</w:t>
            </w:r>
            <w:r>
              <w:rPr>
                <w:rFonts w:ascii="Arial" w:eastAsia="Arial" w:hAnsi="Arial" w:cs="Arial"/>
                <w:sz w:val="18"/>
              </w:rPr>
              <w:t xml:space="preserve"> </w:t>
            </w:r>
          </w:p>
          <w:p w:rsidR="004D6F0E" w:rsidRDefault="00490F21">
            <w:pPr>
              <w:spacing w:after="0" w:line="259" w:lineRule="auto"/>
              <w:ind w:left="607" w:firstLine="0"/>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271" w:firstLine="0"/>
            </w:pPr>
            <w:r>
              <w:rPr>
                <w:sz w:val="18"/>
              </w:rPr>
              <w:t>無</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758" w:type="dxa"/>
            <w:tcBorders>
              <w:top w:val="nil"/>
              <w:left w:val="nil"/>
              <w:bottom w:val="nil"/>
              <w:right w:val="nil"/>
            </w:tcBorders>
            <w:shd w:val="clear" w:color="auto" w:fill="D9D9D9"/>
          </w:tcPr>
          <w:p w:rsidR="004D6F0E" w:rsidRDefault="00490F21">
            <w:pPr>
              <w:spacing w:after="0" w:line="259" w:lineRule="auto"/>
              <w:ind w:left="115" w:firstLine="0"/>
            </w:pPr>
            <w:r>
              <w:rPr>
                <w:sz w:val="18"/>
              </w:rPr>
              <w:t>新加坡元計價股份類別</w:t>
            </w:r>
            <w:r>
              <w:rPr>
                <w:rFonts w:ascii="Arial" w:eastAsia="Arial" w:hAnsi="Arial" w:cs="Arial"/>
                <w:sz w:val="18"/>
              </w:rPr>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809" w:firstLine="0"/>
            </w:pPr>
            <w:r>
              <w:rPr>
                <w:rFonts w:ascii="Arial" w:eastAsia="Arial" w:hAnsi="Arial" w:cs="Arial"/>
                <w:sz w:val="18"/>
              </w:rPr>
              <w:t xml:space="preserve"> </w:t>
            </w:r>
          </w:p>
        </w:tc>
        <w:tc>
          <w:tcPr>
            <w:tcW w:w="1805" w:type="dxa"/>
            <w:tcBorders>
              <w:top w:val="nil"/>
              <w:left w:val="nil"/>
              <w:bottom w:val="nil"/>
              <w:right w:val="nil"/>
            </w:tcBorders>
            <w:shd w:val="clear" w:color="auto" w:fill="D9D9D9"/>
          </w:tcPr>
          <w:p w:rsidR="004D6F0E" w:rsidRDefault="00490F21">
            <w:pPr>
              <w:spacing w:after="0" w:line="259" w:lineRule="auto"/>
              <w:ind w:left="607" w:firstLine="0"/>
            </w:pPr>
            <w:r>
              <w:rPr>
                <w:rFonts w:ascii="Arial" w:eastAsia="Arial" w:hAnsi="Arial" w:cs="Arial"/>
                <w:sz w:val="18"/>
              </w:rPr>
              <w:t xml:space="preserve"> </w:t>
            </w:r>
          </w:p>
        </w:tc>
        <w:tc>
          <w:tcPr>
            <w:tcW w:w="1807" w:type="dxa"/>
            <w:tcBorders>
              <w:top w:val="nil"/>
              <w:left w:val="nil"/>
              <w:bottom w:val="nil"/>
              <w:right w:val="nil"/>
            </w:tcBorders>
            <w:shd w:val="clear" w:color="auto" w:fill="D9D9D9"/>
          </w:tcPr>
          <w:p w:rsidR="004D6F0E" w:rsidRDefault="00490F21">
            <w:pPr>
              <w:spacing w:after="0" w:line="259" w:lineRule="auto"/>
              <w:ind w:left="360" w:firstLine="0"/>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90F21">
            <w:pPr>
              <w:spacing w:after="0" w:line="259" w:lineRule="auto"/>
              <w:ind w:left="254" w:firstLine="0"/>
            </w:pPr>
            <w:r>
              <w:rPr>
                <w:rFonts w:ascii="Arial" w:eastAsia="Arial" w:hAnsi="Arial" w:cs="Arial"/>
                <w:sz w:val="18"/>
              </w:rPr>
              <w:t xml:space="preserve"> </w:t>
            </w:r>
          </w:p>
        </w:tc>
      </w:tr>
      <w:tr w:rsidR="004D6F0E">
        <w:trPr>
          <w:trHeight w:val="239"/>
        </w:trPr>
        <w:tc>
          <w:tcPr>
            <w:tcW w:w="2758"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類股份</w:t>
            </w:r>
            <w:r>
              <w:rPr>
                <w:rFonts w:ascii="Arial" w:eastAsia="Arial" w:hAnsi="Arial" w:cs="Arial"/>
                <w:sz w:val="18"/>
              </w:rPr>
              <w:t xml:space="preserve"> </w:t>
            </w:r>
          </w:p>
        </w:tc>
        <w:tc>
          <w:tcPr>
            <w:tcW w:w="1536"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0" w:line="259" w:lineRule="auto"/>
              <w:ind w:left="202"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0" w:line="259" w:lineRule="auto"/>
              <w:ind w:left="271"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758"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AT </w:t>
            </w:r>
            <w:r>
              <w:rPr>
                <w:sz w:val="18"/>
              </w:rPr>
              <w:t>類股份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536" w:type="dxa"/>
            <w:tcBorders>
              <w:top w:val="nil"/>
              <w:left w:val="nil"/>
              <w:bottom w:val="nil"/>
              <w:right w:val="nil"/>
            </w:tcBorders>
          </w:tcPr>
          <w:p w:rsidR="004D6F0E" w:rsidRDefault="00490F21">
            <w:pPr>
              <w:spacing w:after="10"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0" w:right="82" w:firstLine="0"/>
              <w:jc w:val="right"/>
            </w:pPr>
            <w:r>
              <w:rPr>
                <w:rFonts w:ascii="Arial" w:eastAsia="Arial" w:hAnsi="Arial" w:cs="Arial"/>
                <w:sz w:val="18"/>
              </w:rPr>
              <w:t xml:space="preserve"> </w:t>
            </w:r>
          </w:p>
        </w:tc>
        <w:tc>
          <w:tcPr>
            <w:tcW w:w="2186" w:type="dxa"/>
            <w:tcBorders>
              <w:top w:val="nil"/>
              <w:left w:val="nil"/>
              <w:bottom w:val="nil"/>
              <w:right w:val="nil"/>
            </w:tcBorders>
          </w:tcPr>
          <w:p w:rsidR="004D6F0E" w:rsidRDefault="00490F21">
            <w:pPr>
              <w:spacing w:after="15" w:line="259" w:lineRule="auto"/>
              <w:ind w:left="202"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p w:rsidR="004D6F0E" w:rsidRDefault="00490F21">
            <w:pPr>
              <w:spacing w:after="0" w:line="259" w:lineRule="auto"/>
              <w:ind w:left="0" w:firstLine="0"/>
              <w:jc w:val="right"/>
            </w:pPr>
            <w:r>
              <w:rPr>
                <w:rFonts w:ascii="Arial" w:eastAsia="Arial" w:hAnsi="Arial" w:cs="Arial"/>
                <w:sz w:val="18"/>
              </w:rPr>
              <w:t xml:space="preserve"> </w:t>
            </w:r>
          </w:p>
        </w:tc>
        <w:tc>
          <w:tcPr>
            <w:tcW w:w="1805" w:type="dxa"/>
            <w:tcBorders>
              <w:top w:val="nil"/>
              <w:left w:val="nil"/>
              <w:bottom w:val="nil"/>
              <w:right w:val="nil"/>
            </w:tcBorders>
          </w:tcPr>
          <w:p w:rsidR="004D6F0E" w:rsidRDefault="00490F21">
            <w:pPr>
              <w:spacing w:after="15" w:line="259" w:lineRule="auto"/>
              <w:ind w:left="0"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p w:rsidR="004D6F0E" w:rsidRDefault="00490F21">
            <w:pPr>
              <w:spacing w:after="0" w:line="259" w:lineRule="auto"/>
              <w:ind w:left="0" w:right="106" w:firstLine="0"/>
              <w:jc w:val="right"/>
            </w:pPr>
            <w:r>
              <w:rPr>
                <w:rFonts w:ascii="Arial" w:eastAsia="Arial" w:hAnsi="Arial" w:cs="Arial"/>
                <w:sz w:val="18"/>
              </w:rPr>
              <w:t xml:space="preserve"> </w:t>
            </w:r>
          </w:p>
        </w:tc>
        <w:tc>
          <w:tcPr>
            <w:tcW w:w="1807" w:type="dxa"/>
            <w:tcBorders>
              <w:top w:val="nil"/>
              <w:left w:val="nil"/>
              <w:bottom w:val="nil"/>
              <w:right w:val="nil"/>
            </w:tcBorders>
          </w:tcPr>
          <w:p w:rsidR="004D6F0E" w:rsidRDefault="00490F21">
            <w:pPr>
              <w:spacing w:after="9" w:line="259" w:lineRule="auto"/>
              <w:ind w:left="271" w:firstLine="0"/>
            </w:pPr>
            <w:r>
              <w:rPr>
                <w:sz w:val="18"/>
              </w:rPr>
              <w:t>無</w:t>
            </w:r>
            <w:r>
              <w:rPr>
                <w:rFonts w:ascii="Arial" w:eastAsia="Arial" w:hAnsi="Arial" w:cs="Arial"/>
                <w:sz w:val="18"/>
              </w:rPr>
              <w:t xml:space="preserve"> </w:t>
            </w:r>
          </w:p>
          <w:p w:rsidR="004D6F0E" w:rsidRDefault="00490F21">
            <w:pPr>
              <w:spacing w:after="0" w:line="259" w:lineRule="auto"/>
              <w:ind w:left="691"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758" w:type="dxa"/>
            <w:tcBorders>
              <w:top w:val="nil"/>
              <w:left w:val="nil"/>
              <w:bottom w:val="nil"/>
              <w:right w:val="nil"/>
            </w:tcBorders>
            <w:shd w:val="clear" w:color="auto" w:fill="D9D9D9"/>
          </w:tcPr>
          <w:p w:rsidR="004D6F0E" w:rsidRDefault="00490F21">
            <w:pPr>
              <w:tabs>
                <w:tab w:val="center" w:pos="2371"/>
              </w:tabs>
              <w:spacing w:after="0" w:line="259" w:lineRule="auto"/>
              <w:ind w:left="0" w:firstLine="0"/>
            </w:pPr>
            <w:r>
              <w:rPr>
                <w:sz w:val="18"/>
              </w:rPr>
              <w:t>日圓計價股份類別</w:t>
            </w:r>
            <w:r>
              <w:rPr>
                <w:rFonts w:ascii="Arial" w:eastAsia="Arial" w:hAnsi="Arial" w:cs="Arial"/>
                <w:b/>
                <w:sz w:val="18"/>
              </w:rPr>
              <w:t xml:space="preserve"> </w:t>
            </w:r>
            <w:r>
              <w:rPr>
                <w:rFonts w:ascii="Arial" w:eastAsia="Arial" w:hAnsi="Arial" w:cs="Arial"/>
                <w:b/>
                <w:sz w:val="18"/>
              </w:rPr>
              <w:tab/>
              <w:t xml:space="preserve"> </w:t>
            </w:r>
          </w:p>
        </w:tc>
        <w:tc>
          <w:tcPr>
            <w:tcW w:w="1536" w:type="dxa"/>
            <w:tcBorders>
              <w:top w:val="nil"/>
              <w:left w:val="nil"/>
              <w:bottom w:val="nil"/>
              <w:right w:val="nil"/>
            </w:tcBorders>
            <w:shd w:val="clear" w:color="auto" w:fill="D9D9D9"/>
          </w:tcPr>
          <w:p w:rsidR="004D6F0E" w:rsidRDefault="00490F21">
            <w:pPr>
              <w:spacing w:after="0" w:line="259" w:lineRule="auto"/>
              <w:ind w:left="0" w:right="82" w:firstLine="0"/>
              <w:jc w:val="right"/>
            </w:pPr>
            <w:r>
              <w:rPr>
                <w:rFonts w:ascii="Arial" w:eastAsia="Arial" w:hAnsi="Arial" w:cs="Arial"/>
                <w:b/>
                <w:sz w:val="18"/>
              </w:rPr>
              <w:t xml:space="preserve"> </w:t>
            </w:r>
          </w:p>
        </w:tc>
        <w:tc>
          <w:tcPr>
            <w:tcW w:w="2186" w:type="dxa"/>
            <w:tcBorders>
              <w:top w:val="nil"/>
              <w:left w:val="nil"/>
              <w:bottom w:val="nil"/>
              <w:right w:val="nil"/>
            </w:tcBorders>
            <w:shd w:val="clear" w:color="auto" w:fill="D9D9D9"/>
          </w:tcPr>
          <w:p w:rsidR="004D6F0E" w:rsidRDefault="00490F21">
            <w:pPr>
              <w:spacing w:after="0" w:line="259" w:lineRule="auto"/>
              <w:ind w:left="0" w:firstLine="0"/>
              <w:jc w:val="right"/>
            </w:pPr>
            <w:r>
              <w:rPr>
                <w:rFonts w:ascii="Arial" w:eastAsia="Arial" w:hAnsi="Arial" w:cs="Arial"/>
                <w:b/>
                <w:sz w:val="18"/>
              </w:rPr>
              <w:t xml:space="preserve"> </w:t>
            </w:r>
          </w:p>
        </w:tc>
        <w:tc>
          <w:tcPr>
            <w:tcW w:w="1805" w:type="dxa"/>
            <w:tcBorders>
              <w:top w:val="nil"/>
              <w:left w:val="nil"/>
              <w:bottom w:val="nil"/>
              <w:right w:val="nil"/>
            </w:tcBorders>
            <w:shd w:val="clear" w:color="auto" w:fill="D9D9D9"/>
          </w:tcPr>
          <w:p w:rsidR="004D6F0E" w:rsidRDefault="00490F21">
            <w:pPr>
              <w:spacing w:after="0" w:line="259" w:lineRule="auto"/>
              <w:ind w:left="0" w:right="106" w:firstLine="0"/>
              <w:jc w:val="right"/>
            </w:pPr>
            <w:r>
              <w:rPr>
                <w:rFonts w:ascii="Arial" w:eastAsia="Arial" w:hAnsi="Arial" w:cs="Arial"/>
                <w:b/>
                <w:sz w:val="18"/>
              </w:rPr>
              <w:t xml:space="preserve"> </w:t>
            </w:r>
          </w:p>
        </w:tc>
        <w:tc>
          <w:tcPr>
            <w:tcW w:w="1807"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118"/>
          <w:tab w:val="center" w:pos="5104"/>
          <w:tab w:val="center" w:pos="7088"/>
          <w:tab w:val="center" w:pos="8646"/>
          <w:tab w:val="center" w:pos="10348"/>
        </w:tabs>
        <w:spacing w:after="78"/>
        <w:ind w:left="0" w:firstLine="0"/>
      </w:pPr>
      <w:r>
        <w:rPr>
          <w:rFonts w:ascii="Arial" w:eastAsia="Arial" w:hAnsi="Arial" w:cs="Arial"/>
          <w:sz w:val="18"/>
        </w:rPr>
        <w:t xml:space="preserve">S1 </w:t>
      </w:r>
      <w:r>
        <w:rPr>
          <w:sz w:val="18"/>
        </w:rPr>
        <w:t>類股份</w:t>
      </w:r>
      <w:r>
        <w:rPr>
          <w:rFonts w:ascii="Arial" w:eastAsia="Arial" w:hAnsi="Arial" w:cs="Arial"/>
          <w:sz w:val="18"/>
        </w:rPr>
        <w:t xml:space="preserve"> </w:t>
      </w:r>
      <w:r>
        <w:rPr>
          <w:rFonts w:ascii="Arial" w:eastAsia="Arial" w:hAnsi="Arial" w:cs="Arial"/>
          <w:sz w:val="18"/>
        </w:rPr>
        <w:tab/>
      </w:r>
      <w:r>
        <w:rPr>
          <w:sz w:val="18"/>
        </w:rPr>
        <w:t>日圓</w:t>
      </w:r>
      <w:r>
        <w:rPr>
          <w:rFonts w:ascii="Arial" w:eastAsia="Arial" w:hAnsi="Arial" w:cs="Arial"/>
          <w:sz w:val="18"/>
        </w:rPr>
        <w:t xml:space="preserve"> </w:t>
      </w:r>
      <w:r>
        <w:rPr>
          <w:rFonts w:ascii="Arial" w:eastAsia="Arial" w:hAnsi="Arial" w:cs="Arial"/>
          <w:sz w:val="18"/>
        </w:rPr>
        <w:tab/>
        <w:t xml:space="preserve">2,500,000,000 </w:t>
      </w:r>
      <w:r>
        <w:rPr>
          <w:sz w:val="18"/>
        </w:rPr>
        <w:t>日圓</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0.01% </w:t>
      </w:r>
    </w:p>
    <w:p w:rsidR="004D6F0E" w:rsidRDefault="00490F21">
      <w:pPr>
        <w:spacing w:after="2904"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spacing w:after="0" w:line="259" w:lineRule="auto"/>
        <w:ind w:left="0" w:right="76" w:firstLine="0"/>
        <w:jc w:val="right"/>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p>
    <w:p w:rsidR="004D6F0E" w:rsidRDefault="00490F21">
      <w:pPr>
        <w:spacing w:after="84" w:line="259" w:lineRule="auto"/>
        <w:ind w:left="0" w:firstLine="0"/>
      </w:pPr>
      <w:r>
        <w:rPr>
          <w:rFonts w:ascii="Arial" w:eastAsia="Arial" w:hAnsi="Arial" w:cs="Arial"/>
          <w:sz w:val="12"/>
        </w:rPr>
        <w:t xml:space="preserve"> </w:t>
      </w:r>
    </w:p>
    <w:p w:rsidR="004D6F0E" w:rsidRDefault="00490F21">
      <w:pPr>
        <w:spacing w:after="3" w:line="259" w:lineRule="auto"/>
        <w:ind w:right="227" w:hanging="10"/>
        <w:jc w:val="center"/>
      </w:pPr>
      <w:r>
        <w:rPr>
          <w:rFonts w:ascii="Times New Roman" w:eastAsia="Times New Roman" w:hAnsi="Times New Roman" w:cs="Times New Roman"/>
          <w:sz w:val="20"/>
        </w:rPr>
        <w:t>I-88</w:t>
      </w:r>
      <w:r>
        <w:rPr>
          <w:rFonts w:ascii="Times New Roman" w:eastAsia="Times New Roman" w:hAnsi="Times New Roman" w:cs="Times New Roman"/>
          <w:sz w:val="24"/>
        </w:rPr>
        <w:t xml:space="preserve"> </w:t>
      </w:r>
    </w:p>
    <w:p w:rsidR="004D6F0E" w:rsidRDefault="00490F21">
      <w:pPr>
        <w:spacing w:after="0" w:line="242" w:lineRule="auto"/>
        <w:ind w:left="0" w:right="11218" w:firstLine="0"/>
      </w:pPr>
      <w:r>
        <w:rPr>
          <w:rFonts w:ascii="Arial" w:eastAsia="Arial" w:hAnsi="Arial" w:cs="Arial"/>
          <w:sz w:val="12"/>
        </w:rPr>
        <w:t xml:space="preserve">   </w:t>
      </w:r>
    </w:p>
    <w:p w:rsidR="004D6F0E" w:rsidRDefault="00490F21">
      <w:pPr>
        <w:spacing w:after="15" w:line="259" w:lineRule="auto"/>
        <w:ind w:left="0" w:right="179" w:firstLine="0"/>
        <w:jc w:val="right"/>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b/>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r>
        <w:rPr>
          <w:rFonts w:ascii="Arial" w:eastAsia="Arial" w:hAnsi="Arial" w:cs="Arial"/>
          <w:sz w:val="18"/>
        </w:rPr>
        <w:tab/>
        <w:t xml:space="preserve"> </w:t>
      </w:r>
    </w:p>
    <w:p w:rsidR="004D6F0E" w:rsidRDefault="00490F21">
      <w:pPr>
        <w:spacing w:after="4" w:line="265" w:lineRule="auto"/>
        <w:ind w:right="63" w:hanging="10"/>
        <w:jc w:val="right"/>
      </w:pPr>
      <w:r>
        <w:rPr>
          <w:sz w:val="18"/>
        </w:rPr>
        <w:t>盧森堡年稅</w:t>
      </w:r>
      <w:r>
        <w:t>（</w:t>
      </w:r>
      <w:r>
        <w:rPr>
          <w:rFonts w:ascii="Arial" w:eastAsia="Arial" w:hAnsi="Arial" w:cs="Arial"/>
          <w:b/>
          <w:i/>
          <w:sz w:val="18"/>
        </w:rPr>
        <w:t xml:space="preserve">Taxe </w:t>
      </w:r>
    </w:p>
    <w:p w:rsidR="004D6F0E" w:rsidRDefault="00490F21">
      <w:pPr>
        <w:spacing w:line="216" w:lineRule="auto"/>
        <w:ind w:left="2829" w:right="13" w:hanging="2714"/>
      </w:pPr>
      <w:r>
        <w:rPr>
          <w:rFonts w:ascii="Arial" w:eastAsia="Arial" w:hAnsi="Arial" w:cs="Arial"/>
          <w:b/>
          <w:sz w:val="18"/>
        </w:rPr>
        <w:t xml:space="preserve"> </w:t>
      </w:r>
      <w:r>
        <w:rPr>
          <w:sz w:val="18"/>
        </w:rPr>
        <w:t>對沖貨幣</w:t>
      </w:r>
      <w:r>
        <w:rPr>
          <w:rFonts w:ascii="Arial" w:eastAsia="Arial" w:hAnsi="Arial" w:cs="Arial"/>
          <w:sz w:val="18"/>
        </w:rPr>
        <w:t xml:space="preserve"> </w:t>
      </w:r>
      <w:r>
        <w:rPr>
          <w:rFonts w:ascii="Arial" w:eastAsia="Arial" w:hAnsi="Arial" w:cs="Arial"/>
          <w:sz w:val="18"/>
        </w:rPr>
        <w:tab/>
      </w:r>
      <w:r>
        <w:rPr>
          <w:sz w:val="18"/>
        </w:rPr>
        <w:t>最低首次投資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最低後續投資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sz w:val="18"/>
        </w:rPr>
        <w:t>最高投資</w:t>
      </w:r>
      <w:r>
        <w:rPr>
          <w:rFonts w:ascii="Arial" w:eastAsia="Arial" w:hAnsi="Arial" w:cs="Arial"/>
          <w:b/>
          <w:sz w:val="18"/>
        </w:rPr>
        <w:t>**</w:t>
      </w:r>
      <w:r>
        <w:rPr>
          <w:rFonts w:ascii="Arial" w:eastAsia="Arial" w:hAnsi="Arial" w:cs="Arial"/>
          <w:sz w:val="18"/>
        </w:rPr>
        <w:t xml:space="preserve"> </w:t>
      </w:r>
      <w:r>
        <w:rPr>
          <w:rFonts w:ascii="Arial" w:eastAsia="Arial" w:hAnsi="Arial" w:cs="Arial"/>
          <w:sz w:val="18"/>
        </w:rPr>
        <w:tab/>
      </w:r>
      <w:r>
        <w:rPr>
          <w:rFonts w:ascii="Arial" w:eastAsia="Arial" w:hAnsi="Arial" w:cs="Arial"/>
          <w:b/>
          <w:i/>
          <w:sz w:val="18"/>
        </w:rPr>
        <w:t>d'Abonnement</w:t>
      </w:r>
      <w:r>
        <w:t>）</w:t>
      </w:r>
      <w:r>
        <w:rPr>
          <w:rFonts w:ascii="Arial" w:eastAsia="Arial" w:hAnsi="Arial" w:cs="Arial"/>
          <w:b/>
          <w:i/>
          <w:sz w:val="18"/>
        </w:rPr>
        <w:t>***</w:t>
      </w:r>
      <w:r>
        <w:rPr>
          <w:rFonts w:ascii="Arial" w:eastAsia="Arial" w:hAnsi="Arial" w:cs="Arial"/>
          <w:sz w:val="18"/>
        </w:rPr>
        <w:t xml:space="preserve"> </w:t>
      </w:r>
    </w:p>
    <w:p w:rsidR="004D6F0E" w:rsidRDefault="00490F21">
      <w:pPr>
        <w:spacing w:after="12" w:line="259" w:lineRule="auto"/>
        <w:ind w:left="2354" w:right="-83" w:firstLine="0"/>
      </w:pPr>
      <w:r>
        <w:rPr>
          <w:rFonts w:ascii="Calibri" w:eastAsia="Calibri" w:hAnsi="Calibri" w:cs="Calibri"/>
          <w:noProof/>
          <w:sz w:val="22"/>
        </w:rPr>
        <mc:AlternateContent>
          <mc:Choice Requires="wpg">
            <w:drawing>
              <wp:inline distT="0" distB="0" distL="0" distR="0">
                <wp:extent cx="5740908" cy="6109"/>
                <wp:effectExtent l="0" t="0" r="0" b="0"/>
                <wp:docPr id="594312" name="Group 594312"/>
                <wp:cNvGraphicFramePr/>
                <a:graphic xmlns:a="http://schemas.openxmlformats.org/drawingml/2006/main">
                  <a:graphicData uri="http://schemas.microsoft.com/office/word/2010/wordprocessingGroup">
                    <wpg:wgp>
                      <wpg:cNvGrpSpPr/>
                      <wpg:grpSpPr>
                        <a:xfrm>
                          <a:off x="0" y="0"/>
                          <a:ext cx="5740908" cy="6109"/>
                          <a:chOff x="0" y="0"/>
                          <a:chExt cx="5740908" cy="6109"/>
                        </a:xfrm>
                      </wpg:grpSpPr>
                      <wps:wsp>
                        <wps:cNvPr id="658535" name="Shape 658535"/>
                        <wps:cNvSpPr/>
                        <wps:spPr>
                          <a:xfrm>
                            <a:off x="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36" name="Shape 658536"/>
                        <wps:cNvSpPr/>
                        <wps:spPr>
                          <a:xfrm>
                            <a:off x="1170432"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37" name="Shape 658537"/>
                        <wps:cNvSpPr/>
                        <wps:spPr>
                          <a:xfrm>
                            <a:off x="2430780" y="0"/>
                            <a:ext cx="1060704" cy="9144"/>
                          </a:xfrm>
                          <a:custGeom>
                            <a:avLst/>
                            <a:gdLst/>
                            <a:ahLst/>
                            <a:cxnLst/>
                            <a:rect l="0" t="0" r="0" b="0"/>
                            <a:pathLst>
                              <a:path w="1060704" h="9144">
                                <a:moveTo>
                                  <a:pt x="0" y="0"/>
                                </a:moveTo>
                                <a:lnTo>
                                  <a:pt x="1060704" y="0"/>
                                </a:lnTo>
                                <a:lnTo>
                                  <a:pt x="1060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38" name="Shape 658538"/>
                        <wps:cNvSpPr/>
                        <wps:spPr>
                          <a:xfrm>
                            <a:off x="3599688" y="0"/>
                            <a:ext cx="880872" cy="9144"/>
                          </a:xfrm>
                          <a:custGeom>
                            <a:avLst/>
                            <a:gdLst/>
                            <a:ahLst/>
                            <a:cxnLst/>
                            <a:rect l="0" t="0" r="0" b="0"/>
                            <a:pathLst>
                              <a:path w="880872" h="9144">
                                <a:moveTo>
                                  <a:pt x="0" y="0"/>
                                </a:moveTo>
                                <a:lnTo>
                                  <a:pt x="880872" y="0"/>
                                </a:lnTo>
                                <a:lnTo>
                                  <a:pt x="8808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39" name="Shape 658539"/>
                        <wps:cNvSpPr/>
                        <wps:spPr>
                          <a:xfrm>
                            <a:off x="4590288" y="0"/>
                            <a:ext cx="1150620" cy="9144"/>
                          </a:xfrm>
                          <a:custGeom>
                            <a:avLst/>
                            <a:gdLst/>
                            <a:ahLst/>
                            <a:cxnLst/>
                            <a:rect l="0" t="0" r="0" b="0"/>
                            <a:pathLst>
                              <a:path w="1150620" h="9144">
                                <a:moveTo>
                                  <a:pt x="0" y="0"/>
                                </a:moveTo>
                                <a:lnTo>
                                  <a:pt x="1150620" y="0"/>
                                </a:lnTo>
                                <a:lnTo>
                                  <a:pt x="1150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312" style="width:452.04pt;height:0.481018pt;mso-position-horizontal-relative:char;mso-position-vertical-relative:line" coordsize="57409,61">
                <v:shape id="Shape 658540" style="position:absolute;width:10607;height:91;left:0;top:0;" coordsize="1060704,9144" path="m0,0l1060704,0l1060704,9144l0,9144l0,0">
                  <v:stroke weight="0pt" endcap="flat" joinstyle="miter" miterlimit="10" on="false" color="#000000" opacity="0"/>
                  <v:fill on="true" color="#000000"/>
                </v:shape>
                <v:shape id="Shape 658541" style="position:absolute;width:11506;height:91;left:11704;top:0;" coordsize="1150620,9144" path="m0,0l1150620,0l1150620,9144l0,9144l0,0">
                  <v:stroke weight="0pt" endcap="flat" joinstyle="miter" miterlimit="10" on="false" color="#000000" opacity="0"/>
                  <v:fill on="true" color="#000000"/>
                </v:shape>
                <v:shape id="Shape 658542" style="position:absolute;width:10607;height:91;left:24307;top:0;" coordsize="1060704,9144" path="m0,0l1060704,0l1060704,9144l0,9144l0,0">
                  <v:stroke weight="0pt" endcap="flat" joinstyle="miter" miterlimit="10" on="false" color="#000000" opacity="0"/>
                  <v:fill on="true" color="#000000"/>
                </v:shape>
                <v:shape id="Shape 658543" style="position:absolute;width:8808;height:91;left:35996;top:0;" coordsize="880872,9144" path="m0,0l880872,0l880872,9144l0,9144l0,0">
                  <v:stroke weight="0pt" endcap="flat" joinstyle="miter" miterlimit="10" on="false" color="#000000" opacity="0"/>
                  <v:fill on="true" color="#000000"/>
                </v:shape>
                <v:shape id="Shape 658544" style="position:absolute;width:11506;height:91;left:45902;top:0;" coordsize="1150620,9144" path="m0,0l1150620,0l1150620,9144l0,9144l0,0">
                  <v:stroke weight="0pt" endcap="flat" joinstyle="miter" miterlimit="10" on="false" color="#000000" opacity="0"/>
                  <v:fill on="true" color="#000000"/>
                </v:shape>
              </v:group>
            </w:pict>
          </mc:Fallback>
        </mc:AlternateContent>
      </w:r>
    </w:p>
    <w:p w:rsidR="004D6F0E" w:rsidRDefault="00490F21">
      <w:pPr>
        <w:spacing w:after="0" w:line="259" w:lineRule="auto"/>
        <w:ind w:left="1133" w:firstLine="0"/>
      </w:pPr>
      <w:r>
        <w:rPr>
          <w:rFonts w:ascii="Arial" w:eastAsia="Arial" w:hAnsi="Arial" w:cs="Arial"/>
          <w:sz w:val="6"/>
        </w:rPr>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r>
        <w:rPr>
          <w:rFonts w:ascii="Arial" w:eastAsia="Arial" w:hAnsi="Arial" w:cs="Arial"/>
          <w:sz w:val="6"/>
        </w:rPr>
        <w:tab/>
        <w:t xml:space="preserve"> </w:t>
      </w:r>
    </w:p>
    <w:tbl>
      <w:tblPr>
        <w:tblStyle w:val="TableGrid"/>
        <w:tblW w:w="11482" w:type="dxa"/>
        <w:tblInd w:w="0" w:type="dxa"/>
        <w:tblCellMar>
          <w:top w:w="21" w:type="dxa"/>
          <w:left w:w="0" w:type="dxa"/>
          <w:bottom w:w="0" w:type="dxa"/>
          <w:right w:w="115" w:type="dxa"/>
        </w:tblCellMar>
        <w:tblLook w:val="04A0" w:firstRow="1" w:lastRow="0" w:firstColumn="1" w:lastColumn="0" w:noHBand="0" w:noVBand="1"/>
      </w:tblPr>
      <w:tblGrid>
        <w:gridCol w:w="2830"/>
        <w:gridCol w:w="1421"/>
        <w:gridCol w:w="2136"/>
        <w:gridCol w:w="2239"/>
        <w:gridCol w:w="1608"/>
        <w:gridCol w:w="1248"/>
      </w:tblGrid>
      <w:tr w:rsidR="004D6F0E">
        <w:trPr>
          <w:trHeight w:val="264"/>
        </w:trPr>
        <w:tc>
          <w:tcPr>
            <w:tcW w:w="2830"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澳元對沖股份類別</w:t>
            </w: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shd w:val="clear" w:color="auto" w:fill="D9D9D9"/>
          </w:tcPr>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shd w:val="clear" w:color="auto" w:fill="D9D9D9"/>
          </w:tcPr>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4"/>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澳元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澳元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澳元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5"/>
        </w:trPr>
        <w:tc>
          <w:tcPr>
            <w:tcW w:w="2830"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澳元股份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10" w:line="259" w:lineRule="auto"/>
              <w:ind w:left="180" w:firstLine="0"/>
            </w:pPr>
            <w:r>
              <w:rPr>
                <w:sz w:val="18"/>
              </w:rPr>
              <w:t>澳元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14" w:line="259" w:lineRule="auto"/>
              <w:ind w:left="218" w:firstLine="0"/>
            </w:pPr>
            <w:r>
              <w:rPr>
                <w:rFonts w:ascii="Arial" w:eastAsia="Arial" w:hAnsi="Arial" w:cs="Arial"/>
                <w:sz w:val="18"/>
              </w:rPr>
              <w:t xml:space="preserve">25,000,000 </w:t>
            </w:r>
            <w:r>
              <w:rPr>
                <w:sz w:val="18"/>
              </w:rPr>
              <w:t>澳元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9" w:line="259" w:lineRule="auto"/>
              <w:ind w:left="552" w:firstLine="0"/>
            </w:pPr>
            <w:r>
              <w:rPr>
                <w:sz w:val="18"/>
              </w:rPr>
              <w:t>無</w:t>
            </w:r>
            <w:r>
              <w:rPr>
                <w:rFonts w:ascii="Arial" w:eastAsia="Arial" w:hAnsi="Arial" w:cs="Arial"/>
                <w:sz w:val="18"/>
              </w:rPr>
              <w:t xml:space="preserve"> </w:t>
            </w:r>
          </w:p>
          <w:p w:rsidR="004D6F0E" w:rsidRDefault="00490F21">
            <w:pPr>
              <w:spacing w:after="0" w:line="259" w:lineRule="auto"/>
              <w:ind w:left="631" w:firstLine="0"/>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9" w:line="259" w:lineRule="auto"/>
              <w:ind w:left="14"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830"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lastRenderedPageBreak/>
              <w:t>新加坡元對沖股份類別</w:t>
            </w: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shd w:val="clear" w:color="auto" w:fill="D9D9D9"/>
          </w:tcPr>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shd w:val="clear" w:color="auto" w:fill="D9D9D9"/>
          </w:tcPr>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新加坡元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830" w:type="dxa"/>
            <w:tcBorders>
              <w:top w:val="nil"/>
              <w:left w:val="nil"/>
              <w:bottom w:val="nil"/>
              <w:right w:val="nil"/>
            </w:tcBorders>
          </w:tcPr>
          <w:p w:rsidR="004D6F0E" w:rsidRDefault="00490F21">
            <w:pPr>
              <w:spacing w:after="15"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新加坡元股份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10" w:line="259" w:lineRule="auto"/>
              <w:ind w:left="0" w:firstLine="0"/>
            </w:pPr>
            <w:r>
              <w:rPr>
                <w:sz w:val="18"/>
              </w:rPr>
              <w:t>新加坡元</w:t>
            </w:r>
            <w:r>
              <w:rPr>
                <w:rFonts w:ascii="Arial" w:eastAsia="Arial" w:hAnsi="Arial" w:cs="Arial"/>
                <w:sz w:val="18"/>
              </w:rPr>
              <w:t xml:space="preserve"> </w:t>
            </w:r>
          </w:p>
          <w:p w:rsidR="004D6F0E" w:rsidRDefault="00490F21">
            <w:pPr>
              <w:spacing w:after="0" w:line="259" w:lineRule="auto"/>
              <w:ind w:left="360" w:firstLine="0"/>
            </w:pP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15" w:line="259" w:lineRule="auto"/>
              <w:ind w:left="245" w:firstLine="0"/>
            </w:pPr>
            <w:r>
              <w:rPr>
                <w:rFonts w:ascii="Arial" w:eastAsia="Arial" w:hAnsi="Arial" w:cs="Arial"/>
                <w:sz w:val="18"/>
              </w:rPr>
              <w:t xml:space="preserve">3,000 </w:t>
            </w:r>
            <w:r>
              <w:rPr>
                <w:sz w:val="18"/>
              </w:rPr>
              <w:t>新加坡元</w:t>
            </w:r>
            <w:r>
              <w:rPr>
                <w:rFonts w:ascii="Arial" w:eastAsia="Arial" w:hAnsi="Arial" w:cs="Arial"/>
                <w:sz w:val="18"/>
              </w:rPr>
              <w:t xml:space="preserve"> </w:t>
            </w:r>
          </w:p>
          <w:p w:rsidR="004D6F0E" w:rsidRDefault="00490F21">
            <w:pPr>
              <w:spacing w:after="0" w:line="259" w:lineRule="auto"/>
              <w:ind w:left="852" w:firstLine="0"/>
            </w:pP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15" w:line="259" w:lineRule="auto"/>
              <w:ind w:left="24" w:firstLine="0"/>
            </w:pPr>
            <w:r>
              <w:rPr>
                <w:rFonts w:ascii="Arial" w:eastAsia="Arial" w:hAnsi="Arial" w:cs="Arial"/>
                <w:sz w:val="18"/>
              </w:rPr>
              <w:t xml:space="preserve">1,000 </w:t>
            </w:r>
            <w:r>
              <w:rPr>
                <w:sz w:val="18"/>
              </w:rPr>
              <w:t>新加坡元</w:t>
            </w:r>
            <w:r>
              <w:rPr>
                <w:rFonts w:ascii="Arial" w:eastAsia="Arial" w:hAnsi="Arial" w:cs="Arial"/>
                <w:sz w:val="18"/>
              </w:rPr>
              <w:t xml:space="preserve"> </w:t>
            </w:r>
          </w:p>
          <w:p w:rsidR="004D6F0E" w:rsidRDefault="00490F21">
            <w:pPr>
              <w:spacing w:after="0" w:line="259" w:lineRule="auto"/>
              <w:ind w:left="631" w:firstLine="0"/>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91" w:firstLine="0"/>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p w:rsidR="004D6F0E" w:rsidRDefault="00490F21">
            <w:pPr>
              <w:spacing w:after="0" w:line="259" w:lineRule="auto"/>
              <w:ind w:left="254" w:firstLine="0"/>
            </w:pPr>
            <w:r>
              <w:rPr>
                <w:rFonts w:ascii="Arial" w:eastAsia="Arial" w:hAnsi="Arial" w:cs="Arial"/>
                <w:sz w:val="18"/>
              </w:rPr>
              <w:t xml:space="preserve"> </w:t>
            </w:r>
          </w:p>
        </w:tc>
      </w:tr>
      <w:tr w:rsidR="004D6F0E">
        <w:trPr>
          <w:trHeight w:val="235"/>
        </w:trPr>
        <w:tc>
          <w:tcPr>
            <w:tcW w:w="2830"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南非蘭特對沖股份類別</w:t>
            </w: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shd w:val="clear" w:color="auto" w:fill="D9D9D9"/>
          </w:tcPr>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shd w:val="clear" w:color="auto" w:fill="D9D9D9"/>
          </w:tcPr>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南非蘭特</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194"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830"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EA </w:t>
            </w:r>
            <w:r>
              <w:rPr>
                <w:sz w:val="18"/>
              </w:rPr>
              <w:t>類</w:t>
            </w:r>
            <w:r>
              <w:rPr>
                <w:sz w:val="18"/>
              </w:rPr>
              <w:t xml:space="preserve"> </w:t>
            </w:r>
            <w:r>
              <w:rPr>
                <w:rFonts w:ascii="Arial" w:eastAsia="Arial" w:hAnsi="Arial" w:cs="Arial"/>
                <w:sz w:val="18"/>
              </w:rPr>
              <w:t xml:space="preserve">H </w:t>
            </w:r>
            <w:r>
              <w:rPr>
                <w:sz w:val="18"/>
              </w:rPr>
              <w:t>南非蘭特股份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南非蘭特</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30" w:line="259" w:lineRule="auto"/>
              <w:ind w:left="194" w:firstLine="0"/>
            </w:pPr>
            <w:r>
              <w:rPr>
                <w:rFonts w:ascii="Arial" w:eastAsia="Arial" w:hAnsi="Arial" w:cs="Arial"/>
                <w:sz w:val="18"/>
              </w:rPr>
              <w:t xml:space="preserve">20,000 </w:t>
            </w:r>
            <w:r>
              <w:rPr>
                <w:sz w:val="18"/>
              </w:rPr>
              <w:t>南非蘭特</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tcPr>
          <w:p w:rsidR="004D6F0E" w:rsidRDefault="00490F21">
            <w:pPr>
              <w:spacing w:after="15" w:line="259" w:lineRule="auto"/>
              <w:ind w:left="24" w:firstLine="0"/>
            </w:pPr>
            <w:r>
              <w:rPr>
                <w:rFonts w:ascii="Arial" w:eastAsia="Arial" w:hAnsi="Arial" w:cs="Arial"/>
                <w:sz w:val="18"/>
              </w:rPr>
              <w:t xml:space="preserve">7,000 </w:t>
            </w:r>
            <w:r>
              <w:rPr>
                <w:sz w:val="18"/>
              </w:rPr>
              <w:t>南非蘭特</w:t>
            </w:r>
            <w:r>
              <w:rPr>
                <w:rFonts w:ascii="Arial" w:eastAsia="Arial" w:hAnsi="Arial" w:cs="Arial"/>
                <w:sz w:val="18"/>
              </w:rPr>
              <w:t xml:space="preserve"> </w:t>
            </w:r>
          </w:p>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人民幣對沖股份類別</w:t>
            </w: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shd w:val="clear" w:color="auto" w:fill="D9D9D9"/>
          </w:tcPr>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shd w:val="clear" w:color="auto" w:fill="D9D9D9"/>
          </w:tcPr>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439"/>
        </w:trPr>
        <w:tc>
          <w:tcPr>
            <w:tcW w:w="2830"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人民幣股份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tcPr>
          <w:p w:rsidR="004D6F0E" w:rsidRDefault="00490F21">
            <w:pPr>
              <w:spacing w:after="0" w:line="259" w:lineRule="auto"/>
              <w:ind w:left="89" w:firstLine="0"/>
            </w:pPr>
            <w:r>
              <w:rPr>
                <w:sz w:val="18"/>
              </w:rPr>
              <w:t>人民幣</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28" w:line="259" w:lineRule="auto"/>
              <w:ind w:left="173" w:firstLine="0"/>
            </w:pPr>
            <w:r>
              <w:rPr>
                <w:sz w:val="18"/>
              </w:rPr>
              <w:t>人民幣</w:t>
            </w:r>
            <w:r>
              <w:rPr>
                <w:sz w:val="18"/>
              </w:rPr>
              <w:t xml:space="preserve"> </w:t>
            </w:r>
            <w:r>
              <w:rPr>
                <w:rFonts w:ascii="Arial" w:eastAsia="Arial" w:hAnsi="Arial" w:cs="Arial"/>
                <w:sz w:val="18"/>
              </w:rPr>
              <w:t xml:space="preserve">10,000 </w:t>
            </w:r>
            <w:r>
              <w:rPr>
                <w:sz w:val="18"/>
              </w:rPr>
              <w:t>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tcPr>
          <w:p w:rsidR="004D6F0E" w:rsidRDefault="00490F21">
            <w:pPr>
              <w:spacing w:after="12" w:line="259" w:lineRule="auto"/>
              <w:ind w:left="0" w:firstLine="0"/>
            </w:pPr>
            <w:r>
              <w:rPr>
                <w:sz w:val="18"/>
              </w:rPr>
              <w:t>人民幣</w:t>
            </w:r>
            <w:r>
              <w:rPr>
                <w:sz w:val="18"/>
              </w:rPr>
              <w:t xml:space="preserve"> </w:t>
            </w:r>
            <w:r>
              <w:rPr>
                <w:rFonts w:ascii="Arial" w:eastAsia="Arial" w:hAnsi="Arial" w:cs="Arial"/>
                <w:sz w:val="18"/>
              </w:rPr>
              <w:t xml:space="preserve">3,750 </w:t>
            </w:r>
            <w:r>
              <w:rPr>
                <w:sz w:val="18"/>
              </w:rPr>
              <w:t>元</w:t>
            </w:r>
            <w:r>
              <w:rPr>
                <w:rFonts w:ascii="Arial" w:eastAsia="Arial" w:hAnsi="Arial" w:cs="Arial"/>
                <w:sz w:val="18"/>
              </w:rPr>
              <w:t xml:space="preserve"> </w:t>
            </w:r>
          </w:p>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shd w:val="clear" w:color="auto" w:fill="D9D9D9"/>
          </w:tcPr>
          <w:p w:rsidR="004D6F0E" w:rsidRDefault="00490F21">
            <w:pPr>
              <w:tabs>
                <w:tab w:val="center" w:pos="2383"/>
              </w:tabs>
              <w:spacing w:after="0" w:line="259" w:lineRule="auto"/>
              <w:ind w:left="0" w:firstLine="0"/>
            </w:pPr>
            <w:r>
              <w:rPr>
                <w:sz w:val="18"/>
              </w:rPr>
              <w:t>歐元對沖股份類別</w:t>
            </w: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shd w:val="clear" w:color="auto" w:fill="D9D9D9"/>
          </w:tcPr>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shd w:val="clear" w:color="auto" w:fill="D9D9D9"/>
          </w:tcPr>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41"/>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AR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歐元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歐元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3"/>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IT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180" w:firstLine="0"/>
            </w:pPr>
            <w:r>
              <w:rPr>
                <w:rFonts w:ascii="Arial" w:eastAsia="Arial" w:hAnsi="Arial" w:cs="Arial"/>
                <w:sz w:val="18"/>
              </w:rPr>
              <w:t xml:space="preserve">1,000,000 </w:t>
            </w:r>
            <w:r>
              <w:rPr>
                <w:sz w:val="18"/>
              </w:rPr>
              <w:t>歐元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540" w:firstLine="0"/>
            </w:pPr>
            <w:r>
              <w:rPr>
                <w:sz w:val="18"/>
              </w:rPr>
              <w:t>無</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830"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S1 </w:t>
            </w:r>
            <w:r>
              <w:rPr>
                <w:sz w:val="18"/>
              </w:rPr>
              <w:t>類</w:t>
            </w:r>
            <w:r>
              <w:rPr>
                <w:sz w:val="18"/>
              </w:rPr>
              <w:t xml:space="preserve"> </w:t>
            </w:r>
            <w:r>
              <w:rPr>
                <w:rFonts w:ascii="Arial" w:eastAsia="Arial" w:hAnsi="Arial" w:cs="Arial"/>
                <w:sz w:val="18"/>
              </w:rPr>
              <w:t xml:space="preserve">H </w:t>
            </w:r>
            <w:r>
              <w:rPr>
                <w:sz w:val="18"/>
              </w:rPr>
              <w:t>歐元股份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歐元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30" w:line="259" w:lineRule="auto"/>
              <w:ind w:left="130" w:firstLine="0"/>
            </w:pPr>
            <w:r>
              <w:rPr>
                <w:rFonts w:ascii="Arial" w:eastAsia="Arial" w:hAnsi="Arial" w:cs="Arial"/>
                <w:sz w:val="18"/>
              </w:rPr>
              <w:t xml:space="preserve">25,000,000 </w:t>
            </w:r>
            <w:r>
              <w:rPr>
                <w:sz w:val="18"/>
              </w:rPr>
              <w:t>歐元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tcPr>
          <w:p w:rsidR="004D6F0E" w:rsidRDefault="00490F21">
            <w:pPr>
              <w:spacing w:after="9" w:line="259" w:lineRule="auto"/>
              <w:ind w:left="540" w:firstLine="0"/>
            </w:pPr>
            <w:r>
              <w:rPr>
                <w:sz w:val="18"/>
              </w:rPr>
              <w:t>無</w:t>
            </w:r>
            <w:r>
              <w:rPr>
                <w:rFonts w:ascii="Arial" w:eastAsia="Arial" w:hAnsi="Arial" w:cs="Arial"/>
                <w:sz w:val="18"/>
              </w:rPr>
              <w:t xml:space="preserve"> </w:t>
            </w:r>
          </w:p>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830" w:type="dxa"/>
            <w:tcBorders>
              <w:top w:val="nil"/>
              <w:left w:val="nil"/>
              <w:bottom w:val="nil"/>
              <w:right w:val="nil"/>
            </w:tcBorders>
            <w:shd w:val="clear" w:color="auto" w:fill="D9D9D9"/>
          </w:tcPr>
          <w:p w:rsidR="004D6F0E" w:rsidRDefault="00490F21">
            <w:pPr>
              <w:spacing w:after="0" w:line="259" w:lineRule="auto"/>
              <w:ind w:left="115" w:firstLine="0"/>
            </w:pPr>
            <w:r>
              <w:rPr>
                <w:sz w:val="18"/>
              </w:rPr>
              <w:t>瑞士法郎對沖股份類別</w:t>
            </w:r>
            <w:r>
              <w:rPr>
                <w:rFonts w:ascii="Arial" w:eastAsia="Arial" w:hAnsi="Arial" w:cs="Arial"/>
                <w:b/>
                <w:sz w:val="18"/>
              </w:rPr>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D6F0E">
            <w:pPr>
              <w:spacing w:after="160" w:line="259" w:lineRule="auto"/>
              <w:ind w:left="0" w:firstLine="0"/>
            </w:pPr>
          </w:p>
        </w:tc>
        <w:tc>
          <w:tcPr>
            <w:tcW w:w="2239" w:type="dxa"/>
            <w:tcBorders>
              <w:top w:val="nil"/>
              <w:left w:val="nil"/>
              <w:bottom w:val="nil"/>
              <w:right w:val="nil"/>
            </w:tcBorders>
            <w:shd w:val="clear" w:color="auto" w:fill="D9D9D9"/>
          </w:tcPr>
          <w:p w:rsidR="004D6F0E" w:rsidRDefault="004D6F0E">
            <w:pPr>
              <w:spacing w:after="160" w:line="259" w:lineRule="auto"/>
              <w:ind w:left="0" w:firstLine="0"/>
            </w:pPr>
          </w:p>
        </w:tc>
        <w:tc>
          <w:tcPr>
            <w:tcW w:w="1608"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瑞士法郎</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2,000 </w:t>
            </w:r>
            <w:r>
              <w:rPr>
                <w:sz w:val="18"/>
              </w:rPr>
              <w:t>瑞士法郎</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98" w:firstLine="0"/>
            </w:pPr>
            <w:r>
              <w:rPr>
                <w:rFonts w:ascii="Arial" w:eastAsia="Arial" w:hAnsi="Arial" w:cs="Arial"/>
                <w:sz w:val="18"/>
              </w:rPr>
              <w:t xml:space="preserve">750 </w:t>
            </w:r>
            <w:r>
              <w:rPr>
                <w:sz w:val="18"/>
              </w:rPr>
              <w:t>瑞士法郎</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830"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I2 </w:t>
            </w:r>
            <w:r>
              <w:rPr>
                <w:sz w:val="18"/>
              </w:rPr>
              <w:t>類</w:t>
            </w:r>
            <w:r>
              <w:rPr>
                <w:sz w:val="18"/>
              </w:rPr>
              <w:t xml:space="preserve"> </w:t>
            </w:r>
            <w:r>
              <w:rPr>
                <w:rFonts w:ascii="Arial" w:eastAsia="Arial" w:hAnsi="Arial" w:cs="Arial"/>
                <w:sz w:val="18"/>
              </w:rPr>
              <w:t xml:space="preserve">H </w:t>
            </w:r>
            <w:r>
              <w:rPr>
                <w:sz w:val="18"/>
              </w:rPr>
              <w:t>瑞士法郎股份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瑞士法郎</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30" w:line="259" w:lineRule="auto"/>
              <w:ind w:left="0" w:firstLine="0"/>
            </w:pPr>
            <w:r>
              <w:rPr>
                <w:rFonts w:ascii="Arial" w:eastAsia="Arial" w:hAnsi="Arial" w:cs="Arial"/>
                <w:sz w:val="18"/>
              </w:rPr>
              <w:t xml:space="preserve">1,000,000 </w:t>
            </w:r>
            <w:r>
              <w:rPr>
                <w:sz w:val="18"/>
              </w:rPr>
              <w:t>瑞士法郎</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tcPr>
          <w:p w:rsidR="004D6F0E" w:rsidRDefault="00490F21">
            <w:pPr>
              <w:spacing w:after="9" w:line="259" w:lineRule="auto"/>
              <w:ind w:left="540" w:firstLine="0"/>
            </w:pPr>
            <w:r>
              <w:rPr>
                <w:sz w:val="18"/>
              </w:rPr>
              <w:t>無</w:t>
            </w:r>
            <w:r>
              <w:rPr>
                <w:rFonts w:ascii="Arial" w:eastAsia="Arial" w:hAnsi="Arial" w:cs="Arial"/>
                <w:sz w:val="18"/>
              </w:rPr>
              <w:t xml:space="preserve"> </w:t>
            </w:r>
          </w:p>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shd w:val="clear" w:color="auto" w:fill="D9D9D9"/>
          </w:tcPr>
          <w:p w:rsidR="004D6F0E" w:rsidRDefault="00490F21">
            <w:pPr>
              <w:spacing w:after="0" w:line="259" w:lineRule="auto"/>
              <w:ind w:left="115" w:firstLine="0"/>
            </w:pPr>
            <w:r>
              <w:rPr>
                <w:sz w:val="18"/>
              </w:rPr>
              <w:t>紐西蘭元對沖股份類別</w:t>
            </w:r>
            <w:r>
              <w:rPr>
                <w:rFonts w:ascii="Arial" w:eastAsia="Arial" w:hAnsi="Arial" w:cs="Arial"/>
                <w:sz w:val="18"/>
              </w:rPr>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D6F0E">
            <w:pPr>
              <w:spacing w:after="160" w:line="259" w:lineRule="auto"/>
              <w:ind w:left="0" w:firstLine="0"/>
            </w:pPr>
          </w:p>
        </w:tc>
        <w:tc>
          <w:tcPr>
            <w:tcW w:w="2239" w:type="dxa"/>
            <w:tcBorders>
              <w:top w:val="nil"/>
              <w:left w:val="nil"/>
              <w:bottom w:val="nil"/>
              <w:right w:val="nil"/>
            </w:tcBorders>
            <w:shd w:val="clear" w:color="auto" w:fill="D9D9D9"/>
          </w:tcPr>
          <w:p w:rsidR="004D6F0E" w:rsidRDefault="004D6F0E">
            <w:pPr>
              <w:spacing w:after="160" w:line="259" w:lineRule="auto"/>
              <w:ind w:left="0" w:firstLine="0"/>
            </w:pPr>
          </w:p>
        </w:tc>
        <w:tc>
          <w:tcPr>
            <w:tcW w:w="1608"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紐西蘭元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245"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4"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6"/>
        </w:trPr>
        <w:tc>
          <w:tcPr>
            <w:tcW w:w="2830" w:type="dxa"/>
            <w:tcBorders>
              <w:top w:val="nil"/>
              <w:left w:val="nil"/>
              <w:bottom w:val="nil"/>
              <w:right w:val="nil"/>
            </w:tcBorders>
          </w:tcPr>
          <w:p w:rsidR="004D6F0E" w:rsidRDefault="00490F21">
            <w:pPr>
              <w:spacing w:after="31"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紐西蘭元股份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tcPr>
          <w:p w:rsidR="004D6F0E" w:rsidRDefault="00490F21">
            <w:pPr>
              <w:spacing w:after="0" w:line="259" w:lineRule="auto"/>
              <w:ind w:left="0" w:firstLine="0"/>
            </w:pPr>
            <w:r>
              <w:rPr>
                <w:sz w:val="18"/>
              </w:rPr>
              <w:t>紐西蘭元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30" w:line="259" w:lineRule="auto"/>
              <w:ind w:left="245" w:firstLine="0"/>
            </w:pPr>
            <w:r>
              <w:rPr>
                <w:rFonts w:ascii="Arial" w:eastAsia="Arial" w:hAnsi="Arial" w:cs="Arial"/>
                <w:sz w:val="18"/>
              </w:rPr>
              <w:t xml:space="preserve">3,000 </w:t>
            </w:r>
            <w:r>
              <w:rPr>
                <w:sz w:val="18"/>
              </w:rPr>
              <w:t>紐西蘭元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tcPr>
          <w:p w:rsidR="004D6F0E" w:rsidRDefault="00490F21">
            <w:pPr>
              <w:spacing w:after="15" w:line="259" w:lineRule="auto"/>
              <w:ind w:left="24" w:firstLine="0"/>
            </w:pPr>
            <w:r>
              <w:rPr>
                <w:rFonts w:ascii="Arial" w:eastAsia="Arial" w:hAnsi="Arial" w:cs="Arial"/>
                <w:sz w:val="18"/>
              </w:rPr>
              <w:t xml:space="preserve">1,000 </w:t>
            </w:r>
            <w:r>
              <w:rPr>
                <w:sz w:val="18"/>
              </w:rPr>
              <w:t>紐西蘭元</w:t>
            </w:r>
            <w:r>
              <w:rPr>
                <w:rFonts w:ascii="Arial" w:eastAsia="Arial" w:hAnsi="Arial" w:cs="Arial"/>
                <w:sz w:val="18"/>
              </w:rPr>
              <w:t xml:space="preserve"> </w:t>
            </w:r>
          </w:p>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9"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shd w:val="clear" w:color="auto" w:fill="D9D9D9"/>
          </w:tcPr>
          <w:p w:rsidR="004D6F0E" w:rsidRDefault="00490F21">
            <w:pPr>
              <w:spacing w:after="0" w:line="259" w:lineRule="auto"/>
              <w:ind w:left="115" w:firstLine="0"/>
            </w:pPr>
            <w:r>
              <w:rPr>
                <w:sz w:val="18"/>
              </w:rPr>
              <w:t>加元對沖股份類別</w:t>
            </w:r>
            <w:r>
              <w:rPr>
                <w:rFonts w:ascii="Arial" w:eastAsia="Arial" w:hAnsi="Arial" w:cs="Arial"/>
                <w:sz w:val="18"/>
              </w:rPr>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D6F0E">
            <w:pPr>
              <w:spacing w:after="160" w:line="259" w:lineRule="auto"/>
              <w:ind w:left="0" w:firstLine="0"/>
            </w:pPr>
          </w:p>
        </w:tc>
        <w:tc>
          <w:tcPr>
            <w:tcW w:w="2239" w:type="dxa"/>
            <w:tcBorders>
              <w:top w:val="nil"/>
              <w:left w:val="nil"/>
              <w:bottom w:val="nil"/>
              <w:right w:val="nil"/>
            </w:tcBorders>
            <w:shd w:val="clear" w:color="auto" w:fill="D9D9D9"/>
          </w:tcPr>
          <w:p w:rsidR="004D6F0E" w:rsidRDefault="004D6F0E">
            <w:pPr>
              <w:spacing w:after="160" w:line="259" w:lineRule="auto"/>
              <w:ind w:left="0" w:firstLine="0"/>
            </w:pPr>
          </w:p>
        </w:tc>
        <w:tc>
          <w:tcPr>
            <w:tcW w:w="1608"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r w:rsidR="004D6F0E">
        <w:trPr>
          <w:trHeight w:val="239"/>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235"/>
        </w:trPr>
        <w:tc>
          <w:tcPr>
            <w:tcW w:w="2830" w:type="dxa"/>
            <w:tcBorders>
              <w:top w:val="nil"/>
              <w:left w:val="nil"/>
              <w:bottom w:val="nil"/>
              <w:right w:val="nil"/>
            </w:tcBorders>
          </w:tcPr>
          <w:p w:rsidR="004D6F0E" w:rsidRDefault="00490F21">
            <w:pPr>
              <w:spacing w:after="0" w:line="259" w:lineRule="auto"/>
              <w:ind w:left="115"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0" w:line="259" w:lineRule="auto"/>
              <w:ind w:left="425" w:firstLine="0"/>
            </w:pPr>
            <w:r>
              <w:rPr>
                <w:rFonts w:ascii="Arial" w:eastAsia="Arial" w:hAnsi="Arial" w:cs="Arial"/>
                <w:sz w:val="18"/>
              </w:rPr>
              <w:t xml:space="preserve">2,000 </w:t>
            </w:r>
            <w:r>
              <w:rPr>
                <w:sz w:val="18"/>
              </w:rPr>
              <w:t>加元</w:t>
            </w:r>
            <w:r>
              <w:rPr>
                <w:rFonts w:ascii="Arial" w:eastAsia="Arial" w:hAnsi="Arial" w:cs="Arial"/>
                <w:sz w:val="18"/>
              </w:rPr>
              <w:t xml:space="preserve"> </w:t>
            </w:r>
          </w:p>
        </w:tc>
        <w:tc>
          <w:tcPr>
            <w:tcW w:w="2239" w:type="dxa"/>
            <w:tcBorders>
              <w:top w:val="nil"/>
              <w:left w:val="nil"/>
              <w:bottom w:val="nil"/>
              <w:right w:val="nil"/>
            </w:tcBorders>
          </w:tcPr>
          <w:p w:rsidR="004D6F0E" w:rsidRDefault="00490F21">
            <w:pPr>
              <w:spacing w:after="0" w:line="259" w:lineRule="auto"/>
              <w:ind w:left="278" w:firstLine="0"/>
            </w:pPr>
            <w:r>
              <w:rPr>
                <w:rFonts w:ascii="Arial" w:eastAsia="Arial" w:hAnsi="Arial" w:cs="Arial"/>
                <w:sz w:val="18"/>
              </w:rPr>
              <w:t xml:space="preserve">750 </w:t>
            </w:r>
            <w:r>
              <w:rPr>
                <w:sz w:val="18"/>
              </w:rPr>
              <w:t>加元</w:t>
            </w: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0" w:line="259" w:lineRule="auto"/>
              <w:ind w:left="0" w:firstLine="0"/>
            </w:pPr>
            <w:r>
              <w:rPr>
                <w:sz w:val="18"/>
              </w:rPr>
              <w:t>無</w:t>
            </w: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0.05% </w:t>
            </w:r>
          </w:p>
        </w:tc>
      </w:tr>
      <w:tr w:rsidR="004D6F0E">
        <w:trPr>
          <w:trHeight w:val="433"/>
        </w:trPr>
        <w:tc>
          <w:tcPr>
            <w:tcW w:w="2830" w:type="dxa"/>
            <w:tcBorders>
              <w:top w:val="nil"/>
              <w:left w:val="nil"/>
              <w:bottom w:val="nil"/>
              <w:right w:val="nil"/>
            </w:tcBorders>
          </w:tcPr>
          <w:p w:rsidR="004D6F0E" w:rsidRDefault="00490F21">
            <w:pPr>
              <w:spacing w:after="28" w:line="259" w:lineRule="auto"/>
              <w:ind w:left="115" w:firstLine="0"/>
            </w:pPr>
            <w:r>
              <w:rPr>
                <w:rFonts w:ascii="Arial" w:eastAsia="Arial" w:hAnsi="Arial" w:cs="Arial"/>
                <w:sz w:val="18"/>
              </w:rPr>
              <w:t xml:space="preserve">S2 </w:t>
            </w:r>
            <w:r>
              <w:rPr>
                <w:sz w:val="18"/>
              </w:rPr>
              <w:t>類</w:t>
            </w:r>
            <w:r>
              <w:rPr>
                <w:sz w:val="18"/>
              </w:rPr>
              <w:t xml:space="preserve"> </w:t>
            </w:r>
            <w:r>
              <w:rPr>
                <w:rFonts w:ascii="Arial" w:eastAsia="Arial" w:hAnsi="Arial" w:cs="Arial"/>
                <w:sz w:val="18"/>
              </w:rPr>
              <w:t xml:space="preserve">H </w:t>
            </w:r>
            <w:r>
              <w:rPr>
                <w:sz w:val="18"/>
              </w:rPr>
              <w:t>加元股份</w:t>
            </w:r>
            <w:r>
              <w:rPr>
                <w:rFonts w:ascii="Arial" w:eastAsia="Arial" w:hAnsi="Arial" w:cs="Arial"/>
                <w:sz w:val="18"/>
              </w:rPr>
              <w:t xml:space="preserve"> </w:t>
            </w:r>
          </w:p>
          <w:p w:rsidR="004D6F0E" w:rsidRDefault="00490F21">
            <w:pPr>
              <w:spacing w:after="0" w:line="259" w:lineRule="auto"/>
              <w:ind w:left="115" w:firstLine="0"/>
            </w:pPr>
            <w:r>
              <w:rPr>
                <w:rFonts w:ascii="Arial" w:eastAsia="Arial" w:hAnsi="Arial" w:cs="Arial"/>
                <w:sz w:val="18"/>
              </w:rPr>
              <w:t xml:space="preserve"> </w:t>
            </w:r>
            <w:r>
              <w:rPr>
                <w:rFonts w:ascii="Arial" w:eastAsia="Arial" w:hAnsi="Arial" w:cs="Arial"/>
                <w:sz w:val="18"/>
              </w:rPr>
              <w:tab/>
              <w:t xml:space="preserve"> </w:t>
            </w:r>
          </w:p>
        </w:tc>
        <w:tc>
          <w:tcPr>
            <w:tcW w:w="1421" w:type="dxa"/>
            <w:tcBorders>
              <w:top w:val="nil"/>
              <w:left w:val="nil"/>
              <w:bottom w:val="nil"/>
              <w:right w:val="nil"/>
            </w:tcBorders>
          </w:tcPr>
          <w:p w:rsidR="004D6F0E" w:rsidRDefault="00490F21">
            <w:pPr>
              <w:spacing w:after="0" w:line="259" w:lineRule="auto"/>
              <w:ind w:left="180" w:firstLine="0"/>
            </w:pPr>
            <w:r>
              <w:rPr>
                <w:sz w:val="18"/>
              </w:rPr>
              <w:t>加元</w:t>
            </w:r>
            <w:r>
              <w:rPr>
                <w:rFonts w:ascii="Arial" w:eastAsia="Arial" w:hAnsi="Arial" w:cs="Arial"/>
                <w:sz w:val="18"/>
              </w:rPr>
              <w:t xml:space="preserve"> </w:t>
            </w:r>
          </w:p>
        </w:tc>
        <w:tc>
          <w:tcPr>
            <w:tcW w:w="2136" w:type="dxa"/>
            <w:tcBorders>
              <w:top w:val="nil"/>
              <w:left w:val="nil"/>
              <w:bottom w:val="nil"/>
              <w:right w:val="nil"/>
            </w:tcBorders>
          </w:tcPr>
          <w:p w:rsidR="004D6F0E" w:rsidRDefault="00490F21">
            <w:pPr>
              <w:spacing w:after="27" w:line="259" w:lineRule="auto"/>
              <w:ind w:left="130" w:firstLine="0"/>
            </w:pPr>
            <w:r>
              <w:rPr>
                <w:rFonts w:ascii="Arial" w:eastAsia="Arial" w:hAnsi="Arial" w:cs="Arial"/>
                <w:sz w:val="18"/>
              </w:rPr>
              <w:t xml:space="preserve">25,000,000 </w:t>
            </w:r>
            <w:r>
              <w:rPr>
                <w:sz w:val="18"/>
              </w:rPr>
              <w:t>加元</w:t>
            </w:r>
            <w:r>
              <w:rPr>
                <w:rFonts w:ascii="Arial" w:eastAsia="Arial" w:hAnsi="Arial" w:cs="Arial"/>
                <w:sz w:val="18"/>
              </w:rPr>
              <w:t xml:space="preserve">** </w:t>
            </w:r>
          </w:p>
          <w:p w:rsidR="004D6F0E" w:rsidRDefault="00490F21">
            <w:pPr>
              <w:spacing w:after="0" w:line="259" w:lineRule="auto"/>
              <w:ind w:left="-24" w:firstLine="0"/>
            </w:pPr>
            <w:r>
              <w:rPr>
                <w:rFonts w:ascii="Arial" w:eastAsia="Arial" w:hAnsi="Arial" w:cs="Arial"/>
                <w:sz w:val="18"/>
              </w:rPr>
              <w:t xml:space="preserve"> </w:t>
            </w:r>
            <w:r>
              <w:rPr>
                <w:rFonts w:ascii="Arial" w:eastAsia="Arial" w:hAnsi="Arial" w:cs="Arial"/>
                <w:sz w:val="18"/>
              </w:rPr>
              <w:tab/>
              <w:t xml:space="preserve"> </w:t>
            </w:r>
          </w:p>
        </w:tc>
        <w:tc>
          <w:tcPr>
            <w:tcW w:w="2239" w:type="dxa"/>
            <w:tcBorders>
              <w:top w:val="nil"/>
              <w:left w:val="nil"/>
              <w:bottom w:val="nil"/>
              <w:right w:val="nil"/>
            </w:tcBorders>
          </w:tcPr>
          <w:p w:rsidR="004D6F0E" w:rsidRDefault="00490F21">
            <w:pPr>
              <w:spacing w:after="7" w:line="259" w:lineRule="auto"/>
              <w:ind w:left="540" w:firstLine="0"/>
            </w:pPr>
            <w:r>
              <w:rPr>
                <w:sz w:val="18"/>
              </w:rPr>
              <w:t>無</w:t>
            </w:r>
            <w:r>
              <w:rPr>
                <w:rFonts w:ascii="Arial" w:eastAsia="Arial" w:hAnsi="Arial" w:cs="Arial"/>
                <w:sz w:val="18"/>
              </w:rPr>
              <w:t xml:space="preserve"> </w:t>
            </w:r>
          </w:p>
          <w:p w:rsidR="004D6F0E" w:rsidRDefault="00490F21">
            <w:pPr>
              <w:spacing w:after="0" w:line="259" w:lineRule="auto"/>
              <w:ind w:left="1257" w:firstLine="0"/>
              <w:jc w:val="center"/>
            </w:pPr>
            <w:r>
              <w:rPr>
                <w:rFonts w:ascii="Arial" w:eastAsia="Arial" w:hAnsi="Arial" w:cs="Arial"/>
                <w:sz w:val="18"/>
              </w:rPr>
              <w:t xml:space="preserve"> </w:t>
            </w:r>
          </w:p>
        </w:tc>
        <w:tc>
          <w:tcPr>
            <w:tcW w:w="1608" w:type="dxa"/>
            <w:tcBorders>
              <w:top w:val="nil"/>
              <w:left w:val="nil"/>
              <w:bottom w:val="nil"/>
              <w:right w:val="nil"/>
            </w:tcBorders>
          </w:tcPr>
          <w:p w:rsidR="004D6F0E" w:rsidRDefault="00490F21">
            <w:pPr>
              <w:spacing w:after="7" w:line="259" w:lineRule="auto"/>
              <w:ind w:left="0" w:firstLine="0"/>
            </w:pPr>
            <w:r>
              <w:rPr>
                <w:sz w:val="18"/>
              </w:rPr>
              <w:t>無</w:t>
            </w:r>
            <w:r>
              <w:rPr>
                <w:rFonts w:ascii="Arial" w:eastAsia="Arial" w:hAnsi="Arial" w:cs="Arial"/>
                <w:sz w:val="18"/>
              </w:rPr>
              <w:t xml:space="preserve"> </w:t>
            </w:r>
          </w:p>
          <w:p w:rsidR="004D6F0E" w:rsidRDefault="00490F21">
            <w:pPr>
              <w:spacing w:after="0" w:line="259" w:lineRule="auto"/>
              <w:ind w:left="530" w:firstLine="0"/>
              <w:jc w:val="center"/>
            </w:pPr>
            <w:r>
              <w:rPr>
                <w:rFonts w:ascii="Arial" w:eastAsia="Arial" w:hAnsi="Arial" w:cs="Arial"/>
                <w:sz w:val="18"/>
              </w:rPr>
              <w:t xml:space="preserve"> </w:t>
            </w:r>
          </w:p>
        </w:tc>
        <w:tc>
          <w:tcPr>
            <w:tcW w:w="1248" w:type="dxa"/>
            <w:tcBorders>
              <w:top w:val="nil"/>
              <w:left w:val="nil"/>
              <w:bottom w:val="nil"/>
              <w:right w:val="nil"/>
            </w:tcBorders>
          </w:tcPr>
          <w:p w:rsidR="004D6F0E" w:rsidRDefault="00490F21">
            <w:pPr>
              <w:spacing w:after="0" w:line="259" w:lineRule="auto"/>
              <w:ind w:left="0" w:firstLine="0"/>
            </w:pPr>
            <w:r>
              <w:rPr>
                <w:rFonts w:ascii="Arial" w:eastAsia="Arial" w:hAnsi="Arial" w:cs="Arial"/>
                <w:sz w:val="18"/>
              </w:rPr>
              <w:t xml:space="preserve">0.01% </w:t>
            </w:r>
          </w:p>
        </w:tc>
      </w:tr>
      <w:tr w:rsidR="004D6F0E">
        <w:trPr>
          <w:trHeight w:val="235"/>
        </w:trPr>
        <w:tc>
          <w:tcPr>
            <w:tcW w:w="2830" w:type="dxa"/>
            <w:tcBorders>
              <w:top w:val="nil"/>
              <w:left w:val="nil"/>
              <w:bottom w:val="nil"/>
              <w:right w:val="nil"/>
            </w:tcBorders>
            <w:shd w:val="clear" w:color="auto" w:fill="D9D9D9"/>
          </w:tcPr>
          <w:p w:rsidR="004D6F0E" w:rsidRDefault="00490F21">
            <w:pPr>
              <w:spacing w:after="0" w:line="259" w:lineRule="auto"/>
              <w:ind w:left="115" w:firstLine="0"/>
            </w:pPr>
            <w:r>
              <w:rPr>
                <w:sz w:val="18"/>
              </w:rPr>
              <w:lastRenderedPageBreak/>
              <w:t>英鎊對沖股份類別</w:t>
            </w:r>
            <w:r>
              <w:rPr>
                <w:rFonts w:ascii="Arial" w:eastAsia="Arial" w:hAnsi="Arial" w:cs="Arial"/>
                <w:sz w:val="18"/>
              </w:rPr>
              <w:t xml:space="preserve"> </w:t>
            </w:r>
          </w:p>
        </w:tc>
        <w:tc>
          <w:tcPr>
            <w:tcW w:w="1421" w:type="dxa"/>
            <w:tcBorders>
              <w:top w:val="nil"/>
              <w:left w:val="nil"/>
              <w:bottom w:val="nil"/>
              <w:right w:val="nil"/>
            </w:tcBorders>
            <w:shd w:val="clear" w:color="auto" w:fill="D9D9D9"/>
          </w:tcPr>
          <w:p w:rsidR="004D6F0E" w:rsidRDefault="004D6F0E">
            <w:pPr>
              <w:spacing w:after="160" w:line="259" w:lineRule="auto"/>
              <w:ind w:left="0" w:firstLine="0"/>
            </w:pPr>
          </w:p>
        </w:tc>
        <w:tc>
          <w:tcPr>
            <w:tcW w:w="2136" w:type="dxa"/>
            <w:tcBorders>
              <w:top w:val="nil"/>
              <w:left w:val="nil"/>
              <w:bottom w:val="nil"/>
              <w:right w:val="nil"/>
            </w:tcBorders>
            <w:shd w:val="clear" w:color="auto" w:fill="D9D9D9"/>
          </w:tcPr>
          <w:p w:rsidR="004D6F0E" w:rsidRDefault="004D6F0E">
            <w:pPr>
              <w:spacing w:after="160" w:line="259" w:lineRule="auto"/>
              <w:ind w:left="0" w:firstLine="0"/>
            </w:pPr>
          </w:p>
        </w:tc>
        <w:tc>
          <w:tcPr>
            <w:tcW w:w="2239" w:type="dxa"/>
            <w:tcBorders>
              <w:top w:val="nil"/>
              <w:left w:val="nil"/>
              <w:bottom w:val="nil"/>
              <w:right w:val="nil"/>
            </w:tcBorders>
            <w:shd w:val="clear" w:color="auto" w:fill="D9D9D9"/>
          </w:tcPr>
          <w:p w:rsidR="004D6F0E" w:rsidRDefault="004D6F0E">
            <w:pPr>
              <w:spacing w:after="160" w:line="259" w:lineRule="auto"/>
              <w:ind w:left="0" w:firstLine="0"/>
            </w:pPr>
          </w:p>
        </w:tc>
        <w:tc>
          <w:tcPr>
            <w:tcW w:w="1608" w:type="dxa"/>
            <w:tcBorders>
              <w:top w:val="nil"/>
              <w:left w:val="nil"/>
              <w:bottom w:val="nil"/>
              <w:right w:val="nil"/>
            </w:tcBorders>
            <w:shd w:val="clear" w:color="auto" w:fill="D9D9D9"/>
          </w:tcPr>
          <w:p w:rsidR="004D6F0E" w:rsidRDefault="004D6F0E">
            <w:pPr>
              <w:spacing w:after="160" w:line="259" w:lineRule="auto"/>
              <w:ind w:left="0" w:firstLine="0"/>
            </w:pPr>
          </w:p>
        </w:tc>
        <w:tc>
          <w:tcPr>
            <w:tcW w:w="1248" w:type="dxa"/>
            <w:tcBorders>
              <w:top w:val="nil"/>
              <w:left w:val="nil"/>
              <w:bottom w:val="nil"/>
              <w:right w:val="nil"/>
            </w:tcBorders>
            <w:shd w:val="clear" w:color="auto" w:fill="D9D9D9"/>
          </w:tcPr>
          <w:p w:rsidR="004D6F0E" w:rsidRDefault="004D6F0E">
            <w:pPr>
              <w:spacing w:after="160" w:line="259" w:lineRule="auto"/>
              <w:ind w:left="0" w:firstLine="0"/>
            </w:pPr>
          </w:p>
        </w:tc>
      </w:tr>
    </w:tbl>
    <w:p w:rsidR="004D6F0E" w:rsidRDefault="00490F21">
      <w:pPr>
        <w:tabs>
          <w:tab w:val="center" w:pos="3190"/>
          <w:tab w:val="center" w:pos="5104"/>
          <w:tab w:val="center" w:pos="7019"/>
          <w:tab w:val="center" w:pos="8716"/>
          <w:tab w:val="center" w:pos="10490"/>
        </w:tabs>
        <w:spacing w:after="20"/>
        <w:ind w:left="0" w:firstLine="0"/>
      </w:pPr>
      <w:r>
        <w:rPr>
          <w:rFonts w:ascii="Arial" w:eastAsia="Arial" w:hAnsi="Arial" w:cs="Arial"/>
          <w:sz w:val="18"/>
        </w:rPr>
        <w:t xml:space="preserve">AT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r>
        <w:rPr>
          <w:rFonts w:ascii="Arial" w:eastAsia="Arial" w:hAnsi="Arial" w:cs="Arial"/>
          <w:sz w:val="18"/>
        </w:rPr>
        <w:tab/>
      </w:r>
      <w:r>
        <w:rPr>
          <w:sz w:val="18"/>
        </w:rPr>
        <w:t>英鎊</w:t>
      </w:r>
      <w:r>
        <w:rPr>
          <w:rFonts w:ascii="Arial" w:eastAsia="Arial" w:hAnsi="Arial" w:cs="Arial"/>
          <w:sz w:val="18"/>
        </w:rPr>
        <w:t xml:space="preserve"> </w:t>
      </w:r>
      <w:r>
        <w:rPr>
          <w:rFonts w:ascii="Arial" w:eastAsia="Arial" w:hAnsi="Arial" w:cs="Arial"/>
          <w:sz w:val="18"/>
        </w:rPr>
        <w:tab/>
        <w:t xml:space="preserve">2,000 </w:t>
      </w:r>
      <w:r>
        <w:rPr>
          <w:sz w:val="18"/>
        </w:rPr>
        <w:t>英鎊</w:t>
      </w:r>
      <w:r>
        <w:rPr>
          <w:rFonts w:ascii="Arial" w:eastAsia="Arial" w:hAnsi="Arial" w:cs="Arial"/>
          <w:sz w:val="18"/>
        </w:rPr>
        <w:t xml:space="preserve"> </w:t>
      </w:r>
      <w:r>
        <w:rPr>
          <w:rFonts w:ascii="Arial" w:eastAsia="Arial" w:hAnsi="Arial" w:cs="Arial"/>
          <w:sz w:val="18"/>
        </w:rPr>
        <w:tab/>
        <w:t xml:space="preserve">750 </w:t>
      </w:r>
      <w:r>
        <w:rPr>
          <w:sz w:val="18"/>
        </w:rPr>
        <w:t>英鎊</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r>
      <w:r>
        <w:rPr>
          <w:rFonts w:ascii="Arial" w:eastAsia="Arial" w:hAnsi="Arial" w:cs="Arial"/>
          <w:sz w:val="18"/>
        </w:rPr>
        <w:t xml:space="preserve">0.05% </w:t>
      </w:r>
    </w:p>
    <w:p w:rsidR="004D6F0E" w:rsidRDefault="00490F21">
      <w:pPr>
        <w:tabs>
          <w:tab w:val="center" w:pos="3190"/>
          <w:tab w:val="center" w:pos="5104"/>
          <w:tab w:val="center" w:pos="7019"/>
          <w:tab w:val="center" w:pos="8716"/>
          <w:tab w:val="center" w:pos="10490"/>
        </w:tabs>
        <w:spacing w:after="20"/>
        <w:ind w:left="0" w:firstLine="0"/>
      </w:pPr>
      <w:r>
        <w:rPr>
          <w:rFonts w:ascii="Arial" w:eastAsia="Arial" w:hAnsi="Arial" w:cs="Arial"/>
          <w:sz w:val="18"/>
        </w:rPr>
        <w:t xml:space="preserve">AA </w:t>
      </w:r>
      <w:r>
        <w:rPr>
          <w:sz w:val="18"/>
        </w:rPr>
        <w:t>類</w:t>
      </w:r>
      <w:r>
        <w:rPr>
          <w:sz w:val="18"/>
        </w:rPr>
        <w:t xml:space="preserve"> </w:t>
      </w:r>
      <w:r>
        <w:rPr>
          <w:rFonts w:ascii="Arial" w:eastAsia="Arial" w:hAnsi="Arial" w:cs="Arial"/>
          <w:sz w:val="18"/>
        </w:rPr>
        <w:t xml:space="preserve">H </w:t>
      </w:r>
      <w:r>
        <w:rPr>
          <w:sz w:val="18"/>
        </w:rPr>
        <w:t>英鎊股份</w:t>
      </w:r>
      <w:r>
        <w:rPr>
          <w:rFonts w:ascii="Arial" w:eastAsia="Arial" w:hAnsi="Arial" w:cs="Arial"/>
          <w:sz w:val="18"/>
        </w:rPr>
        <w:t xml:space="preserve"> </w:t>
      </w:r>
      <w:r>
        <w:rPr>
          <w:rFonts w:ascii="Arial" w:eastAsia="Arial" w:hAnsi="Arial" w:cs="Arial"/>
          <w:sz w:val="18"/>
        </w:rPr>
        <w:tab/>
      </w:r>
      <w:r>
        <w:rPr>
          <w:sz w:val="18"/>
        </w:rPr>
        <w:t>英鎊</w:t>
      </w:r>
      <w:r>
        <w:rPr>
          <w:rFonts w:ascii="Arial" w:eastAsia="Arial" w:hAnsi="Arial" w:cs="Arial"/>
          <w:sz w:val="18"/>
        </w:rPr>
        <w:t xml:space="preserve"> </w:t>
      </w:r>
      <w:r>
        <w:rPr>
          <w:rFonts w:ascii="Arial" w:eastAsia="Arial" w:hAnsi="Arial" w:cs="Arial"/>
          <w:sz w:val="18"/>
        </w:rPr>
        <w:tab/>
        <w:t xml:space="preserve">2,000 </w:t>
      </w:r>
      <w:r>
        <w:rPr>
          <w:sz w:val="18"/>
        </w:rPr>
        <w:t>英鎊</w:t>
      </w:r>
      <w:r>
        <w:rPr>
          <w:rFonts w:ascii="Arial" w:eastAsia="Arial" w:hAnsi="Arial" w:cs="Arial"/>
          <w:sz w:val="18"/>
        </w:rPr>
        <w:t xml:space="preserve"> </w:t>
      </w:r>
      <w:r>
        <w:rPr>
          <w:rFonts w:ascii="Arial" w:eastAsia="Arial" w:hAnsi="Arial" w:cs="Arial"/>
          <w:sz w:val="18"/>
        </w:rPr>
        <w:tab/>
        <w:t xml:space="preserve">750 </w:t>
      </w:r>
      <w:r>
        <w:rPr>
          <w:sz w:val="18"/>
        </w:rPr>
        <w:t>英鎊</w:t>
      </w:r>
      <w:r>
        <w:rPr>
          <w:rFonts w:ascii="Arial" w:eastAsia="Arial" w:hAnsi="Arial" w:cs="Arial"/>
          <w:sz w:val="18"/>
        </w:rPr>
        <w:t xml:space="preserve"> </w:t>
      </w:r>
      <w:r>
        <w:rPr>
          <w:rFonts w:ascii="Arial" w:eastAsia="Arial" w:hAnsi="Arial" w:cs="Arial"/>
          <w:sz w:val="18"/>
        </w:rPr>
        <w:tab/>
      </w:r>
      <w:r>
        <w:rPr>
          <w:sz w:val="18"/>
        </w:rPr>
        <w:t>無</w:t>
      </w:r>
      <w:r>
        <w:rPr>
          <w:rFonts w:ascii="Arial" w:eastAsia="Arial" w:hAnsi="Arial" w:cs="Arial"/>
          <w:sz w:val="18"/>
        </w:rPr>
        <w:t xml:space="preserve"> </w:t>
      </w:r>
      <w:r>
        <w:rPr>
          <w:rFonts w:ascii="Arial" w:eastAsia="Arial" w:hAnsi="Arial" w:cs="Arial"/>
          <w:sz w:val="18"/>
        </w:rPr>
        <w:tab/>
        <w:t xml:space="preserve">0.05% </w:t>
      </w:r>
    </w:p>
    <w:p w:rsidR="004D6F0E" w:rsidRDefault="00490F21">
      <w:pPr>
        <w:spacing w:after="0" w:line="259" w:lineRule="auto"/>
        <w:ind w:left="0" w:firstLine="0"/>
      </w:pPr>
      <w:r>
        <w:rPr>
          <w:rFonts w:ascii="Arial" w:eastAsia="Arial" w:hAnsi="Arial" w:cs="Arial"/>
          <w:sz w:val="16"/>
        </w:rPr>
        <w:t xml:space="preserve"> </w:t>
      </w:r>
    </w:p>
    <w:p w:rsidR="004D6F0E" w:rsidRDefault="00490F21">
      <w:pPr>
        <w:ind w:left="-3" w:right="4564" w:hanging="10"/>
        <w:jc w:val="both"/>
      </w:pPr>
      <w:r>
        <w:rPr>
          <w:rFonts w:ascii="Arial" w:eastAsia="Arial" w:hAnsi="Arial" w:cs="Arial"/>
          <w:sz w:val="16"/>
        </w:rPr>
        <w:t xml:space="preserve">* </w:t>
      </w:r>
      <w:r>
        <w:rPr>
          <w:sz w:val="16"/>
        </w:rPr>
        <w:t>不適用於自動投資計劃（如有）。</w:t>
      </w:r>
      <w:r>
        <w:rPr>
          <w:rFonts w:ascii="Arial" w:eastAsia="Arial" w:hAnsi="Arial" w:cs="Arial"/>
          <w:sz w:val="16"/>
        </w:rPr>
        <w:t xml:space="preserve"> *** </w:t>
      </w:r>
      <w:r>
        <w:rPr>
          <w:sz w:val="16"/>
        </w:rPr>
        <w:t>各基金按季繳付的盧森堡年稅。</w:t>
      </w:r>
      <w:r>
        <w:rPr>
          <w:rFonts w:ascii="Arial" w:eastAsia="Arial" w:hAnsi="Arial" w:cs="Arial"/>
          <w:sz w:val="16"/>
        </w:rPr>
        <w:t xml:space="preserve"> ** </w:t>
      </w:r>
      <w:r>
        <w:rPr>
          <w:sz w:val="16"/>
        </w:rPr>
        <w:t>可由管理公司全權酌情豁免。</w:t>
      </w:r>
      <w:r>
        <w:rPr>
          <w:rFonts w:ascii="Arial" w:eastAsia="Arial" w:hAnsi="Arial" w:cs="Arial"/>
          <w:sz w:val="16"/>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6"/>
        </w:rPr>
        <w:t xml:space="preserve"> </w:t>
      </w:r>
    </w:p>
    <w:p w:rsidR="004D6F0E" w:rsidRDefault="00490F21">
      <w:pPr>
        <w:spacing w:after="73" w:line="259" w:lineRule="auto"/>
        <w:ind w:left="0" w:firstLine="0"/>
      </w:pPr>
      <w:r>
        <w:rPr>
          <w:rFonts w:ascii="Arial" w:eastAsia="Arial" w:hAnsi="Arial" w:cs="Arial"/>
          <w:sz w:val="16"/>
        </w:rPr>
        <w:t xml:space="preserve">   </w:t>
      </w:r>
    </w:p>
    <w:p w:rsidR="004D6F0E" w:rsidRDefault="00490F21">
      <w:pPr>
        <w:spacing w:after="1312" w:line="259" w:lineRule="auto"/>
        <w:ind w:left="0" w:firstLine="0"/>
      </w:pPr>
      <w:r>
        <w:rPr>
          <w:rFonts w:ascii="Arial" w:eastAsia="Arial" w:hAnsi="Arial" w:cs="Arial"/>
          <w:sz w:val="23"/>
        </w:rPr>
        <w:t xml:space="preserve"> </w:t>
      </w:r>
      <w:r>
        <w:rPr>
          <w:rFonts w:ascii="Arial" w:eastAsia="Arial" w:hAnsi="Arial" w:cs="Arial"/>
          <w:sz w:val="23"/>
        </w:rPr>
        <w:tab/>
        <w:t xml:space="preserve"> </w:t>
      </w:r>
    </w:p>
    <w:p w:rsidR="004D6F0E" w:rsidRDefault="00490F21">
      <w:pPr>
        <w:spacing w:after="0" w:line="259" w:lineRule="auto"/>
        <w:ind w:left="0" w:right="176" w:firstLine="0"/>
        <w:jc w:val="center"/>
      </w:pPr>
      <w:r>
        <w:rPr>
          <w:rFonts w:ascii="Times New Roman" w:eastAsia="Times New Roman" w:hAnsi="Times New Roman" w:cs="Times New Roman"/>
        </w:rPr>
        <w:t xml:space="preserve"> </w:t>
      </w:r>
    </w:p>
    <w:p w:rsidR="004D6F0E" w:rsidRDefault="00490F21">
      <w:pPr>
        <w:spacing w:after="67" w:line="259" w:lineRule="auto"/>
        <w:ind w:left="0" w:firstLine="0"/>
      </w:pPr>
      <w:r>
        <w:rPr>
          <w:rFonts w:ascii="Arial" w:eastAsia="Arial" w:hAnsi="Arial" w:cs="Arial"/>
          <w:b/>
          <w:sz w:val="12"/>
        </w:rPr>
        <w:t xml:space="preserve"> </w:t>
      </w:r>
    </w:p>
    <w:p w:rsidR="004D6F0E" w:rsidRDefault="00490F21">
      <w:pPr>
        <w:spacing w:after="3" w:line="259" w:lineRule="auto"/>
        <w:ind w:right="227" w:hanging="10"/>
        <w:jc w:val="center"/>
      </w:pPr>
      <w:r>
        <w:rPr>
          <w:rFonts w:ascii="Times New Roman" w:eastAsia="Times New Roman" w:hAnsi="Times New Roman" w:cs="Times New Roman"/>
          <w:sz w:val="20"/>
        </w:rPr>
        <w:t>I-89</w:t>
      </w:r>
      <w:r>
        <w:rPr>
          <w:rFonts w:ascii="Arial" w:eastAsia="Arial" w:hAnsi="Arial" w:cs="Arial"/>
          <w:sz w:val="12"/>
        </w:rPr>
        <w:t xml:space="preserve"> </w:t>
      </w:r>
    </w:p>
    <w:p w:rsidR="004D6F0E" w:rsidRDefault="00490F21">
      <w:pPr>
        <w:spacing w:after="0" w:line="259" w:lineRule="auto"/>
        <w:ind w:left="0" w:firstLine="0"/>
        <w:jc w:val="both"/>
      </w:pPr>
      <w:r>
        <w:rPr>
          <w:rFonts w:ascii="Times New Roman" w:eastAsia="Times New Roman" w:hAnsi="Times New Roman" w:cs="Times New Roman"/>
        </w:rPr>
        <w:t xml:space="preserve"> </w:t>
      </w:r>
    </w:p>
    <w:p w:rsidR="004D6F0E" w:rsidRDefault="004D6F0E">
      <w:pPr>
        <w:sectPr w:rsidR="004D6F0E">
          <w:headerReference w:type="even" r:id="rId253"/>
          <w:headerReference w:type="default" r:id="rId254"/>
          <w:footerReference w:type="even" r:id="rId255"/>
          <w:footerReference w:type="default" r:id="rId256"/>
          <w:headerReference w:type="first" r:id="rId257"/>
          <w:footerReference w:type="first" r:id="rId258"/>
          <w:pgSz w:w="12240" w:h="15840"/>
          <w:pgMar w:top="401" w:right="496" w:bottom="402" w:left="432" w:header="720" w:footer="720" w:gutter="0"/>
          <w:cols w:space="720"/>
          <w:titlePg/>
        </w:sectPr>
      </w:pPr>
    </w:p>
    <w:p w:rsidR="004D6F0E" w:rsidRDefault="00490F21">
      <w:pPr>
        <w:spacing w:after="0" w:line="259" w:lineRule="auto"/>
        <w:ind w:left="0" w:firstLine="0"/>
      </w:pPr>
      <w:r>
        <w:rPr>
          <w:sz w:val="18"/>
        </w:rPr>
        <w:t>聯博</w:t>
      </w:r>
      <w:r>
        <w:rPr>
          <w:sz w:val="18"/>
        </w:rPr>
        <w:t>－按揭收益基金</w:t>
      </w:r>
      <w:r>
        <w:rPr>
          <w:sz w:val="18"/>
        </w:rPr>
        <w:t xml:space="preserve"> </w:t>
      </w:r>
    </w:p>
    <w:p w:rsidR="004D6F0E" w:rsidRDefault="004D6F0E">
      <w:pPr>
        <w:sectPr w:rsidR="004D6F0E">
          <w:type w:val="continuous"/>
          <w:pgSz w:w="12240" w:h="15840"/>
          <w:pgMar w:top="401" w:right="720" w:bottom="1440" w:left="9900" w:header="720" w:footer="720" w:gutter="0"/>
          <w:cols w:space="720"/>
        </w:sectPr>
      </w:pPr>
    </w:p>
    <w:p w:rsidR="004D6F0E" w:rsidRDefault="00490F21">
      <w:pPr>
        <w:spacing w:after="38" w:line="259" w:lineRule="auto"/>
        <w:ind w:left="1" w:firstLine="0"/>
      </w:pPr>
      <w:r>
        <w:rPr>
          <w:rFonts w:ascii="Times New Roman" w:eastAsia="Times New Roman" w:hAnsi="Times New Roman" w:cs="Times New Roman"/>
          <w:sz w:val="18"/>
        </w:rPr>
        <w:t xml:space="preserve"> </w:t>
      </w:r>
    </w:p>
    <w:p w:rsidR="004D6F0E" w:rsidRDefault="00490F21">
      <w:pPr>
        <w:pStyle w:val="Heading3"/>
        <w:ind w:left="14"/>
      </w:pPr>
      <w:r>
        <w:t>其他基金資料</w:t>
      </w:r>
      <w:r>
        <w:rPr>
          <w:rFonts w:ascii="Arial" w:eastAsia="Arial" w:hAnsi="Arial" w:cs="Arial"/>
          <w:b/>
          <w:sz w:val="19"/>
        </w:rPr>
        <w:t xml:space="preserve"> </w:t>
      </w:r>
    </w:p>
    <w:p w:rsidR="004D6F0E" w:rsidRDefault="00490F21">
      <w:pPr>
        <w:spacing w:after="200"/>
        <w:ind w:left="11" w:right="2"/>
      </w:pPr>
      <w:r>
        <w:t>主要投資類別</w:t>
      </w:r>
      <w:r>
        <w:rPr>
          <w:rFonts w:ascii="Arial" w:eastAsia="Arial" w:hAnsi="Arial" w:cs="Arial"/>
        </w:rPr>
        <w:t xml:space="preserve"> </w:t>
      </w:r>
    </w:p>
    <w:p w:rsidR="004D6F0E" w:rsidRDefault="00490F21">
      <w:pPr>
        <w:spacing w:after="108"/>
        <w:ind w:left="11" w:right="242"/>
      </w:pPr>
      <w:r>
        <w:t>有關概述本基金所採用主要投資類別的圖表及本基金可投資的證券及其他工具的詳情，請參閱第</w:t>
      </w:r>
      <w:r>
        <w:t xml:space="preserve"> </w:t>
      </w:r>
      <w:r>
        <w:rPr>
          <w:rFonts w:ascii="Arial" w:eastAsia="Arial" w:hAnsi="Arial" w:cs="Arial"/>
        </w:rPr>
        <w:t xml:space="preserve">II </w:t>
      </w:r>
      <w:r>
        <w:t>部分的「投資類別」。本基金投資任何證券或工具的能力，須受本基金既定投資目標及政策與第</w:t>
      </w:r>
      <w:r>
        <w:t xml:space="preserve"> </w:t>
      </w:r>
      <w:r>
        <w:rPr>
          <w:rFonts w:ascii="Arial" w:eastAsia="Arial" w:hAnsi="Arial" w:cs="Arial"/>
        </w:rPr>
        <w:t xml:space="preserve">II </w:t>
      </w:r>
      <w:r>
        <w:t>部分附錄</w:t>
      </w:r>
      <w:r>
        <w:t xml:space="preserve"> </w:t>
      </w:r>
      <w:r>
        <w:rPr>
          <w:rFonts w:ascii="Arial" w:eastAsia="Arial" w:hAnsi="Arial" w:cs="Arial"/>
        </w:rPr>
        <w:t>A</w:t>
      </w:r>
      <w:r>
        <w:t>「投資限制」所載的限制規限。</w:t>
      </w:r>
      <w:r>
        <w:rPr>
          <w:rFonts w:ascii="Arial" w:eastAsia="Arial" w:hAnsi="Arial" w:cs="Arial"/>
        </w:rPr>
        <w:t xml:space="preserve"> </w:t>
      </w:r>
    </w:p>
    <w:p w:rsidR="004D6F0E" w:rsidRDefault="00490F21">
      <w:pPr>
        <w:spacing w:after="46"/>
        <w:ind w:left="11" w:right="2"/>
      </w:pPr>
      <w:r>
        <w:t>風險資料</w:t>
      </w:r>
      <w:r>
        <w:rPr>
          <w:rFonts w:ascii="Arial" w:eastAsia="Arial" w:hAnsi="Arial" w:cs="Arial"/>
        </w:rPr>
        <w:t xml:space="preserve"> </w:t>
      </w:r>
    </w:p>
    <w:p w:rsidR="004D6F0E" w:rsidRDefault="00490F21">
      <w:pPr>
        <w:spacing w:after="44" w:line="273" w:lineRule="auto"/>
        <w:ind w:left="14" w:right="431"/>
        <w:jc w:val="both"/>
      </w:pPr>
      <w:r>
        <w:t>本基金可能使用金融衍生工具。第</w:t>
      </w:r>
      <w:r>
        <w:t xml:space="preserve"> </w:t>
      </w:r>
      <w:r>
        <w:rPr>
          <w:rFonts w:ascii="Arial" w:eastAsia="Arial" w:hAnsi="Arial" w:cs="Arial"/>
        </w:rPr>
        <w:t xml:space="preserve">II </w:t>
      </w:r>
      <w:r>
        <w:t>部分附錄</w:t>
      </w:r>
      <w:r>
        <w:t xml:space="preserve"> </w:t>
      </w:r>
      <w:r>
        <w:rPr>
          <w:rFonts w:ascii="Arial" w:eastAsia="Arial" w:hAnsi="Arial" w:cs="Arial"/>
        </w:rPr>
        <w:t xml:space="preserve">A </w:t>
      </w:r>
      <w:r>
        <w:t>規定的第</w:t>
      </w:r>
      <w:r>
        <w:rPr>
          <w:rFonts w:ascii="Arial" w:eastAsia="Arial" w:hAnsi="Arial" w:cs="Arial"/>
        </w:rPr>
        <w:t>(9)</w:t>
      </w:r>
      <w:r>
        <w:t>至</w:t>
      </w:r>
      <w:r>
        <w:t xml:space="preserve"> </w:t>
      </w:r>
      <w:r>
        <w:rPr>
          <w:rFonts w:ascii="Arial" w:eastAsia="Arial" w:hAnsi="Arial" w:cs="Arial"/>
        </w:rPr>
        <w:t>(13)</w:t>
      </w:r>
      <w:r>
        <w:t>項投資限制不適用於本基金。本基金另將使用風險值</w:t>
      </w:r>
      <w:r>
        <w:rPr>
          <w:rFonts w:ascii="Arial" w:eastAsia="Arial" w:hAnsi="Arial" w:cs="Arial"/>
        </w:rPr>
        <w:t>(VaR)</w:t>
      </w:r>
      <w:r>
        <w:t>方法。有關</w:t>
      </w:r>
      <w:r>
        <w:t xml:space="preserve"> </w:t>
      </w:r>
      <w:r>
        <w:rPr>
          <w:rFonts w:ascii="Arial" w:eastAsia="Arial" w:hAnsi="Arial" w:cs="Arial"/>
        </w:rPr>
        <w:t xml:space="preserve">VaR </w:t>
      </w:r>
      <w:r>
        <w:t>方法的進一步詳情，請參閱「附錄</w:t>
      </w:r>
      <w:r>
        <w:t xml:space="preserve"> </w:t>
      </w:r>
      <w:r>
        <w:rPr>
          <w:rFonts w:ascii="Arial" w:eastAsia="Arial" w:hAnsi="Arial" w:cs="Arial"/>
        </w:rPr>
        <w:t>C</w:t>
      </w:r>
      <w:r>
        <w:t>：有關金融衍生工具、金融技術及工具以及抵押品管理的額外資料」。本基金將投資的固定收益</w:t>
      </w:r>
      <w:r>
        <w:t>證券須承受發售此等證券的私營及公營機構的信用風險，且其市場價值會受利率變動影響。本基金的固定收益證券投資通常將為投資級別或具相等質素</w:t>
      </w:r>
      <w:r>
        <w:t>。本基金不能保證會作出任何分派﹐而且本基金並無特定償還期。</w:t>
      </w:r>
      <w:r>
        <w:rPr>
          <w:rFonts w:ascii="Arial" w:eastAsia="Arial" w:hAnsi="Arial" w:cs="Arial"/>
          <w:sz w:val="24"/>
        </w:rPr>
        <w:t xml:space="preserve"> </w:t>
      </w:r>
    </w:p>
    <w:p w:rsidR="004D6F0E" w:rsidRDefault="00490F21">
      <w:pPr>
        <w:ind w:left="11" w:right="2"/>
      </w:pPr>
      <w:r>
        <w:t>本基金須承受市場、利率及貨幣波動及證券投資固有的其他風險。因此，不能保證投資目標將獲達致、投資資本將得以保全或資本得以增值。每月、每季或每年的投資業績均可能出現重大變化。</w:t>
      </w:r>
    </w:p>
    <w:p w:rsidR="004D6F0E" w:rsidRDefault="00490F21">
      <w:pPr>
        <w:spacing w:after="54"/>
        <w:ind w:left="11" w:right="2"/>
      </w:pPr>
      <w:r>
        <w:t>本基金內的投資並非代表完整的投資計劃。</w:t>
      </w:r>
      <w:r>
        <w:rPr>
          <w:rFonts w:ascii="Arial" w:eastAsia="Arial" w:hAnsi="Arial" w:cs="Arial"/>
          <w:sz w:val="24"/>
        </w:rPr>
        <w:t xml:space="preserve"> </w:t>
      </w:r>
    </w:p>
    <w:p w:rsidR="004D6F0E" w:rsidRDefault="00490F21">
      <w:pPr>
        <w:spacing w:after="108"/>
        <w:ind w:left="11" w:right="2"/>
      </w:pPr>
      <w:r>
        <w:t>有關概述本基金主要風險的圖表及適用於本基金的此等及其他風險的詳情，請參閱第</w:t>
      </w:r>
      <w:r>
        <w:t xml:space="preserve"> </w:t>
      </w:r>
      <w:r>
        <w:rPr>
          <w:rFonts w:ascii="Arial" w:eastAsia="Arial" w:hAnsi="Arial" w:cs="Arial"/>
        </w:rPr>
        <w:t xml:space="preserve">II </w:t>
      </w:r>
      <w:r>
        <w:t>部分的「風險因素」。</w:t>
      </w:r>
      <w:r>
        <w:rPr>
          <w:rFonts w:ascii="Arial" w:eastAsia="Arial" w:hAnsi="Arial" w:cs="Arial"/>
        </w:rPr>
        <w:t xml:space="preserve"> </w:t>
      </w:r>
    </w:p>
    <w:p w:rsidR="004D6F0E" w:rsidRDefault="00490F21">
      <w:pPr>
        <w:spacing w:after="41"/>
        <w:ind w:left="11" w:right="2"/>
      </w:pPr>
      <w:r>
        <w:t>典型投資者的資料</w:t>
      </w:r>
      <w:r>
        <w:rPr>
          <w:rFonts w:ascii="Arial" w:eastAsia="Arial" w:hAnsi="Arial" w:cs="Arial"/>
        </w:rPr>
        <w:t xml:space="preserve"> </w:t>
      </w:r>
    </w:p>
    <w:p w:rsidR="004D6F0E" w:rsidRDefault="00490F21">
      <w:pPr>
        <w:spacing w:after="58"/>
        <w:ind w:left="11" w:right="2"/>
      </w:pPr>
      <w:r>
        <w:t>本基金適合尋求按揭相關固定收益投資潛在收入且能承受較高風險的投資者。有關本基金的股份是否適合其投資需要，投資者敬請諮詢其獨立財務顧問。</w:t>
      </w:r>
      <w:r>
        <w:rPr>
          <w:rFonts w:ascii="Arial" w:eastAsia="Arial" w:hAnsi="Arial" w:cs="Arial"/>
          <w:sz w:val="24"/>
        </w:rPr>
        <w:t xml:space="preserve"> </w:t>
      </w:r>
    </w:p>
    <w:p w:rsidR="004D6F0E" w:rsidRDefault="00490F21">
      <w:pPr>
        <w:spacing w:after="51"/>
        <w:ind w:left="11" w:right="2"/>
      </w:pPr>
      <w:r>
        <w:t>派息</w:t>
      </w:r>
      <w:r>
        <w:rPr>
          <w:rFonts w:ascii="Arial" w:eastAsia="Arial" w:hAnsi="Arial" w:cs="Arial"/>
        </w:rPr>
        <w:t xml:space="preserve"> </w:t>
      </w:r>
    </w:p>
    <w:p w:rsidR="004D6F0E" w:rsidRDefault="00490F21">
      <w:pPr>
        <w:spacing w:after="106"/>
        <w:ind w:left="11" w:right="2"/>
      </w:pPr>
      <w:r>
        <w:lastRenderedPageBreak/>
        <w:t>就</w:t>
      </w:r>
      <w:r>
        <w:t xml:space="preserve"> </w:t>
      </w:r>
      <w:r>
        <w:rPr>
          <w:rFonts w:ascii="Arial" w:eastAsia="Arial" w:hAnsi="Arial" w:cs="Arial"/>
        </w:rPr>
        <w:t>A</w:t>
      </w:r>
      <w:r>
        <w:t>、</w:t>
      </w:r>
      <w:r>
        <w:rPr>
          <w:rFonts w:ascii="Arial" w:eastAsia="Arial" w:hAnsi="Arial" w:cs="Arial"/>
        </w:rPr>
        <w:t>AX</w:t>
      </w:r>
      <w:r>
        <w:t>、</w:t>
      </w:r>
      <w:r>
        <w:rPr>
          <w:rFonts w:ascii="Arial" w:eastAsia="Arial" w:hAnsi="Arial" w:cs="Arial"/>
        </w:rPr>
        <w:t>BX</w:t>
      </w:r>
      <w:r>
        <w:t>、</w:t>
      </w:r>
      <w:r>
        <w:rPr>
          <w:rFonts w:ascii="Arial" w:eastAsia="Arial" w:hAnsi="Arial" w:cs="Arial"/>
        </w:rPr>
        <w:t>C</w:t>
      </w:r>
      <w:r>
        <w:t>、</w:t>
      </w:r>
      <w:r>
        <w:rPr>
          <w:rFonts w:ascii="Arial" w:eastAsia="Arial" w:hAnsi="Arial" w:cs="Arial"/>
        </w:rPr>
        <w:t>C</w:t>
      </w:r>
      <w:r>
        <w:rPr>
          <w:rFonts w:ascii="Arial" w:eastAsia="Arial" w:hAnsi="Arial" w:cs="Arial"/>
        </w:rPr>
        <w:t>X</w:t>
      </w:r>
      <w:r>
        <w:t>、</w:t>
      </w:r>
      <w:r>
        <w:rPr>
          <w:rFonts w:ascii="Arial" w:eastAsia="Arial" w:hAnsi="Arial" w:cs="Arial"/>
        </w:rPr>
        <w:t>I</w:t>
      </w:r>
      <w:r>
        <w:t>、</w:t>
      </w:r>
      <w:r>
        <w:rPr>
          <w:rFonts w:ascii="Arial" w:eastAsia="Arial" w:hAnsi="Arial" w:cs="Arial"/>
        </w:rPr>
        <w:t>IX</w:t>
      </w:r>
      <w:r>
        <w:t>、</w:t>
      </w:r>
      <w:r>
        <w:rPr>
          <w:rFonts w:ascii="Arial" w:eastAsia="Arial" w:hAnsi="Arial" w:cs="Arial"/>
        </w:rPr>
        <w:t xml:space="preserve">S </w:t>
      </w:r>
      <w:r>
        <w:t>及</w:t>
      </w:r>
      <w:r>
        <w:t xml:space="preserve"> </w:t>
      </w:r>
      <w:r>
        <w:rPr>
          <w:rFonts w:ascii="Arial" w:eastAsia="Arial" w:hAnsi="Arial" w:cs="Arial"/>
        </w:rPr>
        <w:t xml:space="preserve">S1X </w:t>
      </w:r>
      <w:r>
        <w:t>類股份而言，管理公司擬按日宣派並按月派付股息，股息數額等於各類股份應佔本基金淨收入的全部或絕大部分。</w:t>
      </w:r>
      <w:r>
        <w:rPr>
          <w:rFonts w:ascii="Arial" w:eastAsia="Arial" w:hAnsi="Arial" w:cs="Arial"/>
        </w:rPr>
        <w:t xml:space="preserve"> </w:t>
      </w:r>
    </w:p>
    <w:p w:rsidR="004D6F0E" w:rsidRDefault="00490F21">
      <w:pPr>
        <w:spacing w:after="59"/>
        <w:ind w:left="11" w:right="2"/>
      </w:pPr>
      <w:r>
        <w:t>就</w:t>
      </w:r>
      <w:r>
        <w:t xml:space="preserve"> </w:t>
      </w:r>
      <w:r>
        <w:rPr>
          <w:rFonts w:ascii="Arial" w:eastAsia="Arial" w:hAnsi="Arial" w:cs="Arial"/>
        </w:rPr>
        <w:t>AT</w:t>
      </w:r>
      <w:r>
        <w:t>、</w:t>
      </w:r>
      <w:r>
        <w:rPr>
          <w:rFonts w:ascii="Arial" w:eastAsia="Arial" w:hAnsi="Arial" w:cs="Arial"/>
        </w:rPr>
        <w:t>ATX</w:t>
      </w:r>
      <w:r>
        <w:t>、</w:t>
      </w:r>
      <w:r>
        <w:rPr>
          <w:rFonts w:ascii="Arial" w:eastAsia="Arial" w:hAnsi="Arial" w:cs="Arial"/>
        </w:rPr>
        <w:t>IT</w:t>
      </w:r>
      <w:r>
        <w:t>、</w:t>
      </w:r>
      <w:r>
        <w:rPr>
          <w:rFonts w:ascii="Arial" w:eastAsia="Arial" w:hAnsi="Arial" w:cs="Arial"/>
        </w:rPr>
        <w:t xml:space="preserve"> NT </w:t>
      </w:r>
      <w:r>
        <w:t>及</w:t>
      </w:r>
      <w:r>
        <w:t xml:space="preserve"> </w:t>
      </w:r>
      <w:r>
        <w:rPr>
          <w:rFonts w:ascii="Arial" w:eastAsia="Arial" w:hAnsi="Arial" w:cs="Arial"/>
        </w:rPr>
        <w:t xml:space="preserve">ZT </w:t>
      </w:r>
      <w:r>
        <w:t>類股份而言，管理公司擬按月宣派並派付股息，股息數額等於各類股份應佔本基金淨收入的全部或絕大部分。</w:t>
      </w:r>
      <w:r>
        <w:rPr>
          <w:rFonts w:ascii="Arial" w:eastAsia="Arial" w:hAnsi="Arial" w:cs="Arial"/>
          <w:sz w:val="24"/>
        </w:rPr>
        <w:t xml:space="preserve"> </w:t>
      </w:r>
    </w:p>
    <w:p w:rsidR="004D6F0E" w:rsidRDefault="00490F21">
      <w:pPr>
        <w:spacing w:after="103"/>
        <w:ind w:left="11" w:right="2"/>
      </w:pPr>
      <w:r>
        <w:t>就</w:t>
      </w:r>
      <w:r>
        <w:t xml:space="preserve"> </w:t>
      </w:r>
      <w:r>
        <w:rPr>
          <w:rFonts w:ascii="Arial" w:eastAsia="Arial" w:hAnsi="Arial" w:cs="Arial"/>
        </w:rPr>
        <w:t>AA</w:t>
      </w:r>
      <w:r>
        <w:t>、</w:t>
      </w:r>
      <w:r>
        <w:rPr>
          <w:rFonts w:ascii="Arial" w:eastAsia="Arial" w:hAnsi="Arial" w:cs="Arial"/>
        </w:rPr>
        <w:t xml:space="preserve">EA </w:t>
      </w:r>
      <w:r>
        <w:t>及</w:t>
      </w:r>
      <w:r>
        <w:t xml:space="preserve"> </w:t>
      </w:r>
      <w:r>
        <w:rPr>
          <w:rFonts w:ascii="Arial" w:eastAsia="Arial" w:hAnsi="Arial" w:cs="Arial"/>
        </w:rPr>
        <w:t xml:space="preserve">SA </w:t>
      </w:r>
      <w:r>
        <w:t>類股份（及相應</w:t>
      </w:r>
      <w:r>
        <w:t xml:space="preserve"> </w:t>
      </w:r>
      <w:r>
        <w:rPr>
          <w:rFonts w:ascii="Arial" w:eastAsia="Arial" w:hAnsi="Arial" w:cs="Arial"/>
        </w:rPr>
        <w:t xml:space="preserve">H </w:t>
      </w:r>
      <w:r>
        <w:t>類股份）而言，管理公司擬按月宣派及派付股息。管理公司擬保持每股有關股份類別的穩定的派息率。就</w:t>
      </w:r>
      <w:r>
        <w:t xml:space="preserve"> </w:t>
      </w:r>
      <w:r>
        <w:rPr>
          <w:rFonts w:ascii="Arial" w:eastAsia="Arial" w:hAnsi="Arial" w:cs="Arial"/>
        </w:rPr>
        <w:t xml:space="preserve">AR </w:t>
      </w:r>
      <w:r>
        <w:t>類股份（及相應</w:t>
      </w:r>
      <w:r>
        <w:t xml:space="preserve"> </w:t>
      </w:r>
      <w:r>
        <w:rPr>
          <w:rFonts w:ascii="Arial" w:eastAsia="Arial" w:hAnsi="Arial" w:cs="Arial"/>
        </w:rPr>
        <w:t xml:space="preserve">H </w:t>
      </w:r>
      <w:r>
        <w:t>類股份）而言，管理公司擬</w:t>
      </w:r>
      <w:r>
        <w:rPr>
          <w:rFonts w:ascii="Arial" w:eastAsia="Arial" w:hAnsi="Arial" w:cs="Arial"/>
        </w:rPr>
        <w:t xml:space="preserve"> </w:t>
      </w:r>
    </w:p>
    <w:p w:rsidR="004D6F0E" w:rsidRDefault="00490F21">
      <w:pPr>
        <w:spacing w:after="3218" w:line="259" w:lineRule="auto"/>
        <w:ind w:left="1" w:firstLine="0"/>
      </w:pP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I-90 </w:t>
      </w:r>
    </w:p>
    <w:p w:rsidR="004D6F0E" w:rsidRDefault="00490F21">
      <w:pPr>
        <w:spacing w:after="41" w:line="259" w:lineRule="auto"/>
        <w:ind w:left="1" w:firstLine="0"/>
      </w:pPr>
      <w:r>
        <w:rPr>
          <w:rFonts w:ascii="Arial" w:eastAsia="Arial" w:hAnsi="Arial" w:cs="Arial"/>
          <w:sz w:val="12"/>
        </w:rPr>
        <w:t xml:space="preserve"> </w:t>
      </w:r>
    </w:p>
    <w:p w:rsidR="004D6F0E" w:rsidRDefault="00490F21">
      <w:pPr>
        <w:spacing w:after="0" w:line="259" w:lineRule="auto"/>
        <w:ind w:left="1" w:firstLine="0"/>
      </w:pPr>
      <w:r>
        <w:rPr>
          <w:rFonts w:ascii="Times New Roman" w:eastAsia="Times New Roman" w:hAnsi="Times New Roman" w:cs="Times New Roman"/>
          <w:sz w:val="18"/>
        </w:rPr>
        <w:t xml:space="preserve"> </w:t>
      </w:r>
    </w:p>
    <w:p w:rsidR="004D6F0E" w:rsidRDefault="00490F21">
      <w:pPr>
        <w:spacing w:after="0" w:line="368" w:lineRule="auto"/>
        <w:ind w:left="1" w:right="5089" w:firstLine="0"/>
      </w:pPr>
      <w:r>
        <w:rPr>
          <w:rFonts w:ascii="Arial" w:eastAsia="Arial" w:hAnsi="Arial" w:cs="Arial"/>
          <w:sz w:val="16"/>
        </w:rPr>
        <w:t xml:space="preserve">  </w:t>
      </w:r>
    </w:p>
    <w:p w:rsidR="004D6F0E" w:rsidRDefault="00490F21">
      <w:pPr>
        <w:spacing w:after="100"/>
        <w:ind w:left="11" w:right="2"/>
      </w:pPr>
      <w:r>
        <w:t>按年宣派及派付股息。派息率將來自未扣除費用及開支前的總收入，派息亦可包括已實現及未實現的收益及有關股份類別應佔的資本。由於費用及開支未令派息率降低，故每股有關類別股份的資產淨值將因有關費用及開支而降低。</w:t>
      </w:r>
      <w:r>
        <w:rPr>
          <w:rFonts w:ascii="Arial" w:eastAsia="Arial" w:hAnsi="Arial" w:cs="Arial"/>
        </w:rPr>
        <w:t xml:space="preserve"> </w:t>
      </w:r>
    </w:p>
    <w:p w:rsidR="004D6F0E" w:rsidRDefault="00490F21">
      <w:pPr>
        <w:spacing w:after="112"/>
        <w:ind w:left="11" w:right="2"/>
      </w:pPr>
      <w:r>
        <w:t>管理公司也可決定支付的股息是否包括或在多大程度上包括已實現資本收益及／或是否或在多大程度上從相關股份類別應佔的資本中支付。倘此等股份應佔的淨收入及淨實現利潤超出應付的已宣派數額，則超出的回報將於此等股份各自的資產淨值中反映。股息可按股東的選擇自動再投資。</w:t>
      </w:r>
      <w:r>
        <w:rPr>
          <w:rFonts w:ascii="Arial" w:eastAsia="Arial" w:hAnsi="Arial" w:cs="Arial"/>
        </w:rPr>
        <w:t xml:space="preserve"> </w:t>
      </w:r>
    </w:p>
    <w:p w:rsidR="004D6F0E" w:rsidRDefault="00490F21">
      <w:pPr>
        <w:spacing w:after="50" w:line="273" w:lineRule="auto"/>
        <w:ind w:left="14" w:right="41"/>
        <w:jc w:val="both"/>
      </w:pPr>
      <w:r>
        <w:t>就</w:t>
      </w:r>
      <w:r>
        <w:t xml:space="preserve"> </w:t>
      </w:r>
      <w:r>
        <w:rPr>
          <w:rFonts w:ascii="Arial" w:eastAsia="Arial" w:hAnsi="Arial" w:cs="Arial"/>
        </w:rPr>
        <w:t>A2</w:t>
      </w:r>
      <w:r>
        <w:t>、</w:t>
      </w:r>
      <w:r>
        <w:rPr>
          <w:rFonts w:ascii="Arial" w:eastAsia="Arial" w:hAnsi="Arial" w:cs="Arial"/>
        </w:rPr>
        <w:t>A2X</w:t>
      </w:r>
      <w:r>
        <w:t>、</w:t>
      </w:r>
      <w:r>
        <w:rPr>
          <w:rFonts w:ascii="Arial" w:eastAsia="Arial" w:hAnsi="Arial" w:cs="Arial"/>
        </w:rPr>
        <w:t>C2</w:t>
      </w:r>
      <w:r>
        <w:t>、</w:t>
      </w:r>
      <w:r>
        <w:rPr>
          <w:rFonts w:ascii="Arial" w:eastAsia="Arial" w:hAnsi="Arial" w:cs="Arial"/>
        </w:rPr>
        <w:t>C2X</w:t>
      </w:r>
      <w:r>
        <w:t>、</w:t>
      </w:r>
      <w:r>
        <w:rPr>
          <w:rFonts w:ascii="Arial" w:eastAsia="Arial" w:hAnsi="Arial" w:cs="Arial"/>
        </w:rPr>
        <w:t>I2</w:t>
      </w:r>
      <w:r>
        <w:t>、</w:t>
      </w:r>
      <w:r>
        <w:rPr>
          <w:rFonts w:ascii="Arial" w:eastAsia="Arial" w:hAnsi="Arial" w:cs="Arial"/>
        </w:rPr>
        <w:t>I2X</w:t>
      </w:r>
      <w:r>
        <w:t>、</w:t>
      </w:r>
      <w:r>
        <w:rPr>
          <w:rFonts w:ascii="Arial" w:eastAsia="Arial" w:hAnsi="Arial" w:cs="Arial"/>
        </w:rPr>
        <w:t>N</w:t>
      </w:r>
      <w:r>
        <w:rPr>
          <w:rFonts w:ascii="Arial" w:eastAsia="Arial" w:hAnsi="Arial" w:cs="Arial"/>
        </w:rPr>
        <w:t>2</w:t>
      </w:r>
      <w:r>
        <w:t>、</w:t>
      </w:r>
      <w:r>
        <w:rPr>
          <w:rFonts w:ascii="Arial" w:eastAsia="Arial" w:hAnsi="Arial" w:cs="Arial"/>
        </w:rPr>
        <w:t xml:space="preserve">S1 </w:t>
      </w:r>
      <w:r>
        <w:t>及</w:t>
      </w:r>
      <w:r>
        <w:t xml:space="preserve"> </w:t>
      </w:r>
      <w:r>
        <w:rPr>
          <w:rFonts w:ascii="Arial" w:eastAsia="Arial" w:hAnsi="Arial" w:cs="Arial"/>
        </w:rPr>
        <w:t xml:space="preserve">S2 </w:t>
      </w:r>
      <w:r>
        <w:t>類股份（及相應</w:t>
      </w:r>
      <w:r>
        <w:t xml:space="preserve"> </w:t>
      </w:r>
      <w:r>
        <w:rPr>
          <w:rFonts w:ascii="Arial" w:eastAsia="Arial" w:hAnsi="Arial" w:cs="Arial"/>
        </w:rPr>
        <w:t xml:space="preserve">H </w:t>
      </w:r>
      <w:r>
        <w:t>類股份）而言，管理公司現時無意就此等股份派付股息。因此，股份應佔的任何淨收入及淨實現利潤均將於此等股份各自的資產淨值中反映。</w:t>
      </w:r>
      <w:r>
        <w:rPr>
          <w:rFonts w:ascii="Arial" w:eastAsia="Arial" w:hAnsi="Arial" w:cs="Arial"/>
          <w:sz w:val="24"/>
        </w:rPr>
        <w:t xml:space="preserve"> </w:t>
      </w:r>
    </w:p>
    <w:p w:rsidR="004D6F0E" w:rsidRDefault="00490F21">
      <w:pPr>
        <w:spacing w:after="48"/>
        <w:ind w:left="11" w:right="2"/>
      </w:pPr>
      <w:r>
        <w:t>管理公司、行政管理人、存管人及過戶代理費用</w:t>
      </w:r>
      <w:r>
        <w:rPr>
          <w:rFonts w:ascii="Arial" w:eastAsia="Arial" w:hAnsi="Arial" w:cs="Arial"/>
        </w:rPr>
        <w:t xml:space="preserve"> </w:t>
      </w:r>
    </w:p>
    <w:p w:rsidR="004D6F0E" w:rsidRDefault="00490F21">
      <w:pPr>
        <w:spacing w:after="39" w:line="273" w:lineRule="auto"/>
        <w:ind w:left="14" w:right="41"/>
        <w:jc w:val="both"/>
      </w:pPr>
      <w:r>
        <w:t>就除</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S2</w:t>
      </w:r>
      <w:r>
        <w:t>、</w:t>
      </w:r>
      <w:r>
        <w:rPr>
          <w:rFonts w:ascii="Arial" w:eastAsia="Arial" w:hAnsi="Arial" w:cs="Arial"/>
        </w:rPr>
        <w:t xml:space="preserve">SA </w:t>
      </w:r>
      <w:r>
        <w:t>及</w:t>
      </w:r>
      <w:r>
        <w:t xml:space="preserve"> </w:t>
      </w:r>
      <w:r>
        <w:rPr>
          <w:rFonts w:ascii="Arial" w:eastAsia="Arial" w:hAnsi="Arial" w:cs="Arial"/>
        </w:rPr>
        <w:t xml:space="preserve">S1X </w:t>
      </w:r>
      <w:r>
        <w:t>類股份（及相應</w:t>
      </w:r>
      <w:r>
        <w:t xml:space="preserve"> </w:t>
      </w:r>
      <w:r>
        <w:rPr>
          <w:rFonts w:ascii="Arial" w:eastAsia="Arial" w:hAnsi="Arial" w:cs="Arial"/>
        </w:rPr>
        <w:t xml:space="preserve">H </w:t>
      </w:r>
      <w:r>
        <w:t>類股份）以外的所有股份而言，管理公司按此等股份應佔的總資產淨值自本基金資產獲付一項年費，數額為日均資產淨值的</w:t>
      </w:r>
      <w:r>
        <w:t xml:space="preserve"> </w:t>
      </w:r>
      <w:r>
        <w:rPr>
          <w:rFonts w:ascii="Arial" w:eastAsia="Arial" w:hAnsi="Arial" w:cs="Arial"/>
        </w:rPr>
        <w:t>0.05%</w:t>
      </w:r>
      <w:r>
        <w:t>。管理公司按</w:t>
      </w:r>
      <w:r>
        <w:t xml:space="preserve"> </w:t>
      </w:r>
      <w:r>
        <w:rPr>
          <w:rFonts w:ascii="Arial" w:eastAsia="Arial" w:hAnsi="Arial" w:cs="Arial"/>
        </w:rPr>
        <w:t>S</w:t>
      </w:r>
      <w:r>
        <w:t>、</w:t>
      </w:r>
      <w:r>
        <w:rPr>
          <w:rFonts w:ascii="Arial" w:eastAsia="Arial" w:hAnsi="Arial" w:cs="Arial"/>
        </w:rPr>
        <w:t>S1</w:t>
      </w:r>
      <w:r>
        <w:t>、</w:t>
      </w:r>
      <w:r>
        <w:rPr>
          <w:rFonts w:ascii="Arial" w:eastAsia="Arial" w:hAnsi="Arial" w:cs="Arial"/>
        </w:rPr>
        <w:t>S2</w:t>
      </w:r>
      <w:r>
        <w:t>、</w:t>
      </w:r>
      <w:r>
        <w:rPr>
          <w:rFonts w:ascii="Arial" w:eastAsia="Arial" w:hAnsi="Arial" w:cs="Arial"/>
        </w:rPr>
        <w:t xml:space="preserve">SA </w:t>
      </w:r>
      <w:r>
        <w:t>及</w:t>
      </w:r>
      <w:r>
        <w:t xml:space="preserve"> </w:t>
      </w:r>
      <w:r>
        <w:rPr>
          <w:rFonts w:ascii="Arial" w:eastAsia="Arial" w:hAnsi="Arial" w:cs="Arial"/>
        </w:rPr>
        <w:t xml:space="preserve">S1X </w:t>
      </w:r>
      <w:r>
        <w:t>類股份（及相應</w:t>
      </w:r>
      <w:r>
        <w:t xml:space="preserve"> </w:t>
      </w:r>
      <w:r>
        <w:rPr>
          <w:rFonts w:ascii="Arial" w:eastAsia="Arial" w:hAnsi="Arial" w:cs="Arial"/>
        </w:rPr>
        <w:t xml:space="preserve">H </w:t>
      </w:r>
      <w:r>
        <w:t>類股份）應佔的總資產淨值自本基金資產獲付一項年費，數額為</w:t>
      </w:r>
      <w:r>
        <w:t xml:space="preserve"> </w:t>
      </w:r>
      <w:r>
        <w:rPr>
          <w:rFonts w:ascii="Arial" w:eastAsia="Arial" w:hAnsi="Arial" w:cs="Arial"/>
        </w:rPr>
        <w:t xml:space="preserve">50,000 </w:t>
      </w:r>
      <w:r>
        <w:t>美元或日均資產淨值的</w:t>
      </w:r>
      <w:r>
        <w:t xml:space="preserve"> </w:t>
      </w:r>
      <w:r>
        <w:rPr>
          <w:rFonts w:ascii="Arial" w:eastAsia="Arial" w:hAnsi="Arial" w:cs="Arial"/>
        </w:rPr>
        <w:t>0.01%</w:t>
      </w:r>
      <w:r>
        <w:t>（以較低者為準）。由於管理公司費用乃由投資於</w:t>
      </w:r>
      <w:r>
        <w:t xml:space="preserve"> </w:t>
      </w:r>
      <w:r>
        <w:rPr>
          <w:rFonts w:ascii="Arial" w:eastAsia="Arial" w:hAnsi="Arial" w:cs="Arial"/>
        </w:rPr>
        <w:t xml:space="preserve">ZT </w:t>
      </w:r>
      <w:r>
        <w:t>類股份的聯博基金支付，故為避免重複收費，</w:t>
      </w:r>
      <w:r>
        <w:rPr>
          <w:rFonts w:ascii="Arial" w:eastAsia="Arial" w:hAnsi="Arial" w:cs="Arial"/>
        </w:rPr>
        <w:t xml:space="preserve">ZT </w:t>
      </w:r>
      <w:r>
        <w:t>類股份獲豁免支付管理公司費用。本基金的行政管理人費、存管人費及過戶代理費乃按盧森堡的一般慣例自本基金資產撥付，且不得超過認購章程第</w:t>
      </w:r>
      <w:r>
        <w:t xml:space="preserve"> </w:t>
      </w:r>
      <w:r>
        <w:rPr>
          <w:rFonts w:ascii="Arial" w:eastAsia="Arial" w:hAnsi="Arial" w:cs="Arial"/>
        </w:rPr>
        <w:t xml:space="preserve">II </w:t>
      </w:r>
      <w:r>
        <w:t>部分「行政管理人、存管人及過戶代理費用」所規定的固定最高金額。此等費用的增減是取決於本基金資產及交易量或其他原因。設立開支</w:t>
      </w:r>
      <w:r>
        <w:rPr>
          <w:rFonts w:ascii="Arial" w:eastAsia="Arial" w:hAnsi="Arial" w:cs="Arial"/>
        </w:rPr>
        <w:t xml:space="preserve"> </w:t>
      </w:r>
    </w:p>
    <w:p w:rsidR="004D6F0E" w:rsidRDefault="00490F21">
      <w:pPr>
        <w:spacing w:after="105"/>
        <w:ind w:left="11" w:right="2"/>
      </w:pPr>
      <w:r>
        <w:t>本基金並無未攤銷設立開支。</w:t>
      </w:r>
      <w:r>
        <w:rPr>
          <w:rFonts w:ascii="Arial" w:eastAsia="Arial" w:hAnsi="Arial" w:cs="Arial"/>
        </w:rPr>
        <w:t xml:space="preserve"> </w:t>
      </w:r>
    </w:p>
    <w:p w:rsidR="004D6F0E" w:rsidRDefault="00490F21">
      <w:pPr>
        <w:spacing w:after="41"/>
        <w:ind w:left="11" w:right="2"/>
      </w:pPr>
      <w:r>
        <w:t>過往表現</w:t>
      </w:r>
      <w:r>
        <w:rPr>
          <w:rFonts w:ascii="Arial" w:eastAsia="Arial" w:hAnsi="Arial" w:cs="Arial"/>
        </w:rPr>
        <w:t xml:space="preserve"> </w:t>
      </w:r>
    </w:p>
    <w:p w:rsidR="004D6F0E" w:rsidRDefault="00490F21">
      <w:pPr>
        <w:spacing w:after="100"/>
        <w:ind w:left="11" w:right="2"/>
      </w:pPr>
      <w:r>
        <w:t>有</w:t>
      </w:r>
      <w:r>
        <w:t xml:space="preserve"> </w:t>
      </w:r>
      <w:r>
        <w:t>關</w:t>
      </w:r>
      <w:r>
        <w:t xml:space="preserve"> </w:t>
      </w:r>
      <w:r>
        <w:t>本</w:t>
      </w:r>
      <w:r>
        <w:t xml:space="preserve"> </w:t>
      </w:r>
      <w:r>
        <w:t>基</w:t>
      </w:r>
      <w:r>
        <w:t xml:space="preserve"> </w:t>
      </w:r>
      <w:r>
        <w:t>金</w:t>
      </w:r>
      <w:r>
        <w:t xml:space="preserve"> </w:t>
      </w:r>
      <w:r>
        <w:t>過</w:t>
      </w:r>
      <w:r>
        <w:t xml:space="preserve"> </w:t>
      </w:r>
      <w:r>
        <w:t>往</w:t>
      </w:r>
      <w:r>
        <w:t xml:space="preserve"> </w:t>
      </w:r>
      <w:r>
        <w:t>表</w:t>
      </w:r>
      <w:r>
        <w:t xml:space="preserve"> </w:t>
      </w:r>
      <w:r>
        <w:t>現</w:t>
      </w:r>
      <w:r>
        <w:t xml:space="preserve"> </w:t>
      </w:r>
      <w:r>
        <w:t>的</w:t>
      </w:r>
      <w:r>
        <w:t xml:space="preserve"> </w:t>
      </w:r>
      <w:r>
        <w:t>資</w:t>
      </w:r>
      <w:r>
        <w:t xml:space="preserve"> </w:t>
      </w:r>
      <w:r>
        <w:t>料</w:t>
      </w:r>
      <w:r>
        <w:t xml:space="preserve"> </w:t>
      </w:r>
      <w:r>
        <w:t>可</w:t>
      </w:r>
      <w:r>
        <w:t xml:space="preserve"> </w:t>
      </w:r>
      <w:r>
        <w:t>瀏</w:t>
      </w:r>
      <w:r>
        <w:t xml:space="preserve"> </w:t>
      </w:r>
      <w:r>
        <w:t>覽</w:t>
      </w:r>
      <w:r>
        <w:t xml:space="preserve"> </w:t>
      </w:r>
      <w:hyperlink r:id="rId259">
        <w:r>
          <w:rPr>
            <w:rFonts w:ascii="Arial" w:eastAsia="Arial" w:hAnsi="Arial" w:cs="Arial"/>
            <w:color w:val="0000FF"/>
            <w:u w:val="single" w:color="0000FF"/>
          </w:rPr>
          <w:t>www.alliancebernstein.com</w:t>
        </w:r>
      </w:hyperlink>
      <w:hyperlink r:id="rId260">
        <w:r>
          <w:t>。</w:t>
        </w:r>
      </w:hyperlink>
      <w:r>
        <w:rPr>
          <w:rFonts w:ascii="Arial" w:eastAsia="Arial" w:hAnsi="Arial" w:cs="Arial"/>
        </w:rPr>
        <w:t xml:space="preserve"> </w:t>
      </w:r>
    </w:p>
    <w:p w:rsidR="004D6F0E" w:rsidRDefault="00490F21">
      <w:pPr>
        <w:spacing w:after="41"/>
        <w:ind w:left="11" w:right="2"/>
      </w:pPr>
      <w:r>
        <w:t>歷史</w:t>
      </w:r>
      <w:r>
        <w:rPr>
          <w:rFonts w:ascii="Arial" w:eastAsia="Arial" w:hAnsi="Arial" w:cs="Arial"/>
        </w:rPr>
        <w:t xml:space="preserve"> </w:t>
      </w:r>
    </w:p>
    <w:p w:rsidR="004D6F0E" w:rsidRDefault="00490F21">
      <w:pPr>
        <w:ind w:left="11" w:right="2"/>
      </w:pPr>
      <w:r>
        <w:t>本基金於一九九四年九月二十七日設立，為本傘子基金下的美元短期債券基金，後於二零一四年二月二十日易名為按揭收益基金。</w:t>
      </w:r>
      <w:r>
        <w:rPr>
          <w:rFonts w:ascii="Arial" w:eastAsia="Arial" w:hAnsi="Arial" w:cs="Arial"/>
          <w:sz w:val="24"/>
        </w:rPr>
        <w:t xml:space="preserve"> </w:t>
      </w:r>
    </w:p>
    <w:p w:rsidR="004D6F0E" w:rsidRDefault="004D6F0E">
      <w:pPr>
        <w:sectPr w:rsidR="004D6F0E">
          <w:type w:val="continuous"/>
          <w:pgSz w:w="12240" w:h="15840"/>
          <w:pgMar w:top="1440" w:right="626" w:bottom="1440" w:left="431" w:header="720" w:footer="720" w:gutter="0"/>
          <w:cols w:num="2" w:space="720" w:equalWidth="0">
            <w:col w:w="5760" w:space="288"/>
            <w:col w:w="5135"/>
          </w:cols>
        </w:sectPr>
      </w:pPr>
    </w:p>
    <w:p w:rsidR="004D6F0E" w:rsidRDefault="00490F21">
      <w:pPr>
        <w:spacing w:after="91" w:line="259" w:lineRule="auto"/>
        <w:ind w:left="0" w:firstLine="0"/>
      </w:pPr>
      <w:r>
        <w:rPr>
          <w:rFonts w:ascii="SimSun" w:eastAsia="SimSun" w:hAnsi="SimSun" w:cs="SimSun"/>
        </w:rPr>
        <w:lastRenderedPageBreak/>
        <w:t xml:space="preserve"> </w:t>
      </w:r>
    </w:p>
    <w:p w:rsidR="004D6F0E" w:rsidRDefault="00490F21">
      <w:pPr>
        <w:pStyle w:val="Heading2"/>
        <w:spacing w:after="143"/>
        <w:ind w:left="8"/>
      </w:pPr>
      <w:r>
        <w:t>第</w:t>
      </w:r>
      <w:r>
        <w:t xml:space="preserve"> </w:t>
      </w:r>
      <w:r>
        <w:rPr>
          <w:rFonts w:ascii="Arial" w:eastAsia="Arial" w:hAnsi="Arial" w:cs="Arial"/>
        </w:rPr>
        <w:t xml:space="preserve">II </w:t>
      </w:r>
      <w:r>
        <w:t>部分：核心資料</w:t>
      </w:r>
      <w:r>
        <w:rPr>
          <w:rFonts w:ascii="Arial" w:eastAsia="Arial" w:hAnsi="Arial" w:cs="Arial"/>
        </w:rPr>
        <w:t xml:space="preserve"> </w:t>
      </w:r>
    </w:p>
    <w:p w:rsidR="004D6F0E" w:rsidRDefault="00490F21">
      <w:pPr>
        <w:pStyle w:val="Heading3"/>
        <w:spacing w:after="150" w:line="257" w:lineRule="auto"/>
        <w:ind w:left="8"/>
      </w:pPr>
      <w:r>
        <w:rPr>
          <w:sz w:val="24"/>
        </w:rPr>
        <w:t>本傘子基金</w:t>
      </w:r>
      <w:r>
        <w:rPr>
          <w:rFonts w:ascii="Arial" w:eastAsia="Arial" w:hAnsi="Arial" w:cs="Arial"/>
        </w:rPr>
        <w:t xml:space="preserve"> </w:t>
      </w:r>
    </w:p>
    <w:p w:rsidR="004D6F0E" w:rsidRDefault="00490F21">
      <w:pPr>
        <w:spacing w:after="102" w:line="273" w:lineRule="auto"/>
        <w:ind w:left="14" w:right="41"/>
        <w:jc w:val="both"/>
      </w:pPr>
      <w:r>
        <w:rPr>
          <w:rFonts w:ascii="Arial" w:eastAsia="Arial" w:hAnsi="Arial" w:cs="Arial"/>
        </w:rPr>
        <w:t xml:space="preserve">AB FCP I </w:t>
      </w:r>
      <w:r>
        <w:t>乃根據盧森堡大公國法例組建及根據《二零一零年法律》第</w:t>
      </w:r>
      <w:r>
        <w:t xml:space="preserve"> </w:t>
      </w:r>
      <w:r>
        <w:rPr>
          <w:rFonts w:ascii="Arial" w:eastAsia="Arial" w:hAnsi="Arial" w:cs="Arial"/>
        </w:rPr>
        <w:t xml:space="preserve">I </w:t>
      </w:r>
      <w:r>
        <w:t>部分登記的互惠投資基金，作為其證券的非法團合資經營。本傘子基金已於盧森堡商業公司註冊處</w:t>
      </w:r>
      <w:r>
        <w:rPr>
          <w:rFonts w:ascii="Arial" w:eastAsia="Arial" w:hAnsi="Arial" w:cs="Arial"/>
        </w:rPr>
        <w:t>(</w:t>
      </w:r>
      <w:r>
        <w:rPr>
          <w:rFonts w:ascii="Arial" w:eastAsia="Arial" w:hAnsi="Arial" w:cs="Arial"/>
          <w:i/>
        </w:rPr>
        <w:t>Registre de Commerce et des Sociétés of Luxembourg</w:t>
      </w:r>
      <w:r>
        <w:rPr>
          <w:rFonts w:ascii="Arial" w:eastAsia="Arial" w:hAnsi="Arial" w:cs="Arial"/>
        </w:rPr>
        <w:t>)</w:t>
      </w:r>
      <w:r>
        <w:t>登記，登記號碼為</w:t>
      </w:r>
      <w:r>
        <w:t xml:space="preserve"> </w:t>
      </w:r>
      <w:r>
        <w:rPr>
          <w:rFonts w:ascii="Arial" w:eastAsia="Arial" w:hAnsi="Arial" w:cs="Arial"/>
        </w:rPr>
        <w:t xml:space="preserve">K </w:t>
      </w:r>
      <w:r>
        <w:rPr>
          <w:rFonts w:ascii="Arial" w:eastAsia="Arial" w:hAnsi="Arial" w:cs="Arial"/>
          <w:b/>
        </w:rPr>
        <w:t>217</w:t>
      </w:r>
      <w:r>
        <w:t>。根據</w:t>
      </w:r>
      <w:r>
        <w:t xml:space="preserve"> </w:t>
      </w:r>
      <w:r>
        <w:rPr>
          <w:rFonts w:ascii="Arial" w:eastAsia="Arial" w:hAnsi="Arial" w:cs="Arial"/>
        </w:rPr>
        <w:t xml:space="preserve">UCITS </w:t>
      </w:r>
      <w:r>
        <w:t>指令第</w:t>
      </w:r>
      <w:r>
        <w:t xml:space="preserve"> </w:t>
      </w:r>
      <w:r>
        <w:rPr>
          <w:rFonts w:ascii="Arial" w:eastAsia="Arial" w:hAnsi="Arial" w:cs="Arial"/>
        </w:rPr>
        <w:t>1(2)</w:t>
      </w:r>
      <w:r>
        <w:t>條的定義，本傘子基金取得</w:t>
      </w:r>
      <w:r>
        <w:t xml:space="preserve"> </w:t>
      </w:r>
      <w:r>
        <w:rPr>
          <w:rFonts w:ascii="Arial" w:eastAsia="Arial" w:hAnsi="Arial" w:cs="Arial"/>
        </w:rPr>
        <w:t xml:space="preserve">UCITS </w:t>
      </w:r>
      <w:r>
        <w:t>的資格。管理公司根據本傘子基金的管理條例（不時修訂）並為股東的利益而管理本傘子基金。請見「附加資料－管理條例」。本傘子基金的資產（包括各基金的資產）與管理公司的資產分開。本文所述由本傘子基金或基金實施的一切行動，均由管理公司或其代理人代表本傘子基金或有關基金實施。</w:t>
      </w:r>
      <w:r>
        <w:rPr>
          <w:rFonts w:ascii="Arial" w:eastAsia="Arial" w:hAnsi="Arial" w:cs="Arial"/>
        </w:rPr>
        <w:t xml:space="preserve"> </w:t>
      </w:r>
    </w:p>
    <w:p w:rsidR="004D6F0E" w:rsidRDefault="00490F21">
      <w:pPr>
        <w:spacing w:after="103"/>
        <w:ind w:left="11" w:right="2"/>
      </w:pPr>
      <w:r>
        <w:t>本傘子基金的結構形式為「傘子基金」，由各個別資產組別（每一組即為一個「基金」）構成。每個基金僅承擔各自的責任與支出，不承擔任何其他基金的責任。本傘子基金旗下各基金提供不同類別的股</w:t>
      </w:r>
      <w:r>
        <w:t>份。日後，本傘子基金或會發行一個或多個基金的其他類別股份或與新設立基金有關的其他類別股份。同類股份在派息及贖回方面享有同等權利。</w:t>
      </w:r>
      <w:r>
        <w:rPr>
          <w:rFonts w:ascii="Arial" w:eastAsia="Arial" w:hAnsi="Arial" w:cs="Arial"/>
        </w:rPr>
        <w:t xml:space="preserve"> </w:t>
      </w:r>
    </w:p>
    <w:p w:rsidR="004D6F0E" w:rsidRDefault="00490F21">
      <w:pPr>
        <w:spacing w:after="104"/>
        <w:ind w:left="11" w:right="2"/>
      </w:pPr>
      <w:r>
        <w:t>負責任投資</w:t>
      </w:r>
      <w:r>
        <w:rPr>
          <w:rFonts w:ascii="Arial" w:eastAsia="Arial" w:hAnsi="Arial" w:cs="Arial"/>
          <w:b/>
        </w:rPr>
        <w:t xml:space="preserve"> </w:t>
      </w:r>
    </w:p>
    <w:p w:rsidR="004D6F0E" w:rsidRDefault="00490F21">
      <w:pPr>
        <w:spacing w:after="98"/>
        <w:ind w:left="11" w:right="2"/>
      </w:pPr>
      <w:r>
        <w:t>管理公司的管理會認為必須透過提供帶來長期具競爭力表現的投資解決方案來照顧股東的利益。聯博集團對負責任投資的堅定承諾乃此責任不可或缺的一部分。負責任投資要求作出更知情的投資決定，應對</w:t>
      </w:r>
      <w:r>
        <w:rPr>
          <w:rFonts w:ascii="Arial" w:eastAsia="Arial" w:hAnsi="Arial" w:cs="Arial"/>
        </w:rPr>
        <w:t>ESG</w:t>
      </w:r>
      <w:r>
        <w:t>問題和難題，包括相關風險，以及影響基金中的公司造就出正面的結果。</w:t>
      </w:r>
      <w:r>
        <w:rPr>
          <w:rFonts w:ascii="Arial" w:eastAsia="Arial" w:hAnsi="Arial" w:cs="Arial"/>
        </w:rPr>
        <w:t xml:space="preserve">  </w:t>
      </w:r>
      <w:r>
        <w:t>有關基金如何具有可持續投資目標或推動環境及／或社會特徵的更多資料（如適用），請參閱「附錄</w:t>
      </w:r>
      <w:r>
        <w:rPr>
          <w:rFonts w:ascii="Arial" w:eastAsia="Arial" w:hAnsi="Arial" w:cs="Arial"/>
        </w:rPr>
        <w:t>E</w:t>
      </w:r>
      <w:r>
        <w:t>：</w:t>
      </w:r>
      <w:r>
        <w:rPr>
          <w:rFonts w:ascii="Arial" w:eastAsia="Arial" w:hAnsi="Arial" w:cs="Arial"/>
        </w:rPr>
        <w:t>SFDR</w:t>
      </w:r>
      <w:r>
        <w:t>訂約前披露」</w:t>
      </w:r>
      <w:r>
        <w:t>一節。</w:t>
      </w:r>
      <w:r>
        <w:rPr>
          <w:rFonts w:ascii="Arial" w:eastAsia="Arial" w:hAnsi="Arial" w:cs="Arial"/>
        </w:rPr>
        <w:t xml:space="preserve">  </w:t>
      </w:r>
    </w:p>
    <w:p w:rsidR="004D6F0E" w:rsidRDefault="00490F21">
      <w:pPr>
        <w:spacing w:after="81" w:line="259" w:lineRule="auto"/>
        <w:ind w:left="0" w:firstLine="0"/>
      </w:pP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D6F0E">
      <w:pPr>
        <w:sectPr w:rsidR="004D6F0E">
          <w:headerReference w:type="even" r:id="rId261"/>
          <w:headerReference w:type="default" r:id="rId262"/>
          <w:footerReference w:type="even" r:id="rId263"/>
          <w:footerReference w:type="default" r:id="rId264"/>
          <w:headerReference w:type="first" r:id="rId265"/>
          <w:footerReference w:type="first" r:id="rId266"/>
          <w:pgSz w:w="12240" w:h="15840"/>
          <w:pgMar w:top="1440" w:right="720" w:bottom="1440" w:left="432" w:header="745" w:footer="577" w:gutter="0"/>
          <w:pgNumType w:start="1"/>
          <w:cols w:num="2" w:space="720" w:equalWidth="0">
            <w:col w:w="5381" w:space="667"/>
            <w:col w:w="5040"/>
          </w:cols>
        </w:sectPr>
      </w:pPr>
    </w:p>
    <w:p w:rsidR="004D6F0E" w:rsidRDefault="00490F21">
      <w:pPr>
        <w:pStyle w:val="Heading4"/>
        <w:ind w:left="14"/>
      </w:pPr>
      <w:r>
        <w:lastRenderedPageBreak/>
        <w:t>如何購買股份</w:t>
      </w:r>
      <w:r>
        <w:rPr>
          <w:rFonts w:ascii="Arial" w:eastAsia="Arial" w:hAnsi="Arial" w:cs="Arial"/>
        </w:rPr>
        <w:t xml:space="preserve"> </w:t>
      </w:r>
    </w:p>
    <w:p w:rsidR="004D6F0E" w:rsidRDefault="004D6F0E">
      <w:pPr>
        <w:sectPr w:rsidR="004D6F0E">
          <w:headerReference w:type="even" r:id="rId267"/>
          <w:headerReference w:type="default" r:id="rId268"/>
          <w:footerReference w:type="even" r:id="rId269"/>
          <w:footerReference w:type="default" r:id="rId270"/>
          <w:headerReference w:type="first" r:id="rId271"/>
          <w:footerReference w:type="first" r:id="rId272"/>
          <w:pgSz w:w="12240" w:h="15840"/>
          <w:pgMar w:top="990" w:right="10426" w:bottom="1244" w:left="432" w:header="745" w:footer="577" w:gutter="0"/>
          <w:pgNumType w:start="1"/>
          <w:cols w:space="720"/>
        </w:sectPr>
      </w:pPr>
    </w:p>
    <w:p w:rsidR="004D6F0E" w:rsidRDefault="00490F21">
      <w:pPr>
        <w:spacing w:after="0" w:line="259" w:lineRule="auto"/>
        <w:ind w:left="0" w:firstLine="0"/>
        <w:jc w:val="both"/>
      </w:pPr>
      <w:r>
        <w:rPr>
          <w:rFonts w:ascii="SimSun" w:eastAsia="SimSun" w:hAnsi="SimSun" w:cs="SimSun"/>
          <w:sz w:val="20"/>
        </w:rPr>
        <w:t xml:space="preserve"> </w:t>
      </w:r>
    </w:p>
    <w:p w:rsidR="004D6F0E" w:rsidRDefault="004D6F0E">
      <w:pPr>
        <w:sectPr w:rsidR="004D6F0E">
          <w:type w:val="continuous"/>
          <w:pgSz w:w="12240" w:h="15840"/>
          <w:pgMar w:top="990" w:right="620" w:bottom="1244" w:left="11520" w:header="720" w:footer="720" w:gutter="0"/>
          <w:cols w:space="720"/>
        </w:sectPr>
      </w:pPr>
    </w:p>
    <w:p w:rsidR="004D6F0E" w:rsidRDefault="00490F21">
      <w:pPr>
        <w:spacing w:after="122"/>
        <w:ind w:left="105" w:right="2"/>
      </w:pPr>
      <w:r>
        <w:t>一般資料</w:t>
      </w:r>
      <w:r>
        <w:rPr>
          <w:rFonts w:ascii="Arial" w:eastAsia="Arial" w:hAnsi="Arial" w:cs="Arial"/>
        </w:rPr>
        <w:t xml:space="preserve"> </w:t>
      </w:r>
    </w:p>
    <w:p w:rsidR="004D6F0E" w:rsidRDefault="00490F21">
      <w:pPr>
        <w:spacing w:after="118"/>
        <w:ind w:left="105" w:right="2"/>
      </w:pPr>
      <w:r>
        <w:t>本傘子基金透過本文件發售第</w:t>
      </w:r>
      <w:r>
        <w:t xml:space="preserve"> </w:t>
      </w:r>
      <w:r>
        <w:rPr>
          <w:rFonts w:ascii="Arial" w:eastAsia="Arial" w:hAnsi="Arial" w:cs="Arial"/>
          <w:sz w:val="20"/>
        </w:rPr>
        <w:t xml:space="preserve">I </w:t>
      </w:r>
      <w:r>
        <w:t>部分「摘要資料」所述基金的各類股份。「摘要資料」訂明該等股份提呈供認購及贖回時所採用的一種及多種發售貨幣。因此，所提呈股份或會涉及不同銷售費及持續性分派費用及其他費用。此等另類銷售安排允許投資者在既定購買款額、投資者預期持有股份的時間及其他情況下，選擇</w:t>
      </w:r>
      <w:r>
        <w:t>最有利的購股方式。</w:t>
      </w:r>
      <w:r>
        <w:rPr>
          <w:rFonts w:ascii="Arial" w:eastAsia="Arial" w:hAnsi="Arial" w:cs="Arial"/>
        </w:rPr>
        <w:t xml:space="preserve"> </w:t>
      </w:r>
    </w:p>
    <w:p w:rsidR="004D6F0E" w:rsidRDefault="00490F21">
      <w:pPr>
        <w:spacing w:after="102" w:line="273" w:lineRule="auto"/>
        <w:ind w:left="105" w:right="245"/>
        <w:jc w:val="both"/>
      </w:pPr>
      <w:r>
        <w:t>最低首次投資、最低後續投資及最高投資（如有），將按第</w:t>
      </w:r>
      <w:r>
        <w:t xml:space="preserve"> </w:t>
      </w:r>
      <w:r>
        <w:rPr>
          <w:rFonts w:ascii="Arial" w:eastAsia="Arial" w:hAnsi="Arial" w:cs="Arial"/>
          <w:sz w:val="20"/>
        </w:rPr>
        <w:t xml:space="preserve">I </w:t>
      </w:r>
      <w:r>
        <w:t>部分「摘要資料」所示。就若干股份類別及若干投資者分類而言，最低首次投資及後續投資可予下調，而最高投資款額可由管理公司全權酌情豁免。此外，管理公司亦可全權酌情允許分銷商或交易商就任何股份類別設立不同的首次及後續投資下限。除發售貨幣外，本傘子基金目前不接受以其他貨幣付款。各類股份的發售價在管理公司的註冊辦事處可供查閱。代表本傘子基金的管理公司可以任何理由拒絕任何購買股份的指令。就此而言，本傘子基金，在看來有證據顯示購買（包括透過轉換</w:t>
      </w:r>
      <w:r>
        <w:t>）股份的行為屬為回應短期考慮因素而作出的頻繁購買及贖回時，可保留權利限制購買股份。見附錄</w:t>
      </w:r>
      <w:r>
        <w:t xml:space="preserve"> </w:t>
      </w:r>
      <w:r>
        <w:rPr>
          <w:rFonts w:ascii="Arial" w:eastAsia="Arial" w:hAnsi="Arial" w:cs="Arial"/>
        </w:rPr>
        <w:t>B</w:t>
      </w:r>
      <w:r>
        <w:t>「過度及短線交易的政策及程序」。管理公司可隨時酌情暫停、無限期終止或限制向在若干國家或地區居住或成立的投資者發行股份。必要時管理公司亦可禁止若干投資者購買股份，以保障全體股東及本傘子基金的利益。</w:t>
      </w:r>
      <w:r>
        <w:rPr>
          <w:rFonts w:ascii="Arial" w:eastAsia="Arial" w:hAnsi="Arial" w:cs="Arial"/>
        </w:rPr>
        <w:t xml:space="preserve"> </w:t>
      </w:r>
    </w:p>
    <w:p w:rsidR="004D6F0E" w:rsidRDefault="00490F21">
      <w:pPr>
        <w:spacing w:after="65"/>
        <w:ind w:left="105" w:right="2"/>
      </w:pPr>
      <w:r>
        <w:t>遵守打擊洗黑錢的規例</w:t>
      </w:r>
      <w:r>
        <w:rPr>
          <w:rFonts w:ascii="Arial" w:eastAsia="Arial" w:hAnsi="Arial" w:cs="Arial"/>
        </w:rPr>
        <w:t xml:space="preserve"> </w:t>
      </w:r>
    </w:p>
    <w:p w:rsidR="004D6F0E" w:rsidRDefault="00490F21">
      <w:pPr>
        <w:spacing w:after="1" w:line="273" w:lineRule="auto"/>
        <w:ind w:left="105" w:right="243"/>
        <w:jc w:val="both"/>
      </w:pPr>
      <w:r>
        <w:t>根據</w:t>
      </w:r>
      <w:r>
        <w:rPr>
          <w:rFonts w:ascii="Arial" w:eastAsia="Arial" w:hAnsi="Arial" w:cs="Arial"/>
        </w:rPr>
        <w:t>(i)</w:t>
      </w:r>
      <w:r>
        <w:t>國際規則，包括但不限於適用的財務行動特別組織</w:t>
      </w:r>
      <w:r>
        <w:rPr>
          <w:rFonts w:ascii="Arial" w:eastAsia="Arial" w:hAnsi="Arial" w:cs="Arial"/>
        </w:rPr>
        <w:t xml:space="preserve"> (FATF) </w:t>
      </w:r>
      <w:r>
        <w:t>打擊洗錢／反恐怖分子資金籌集（「</w:t>
      </w:r>
      <w:r>
        <w:rPr>
          <w:rFonts w:ascii="Arial" w:eastAsia="Arial" w:hAnsi="Arial" w:cs="Arial"/>
          <w:b/>
        </w:rPr>
        <w:t>AML</w:t>
      </w:r>
      <w:r>
        <w:t>／</w:t>
      </w:r>
      <w:r>
        <w:rPr>
          <w:rFonts w:ascii="Arial" w:eastAsia="Arial" w:hAnsi="Arial" w:cs="Arial"/>
          <w:b/>
        </w:rPr>
        <w:t>CTF</w:t>
      </w:r>
      <w:r>
        <w:t>」）標準，</w:t>
      </w:r>
      <w:r>
        <w:rPr>
          <w:rFonts w:ascii="Arial" w:eastAsia="Arial" w:hAnsi="Arial" w:cs="Arial"/>
        </w:rPr>
        <w:t>(ii)</w:t>
      </w:r>
      <w:r>
        <w:t>美國財政部海外資產控制辦公室（「</w:t>
      </w:r>
      <w:r>
        <w:rPr>
          <w:rFonts w:ascii="Arial" w:eastAsia="Arial" w:hAnsi="Arial" w:cs="Arial"/>
          <w:b/>
        </w:rPr>
        <w:t>OFAC</w:t>
      </w:r>
      <w:r>
        <w:t>」）的行政命令，及</w:t>
      </w:r>
      <w:r>
        <w:rPr>
          <w:rFonts w:ascii="Arial" w:eastAsia="Arial" w:hAnsi="Arial" w:cs="Arial"/>
        </w:rPr>
        <w:t xml:space="preserve">(iii) </w:t>
      </w:r>
      <w:r>
        <w:t>盧森堡法律及規例，包括但不限於二零零四年十一月十二日頒</w:t>
      </w:r>
      <w:r>
        <w:t>佈的有關打擊洗錢及恐怖分子資金籌集的法律（「盧森堡反洗黑錢法律」）、日期為二零一零年二月一日的大公國規例及二零一二年十二月十四日的盧森堡金融業監管委員會（</w:t>
      </w:r>
      <w:r>
        <w:rPr>
          <w:rFonts w:ascii="Arial" w:eastAsia="Arial" w:hAnsi="Arial" w:cs="Arial"/>
        </w:rPr>
        <w:t>CSSF</w:t>
      </w:r>
      <w:r>
        <w:t>）</w:t>
      </w:r>
      <w:r>
        <w:rPr>
          <w:rFonts w:ascii="Arial" w:eastAsia="Arial" w:hAnsi="Arial" w:cs="Arial"/>
        </w:rPr>
        <w:t xml:space="preserve">12-02 </w:t>
      </w:r>
      <w:r>
        <w:t>號規例，以及任何修訂或替代，金融行業所有專業人員均有義務防止利用集體投資計劃作洗錢及恐怖分子資金籌集。</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sz w:val="18"/>
        </w:rPr>
        <w:t xml:space="preserve"> </w:t>
      </w:r>
    </w:p>
    <w:p w:rsidR="004D6F0E" w:rsidRDefault="00490F21">
      <w:pPr>
        <w:ind w:left="105" w:right="2"/>
      </w:pPr>
      <w:r>
        <w:t>依據相關條文，管理公司或其任何受委人須（除其他義務以外）查明本傘子基金股份的法定擁有人及實益擁有人的身份。有關該核實所須的文件及資料須連同申</w:t>
      </w:r>
      <w:r>
        <w:t>請表格一併傳達。倘若蒐集的資料未達到管理公司要求，管理公司可能要求股東提供額外文件或資料。在任何情況下，管理公司可根據適用法律及監管規定隨時要求提供額外文件。</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sz w:val="18"/>
        </w:rPr>
        <w:t xml:space="preserve"> </w:t>
      </w:r>
    </w:p>
    <w:p w:rsidR="004D6F0E" w:rsidRDefault="00490F21">
      <w:pPr>
        <w:ind w:left="105" w:right="2"/>
      </w:pPr>
      <w:r>
        <w:t>提供予管理公司的資料僅出於打擊洗錢及反恐怖分子資金籌集合</w:t>
      </w:r>
    </w:p>
    <w:p w:rsidR="004D6F0E" w:rsidRDefault="00490F21">
      <w:pPr>
        <w:ind w:left="105" w:right="2"/>
      </w:pPr>
      <w:r>
        <w:t>規目的而收集與處理（請參閱資料保護部分）。</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sz w:val="18"/>
        </w:rPr>
        <w:t xml:space="preserve"> </w:t>
      </w:r>
    </w:p>
    <w:p w:rsidR="004D6F0E" w:rsidRDefault="00490F21">
      <w:pPr>
        <w:ind w:left="105" w:right="2"/>
      </w:pPr>
      <w:r>
        <w:t>倘若股東延遲或未能提供所需文件，本基金將不予發行股份或</w:t>
      </w:r>
      <w:r>
        <w:rPr>
          <w:rFonts w:ascii="Arial" w:eastAsia="Arial" w:hAnsi="Arial" w:cs="Arial"/>
        </w:rPr>
        <w:t xml:space="preserve">   </w:t>
      </w:r>
    </w:p>
    <w:p w:rsidR="004D6F0E" w:rsidRDefault="00490F21">
      <w:pPr>
        <w:ind w:left="105" w:right="2"/>
      </w:pPr>
      <w:r>
        <w:t>（如適用）對其作出分派。管理公司及其所委任的代理人概不就因申請人未有提供資料或未有提供完整資料而造成的延遲或未能進行股份發行或贖回承擔任何責任。</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sz w:val="18"/>
        </w:rPr>
        <w:t xml:space="preserve"> </w:t>
      </w:r>
    </w:p>
    <w:p w:rsidR="004D6F0E" w:rsidRDefault="00490F21">
      <w:pPr>
        <w:spacing w:after="2" w:line="273" w:lineRule="auto"/>
        <w:ind w:left="105" w:right="245"/>
        <w:jc w:val="both"/>
      </w:pPr>
      <w:r>
        <w:t>根據二零一九年一月十三日</w:t>
      </w:r>
      <w:r>
        <w:t>頒佈之法律的要求及受限於該法律所載之條件設立的實益擁有人名冊，股東須向管理公司或其任何受委人提供識別本傘子基金實益擁有人（定義見盧森堡</w:t>
      </w:r>
      <w:r>
        <w:t xml:space="preserve"> </w:t>
      </w:r>
      <w:r>
        <w:rPr>
          <w:rFonts w:ascii="Arial" w:eastAsia="Arial" w:hAnsi="Arial" w:cs="Arial"/>
        </w:rPr>
        <w:t xml:space="preserve">AML </w:t>
      </w:r>
      <w:r>
        <w:t>法律第</w:t>
      </w:r>
      <w:r>
        <w:t xml:space="preserve"> </w:t>
      </w:r>
      <w:r>
        <w:rPr>
          <w:rFonts w:ascii="Arial" w:eastAsia="Arial" w:hAnsi="Arial" w:cs="Arial"/>
        </w:rPr>
        <w:t>1(7)</w:t>
      </w:r>
      <w:r>
        <w:t>條）身份的任何必要資料。該等資料可能透過盧森堡</w:t>
      </w:r>
      <w:r>
        <w:lastRenderedPageBreak/>
        <w:t>實益擁有人名冊（「實益擁有人名冊」）面向公眾公佈並供其查閱。透過簽署本傘子基金的相關申請表格，各位股東確認，倘若由於股東或（如適用）其實益擁有人未能向管理公司或其任何代表提供任何必要的相關資料及支持文件，導致管理公司無法履行向實益擁有人名冊提供資料及文件的義務，須承擔盧森堡的刑事罰款。</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管理公司須確</w:t>
      </w:r>
      <w:r>
        <w:t>保根據盧森堡適用法律及規例，以基於風險的方法就本傘子基金的投資進行盡職調查。</w:t>
      </w:r>
      <w:r>
        <w:rPr>
          <w:rFonts w:ascii="Arial" w:eastAsia="Arial" w:hAnsi="Arial" w:cs="Arial"/>
          <w:b/>
        </w:rPr>
        <w:t xml:space="preserve"> </w:t>
      </w:r>
    </w:p>
    <w:p w:rsidR="004D6F0E" w:rsidRDefault="00490F21">
      <w:pPr>
        <w:spacing w:after="87" w:line="259" w:lineRule="auto"/>
        <w:ind w:left="0" w:firstLine="0"/>
      </w:pPr>
      <w:r>
        <w:rPr>
          <w:rFonts w:ascii="Arial" w:eastAsia="Arial" w:hAnsi="Arial" w:cs="Arial"/>
          <w:b/>
        </w:rPr>
        <w:t xml:space="preserve"> </w:t>
      </w:r>
    </w:p>
    <w:p w:rsidR="004D6F0E" w:rsidRDefault="00490F21">
      <w:pPr>
        <w:spacing w:after="63"/>
        <w:ind w:left="11" w:right="2"/>
      </w:pPr>
      <w:r>
        <w:t>購買股份</w:t>
      </w:r>
      <w:r>
        <w:rPr>
          <w:rFonts w:ascii="Arial" w:eastAsia="Arial" w:hAnsi="Arial" w:cs="Arial"/>
        </w:rPr>
        <w:t xml:space="preserve"> </w:t>
      </w:r>
    </w:p>
    <w:p w:rsidR="004D6F0E" w:rsidRDefault="00490F21">
      <w:pPr>
        <w:spacing w:after="100"/>
        <w:ind w:left="11" w:right="2"/>
      </w:pPr>
      <w:r>
        <w:t>股份將於任何營業日可供有關人士按股份各自的資產淨值（另加任何適用的銷售費）以發售貨幣購買。資產淨值將以基金貨幣計算，此外，以另一發售貨幣計算的資產淨值將按有關營業日的適用匯率換算釐定。計算資產淨值將釐定於各交易日的估值時間，即有關交易日下午</w:t>
      </w:r>
      <w:r>
        <w:t xml:space="preserve"> </w:t>
      </w:r>
      <w:r>
        <w:rPr>
          <w:rFonts w:ascii="Arial" w:eastAsia="Arial" w:hAnsi="Arial" w:cs="Arial"/>
        </w:rPr>
        <w:t>4:00</w:t>
      </w:r>
      <w:r>
        <w:t>（美國東部時間﹐除非在第</w:t>
      </w:r>
      <w:r>
        <w:t xml:space="preserve"> </w:t>
      </w:r>
      <w:r>
        <w:rPr>
          <w:rFonts w:ascii="Arial" w:eastAsia="Arial" w:hAnsi="Arial" w:cs="Arial"/>
        </w:rPr>
        <w:t xml:space="preserve">I </w:t>
      </w:r>
      <w:r>
        <w:t>部分就特定基金中有關部分中另有指明）。投資者的指示在存管人收到交收資金後方會獲接納，惟於特殊情况下，投資者已提供管理公司或分銷商可接納的書面承諾則除外，而該承諾使該投資者有責任在慣常期間悉數支付股款。管理公司或分銷商可全權酌情接納任</w:t>
      </w:r>
      <w:r>
        <w:t>何此等安排。每份指示均須指明付款時應採用的發售貨幣。倘付款以發售貨幣以外的貨幣作出，則指示在所接獲的款額獲兌換為基金貨幣並與有關申請對帳後方會獲接納。</w:t>
      </w:r>
      <w:r>
        <w:rPr>
          <w:rFonts w:ascii="Arial" w:eastAsia="Arial" w:hAnsi="Arial" w:cs="Arial"/>
        </w:rPr>
        <w:t xml:space="preserve"> </w:t>
      </w:r>
    </w:p>
    <w:p w:rsidR="004D6F0E" w:rsidRDefault="00490F21">
      <w:pPr>
        <w:spacing w:after="102"/>
        <w:ind w:left="11" w:right="2"/>
      </w:pPr>
      <w:r>
        <w:t>既定交易日的購買指示於當日接納，截止時間為該交易日的指示截止時間（美國東部時間下午</w:t>
      </w:r>
      <w:r>
        <w:t xml:space="preserve"> </w:t>
      </w:r>
      <w:r>
        <w:rPr>
          <w:rFonts w:ascii="Arial" w:eastAsia="Arial" w:hAnsi="Arial" w:cs="Arial"/>
        </w:rPr>
        <w:t>4:00</w:t>
      </w:r>
      <w:r>
        <w:t>，或按第</w:t>
      </w:r>
      <w:r>
        <w:t xml:space="preserve"> </w:t>
      </w:r>
      <w:r>
        <w:rPr>
          <w:rFonts w:ascii="Arial" w:eastAsia="Arial" w:hAnsi="Arial" w:cs="Arial"/>
        </w:rPr>
        <w:t xml:space="preserve">I </w:t>
      </w:r>
      <w:r>
        <w:t>部分中具體基金的相關說明）。管理公司或其代理於此時限內接獲並獲接納的有效及完整指示，會在交易日當日處理，即按有關類別股份截至該交易日估值時間的每股資產淨值以有關發售貨幣處理。於指示截止時間（美國東部時間下午</w:t>
      </w:r>
      <w:r>
        <w:t xml:space="preserve"> </w:t>
      </w:r>
      <w:r>
        <w:rPr>
          <w:rFonts w:ascii="Arial" w:eastAsia="Arial" w:hAnsi="Arial" w:cs="Arial"/>
        </w:rPr>
        <w:t>4:00</w:t>
      </w:r>
      <w:r>
        <w:t>，或按第</w:t>
      </w:r>
      <w:r>
        <w:t xml:space="preserve"> </w:t>
      </w:r>
      <w:r>
        <w:rPr>
          <w:rFonts w:ascii="Arial" w:eastAsia="Arial" w:hAnsi="Arial" w:cs="Arial"/>
        </w:rPr>
        <w:t xml:space="preserve">I </w:t>
      </w:r>
      <w:r>
        <w:t>部分中具體基金的相關說</w:t>
      </w:r>
      <w:r>
        <w:t>明）後接獲並獲接納的指示，於下個營業日按截至該營業日估值時間的適用資產淨值處理，在此情況下，有關購買、贖回或轉換要求的交易日將為該營業日。管理公司可酌情更改交易日、估值時間及上述指示截止時間，並指定其他交易日、估值時間及指示截止時間。管理公司將知會股東任何該等更改。倘</w:t>
      </w:r>
      <w:r>
        <w:t>管理公司已暫停或推遲釐定資產淨值（詳情載於「暫停發行、回購及轉換股份及計算資產淨值」），管理公司將採用於下個估值時間釐定的資產淨值。</w:t>
      </w:r>
      <w:r>
        <w:rPr>
          <w:rFonts w:ascii="Arial" w:eastAsia="Arial" w:hAnsi="Arial" w:cs="Arial"/>
        </w:rPr>
        <w:t xml:space="preserve"> </w:t>
      </w:r>
    </w:p>
    <w:p w:rsidR="004D6F0E" w:rsidRDefault="00490F21">
      <w:pPr>
        <w:spacing w:after="100"/>
        <w:ind w:left="11" w:right="2"/>
      </w:pPr>
      <w:r>
        <w:t>指示一般由分銷商或銷售交易商在接獲日期轉交管理公司，惟指示須在收到該指示的辦事處所不時設立的最後期限前由分銷</w:t>
      </w:r>
      <w:r>
        <w:t>商或交易商接獲。分銷商及任何交易商概不得留置買賣指示，以透過價格變動牟取私利。</w:t>
      </w:r>
      <w:r>
        <w:rPr>
          <w:rFonts w:ascii="Arial" w:eastAsia="Arial" w:hAnsi="Arial" w:cs="Arial"/>
        </w:rPr>
        <w:t xml:space="preserve"> </w:t>
      </w:r>
    </w:p>
    <w:p w:rsidR="004D6F0E" w:rsidRDefault="00490F21">
      <w:pPr>
        <w:spacing w:after="81"/>
        <w:ind w:left="11" w:right="2"/>
      </w:pPr>
      <w:r>
        <w:t>股份類別</w:t>
      </w:r>
      <w:r>
        <w:rPr>
          <w:rFonts w:ascii="Arial" w:eastAsia="Arial" w:hAnsi="Arial" w:cs="Arial"/>
        </w:rPr>
        <w:t xml:space="preserve"> </w:t>
      </w:r>
    </w:p>
    <w:p w:rsidR="004D6F0E" w:rsidRDefault="00490F21">
      <w:pPr>
        <w:spacing w:after="93"/>
        <w:ind w:left="11" w:right="2"/>
      </w:pPr>
      <w:r>
        <w:t>所發售股份的最高銷售費（如有）載於第</w:t>
      </w:r>
      <w:r>
        <w:t xml:space="preserve"> </w:t>
      </w:r>
      <w:r>
        <w:rPr>
          <w:rFonts w:ascii="Arial" w:eastAsia="Arial" w:hAnsi="Arial" w:cs="Arial"/>
          <w:sz w:val="20"/>
        </w:rPr>
        <w:t xml:space="preserve">I </w:t>
      </w:r>
      <w:r>
        <w:t>部分「摘要資料」。分銷商可向與其訂有協議的交易商轉付全部銷售收費。倘於股份發售所在的國家，當地法例或慣例要求或允許任何個別指示的銷售費低於「摘要資料」所示者，則分銷商可以較低銷售費出售股份，並可授權或要求交易商在該國境內以較低銷售費出售股份。分銷商亦可就若干股份類別收取一項分銷費，有關費用乃就有關股份類別應佔在本基金的綜合日均資產淨值總</w:t>
      </w:r>
      <w:r>
        <w:t>額，按「摘要資料」所示年度費率逐日累算，於每月月末支付。至於若干股份類別（如Ｂ類股份），就投資者由股份發行日起若干年內贖回股份的所得款項，將按基金中貨幣評估應收取的或有遞延銷售費，除非在第</w:t>
      </w:r>
      <w:r>
        <w:t xml:space="preserve"> </w:t>
      </w:r>
      <w:r>
        <w:rPr>
          <w:rFonts w:ascii="Arial" w:eastAsia="Arial" w:hAnsi="Arial" w:cs="Arial"/>
        </w:rPr>
        <w:t xml:space="preserve">I </w:t>
      </w:r>
      <w:r>
        <w:t>部分就特定基金的有關部分中另有規定。有關費用將按所贖回股份的現行資產淨值或原始成本（以較低者為準）計算，及（如適用）此後於各估值時間按適用的兌換率以發售貨幣列示。此外，源於再投資股息或資本收益分派的股份則不徵收任何費用。釐定或有遞延銷售費是否適用於贖回所得款項時，有關計算將以盡可能減低擬議收費費率的方式釐定，同時考慮</w:t>
      </w:r>
      <w:r>
        <w:t>到投資者要求贖回該類別股份時，將視為該投資者就所持有最長期的股份而提出。</w:t>
      </w:r>
      <w:r>
        <w:rPr>
          <w:rFonts w:ascii="Arial" w:eastAsia="Arial" w:hAnsi="Arial" w:cs="Arial"/>
        </w:rPr>
        <w:t xml:space="preserve"> </w:t>
      </w:r>
    </w:p>
    <w:p w:rsidR="004D6F0E" w:rsidRDefault="00490F21">
      <w:pPr>
        <w:spacing w:after="102"/>
        <w:ind w:left="105" w:right="2"/>
      </w:pPr>
      <w:r>
        <w:t>來自或有遞延銷售費的所得款項乃付予分銷商，全部或部分由分銷商用於支付其向本傘子基金提供有關的分銷相關服務（包括或有遞延銷售費），以及透過分銷商的銷售及營銷人員向股東提供服務的有關開支。收取或有遞延銷售費及分銷費的目的在於，為透過分銷商及交易商為分銷有關股份提供</w:t>
      </w:r>
      <w:r>
        <w:lastRenderedPageBreak/>
        <w:t>資金，從而避免在購買當時徵收銷售費。管理公司及分銷商保留權利修訂在若干司法管轄區適用的或有遞延銷售費安排。除非管理公司及分銷商同意，否則受或有遞延銷售費限制的股份可能不得以綜合</w:t>
      </w:r>
      <w:r>
        <w:t>帳戶安排持有。</w:t>
      </w:r>
      <w:r>
        <w:rPr>
          <w:rFonts w:ascii="Arial" w:eastAsia="Arial" w:hAnsi="Arial" w:cs="Arial"/>
        </w:rPr>
        <w:t xml:space="preserve"> </w:t>
      </w:r>
    </w:p>
    <w:p w:rsidR="004D6F0E" w:rsidRDefault="00490F21">
      <w:pPr>
        <w:spacing w:after="102"/>
        <w:ind w:left="105" w:right="2"/>
      </w:pPr>
      <w:r>
        <w:t>已發行的同類股份在贖回及分銷方面均享有同等權利。由於就各類股份徵收的費用不盡相同，特定基金內的各類股份的每股資產淨值可能互有差異。</w:t>
      </w:r>
      <w:r>
        <w:rPr>
          <w:rFonts w:ascii="Arial" w:eastAsia="Arial" w:hAnsi="Arial" w:cs="Arial"/>
        </w:rPr>
        <w:t xml:space="preserve"> </w:t>
      </w:r>
    </w:p>
    <w:p w:rsidR="004D6F0E" w:rsidRDefault="00490F21">
      <w:pPr>
        <w:spacing w:after="100"/>
        <w:ind w:left="105" w:right="2"/>
      </w:pPr>
      <w:r>
        <w:t>本傘子基金現時（且將來亦可能）就各基金提呈發售多類收費架構及認購要求不一的股份，以滿足若干類投資者的需求或符合若干司法管轄區的市場慣例或要求。本傘子基金保留僅提呈一類或多類股份供任何特定司法管轄區的投資者購買的權利。此外，本傘子基金或分銷商可採納適用於各類投資者或交易的標準，藉以允許或限制購買特定類別的股份。有意投資者應諮詢其財務顧問，以確定哪類股份在其所處</w:t>
      </w:r>
      <w:r>
        <w:t>的特定司法管轄區可供認購及最適合其投資需求。</w:t>
      </w:r>
      <w:r>
        <w:rPr>
          <w:rFonts w:ascii="Arial" w:eastAsia="Arial" w:hAnsi="Arial" w:cs="Arial"/>
        </w:rPr>
        <w:t xml:space="preserve"> </w:t>
      </w:r>
    </w:p>
    <w:p w:rsidR="004D6F0E" w:rsidRDefault="00490F21">
      <w:pPr>
        <w:spacing w:after="102" w:line="273" w:lineRule="auto"/>
        <w:ind w:left="105" w:right="41"/>
        <w:jc w:val="both"/>
      </w:pPr>
      <w:r>
        <w:t>股東謹請注意，本傘子基金獲授權不時增設及提呈發售現時認購章程內目前描述者以外的股份類別，惟於同一基金內須已存在同一類股份。有關新設股份類別將於認購章程下次更新中反映。有</w:t>
      </w:r>
      <w:r>
        <w:t xml:space="preserve"> </w:t>
      </w:r>
      <w:r>
        <w:t>關</w:t>
      </w:r>
      <w:r>
        <w:t xml:space="preserve"> </w:t>
      </w:r>
      <w:r>
        <w:t>可</w:t>
      </w:r>
      <w:r>
        <w:t xml:space="preserve"> </w:t>
      </w:r>
      <w:r>
        <w:t>供</w:t>
      </w:r>
      <w:r>
        <w:t xml:space="preserve"> </w:t>
      </w:r>
      <w:r>
        <w:t>投</w:t>
      </w:r>
      <w:r>
        <w:t xml:space="preserve"> </w:t>
      </w:r>
      <w:r>
        <w:t>資</w:t>
      </w:r>
      <w:r>
        <w:t xml:space="preserve"> </w:t>
      </w:r>
      <w:r>
        <w:t>股</w:t>
      </w:r>
      <w:r>
        <w:t xml:space="preserve"> </w:t>
      </w:r>
      <w:r>
        <w:t>份</w:t>
      </w:r>
      <w:r>
        <w:t xml:space="preserve"> </w:t>
      </w:r>
      <w:r>
        <w:t>類</w:t>
      </w:r>
      <w:r>
        <w:t xml:space="preserve"> </w:t>
      </w:r>
      <w:r>
        <w:t>別</w:t>
      </w:r>
      <w:r>
        <w:t xml:space="preserve"> </w:t>
      </w:r>
      <w:r>
        <w:t>的</w:t>
      </w:r>
      <w:r>
        <w:t xml:space="preserve"> </w:t>
      </w:r>
      <w:r>
        <w:t>完</w:t>
      </w:r>
      <w:r>
        <w:t xml:space="preserve"> </w:t>
      </w:r>
      <w:r>
        <w:t>整</w:t>
      </w:r>
      <w:r>
        <w:t xml:space="preserve"> </w:t>
      </w:r>
      <w:r>
        <w:t>清</w:t>
      </w:r>
      <w:r>
        <w:t xml:space="preserve"> </w:t>
      </w:r>
      <w:r>
        <w:t>單</w:t>
      </w:r>
      <w:r>
        <w:t xml:space="preserve"> </w:t>
      </w:r>
      <w:r>
        <w:t>，</w:t>
      </w:r>
      <w:r>
        <w:t xml:space="preserve"> </w:t>
      </w:r>
      <w:r>
        <w:t>可</w:t>
      </w:r>
      <w:r>
        <w:t xml:space="preserve"> </w:t>
      </w:r>
      <w:r>
        <w:t>從</w:t>
      </w:r>
      <w:r>
        <w:t xml:space="preserve"> </w:t>
      </w:r>
      <w:hyperlink r:id="rId273">
        <w:r>
          <w:rPr>
            <w:rFonts w:ascii="Arial" w:eastAsia="Arial" w:hAnsi="Arial" w:cs="Arial"/>
            <w:color w:val="0000FF"/>
            <w:u w:val="single" w:color="0000FF"/>
          </w:rPr>
          <w:t>www.alliancebernstein.com</w:t>
        </w:r>
      </w:hyperlink>
      <w:hyperlink r:id="rId274">
        <w:r>
          <w:rPr>
            <w:rFonts w:ascii="Arial" w:eastAsia="Arial" w:hAnsi="Arial" w:cs="Arial"/>
            <w:b/>
          </w:rPr>
          <w:t xml:space="preserve"> </w:t>
        </w:r>
      </w:hyperlink>
      <w:r>
        <w:t>獲取或向管理公司的註冊辦事處索取。</w:t>
      </w:r>
      <w:r>
        <w:rPr>
          <w:rFonts w:ascii="Arial" w:eastAsia="Arial" w:hAnsi="Arial" w:cs="Arial"/>
        </w:rPr>
        <w:t xml:space="preserve"> </w:t>
      </w:r>
    </w:p>
    <w:p w:rsidR="004D6F0E" w:rsidRDefault="00490F21">
      <w:pPr>
        <w:ind w:left="105" w:right="2"/>
      </w:pPr>
      <w:r>
        <w:t>附加股份類別資料</w:t>
      </w:r>
      <w:r>
        <w:rPr>
          <w:rFonts w:ascii="Arial" w:eastAsia="Arial" w:hAnsi="Arial" w:cs="Arial"/>
          <w:b/>
        </w:rPr>
        <w:t xml:space="preserve"> </w:t>
      </w:r>
    </w:p>
    <w:p w:rsidR="004D6F0E" w:rsidRDefault="00490F21">
      <w:pPr>
        <w:spacing w:after="1" w:line="259" w:lineRule="auto"/>
        <w:ind w:left="96" w:firstLine="0"/>
      </w:pPr>
      <w:r>
        <w:rPr>
          <w:rFonts w:ascii="Arial" w:eastAsia="Arial" w:hAnsi="Arial" w:cs="Arial"/>
          <w:sz w:val="18"/>
        </w:rPr>
        <w:t xml:space="preserve"> </w:t>
      </w:r>
    </w:p>
    <w:p w:rsidR="004D6F0E" w:rsidRDefault="00490F21">
      <w:pPr>
        <w:ind w:left="105" w:right="2"/>
      </w:pPr>
      <w:r>
        <w:rPr>
          <w:rFonts w:ascii="Arial" w:eastAsia="Arial" w:hAnsi="Arial" w:cs="Arial"/>
          <w:b/>
        </w:rPr>
        <w:t xml:space="preserve">A </w:t>
      </w:r>
      <w:r>
        <w:t>類股份</w:t>
      </w:r>
      <w:r>
        <w:rPr>
          <w:rFonts w:ascii="Arial" w:eastAsia="Arial" w:hAnsi="Arial" w:cs="Arial"/>
          <w:b/>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A </w:t>
      </w:r>
      <w:r>
        <w:t>類股份發售予由管理公司委任代表其客戶購入股份的特選交易商或分銷代理。</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A </w:t>
      </w:r>
      <w:r>
        <w:t>類股份所收取的部分費用可能用於支付交易商、分銷代理及／或平台之若干維護及／或行政類費用（如法律容許）。</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1" w:right="2"/>
      </w:pPr>
      <w:r>
        <w:rPr>
          <w:rFonts w:ascii="Arial" w:eastAsia="Arial" w:hAnsi="Arial" w:cs="Arial"/>
        </w:rPr>
        <w:t xml:space="preserve">A </w:t>
      </w:r>
      <w:r>
        <w:t>類股份可於歐盟分銷，惟</w:t>
      </w:r>
      <w:r>
        <w:rPr>
          <w:rFonts w:ascii="Arial" w:eastAsia="Arial" w:hAnsi="Arial" w:cs="Arial"/>
        </w:rPr>
        <w:t>(i)</w:t>
      </w:r>
      <w:r>
        <w:t>提供獨立意見（例如獨立財務投資顧問）或基金管理服務（例如全權委託投資管理人）的</w:t>
      </w:r>
      <w:r>
        <w:t xml:space="preserve"> </w:t>
      </w:r>
      <w:r>
        <w:rPr>
          <w:rFonts w:ascii="Arial" w:eastAsia="Arial" w:hAnsi="Arial" w:cs="Arial"/>
        </w:rPr>
        <w:t xml:space="preserve">MiFID </w:t>
      </w:r>
      <w:r>
        <w:t>分銷商或</w:t>
      </w:r>
      <w:r>
        <w:rPr>
          <w:rFonts w:ascii="Arial" w:eastAsia="Arial" w:hAnsi="Arial" w:cs="Arial"/>
        </w:rPr>
        <w:t>(ii)</w:t>
      </w:r>
      <w:r>
        <w:t>代表上述</w:t>
      </w:r>
      <w:r>
        <w:t xml:space="preserve"> </w:t>
      </w:r>
      <w:r>
        <w:rPr>
          <w:rFonts w:ascii="Arial" w:eastAsia="Arial" w:hAnsi="Arial" w:cs="Arial"/>
        </w:rPr>
        <w:t xml:space="preserve">MiFID </w:t>
      </w:r>
      <w:r>
        <w:t>分銷商行事的任何客戶除外</w:t>
      </w:r>
      <w:r>
        <w:t xml:space="preserve"> </w:t>
      </w:r>
      <w:r>
        <w:rPr>
          <w:rFonts w:ascii="Arial" w:eastAsia="Arial" w:hAnsi="Arial" w:cs="Arial"/>
          <w:vertAlign w:val="superscript"/>
        </w:rPr>
        <w:footnoteReference w:id="2"/>
      </w:r>
      <w:r>
        <w:t>。</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b/>
        </w:rPr>
        <w:t xml:space="preserve"> </w:t>
      </w:r>
    </w:p>
    <w:p w:rsidR="004D6F0E" w:rsidRDefault="00490F21">
      <w:pPr>
        <w:ind w:left="11" w:right="2"/>
      </w:pPr>
      <w:r>
        <w:rPr>
          <w:rFonts w:ascii="Arial" w:eastAsia="Arial" w:hAnsi="Arial" w:cs="Arial"/>
          <w:b/>
        </w:rPr>
        <w:t xml:space="preserve">C </w:t>
      </w:r>
      <w:r>
        <w:t>類股份</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C </w:t>
      </w:r>
      <w:r>
        <w:t>類股份發售予由管理公司委任代表其客戶購入股份的特選交易商或分銷代理。</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C </w:t>
      </w:r>
      <w:r>
        <w:t>類股份所收取的部分費用可能用於支付交易商、分銷代理及</w:t>
      </w:r>
    </w:p>
    <w:p w:rsidR="004D6F0E" w:rsidRDefault="00490F21">
      <w:pPr>
        <w:ind w:left="11" w:right="2"/>
      </w:pPr>
      <w:r>
        <w:t>／或平台之若干維護及／或行政類費用（如法律容許）。</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5" w:line="273" w:lineRule="auto"/>
        <w:ind w:left="14" w:right="41"/>
        <w:jc w:val="both"/>
      </w:pPr>
      <w:r>
        <w:rPr>
          <w:rFonts w:ascii="Arial" w:eastAsia="Arial" w:hAnsi="Arial" w:cs="Arial"/>
        </w:rPr>
        <w:t xml:space="preserve">C </w:t>
      </w:r>
      <w:r>
        <w:t>類股份可於歐盟分銷，惟</w:t>
      </w:r>
      <w:r>
        <w:rPr>
          <w:rFonts w:ascii="Arial" w:eastAsia="Arial" w:hAnsi="Arial" w:cs="Arial"/>
        </w:rPr>
        <w:t>(i)</w:t>
      </w:r>
      <w:r>
        <w:t>提供獨立意見（例如獨立財務投資顧問）或基金管理服務（例如全權委託投資管理人）的實體或</w:t>
      </w:r>
      <w:r>
        <w:rPr>
          <w:rFonts w:ascii="Arial" w:eastAsia="Arial" w:hAnsi="Arial" w:cs="Arial"/>
        </w:rPr>
        <w:t>(ii)</w:t>
      </w:r>
      <w:r>
        <w:t>代表上述實體行事的任何客戶除外</w:t>
      </w:r>
      <w:r>
        <w:t xml:space="preserve"> </w:t>
      </w:r>
      <w:r>
        <w:rPr>
          <w:rFonts w:ascii="Arial" w:eastAsia="Arial" w:hAnsi="Arial" w:cs="Arial"/>
          <w:vertAlign w:val="superscript"/>
        </w:rPr>
        <w:t>1</w:t>
      </w:r>
      <w:r>
        <w:t>。</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b/>
        </w:rPr>
        <w:t xml:space="preserve">F </w:t>
      </w:r>
      <w:r>
        <w:t>類股份</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F </w:t>
      </w:r>
      <w:r>
        <w:t>類股份發售予機構投資者。</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就於歐盟境內分銷而言，</w:t>
      </w:r>
      <w:r>
        <w:rPr>
          <w:rFonts w:ascii="Arial" w:eastAsia="Arial" w:hAnsi="Arial" w:cs="Arial"/>
        </w:rPr>
        <w:t xml:space="preserve">F </w:t>
      </w:r>
      <w:r>
        <w:t>類股份所收取費用的任何部分一概不得支付予交易商或分銷代理等第三方，惟維護及／或行政類費用（如法律容許）（包括支付予平台的款項）除外。因此，於歐盟境內，</w:t>
      </w:r>
      <w:r>
        <w:rPr>
          <w:rFonts w:ascii="Arial" w:eastAsia="Arial" w:hAnsi="Arial" w:cs="Arial"/>
        </w:rPr>
        <w:t xml:space="preserve">F </w:t>
      </w:r>
      <w:r>
        <w:lastRenderedPageBreak/>
        <w:t>類股份可提供予提供基金管理服務（例如全權委託投資管理人）的實體或代表上述實體行事的任何客戶。</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F </w:t>
      </w:r>
      <w:r>
        <w:t>類股份毋須繳付首次銷售費或</w:t>
      </w:r>
      <w:r>
        <w:t xml:space="preserve"> </w:t>
      </w:r>
      <w:r>
        <w:rPr>
          <w:rFonts w:ascii="Arial" w:eastAsia="Arial" w:hAnsi="Arial" w:cs="Arial"/>
        </w:rPr>
        <w:t>CDSC</w:t>
      </w:r>
      <w:r>
        <w:t>。</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b/>
        </w:rPr>
        <w:t xml:space="preserve">E </w:t>
      </w:r>
      <w:r>
        <w:t>類股份</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E </w:t>
      </w:r>
      <w:r>
        <w:t>類股份發售予由管理公司委任代表其客戶購入股份的特選交易商或分銷代理。</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E </w:t>
      </w:r>
      <w:r>
        <w:t>類股份所收取的部分費用可能用於支付交易商、分銷代理及</w:t>
      </w:r>
    </w:p>
    <w:p w:rsidR="004D6F0E" w:rsidRDefault="00490F21">
      <w:pPr>
        <w:ind w:left="11" w:right="2"/>
      </w:pPr>
      <w:r>
        <w:t>／或平台之若干維護及／或行政類費用（如法律容許）。</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E </w:t>
      </w:r>
      <w:r>
        <w:t>類股份毋須繳付首次銷售費。</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E </w:t>
      </w:r>
      <w:r>
        <w:t>類股份不可供在歐盟分銷。</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b/>
        </w:rPr>
        <w:t xml:space="preserve">I </w:t>
      </w:r>
      <w:r>
        <w:t>類股份</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I </w:t>
      </w:r>
      <w:r>
        <w:t>類股份發售予</w:t>
      </w:r>
      <w:r>
        <w:rPr>
          <w:rFonts w:ascii="Arial" w:eastAsia="Arial" w:hAnsi="Arial" w:cs="Arial"/>
        </w:rPr>
        <w:t>(i)</w:t>
      </w:r>
      <w:r>
        <w:t>透過與投資者設有獨立費用安排的交易商或分銷代理購入股份的零售及機構投資者；</w:t>
      </w:r>
      <w:r>
        <w:rPr>
          <w:rFonts w:ascii="Arial" w:eastAsia="Arial" w:hAnsi="Arial" w:cs="Arial"/>
        </w:rPr>
        <w:t>(ii)</w:t>
      </w:r>
      <w:r>
        <w:t>直接或代最終投資者購入股份並於產品層面評定該投資者的費用的產品結構；及</w:t>
      </w:r>
      <w:r>
        <w:rPr>
          <w:rFonts w:ascii="Arial" w:eastAsia="Arial" w:hAnsi="Arial" w:cs="Arial"/>
        </w:rPr>
        <w:t>(iii)</w:t>
      </w:r>
      <w:r>
        <w:t>管理公司酌情決定的其他投資者，而有關發售及／或出售於歐盟境外進行。</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就於歐盟境內分銷而言，管理公司所收取涉及</w:t>
      </w:r>
      <w:r>
        <w:t xml:space="preserve"> </w:t>
      </w:r>
      <w:r>
        <w:rPr>
          <w:rFonts w:ascii="Arial" w:eastAsia="Arial" w:hAnsi="Arial" w:cs="Arial"/>
        </w:rPr>
        <w:t xml:space="preserve">I </w:t>
      </w:r>
      <w:r>
        <w:t>類股份的費用的任何部分一概不得支付予交易商及／或分銷代理，惟維護及／或行政類費用（如法律容許）（包括支付予平台的款項）則作別論。因此，於歐盟境內，</w:t>
      </w:r>
      <w:r>
        <w:rPr>
          <w:rFonts w:ascii="Arial" w:eastAsia="Arial" w:hAnsi="Arial" w:cs="Arial"/>
        </w:rPr>
        <w:t xml:space="preserve">I </w:t>
      </w:r>
      <w:r>
        <w:t>類股份可供（或代）以下人士的客戶購入：</w:t>
      </w:r>
      <w:r>
        <w:rPr>
          <w:rFonts w:ascii="Arial" w:eastAsia="Arial" w:hAnsi="Arial" w:cs="Arial"/>
        </w:rPr>
        <w:t>(i)</w:t>
      </w:r>
      <w:r>
        <w:t>提供獨立意見（例如</w:t>
      </w:r>
      <w:r>
        <w:t>獨立財務投資顧問）或基金管理服務（例如全權委託投資管理人）的交易商及／或分銷代理；及</w:t>
      </w:r>
      <w:r>
        <w:rPr>
          <w:rFonts w:ascii="Arial" w:eastAsia="Arial" w:hAnsi="Arial" w:cs="Arial"/>
        </w:rPr>
        <w:t>(ii)</w:t>
      </w:r>
      <w:r>
        <w:t>代其客戶購入</w:t>
      </w:r>
      <w:r>
        <w:t xml:space="preserve"> </w:t>
      </w:r>
      <w:r>
        <w:rPr>
          <w:rFonts w:ascii="Arial" w:eastAsia="Arial" w:hAnsi="Arial" w:cs="Arial"/>
        </w:rPr>
        <w:t xml:space="preserve">I </w:t>
      </w:r>
      <w:r>
        <w:t>類股份的交易商及／或分銷代理，且與其客戶的安排或適用法律禁止有關交易商</w:t>
      </w:r>
      <w:r>
        <w:t>及／或分銷代理留存來自第三方的任何款項。</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b/>
        </w:rPr>
        <w:t xml:space="preserve">L </w:t>
      </w:r>
      <w:r>
        <w:t>類股份</w:t>
      </w:r>
      <w:r>
        <w:rPr>
          <w:rFonts w:ascii="Arial" w:eastAsia="Arial" w:hAnsi="Arial" w:cs="Arial"/>
          <w:b/>
        </w:rPr>
        <w:t xml:space="preserve"> </w:t>
      </w:r>
    </w:p>
    <w:p w:rsidR="004D6F0E" w:rsidRDefault="00490F21">
      <w:pPr>
        <w:spacing w:after="0" w:line="259" w:lineRule="auto"/>
        <w:ind w:left="96" w:firstLine="0"/>
      </w:pPr>
      <w:r>
        <w:rPr>
          <w:rFonts w:ascii="Arial" w:eastAsia="Arial" w:hAnsi="Arial" w:cs="Arial"/>
          <w:b/>
        </w:rPr>
        <w:t xml:space="preserve"> </w:t>
      </w:r>
    </w:p>
    <w:p w:rsidR="004D6F0E" w:rsidRDefault="00490F21">
      <w:pPr>
        <w:ind w:left="105" w:right="2"/>
      </w:pPr>
      <w:r>
        <w:rPr>
          <w:rFonts w:ascii="Arial" w:eastAsia="Arial" w:hAnsi="Arial" w:cs="Arial"/>
        </w:rPr>
        <w:t xml:space="preserve">L </w:t>
      </w:r>
      <w:r>
        <w:t>類股份發售予由管理公司委任代表其客戶購入股份的特選交易商或分銷代理。</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L </w:t>
      </w:r>
      <w:r>
        <w:t>類股份所收取的部分費用可能用於支付交易商、分銷代理及／</w:t>
      </w:r>
    </w:p>
    <w:p w:rsidR="004D6F0E" w:rsidRDefault="00490F21">
      <w:pPr>
        <w:ind w:left="105" w:right="2"/>
      </w:pPr>
      <w:r>
        <w:t>或平台之若干維護及／或行政類費用（如法律容許）。</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spacing w:after="8" w:line="273" w:lineRule="auto"/>
        <w:ind w:left="105" w:right="41"/>
        <w:jc w:val="both"/>
      </w:pPr>
      <w:r>
        <w:rPr>
          <w:rFonts w:ascii="Arial" w:eastAsia="Arial" w:hAnsi="Arial" w:cs="Arial"/>
        </w:rPr>
        <w:t xml:space="preserve">L </w:t>
      </w:r>
      <w:r>
        <w:t>類股份可於歐盟分銷，惟</w:t>
      </w:r>
      <w:r>
        <w:rPr>
          <w:rFonts w:ascii="Arial" w:eastAsia="Arial" w:hAnsi="Arial" w:cs="Arial"/>
        </w:rPr>
        <w:t>(i)</w:t>
      </w:r>
      <w:r>
        <w:t>提供獨立意見（例如獨立財務投資顧問）或基金管理服務（例如全權委託投資管理人）的</w:t>
      </w:r>
      <w:r>
        <w:t xml:space="preserve"> </w:t>
      </w:r>
      <w:r>
        <w:rPr>
          <w:rFonts w:ascii="Arial" w:eastAsia="Arial" w:hAnsi="Arial" w:cs="Arial"/>
        </w:rPr>
        <w:t xml:space="preserve">MiFID </w:t>
      </w:r>
      <w:r>
        <w:t>分銷商或</w:t>
      </w:r>
      <w:r>
        <w:rPr>
          <w:rFonts w:ascii="Arial" w:eastAsia="Arial" w:hAnsi="Arial" w:cs="Arial"/>
        </w:rPr>
        <w:t>(ii)</w:t>
      </w:r>
      <w:r>
        <w:t>代表上述</w:t>
      </w:r>
      <w:r>
        <w:t xml:space="preserve"> </w:t>
      </w:r>
      <w:r>
        <w:rPr>
          <w:rFonts w:ascii="Arial" w:eastAsia="Arial" w:hAnsi="Arial" w:cs="Arial"/>
        </w:rPr>
        <w:t xml:space="preserve">MiFID </w:t>
      </w:r>
      <w:r>
        <w:t>分銷商行事的任何客戶除外</w:t>
      </w:r>
      <w:r>
        <w:t xml:space="preserve"> </w:t>
      </w:r>
      <w:r>
        <w:rPr>
          <w:rFonts w:ascii="Arial" w:eastAsia="Arial" w:hAnsi="Arial" w:cs="Arial"/>
          <w:vertAlign w:val="superscript"/>
        </w:rPr>
        <w:footnoteReference w:id="3"/>
      </w:r>
      <w:r>
        <w:t>。</w:t>
      </w:r>
      <w:r>
        <w:rPr>
          <w:rFonts w:ascii="Arial" w:eastAsia="Arial" w:hAnsi="Arial" w:cs="Arial"/>
        </w:rPr>
        <w:t xml:space="preserve"> </w:t>
      </w:r>
    </w:p>
    <w:p w:rsidR="004D6F0E" w:rsidRDefault="00490F21">
      <w:pPr>
        <w:spacing w:after="1" w:line="259" w:lineRule="auto"/>
        <w:ind w:left="96" w:firstLine="0"/>
      </w:pPr>
      <w:r>
        <w:rPr>
          <w:rFonts w:ascii="Arial" w:eastAsia="Arial" w:hAnsi="Arial" w:cs="Arial"/>
          <w:sz w:val="18"/>
        </w:rPr>
        <w:t xml:space="preserve"> </w:t>
      </w:r>
    </w:p>
    <w:p w:rsidR="004D6F0E" w:rsidRDefault="00490F21">
      <w:pPr>
        <w:ind w:left="105" w:right="2"/>
      </w:pPr>
      <w:r>
        <w:rPr>
          <w:rFonts w:ascii="Arial" w:eastAsia="Arial" w:hAnsi="Arial" w:cs="Arial"/>
          <w:b/>
        </w:rPr>
        <w:t xml:space="preserve">N </w:t>
      </w:r>
      <w:r>
        <w:t>類股份</w:t>
      </w:r>
      <w:r>
        <w:rPr>
          <w:rFonts w:ascii="Arial" w:eastAsia="Arial" w:hAnsi="Arial" w:cs="Arial"/>
          <w:b/>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N </w:t>
      </w:r>
      <w:r>
        <w:t>類股份發售予由管理公司委任代其客戶購入股份的特選交易商或分銷代理。</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N </w:t>
      </w:r>
      <w:r>
        <w:t>類股份所收取的部分費用可能用於支付交易商、分銷代理及／或平台之若干維護及／或行政類費用（如法律容許）。</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lastRenderedPageBreak/>
        <w:t xml:space="preserve"> </w:t>
      </w:r>
    </w:p>
    <w:p w:rsidR="004D6F0E" w:rsidRDefault="00490F21">
      <w:pPr>
        <w:ind w:left="105" w:right="2"/>
      </w:pPr>
      <w:r>
        <w:rPr>
          <w:rFonts w:ascii="Arial" w:eastAsia="Arial" w:hAnsi="Arial" w:cs="Arial"/>
        </w:rPr>
        <w:t xml:space="preserve">N </w:t>
      </w:r>
      <w:r>
        <w:t>類股份可於歐盟分銷，惟</w:t>
      </w:r>
      <w:r>
        <w:rPr>
          <w:rFonts w:ascii="Arial" w:eastAsia="Arial" w:hAnsi="Arial" w:cs="Arial"/>
        </w:rPr>
        <w:t>(i)</w:t>
      </w:r>
      <w:r>
        <w:t>提供獨立意見（例如獨立財務投資顧問）或基金管理服務（例如全權委託投資管理人）的實體或</w:t>
      </w:r>
      <w:r>
        <w:rPr>
          <w:rFonts w:ascii="Arial" w:eastAsia="Arial" w:hAnsi="Arial" w:cs="Arial"/>
        </w:rPr>
        <w:t>(ii)</w:t>
      </w:r>
    </w:p>
    <w:p w:rsidR="004D6F0E" w:rsidRDefault="00490F21">
      <w:pPr>
        <w:ind w:left="105" w:right="2"/>
      </w:pPr>
      <w:r>
        <w:t>代表上述實體行事的任何客戶除外</w:t>
      </w:r>
      <w:r>
        <w:t xml:space="preserve"> </w:t>
      </w:r>
      <w:r>
        <w:rPr>
          <w:rFonts w:ascii="Arial" w:eastAsia="Arial" w:hAnsi="Arial" w:cs="Arial"/>
          <w:vertAlign w:val="superscript"/>
        </w:rPr>
        <w:t>1</w:t>
      </w:r>
      <w:r>
        <w:t>。</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b/>
        </w:rPr>
        <w:t xml:space="preserve">S </w:t>
      </w:r>
      <w:r>
        <w:t>類股份</w:t>
      </w:r>
      <w:r>
        <w:rPr>
          <w:rFonts w:ascii="Arial" w:eastAsia="Arial" w:hAnsi="Arial" w:cs="Arial"/>
          <w:b/>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S </w:t>
      </w:r>
      <w:r>
        <w:t>類股份發售予已與管理公司訂立協議並分開收取投資管理費的機構投資者。</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t>就於歐盟境內分銷而言，</w:t>
      </w:r>
      <w:r>
        <w:rPr>
          <w:rFonts w:ascii="Arial" w:eastAsia="Arial" w:hAnsi="Arial" w:cs="Arial"/>
        </w:rPr>
        <w:t xml:space="preserve">S </w:t>
      </w:r>
      <w:r>
        <w:t>類股份所收取費用的任何部分一概不得支付予交易商或分銷代理等第三方，惟維護及／或行政類費用（如法律容許）（包括支付予平台的款項）除外。因此，於歐盟境內，</w:t>
      </w:r>
      <w:r>
        <w:rPr>
          <w:rFonts w:ascii="Arial" w:eastAsia="Arial" w:hAnsi="Arial" w:cs="Arial"/>
        </w:rPr>
        <w:t xml:space="preserve">S </w:t>
      </w:r>
      <w:r>
        <w:t>類股份可提供予提供基金管理服務（例如全權委託投資管理人）的實體或代表上述實體行事的任何客戶。</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sz w:val="18"/>
        </w:rPr>
        <w:t xml:space="preserve"> </w:t>
      </w:r>
    </w:p>
    <w:p w:rsidR="004D6F0E" w:rsidRDefault="00490F21">
      <w:pPr>
        <w:ind w:left="105" w:right="2"/>
      </w:pPr>
      <w:r>
        <w:rPr>
          <w:rFonts w:ascii="Arial" w:eastAsia="Arial" w:hAnsi="Arial" w:cs="Arial"/>
          <w:b/>
        </w:rPr>
        <w:t xml:space="preserve">S1 </w:t>
      </w:r>
      <w:r>
        <w:t>類股份</w:t>
      </w:r>
      <w:r>
        <w:rPr>
          <w:rFonts w:ascii="Arial" w:eastAsia="Arial" w:hAnsi="Arial" w:cs="Arial"/>
          <w:b/>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105" w:right="2"/>
      </w:pPr>
      <w:r>
        <w:rPr>
          <w:rFonts w:ascii="Arial" w:eastAsia="Arial" w:hAnsi="Arial" w:cs="Arial"/>
        </w:rPr>
        <w:t xml:space="preserve">S1 </w:t>
      </w:r>
      <w:r>
        <w:t>類股份發售予機構投資者。</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ind w:left="2" w:right="2" w:firstLine="96"/>
      </w:pPr>
      <w:r>
        <w:t>就於歐盟境內分銷而言，</w:t>
      </w:r>
      <w:r>
        <w:rPr>
          <w:rFonts w:ascii="Arial" w:eastAsia="Arial" w:hAnsi="Arial" w:cs="Arial"/>
        </w:rPr>
        <w:t xml:space="preserve">S1 </w:t>
      </w:r>
      <w:r>
        <w:t>類股份所收取費用的任何部分一概不得支付予交易商或分銷代理等第三方，惟維護及／或行政類費用（如法律容許）（包括支付予平台的款項）除外。因此，於歐盟境內，</w:t>
      </w:r>
      <w:r>
        <w:rPr>
          <w:rFonts w:ascii="Arial" w:eastAsia="Arial" w:hAnsi="Arial" w:cs="Arial"/>
        </w:rPr>
        <w:t xml:space="preserve">S1 </w:t>
      </w:r>
      <w:r>
        <w:t>類股份可提供予提供基金管理服務（例如全權委託投資管</w:t>
      </w:r>
    </w:p>
    <w:p w:rsidR="004D6F0E" w:rsidRDefault="00490F21">
      <w:pPr>
        <w:ind w:left="105" w:right="2"/>
      </w:pPr>
      <w:r>
        <w:t>理人）的實體或代表上述實體行事的任何客戶。</w:t>
      </w: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rPr>
        <w:t xml:space="preserve"> </w:t>
      </w:r>
    </w:p>
    <w:p w:rsidR="004D6F0E" w:rsidRDefault="00490F21">
      <w:pPr>
        <w:spacing w:after="0" w:line="259" w:lineRule="auto"/>
        <w:ind w:left="96" w:firstLine="0"/>
      </w:pPr>
      <w:r>
        <w:rPr>
          <w:rFonts w:ascii="Arial" w:eastAsia="Arial" w:hAnsi="Arial" w:cs="Arial"/>
          <w:b/>
        </w:rPr>
        <w:t xml:space="preserve"> </w:t>
      </w:r>
    </w:p>
    <w:p w:rsidR="004D6F0E" w:rsidRDefault="00490F21">
      <w:pPr>
        <w:ind w:left="11" w:right="2"/>
      </w:pPr>
      <w:r>
        <w:rPr>
          <w:rFonts w:ascii="Arial" w:eastAsia="Arial" w:hAnsi="Arial" w:cs="Arial"/>
          <w:b/>
        </w:rPr>
        <w:t xml:space="preserve">W </w:t>
      </w:r>
      <w:r>
        <w:t>類股份</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6" w:line="273" w:lineRule="auto"/>
        <w:ind w:left="14" w:right="41"/>
        <w:jc w:val="both"/>
      </w:pPr>
      <w:r>
        <w:rPr>
          <w:rFonts w:ascii="Arial" w:eastAsia="Arial" w:hAnsi="Arial" w:cs="Arial"/>
        </w:rPr>
        <w:t xml:space="preserve">W </w:t>
      </w:r>
      <w:r>
        <w:t>類股份透過以下人士提供：</w:t>
      </w:r>
      <w:r>
        <w:rPr>
          <w:rFonts w:ascii="Arial" w:eastAsia="Arial" w:hAnsi="Arial" w:cs="Arial"/>
        </w:rPr>
        <w:t>(i)(a)</w:t>
      </w:r>
      <w:r>
        <w:t>與其投資者設有獨立費用安排及</w:t>
      </w:r>
      <w:r>
        <w:rPr>
          <w:rFonts w:ascii="Arial" w:eastAsia="Arial" w:hAnsi="Arial" w:cs="Arial"/>
        </w:rPr>
        <w:t>(b)</w:t>
      </w:r>
      <w:r>
        <w:t>其投資者於基金的總持股量超過</w:t>
      </w:r>
      <w:r>
        <w:t xml:space="preserve"> </w:t>
      </w:r>
      <w:r>
        <w:rPr>
          <w:rFonts w:ascii="Arial" w:eastAsia="Arial" w:hAnsi="Arial" w:cs="Arial"/>
        </w:rPr>
        <w:t xml:space="preserve">500,000,000 </w:t>
      </w:r>
      <w:r>
        <w:t>美元的分銷商；</w:t>
      </w:r>
      <w:r>
        <w:rPr>
          <w:rFonts w:ascii="Arial" w:eastAsia="Arial" w:hAnsi="Arial" w:cs="Arial"/>
        </w:rPr>
        <w:t>(ii)</w:t>
      </w:r>
      <w:r>
        <w:t>及透過管理公司酌情決定的其他交易商或分銷代理。</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2" w:line="273" w:lineRule="auto"/>
        <w:ind w:left="14" w:right="41"/>
        <w:jc w:val="both"/>
      </w:pPr>
      <w:r>
        <w:t>就於歐盟境內分銷而言，</w:t>
      </w:r>
      <w:r>
        <w:rPr>
          <w:rFonts w:ascii="Arial" w:eastAsia="Arial" w:hAnsi="Arial" w:cs="Arial"/>
        </w:rPr>
        <w:t xml:space="preserve">W </w:t>
      </w:r>
      <w:r>
        <w:t>類股份所收取費用的任何部分一概不得支付予交易商或分銷代理等第三方，惟維護及／或行政類費用（如法律容許）（包括支付予平台的款項）除外。因此，於歐盟境內，</w:t>
      </w:r>
      <w:r>
        <w:rPr>
          <w:rFonts w:ascii="Arial" w:eastAsia="Arial" w:hAnsi="Arial" w:cs="Arial"/>
        </w:rPr>
        <w:t xml:space="preserve">W </w:t>
      </w:r>
      <w:r>
        <w:t>類股份可提供予提供基金管理服務（例如全權委託投資管理人）的實體或代表上述實體行事的任何客戶。</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b/>
        </w:rPr>
        <w:t xml:space="preserve">Z </w:t>
      </w:r>
      <w:r>
        <w:t>類股份</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rPr>
          <w:rFonts w:ascii="Arial" w:eastAsia="Arial" w:hAnsi="Arial" w:cs="Arial"/>
        </w:rPr>
        <w:t xml:space="preserve">Z </w:t>
      </w:r>
      <w:r>
        <w:t>類股份只供聯博基金投資。</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0"/>
        <w:ind w:left="11" w:right="2"/>
      </w:pPr>
      <w:r>
        <w:t>貨幣對沖股份類別。用某種特定貨幣（各稱「發售貨幣」）發售的一項或多項基金股份類別可用該發售貨幣對沖。任何此等股份類別將構成「貨幣對沖股份類別」。貨幣對沖股份類別的目的是透過降低基金基準貨幣（如美元）與相關發售貨幣之間匯率波動的影響，並計及交易成本等實際考量因素，為投資者提供與基金基準貨幣回報率更具相關性的回報率。採用的對沖策略在設計上是爲了降低（但未必消除）基金基準貨幣和發售貨幣之間的貨幣風險。</w:t>
      </w:r>
      <w:r>
        <w:rPr>
          <w:rFonts w:ascii="Arial" w:eastAsia="Arial" w:hAnsi="Arial" w:cs="Arial"/>
        </w:rPr>
        <w:t xml:space="preserve"> </w:t>
      </w:r>
    </w:p>
    <w:p w:rsidR="004D6F0E" w:rsidRDefault="00490F21">
      <w:pPr>
        <w:spacing w:after="103"/>
        <w:ind w:left="11" w:right="2"/>
      </w:pPr>
      <w:r>
        <w:t>發行貨幣對沖股份類別的各基金所使用的適用於特定對沖股份類別的確切對沖策略互不相同。但總體而言，某項貨幣對沖股份</w:t>
      </w:r>
      <w:r>
        <w:t>類別的淨申購額將按適用現匯匯率轉換為該基金的基礎貨幣。同時，投資管理人將訂立同等金額的遠期貨幣兌換合約。此後，將根據歸屬於投資者流量的淨申購／贖回數目以及相關貨幣對沖股份類別的資產淨值不時監視和調整對沖。具體對沖將產生多大的效果，取決於（除其他因素外）投資管理人訂立相應遠期貨幣兌換合約的能力，以便與基金資產中歸屬於相應遠期貨幣兌換合約的貨幣對沖股份類別的最新可得價值相匹配。在各遠期貨幣兌換合約的有效期內，遠期頭寸的任何利得和虧損均納入該貨幣對沖股份類別的日資產</w:t>
      </w:r>
      <w:r>
        <w:lastRenderedPageBreak/>
        <w:t>淨值，並在該遠期貨幣兌換合約結算時實現。然後，此</w:t>
      </w:r>
      <w:r>
        <w:t>等遠期頭寸從一項遠期貨幣兌換合約滾轉到另一項，繼續對沖。</w:t>
      </w:r>
      <w:r>
        <w:rPr>
          <w:rFonts w:ascii="Arial" w:eastAsia="Arial" w:hAnsi="Arial" w:cs="Arial"/>
        </w:rPr>
        <w:t xml:space="preserve"> </w:t>
      </w:r>
    </w:p>
    <w:p w:rsidR="004D6F0E" w:rsidRDefault="00490F21">
      <w:pPr>
        <w:spacing w:after="102"/>
        <w:ind w:left="11" w:right="2"/>
      </w:pPr>
      <w:r>
        <w:t>以發售貨幣計價的貨幣對沖股份類別的回報意在與基金基準貨幣計價的股份類別之間產生顯著的相關性。但是，由於以下各種因素，此等回報不會產生完美的相關性，包括短期利率差異、貨幣遠期頭寸未實現利得／虧損在此等利得／虧損實現之前並未用於投資的情況、投資管理人採用的目標對沖率和偏差範圍（設計偏差範圍的目的是爲了避免因過度少量對沖調整而提高交易成本，同時達到少量超額／減額對沖的目的）、相對於基金估值時間的市值對沖調整時機以及對沖活動交易成本等因素。</w:t>
      </w:r>
      <w:r>
        <w:rPr>
          <w:rFonts w:ascii="Arial" w:eastAsia="Arial" w:hAnsi="Arial" w:cs="Arial"/>
        </w:rPr>
        <w:t xml:space="preserve"> </w:t>
      </w:r>
    </w:p>
    <w:p w:rsidR="004D6F0E" w:rsidRDefault="00490F21">
      <w:pPr>
        <w:spacing w:after="103"/>
        <w:ind w:left="11" w:right="2"/>
      </w:pPr>
      <w:r>
        <w:t>按計畫，無論</w:t>
      </w:r>
      <w:r>
        <w:t>貨幣對沖股份類別的發售貨幣與其他貨幣的相對價值是否下降或上升，均須持續為該類貨幣對沖股份類別訂立此等對沖交易合約。因此，倘若貨幣對沖股份類別的發售貨幣相對與基金的基準貨幣匯率上升，此等對沖可能會保護相關貨幣對沖股份類別的投資者。反之，倘若貨幣對沖股份類別的發售貨幣相對與基金的基準貨幣匯率下降，此等對沖可能會妨礙投資者獲利。</w:t>
      </w:r>
      <w:r>
        <w:rPr>
          <w:rFonts w:ascii="Arial" w:eastAsia="Arial" w:hAnsi="Arial" w:cs="Arial"/>
        </w:rPr>
        <w:t xml:space="preserve"> </w:t>
      </w:r>
    </w:p>
    <w:p w:rsidR="004D6F0E" w:rsidRDefault="00490F21">
      <w:pPr>
        <w:spacing w:after="79"/>
        <w:ind w:left="105" w:right="2"/>
      </w:pPr>
      <w:r>
        <w:t>貨幣對沖股份類別並不影響基金所屬資產的投資管理，涉及對沖的只是貨幣對沖股份類別的資產淨值，而非基金所屬資產。與所屬貨幣對沖股份類別的原理相反，在第</w:t>
      </w:r>
      <w:r>
        <w:t xml:space="preserve"> </w:t>
      </w:r>
      <w:r>
        <w:rPr>
          <w:rFonts w:ascii="Arial" w:eastAsia="Arial" w:hAnsi="Arial" w:cs="Arial"/>
        </w:rPr>
        <w:t xml:space="preserve">I </w:t>
      </w:r>
      <w:r>
        <w:t>部分規定的特定基金投資策略所述範</w:t>
      </w:r>
      <w:r>
        <w:t>圍，該特定基金的投資策略可能尋求用基金基準貨幣對基金部分或全部所屬資產引致的貨幣風險進行全面或部分對沖。此類對沖活動（即以基金的基準貨幣對基金投資的貨幣風險進行對沖）與本節標題下貨幣對沖股份類別特有的對沖活動不同而且也沒有關聯。</w:t>
      </w:r>
      <w:r>
        <w:rPr>
          <w:rFonts w:ascii="Arial" w:eastAsia="Arial" w:hAnsi="Arial" w:cs="Arial"/>
        </w:rPr>
        <w:t xml:space="preserve"> </w:t>
      </w:r>
    </w:p>
    <w:p w:rsidR="004D6F0E" w:rsidRDefault="00490F21">
      <w:pPr>
        <w:spacing w:after="78"/>
        <w:ind w:left="105" w:right="2"/>
      </w:pPr>
      <w:r>
        <w:t>倘若某項基金既發售貨幣對沖股份類別，同時也尋求用該基金的基準貨幣對該基金全部或部分所屬資產的相關貨幣風險進行全面或部分對沖，則可能會導致某些成本和低效性。</w:t>
      </w:r>
      <w:r>
        <w:rPr>
          <w:rFonts w:ascii="Arial" w:eastAsia="Arial" w:hAnsi="Arial" w:cs="Arial"/>
        </w:rPr>
        <w:t xml:space="preserve"> </w:t>
      </w:r>
    </w:p>
    <w:p w:rsidR="004D6F0E" w:rsidRDefault="00490F21">
      <w:pPr>
        <w:spacing w:after="78"/>
        <w:ind w:left="105" w:right="2"/>
      </w:pPr>
      <w:r>
        <w:t>最後，股東應留意，貨幣對沖股份類別的槓桿水平將自動高於特定基金所披露的預期槓桿水平。實際上，該預期槓桿水平並無計及貨幣對沖</w:t>
      </w:r>
      <w:r>
        <w:t>股份類別所使用的對沖交易。</w:t>
      </w:r>
      <w:r>
        <w:rPr>
          <w:rFonts w:ascii="Arial" w:eastAsia="Arial" w:hAnsi="Arial" w:cs="Arial"/>
        </w:rPr>
        <w:t xml:space="preserve"> </w:t>
      </w:r>
    </w:p>
    <w:p w:rsidR="004D6F0E" w:rsidRDefault="00490F21">
      <w:pPr>
        <w:spacing w:after="81"/>
        <w:ind w:left="105" w:right="2"/>
      </w:pPr>
      <w:r>
        <w:t>敬請股東注意，本傘子基金獲授權可在現有認購章程目前所述者外，不時增設及發售貨幣對沖股份類別。有關新增設的貨幣對沖股份類別將於其後更新的認購章程中反映。</w:t>
      </w:r>
      <w:r>
        <w:rPr>
          <w:rFonts w:ascii="Arial" w:eastAsia="Arial" w:hAnsi="Arial" w:cs="Arial"/>
        </w:rPr>
        <w:t xml:space="preserve"> </w:t>
      </w:r>
    </w:p>
    <w:p w:rsidR="004D6F0E" w:rsidRDefault="00490F21">
      <w:pPr>
        <w:spacing w:after="83"/>
        <w:ind w:left="105" w:right="2"/>
      </w:pPr>
      <w:r>
        <w:t>巴西雷阿爾對沖股份類別</w:t>
      </w:r>
      <w:r>
        <w:rPr>
          <w:rFonts w:ascii="Arial" w:eastAsia="Arial" w:hAnsi="Arial" w:cs="Arial"/>
          <w:b/>
        </w:rPr>
        <w:t xml:space="preserve"> </w:t>
      </w:r>
    </w:p>
    <w:p w:rsidR="004D6F0E" w:rsidRDefault="00490F21">
      <w:pPr>
        <w:spacing w:after="79"/>
        <w:ind w:left="105" w:right="2"/>
      </w:pPr>
      <w:r>
        <w:t>巴西雷阿爾對沖股份類別（以「</w:t>
      </w:r>
      <w:r>
        <w:rPr>
          <w:rFonts w:ascii="Arial" w:eastAsia="Arial" w:hAnsi="Arial" w:cs="Arial"/>
        </w:rPr>
        <w:t>BR</w:t>
      </w:r>
      <w:r>
        <w:t>」表示）乃保留給居駐於巴西的投資者，由於巴西的外匯管制，將採用有別於我們其他股份類別的對沖模式。由於巴西雷阿爾為受限制貨幣，巴西雷阿爾對沖股份類別無法以巴西雷阿爾計價，而是以相關基金的基準貨幣計價。將透過使用金融衍生工具（例如不交收貨幣遠期）將巴西雷阿爾對沖股份類別的資</w:t>
      </w:r>
      <w:r>
        <w:t>產淨值轉換為巴西雷阿爾，實現巴西雷阿爾貨幣對沖。預期巴西雷阿爾對沖股份類別的資產淨值將隨著巴西雷阿爾與相關基金的基準貨幣之間的匯率變動而波動，因此其表現可能有別於，包括大幅有別於相同基金的其他股份類別。該等交易產生的任何利潤或損失以及成本及支出將完全反映在巴西雷阿爾對沖股份類別的資產淨值中。</w:t>
      </w:r>
      <w:r>
        <w:rPr>
          <w:rFonts w:ascii="Arial" w:eastAsia="Arial" w:hAnsi="Arial" w:cs="Arial"/>
        </w:rPr>
        <w:t xml:space="preserve"> </w:t>
      </w:r>
    </w:p>
    <w:p w:rsidR="004D6F0E" w:rsidRDefault="00490F21">
      <w:pPr>
        <w:spacing w:after="84"/>
        <w:ind w:left="105" w:right="2"/>
      </w:pPr>
      <w:r>
        <w:t>有</w:t>
      </w:r>
      <w:r>
        <w:t xml:space="preserve"> </w:t>
      </w:r>
      <w:r>
        <w:t>關</w:t>
      </w:r>
      <w:r>
        <w:t xml:space="preserve"> </w:t>
      </w:r>
      <w:r>
        <w:t>可</w:t>
      </w:r>
      <w:r>
        <w:t xml:space="preserve"> </w:t>
      </w:r>
      <w:r>
        <w:t>供</w:t>
      </w:r>
      <w:r>
        <w:t xml:space="preserve"> </w:t>
      </w:r>
      <w:r>
        <w:t>投</w:t>
      </w:r>
      <w:r>
        <w:t xml:space="preserve"> </w:t>
      </w:r>
      <w:r>
        <w:t>資</w:t>
      </w:r>
      <w:r>
        <w:t xml:space="preserve"> </w:t>
      </w:r>
      <w:r>
        <w:t>股</w:t>
      </w:r>
      <w:r>
        <w:t xml:space="preserve"> </w:t>
      </w:r>
      <w:r>
        <w:t>份</w:t>
      </w:r>
      <w:r>
        <w:t xml:space="preserve"> </w:t>
      </w:r>
      <w:r>
        <w:t>類</w:t>
      </w:r>
      <w:r>
        <w:t xml:space="preserve"> </w:t>
      </w:r>
      <w:r>
        <w:t>別</w:t>
      </w:r>
      <w:r>
        <w:t xml:space="preserve"> </w:t>
      </w:r>
      <w:r>
        <w:t>的</w:t>
      </w:r>
      <w:r>
        <w:t xml:space="preserve"> </w:t>
      </w:r>
      <w:r>
        <w:t>完</w:t>
      </w:r>
      <w:r>
        <w:t xml:space="preserve"> </w:t>
      </w:r>
      <w:r>
        <w:t>整</w:t>
      </w:r>
      <w:r>
        <w:t xml:space="preserve"> </w:t>
      </w:r>
      <w:r>
        <w:t>清</w:t>
      </w:r>
      <w:r>
        <w:t xml:space="preserve"> </w:t>
      </w:r>
      <w:r>
        <w:t>單</w:t>
      </w:r>
      <w:r>
        <w:t xml:space="preserve"> </w:t>
      </w:r>
      <w:r>
        <w:t>，</w:t>
      </w:r>
      <w:r>
        <w:t xml:space="preserve"> </w:t>
      </w:r>
      <w:r>
        <w:t>可</w:t>
      </w:r>
      <w:r>
        <w:t xml:space="preserve"> </w:t>
      </w:r>
      <w:r>
        <w:t>從</w:t>
      </w:r>
      <w:r>
        <w:t xml:space="preserve"> </w:t>
      </w:r>
      <w:hyperlink r:id="rId275">
        <w:r>
          <w:rPr>
            <w:rFonts w:ascii="Arial" w:eastAsia="Arial" w:hAnsi="Arial" w:cs="Arial"/>
            <w:color w:val="0000FF"/>
            <w:u w:val="single" w:color="0000FF"/>
          </w:rPr>
          <w:t>www.alliancebernste</w:t>
        </w:r>
        <w:r>
          <w:rPr>
            <w:rFonts w:ascii="Arial" w:eastAsia="Arial" w:hAnsi="Arial" w:cs="Arial"/>
            <w:color w:val="0000FF"/>
            <w:u w:val="single" w:color="0000FF"/>
          </w:rPr>
          <w:t>in.com</w:t>
        </w:r>
      </w:hyperlink>
      <w:r>
        <w:rPr>
          <w:rFonts w:ascii="Arial" w:eastAsia="Arial" w:hAnsi="Arial" w:cs="Arial"/>
          <w:color w:val="0000FF"/>
          <w:u w:val="single" w:color="0000FF"/>
        </w:rPr>
        <w:t xml:space="preserve"> </w:t>
      </w:r>
      <w:hyperlink r:id="rId276">
        <w:r>
          <w:t>或</w:t>
        </w:r>
      </w:hyperlink>
      <w:r>
        <w:t>管理公司的註冊辦事處索取。</w:t>
      </w:r>
      <w:r>
        <w:rPr>
          <w:rFonts w:ascii="Arial" w:eastAsia="Arial" w:hAnsi="Arial" w:cs="Arial"/>
        </w:rPr>
        <w:t xml:space="preserve"> </w:t>
      </w:r>
    </w:p>
    <w:p w:rsidR="004D6F0E" w:rsidRDefault="00490F21">
      <w:pPr>
        <w:spacing w:after="80"/>
        <w:ind w:left="105" w:right="2"/>
      </w:pPr>
      <w:r>
        <w:t>部分存續期對沖股份類別</w:t>
      </w:r>
      <w:r>
        <w:rPr>
          <w:rFonts w:ascii="Arial" w:eastAsia="Arial" w:hAnsi="Arial" w:cs="Arial"/>
          <w:b/>
        </w:rPr>
        <w:t xml:space="preserve"> </w:t>
      </w:r>
    </w:p>
    <w:p w:rsidR="004D6F0E" w:rsidRDefault="00490F21">
      <w:pPr>
        <w:spacing w:after="81"/>
        <w:ind w:left="105" w:right="2"/>
      </w:pPr>
      <w:r>
        <w:t>就若干固定收益基金而言，管理公司可能決定發售部分存續期對沖股份類別。部分存續期對沖股份類別擬透過</w:t>
      </w:r>
      <w:hyperlink r:id="rId277">
        <w:r>
          <w:t>為</w:t>
        </w:r>
      </w:hyperlink>
      <w:hyperlink r:id="rId278">
        <w:r>
          <w:t>持有部</w:t>
        </w:r>
      </w:hyperlink>
      <w:r>
        <w:t>分存續期對沖股份類別的股東對沖整體基金的一部分存續期，而為這些股東提供對利率波動敏感度較低的回報。利率變動將會影響有關固定收益基金的總回報。</w:t>
      </w:r>
      <w:r>
        <w:rPr>
          <w:rFonts w:ascii="Arial" w:eastAsia="Arial" w:hAnsi="Arial" w:cs="Arial"/>
        </w:rPr>
        <w:t xml:space="preserve"> </w:t>
      </w:r>
    </w:p>
    <w:p w:rsidR="004D6F0E" w:rsidRDefault="00490F21">
      <w:pPr>
        <w:spacing w:after="78"/>
        <w:ind w:left="105" w:right="2"/>
      </w:pPr>
      <w:r>
        <w:t>部分存續期對沖策略旨在降低（但未必消除）部分存續期對沖股份類別整體投資組合的利率風險。管理部分存續期對沖股份類別的利率風險並不會影響基金所屬資產的投資管理，原因是用於對沖利率風險的金融衍生工具交易將按部分存續期對沖股份類別的資產淨值進行。股東應注意，部分存續期對沖股份類別可能仍會對利率變動頗為敏感，進而可能影響部分存續期對沖股份類別的資產淨值。</w:t>
      </w:r>
      <w:r>
        <w:rPr>
          <w:rFonts w:ascii="Arial" w:eastAsia="Arial" w:hAnsi="Arial" w:cs="Arial"/>
        </w:rPr>
        <w:t xml:space="preserve"> </w:t>
      </w:r>
    </w:p>
    <w:p w:rsidR="004D6F0E" w:rsidRDefault="00490F21">
      <w:pPr>
        <w:spacing w:after="81"/>
        <w:ind w:left="105" w:right="2"/>
      </w:pPr>
      <w:r>
        <w:t>有關部分存續期對沖策略將透過使用利率期貨等金融衍生工具落實。因進行有關對沖活動而產生的開支將由同一基金已發行的所有部分存續期對沖股份類別按比例分擔。最後，股東應注</w:t>
      </w:r>
      <w:r>
        <w:t>意，部分存續期對沖股份類別的槓桿水平自然高於就</w:t>
      </w:r>
      <w:r>
        <w:lastRenderedPageBreak/>
        <w:t>特定基金所披露的預期槓桿水平。實際上，有關預期槓桿水平並無計及就部分存續期對沖股份類別使用的對沖交易。</w:t>
      </w:r>
      <w:r>
        <w:rPr>
          <w:rFonts w:ascii="Arial" w:eastAsia="Arial" w:hAnsi="Arial" w:cs="Arial"/>
        </w:rPr>
        <w:t xml:space="preserve"> </w:t>
      </w:r>
    </w:p>
    <w:p w:rsidR="004D6F0E" w:rsidRDefault="00490F21">
      <w:pPr>
        <w:spacing w:after="80"/>
        <w:ind w:left="11" w:right="2"/>
      </w:pPr>
      <w:r>
        <w:t>發行及交收</w:t>
      </w:r>
      <w:r>
        <w:rPr>
          <w:rFonts w:ascii="Arial" w:eastAsia="Arial" w:hAnsi="Arial" w:cs="Arial"/>
        </w:rPr>
        <w:t xml:space="preserve"> </w:t>
      </w:r>
    </w:p>
    <w:p w:rsidR="004D6F0E" w:rsidRDefault="00490F21">
      <w:pPr>
        <w:spacing w:after="81"/>
        <w:ind w:left="11" w:right="2"/>
      </w:pPr>
      <w:r>
        <w:t>所認購股份的付款，須隨附於投資者的申請表格，而申請將在申請人就擬購買股份支付的款項獲確認後方會獲接納，或倘股份乃從或透過認可銷售交易商或分銷商認購及購買，則須在相關交易日的三個營業日內（除非於第</w:t>
      </w:r>
      <w:r>
        <w:t xml:space="preserve"> </w:t>
      </w:r>
      <w:r>
        <w:rPr>
          <w:rFonts w:ascii="Arial" w:eastAsia="Arial" w:hAnsi="Arial" w:cs="Arial"/>
        </w:rPr>
        <w:t xml:space="preserve">I </w:t>
      </w:r>
      <w:r>
        <w:t>部分的基金的基金詳情中另有指明），按有關交易商所採用並經分銷商及本傘子基金批准的手續付款。在若干司法管轄區出售的股份可採用不同的交收期限。直接向本傘子基金購買股份的付款，須付予申請表格所列示的本傘子基金帳戶。本傘子基金接獲有關付款後，管理公司將發行整股及碎股及其股票證書（如有要求）。投資者將獲寄發確認書。股款及</w:t>
      </w:r>
      <w:r>
        <w:t>適用的銷售費（如有）須以發售貨幣支付。</w:t>
      </w:r>
      <w:r>
        <w:rPr>
          <w:rFonts w:ascii="Arial" w:eastAsia="Arial" w:hAnsi="Arial" w:cs="Arial"/>
        </w:rPr>
        <w:t xml:space="preserve"> </w:t>
      </w:r>
    </w:p>
    <w:p w:rsidR="004D6F0E" w:rsidRDefault="00490F21">
      <w:pPr>
        <w:spacing w:after="82"/>
        <w:ind w:left="11" w:right="2"/>
      </w:pPr>
      <w:r>
        <w:t>確認書及證書</w:t>
      </w:r>
      <w:r>
        <w:rPr>
          <w:rFonts w:ascii="Arial" w:eastAsia="Arial" w:hAnsi="Arial" w:cs="Arial"/>
        </w:rPr>
        <w:t xml:space="preserve"> </w:t>
      </w:r>
    </w:p>
    <w:p w:rsidR="004D6F0E" w:rsidRDefault="00490F21">
      <w:pPr>
        <w:spacing w:after="83"/>
        <w:ind w:left="11" w:right="2"/>
      </w:pPr>
      <w:r>
        <w:t>確認書將在發行股份後的下個營業日寄發予投資者，當中將載列交易的所有詳情。所有股份均以記名形式發行，而過戶代理就有關基金存置的本傘子基金股份登記冊乃所有權證明。管理公司視股份的登記擁有人為股份的絕對實益擁有人。除非申請人在申請時特別要求獲發證書，否則股份將以無證書形式發行。股份以無證書形式發行，令本傘子基金在執行贖回指示時不會出現不當延誤，故本傘子基金建議投資者維持其股份以無證書形式發行。倘投資者要求股份以有證書形式發行，則股份證書通常會在股份登記手續</w:t>
      </w:r>
      <w:r>
        <w:t>或轉讓（視情況而定）完成後二十八日內寄發予投資者或其指定代理人，所涉及風險概由投資者承擔。</w:t>
      </w:r>
      <w:r>
        <w:rPr>
          <w:rFonts w:ascii="Arial" w:eastAsia="Arial" w:hAnsi="Arial" w:cs="Arial"/>
        </w:rPr>
        <w:t xml:space="preserve"> </w:t>
      </w:r>
    </w:p>
    <w:p w:rsidR="004D6F0E" w:rsidRDefault="00490F21">
      <w:pPr>
        <w:spacing w:after="80"/>
        <w:ind w:left="11" w:right="2"/>
      </w:pPr>
      <w:r>
        <w:t>聯博基金帳戶及帳號</w:t>
      </w:r>
      <w:r>
        <w:rPr>
          <w:rFonts w:ascii="Arial" w:eastAsia="Arial" w:hAnsi="Arial" w:cs="Arial"/>
        </w:rPr>
        <w:t xml:space="preserve"> </w:t>
      </w:r>
    </w:p>
    <w:p w:rsidR="004D6F0E" w:rsidRDefault="00490F21">
      <w:pPr>
        <w:spacing w:after="81"/>
        <w:ind w:left="11" w:right="2"/>
      </w:pPr>
      <w:r>
        <w:t>待投資者於聯博基金首次投資的投資者申請表格獲接納後，過戶代理將在股東處理系統開立帳戶記錄投資者的聯博基金股份。此帳戶反映投資者在有關聯博基金的股份持倉。聯博基金帳戶將以投資者首次認購聯博基金時採用的發售貨幣計價。聯博基金帳戶僅能以一種貨幣計價，故僅會記錄以同一貨幣計價的股份持有狀況。因此，有意以多種發售貨幣持有股份的投資者，將擁有一個以上聯博基金帳戶，並將就各帳戶收取不同的結單。投資者將就其開</w:t>
      </w:r>
      <w:r>
        <w:t>立的每個聯博基金帳戶獲得一個聯博基金帳號，該帳號連同投資者的有關資料構成身份證明。投資者就有關帳戶的任何聯博基金股份於未來進行的一切交易均須使用此聯博基金帳號。投資者個人資料如有任何變動、聯博基金帳號或股份證書如有遺失，須立即以書面方式知會過戶代理。本傘子基金保留權利在接納有關指示前要求有關人士提供獲基金接納的銀行、股份持有人或其他人士加簽的彌償保證或身份證明。</w:t>
      </w:r>
      <w:r>
        <w:rPr>
          <w:rFonts w:ascii="Arial" w:eastAsia="Arial" w:hAnsi="Arial" w:cs="Arial"/>
        </w:rPr>
        <w:t xml:space="preserve"> </w:t>
      </w:r>
    </w:p>
    <w:p w:rsidR="004D6F0E" w:rsidRDefault="00490F21">
      <w:pPr>
        <w:spacing w:after="80"/>
        <w:ind w:left="11" w:right="2"/>
      </w:pPr>
      <w:r>
        <w:t>實物認購</w:t>
      </w:r>
      <w:r>
        <w:rPr>
          <w:rFonts w:ascii="Arial" w:eastAsia="Arial" w:hAnsi="Arial" w:cs="Arial"/>
        </w:rPr>
        <w:t xml:space="preserve"> </w:t>
      </w:r>
    </w:p>
    <w:p w:rsidR="004D6F0E" w:rsidRDefault="00490F21">
      <w:pPr>
        <w:ind w:left="11" w:right="2"/>
      </w:pPr>
      <w:r>
        <w:t>管理公司可全權酌情接受以證券作為支付股份的方式，惟以證券作為付款的方式應符合投資管理人遵循的政策，而且不會違反相關基金投資目標及政策</w:t>
      </w:r>
      <w:r>
        <w:t>或本傘子基金的投資限制。在此情況下，必須採用核數師報告以評估實物付款的價值。制訂該報告的相關開支以及與實物認購有關的任何其他開支﹐將由選擇該支付方式的認購者或管理公司酌情承擔，或在本傘子基金的量化惠利超過該核數師報告成本時，由本傘子基金承擔。</w:t>
      </w:r>
    </w:p>
    <w:p w:rsidR="004D6F0E" w:rsidRDefault="004D6F0E">
      <w:pPr>
        <w:sectPr w:rsidR="004D6F0E">
          <w:type w:val="continuous"/>
          <w:pgSz w:w="12240" w:h="15840"/>
          <w:pgMar w:top="981" w:right="667" w:bottom="1244" w:left="336" w:header="720" w:footer="720" w:gutter="0"/>
          <w:cols w:num="2" w:space="720" w:equalWidth="0">
            <w:col w:w="5621" w:space="479"/>
            <w:col w:w="5137"/>
          </w:cols>
        </w:sectPr>
      </w:pPr>
    </w:p>
    <w:p w:rsidR="004D6F0E" w:rsidRDefault="00490F21">
      <w:pPr>
        <w:pStyle w:val="Heading4"/>
        <w:ind w:left="14"/>
      </w:pPr>
      <w:r>
        <w:t>如何贖回股份</w:t>
      </w:r>
      <w:r>
        <w:rPr>
          <w:rFonts w:ascii="Arial" w:eastAsia="Arial" w:hAnsi="Arial" w:cs="Arial"/>
        </w:rPr>
        <w:t xml:space="preserve"> </w:t>
      </w:r>
    </w:p>
    <w:p w:rsidR="004D6F0E" w:rsidRDefault="004D6F0E">
      <w:pPr>
        <w:sectPr w:rsidR="004D6F0E">
          <w:type w:val="continuous"/>
          <w:pgSz w:w="12240" w:h="15840"/>
          <w:pgMar w:top="990" w:right="10426" w:bottom="1440" w:left="432" w:header="720" w:footer="720" w:gutter="0"/>
          <w:cols w:space="720"/>
        </w:sectPr>
      </w:pPr>
    </w:p>
    <w:p w:rsidR="004D6F0E" w:rsidRDefault="00490F21">
      <w:pPr>
        <w:spacing w:after="0" w:line="259" w:lineRule="auto"/>
        <w:ind w:left="0" w:firstLine="0"/>
        <w:jc w:val="both"/>
      </w:pPr>
      <w:r>
        <w:rPr>
          <w:rFonts w:ascii="SimSun" w:eastAsia="SimSun" w:hAnsi="SimSun" w:cs="SimSun"/>
          <w:sz w:val="20"/>
        </w:rPr>
        <w:t xml:space="preserve"> </w:t>
      </w:r>
    </w:p>
    <w:p w:rsidR="004D6F0E" w:rsidRDefault="004D6F0E">
      <w:pPr>
        <w:sectPr w:rsidR="004D6F0E">
          <w:type w:val="continuous"/>
          <w:pgSz w:w="12240" w:h="15840"/>
          <w:pgMar w:top="990" w:right="620" w:bottom="1440" w:left="11520" w:header="720" w:footer="720" w:gutter="0"/>
          <w:cols w:space="720"/>
        </w:sectPr>
      </w:pPr>
    </w:p>
    <w:p w:rsidR="004D6F0E" w:rsidRDefault="00490F21">
      <w:pPr>
        <w:spacing w:after="107"/>
        <w:ind w:left="11" w:right="2"/>
      </w:pPr>
      <w:r>
        <w:t>股東可透過分銷商或任何認可交易商，或透過以傳真或郵件方式向管理公司或其獲授權代理人發出不可撤銷贖回指示，於任何營業日贖回其股份。贖回指示須明確說明本傘子基金及基金</w:t>
      </w:r>
      <w:r>
        <w:t>的名稱、股份類別、擬贖回股份數目或擬贖回股份的總價值（以股東用於購買股份的發售貨幣計價），連同股東姓名及於本傘子基金登記的聯博基</w:t>
      </w:r>
      <w:r>
        <w:t>金帳號（有關該發售貨幣者）。贖回所得款項將以股東的聯博基金帳戶計價發售貨幣支付。</w:t>
      </w:r>
      <w:r>
        <w:rPr>
          <w:rFonts w:ascii="Arial" w:eastAsia="Arial" w:hAnsi="Arial" w:cs="Arial"/>
        </w:rPr>
        <w:t xml:space="preserve"> </w:t>
      </w:r>
    </w:p>
    <w:p w:rsidR="004D6F0E" w:rsidRDefault="00490F21">
      <w:pPr>
        <w:ind w:left="11" w:right="2"/>
      </w:pPr>
      <w:r>
        <w:t>倘因任何贖回要求，股東的聯博基金帳戶金額低於</w:t>
      </w:r>
      <w:r>
        <w:t xml:space="preserve"> </w:t>
      </w:r>
      <w:r>
        <w:rPr>
          <w:rFonts w:ascii="Arial" w:eastAsia="Arial" w:hAnsi="Arial" w:cs="Arial"/>
        </w:rPr>
        <w:t xml:space="preserve">1,000 </w:t>
      </w:r>
      <w:r>
        <w:t>美元</w:t>
      </w:r>
      <w:r>
        <w:rPr>
          <w:rFonts w:ascii="Arial" w:eastAsia="Arial" w:hAnsi="Arial" w:cs="Arial"/>
        </w:rPr>
        <w:t xml:space="preserve">   </w:t>
      </w:r>
    </w:p>
    <w:p w:rsidR="004D6F0E" w:rsidRDefault="00490F21">
      <w:pPr>
        <w:spacing w:after="100"/>
        <w:ind w:left="11" w:right="2"/>
      </w:pPr>
      <w:r>
        <w:lastRenderedPageBreak/>
        <w:t>（或視乎股東的聯博基金帳戶計價貨幣而以另一發售貨幣計價的相等數額），則有關贖回要求得視為適用於股東的整個聯博基金帳戶。</w:t>
      </w:r>
      <w:r>
        <w:rPr>
          <w:rFonts w:ascii="Arial" w:eastAsia="Arial" w:hAnsi="Arial" w:cs="Arial"/>
        </w:rPr>
        <w:t xml:space="preserve"> </w:t>
      </w:r>
    </w:p>
    <w:p w:rsidR="004D6F0E" w:rsidRDefault="00490F21">
      <w:pPr>
        <w:spacing w:after="102" w:line="273" w:lineRule="auto"/>
        <w:ind w:left="14" w:right="199"/>
        <w:jc w:val="both"/>
      </w:pPr>
      <w:r>
        <w:t>贖回價格將等於有關股份類別截至有關交易日估值時間（即該交易日美國東部時間下午</w:t>
      </w:r>
      <w:r>
        <w:t xml:space="preserve"> </w:t>
      </w:r>
      <w:r>
        <w:rPr>
          <w:rFonts w:ascii="Arial" w:eastAsia="Arial" w:hAnsi="Arial" w:cs="Arial"/>
        </w:rPr>
        <w:t>4:00</w:t>
      </w:r>
      <w:r>
        <w:t>）以有關發售貨幣計價的每股資產淨值（減任何適用或有遞延銷售費）﹐除非在第</w:t>
      </w:r>
      <w:r>
        <w:t xml:space="preserve"> </w:t>
      </w:r>
      <w:r>
        <w:rPr>
          <w:rFonts w:ascii="Arial" w:eastAsia="Arial" w:hAnsi="Arial" w:cs="Arial"/>
        </w:rPr>
        <w:t xml:space="preserve">I </w:t>
      </w:r>
      <w:r>
        <w:t>部分就特定基金中有關部分中另有指明。既定交易日的贖股指示於當日接納，截止時間為該交易日的指示截止時間（美國東部時間下午</w:t>
      </w:r>
      <w:r>
        <w:t xml:space="preserve"> </w:t>
      </w:r>
      <w:r>
        <w:rPr>
          <w:rFonts w:ascii="Arial" w:eastAsia="Arial" w:hAnsi="Arial" w:cs="Arial"/>
        </w:rPr>
        <w:t>4:00</w:t>
      </w:r>
      <w:r>
        <w:t>，或按第</w:t>
      </w:r>
      <w:r>
        <w:t xml:space="preserve"> </w:t>
      </w:r>
      <w:r>
        <w:rPr>
          <w:rFonts w:ascii="Arial" w:eastAsia="Arial" w:hAnsi="Arial" w:cs="Arial"/>
        </w:rPr>
        <w:t xml:space="preserve">I </w:t>
      </w:r>
      <w:r>
        <w:t>部分中具體基金的相關說明）。於此時限內接獲的有效及完整贖回要求，通常於截至該交易日按上文所述的贖回價格處理。於指示截止時間（美國東部時間下午</w:t>
      </w:r>
      <w:r>
        <w:t xml:space="preserve"> </w:t>
      </w:r>
      <w:r>
        <w:rPr>
          <w:rFonts w:ascii="Arial" w:eastAsia="Arial" w:hAnsi="Arial" w:cs="Arial"/>
        </w:rPr>
        <w:t>4:00</w:t>
      </w:r>
      <w:r>
        <w:t>，或按第</w:t>
      </w:r>
      <w:r>
        <w:t xml:space="preserve"> </w:t>
      </w:r>
      <w:r>
        <w:rPr>
          <w:rFonts w:ascii="Arial" w:eastAsia="Arial" w:hAnsi="Arial" w:cs="Arial"/>
        </w:rPr>
        <w:t xml:space="preserve">I </w:t>
      </w:r>
      <w:r>
        <w:t>部分中具體基金的相關說明）後接獲的贖股指示</w:t>
      </w:r>
      <w:r>
        <w:t>於下個營業日按截至該營業日估值時間的適用資產淨值處理，在此情況下，該贖股要求的交易日將為該營業日。視乎就某一特定交易日計算的資產淨值，股份贖回價格可能高於或低於認購時就有關股份支付的價格。除非第</w:t>
      </w:r>
      <w:r>
        <w:t xml:space="preserve"> </w:t>
      </w:r>
      <w:r>
        <w:rPr>
          <w:rFonts w:ascii="Arial" w:eastAsia="Arial" w:hAnsi="Arial" w:cs="Arial"/>
        </w:rPr>
        <w:t xml:space="preserve">I </w:t>
      </w:r>
      <w:r>
        <w:t>部分有關具體基金的相關章節另有規定，贖回所得款項（贖回價格減去任何適用的或有遞延銷售費）通常由存管人或其代理人於有關交易日後三個營業日內，以有關發售貨幣支付，惟前提是（</w:t>
      </w:r>
      <w:r>
        <w:rPr>
          <w:rFonts w:ascii="Arial" w:eastAsia="Arial" w:hAnsi="Arial" w:cs="Arial"/>
        </w:rPr>
        <w:t>i</w:t>
      </w:r>
      <w:r>
        <w:t>）贖回指示須已由管理公司或其獲授權代理人以適當方式接獲，及（</w:t>
      </w:r>
      <w:r>
        <w:rPr>
          <w:rFonts w:ascii="Arial" w:eastAsia="Arial" w:hAnsi="Arial" w:cs="Arial"/>
        </w:rPr>
        <w:t>ii</w:t>
      </w:r>
      <w:r>
        <w:t>）擬贖回股份的證書（如發行）須已於該交易日估值時間前由管理公司或其獲授權代理人</w:t>
      </w:r>
      <w:r>
        <w:t>接獲。儘管有上文規定，倘於特殊情況下本傘子基金的流動性不足以在此期間內作出支付或贖回，則有關付款將於其後合理可行的情況下盡快作出，惟不計利息。有關款項僅可付予股份的註冊擁有人；概不得作出第三方付款。付款將以電匯方式作出。務請注意，倘管理公司或其獲授權代理人並未以郵件方式自股東或其財務顧問（如適用）接獲一切所需文件正本，則贖回所得款項的付款可能延誤。電匯指示應在</w:t>
      </w:r>
      <w:r>
        <w:t>投資者的申請表格原件內列明，不然，電匯指示原文須由管理公司或其獲授權代理人以郵件方式或傳真方式接獲（並核實）後，方可以電匯方式發出贖回所得款項。管理公</w:t>
      </w:r>
      <w:r>
        <w:t>司將盡力保證，促使各基金於任何交易日維持適當的流動水平，以便在正常情況下﹐按股東要求在有關日期及時贖回股份。然而，倘截至任何交易日本傘子基金接獲的贖回要求所涉及的股份，超出有關基金截至該日已發行股份或類別的</w:t>
      </w:r>
      <w:r>
        <w:t xml:space="preserve"> </w:t>
      </w:r>
      <w:r>
        <w:rPr>
          <w:rFonts w:ascii="Arial" w:eastAsia="Arial" w:hAnsi="Arial" w:cs="Arial"/>
        </w:rPr>
        <w:t>10%</w:t>
      </w:r>
      <w:r>
        <w:t>（或第</w:t>
      </w:r>
      <w:r>
        <w:t xml:space="preserve"> </w:t>
      </w:r>
      <w:r>
        <w:rPr>
          <w:rFonts w:ascii="Arial" w:eastAsia="Arial" w:hAnsi="Arial" w:cs="Arial"/>
          <w:sz w:val="20"/>
        </w:rPr>
        <w:t xml:space="preserve">I </w:t>
      </w:r>
      <w:r>
        <w:t>部分內有關基金的說明所載的較低比例），則管理公司可限制股份贖回，在此情況下，基金的股份或類別可按比例贖回。贖回要求的任何部分如因管理公司或其代表行使此項權力而未予執行，則該部分贖回要求將視為就下個交易日及其後的所有交易日作出的要求論處（管理公司對此擁有相同權力），直至全面達成原本的要求</w:t>
      </w:r>
      <w:r>
        <w:t>。任何此等限制均將知會申請贖回的股東。此外，在若干情況下，管理公司可暫停股東贖回股份的權利。見「附加資料</w:t>
      </w:r>
      <w:r>
        <w:rPr>
          <w:rFonts w:ascii="Arial" w:eastAsia="Arial" w:hAnsi="Arial" w:cs="Arial"/>
        </w:rPr>
        <w:t>—</w:t>
      </w:r>
      <w:r>
        <w:t>暫停發行、贖回與轉換股份及計算資產淨值」。</w:t>
      </w:r>
      <w:r>
        <w:rPr>
          <w:rFonts w:ascii="Arial" w:eastAsia="Arial" w:hAnsi="Arial" w:cs="Arial"/>
        </w:rPr>
        <w:t xml:space="preserve"> </w:t>
      </w:r>
    </w:p>
    <w:p w:rsidR="004D6F0E" w:rsidRDefault="00490F21">
      <w:pPr>
        <w:spacing w:after="63"/>
        <w:ind w:left="11" w:right="2"/>
      </w:pPr>
      <w:r>
        <w:t>轉讓</w:t>
      </w:r>
      <w:r>
        <w:rPr>
          <w:rFonts w:ascii="Arial" w:eastAsia="Arial" w:hAnsi="Arial" w:cs="Arial"/>
        </w:rPr>
        <w:t xml:space="preserve"> </w:t>
      </w:r>
    </w:p>
    <w:p w:rsidR="004D6F0E" w:rsidRDefault="00490F21">
      <w:pPr>
        <w:spacing w:after="55" w:line="273" w:lineRule="auto"/>
        <w:ind w:left="14" w:right="41"/>
        <w:jc w:val="both"/>
      </w:pPr>
      <w:r>
        <w:t>除下文及「附加資料</w:t>
      </w:r>
      <w:r>
        <w:rPr>
          <w:rFonts w:ascii="Arial" w:eastAsia="Arial" w:hAnsi="Arial" w:cs="Arial"/>
        </w:rPr>
        <w:t>—</w:t>
      </w:r>
      <w:r>
        <w:t>對所有權的限制」作出的限制外，所列股份可自由轉讓。未經管理公司同意，不得將股份轉讓予美國人士。實物贖回</w:t>
      </w:r>
      <w:r>
        <w:rPr>
          <w:rFonts w:ascii="Arial" w:eastAsia="Arial" w:hAnsi="Arial" w:cs="Arial"/>
        </w:rPr>
        <w:t xml:space="preserve"> </w:t>
      </w:r>
    </w:p>
    <w:p w:rsidR="004D6F0E" w:rsidRDefault="00490F21">
      <w:pPr>
        <w:spacing w:after="100"/>
        <w:ind w:left="11" w:right="2"/>
      </w:pPr>
      <w:r>
        <w:t>如果股東要求，管理公司可酌情以實物作出贖回。實物贖回的相關開支（主要是制訂核數師報告的有關成本）將由選擇該贖回方式的股東承擔，或在本傘子基金的量化惠利超過該核數師報告成本時，由本傘子基金承擔。在盡可能合理的情況下，實物贖回通常</w:t>
      </w:r>
      <w:r>
        <w:t>按本傘子基金持有的所有投資的比例作出（經考慮及／或保護本傘子基金的利益後）。</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D6F0E">
      <w:pPr>
        <w:sectPr w:rsidR="004D6F0E">
          <w:type w:val="continuous"/>
          <w:pgSz w:w="12240" w:h="15840"/>
          <w:pgMar w:top="1440" w:right="720" w:bottom="1440" w:left="432" w:header="720" w:footer="720" w:gutter="0"/>
          <w:cols w:num="2" w:space="720" w:equalWidth="0">
            <w:col w:w="5573" w:space="475"/>
            <w:col w:w="5040"/>
          </w:cols>
        </w:sectPr>
      </w:pPr>
    </w:p>
    <w:p w:rsidR="004D6F0E" w:rsidRDefault="00490F21">
      <w:pPr>
        <w:spacing w:after="0" w:line="259" w:lineRule="auto"/>
        <w:ind w:left="0" w:firstLine="0"/>
        <w:jc w:val="both"/>
      </w:pPr>
      <w:r>
        <w:rPr>
          <w:rFonts w:ascii="SimSun" w:eastAsia="SimSun" w:hAnsi="SimSun" w:cs="SimSun"/>
        </w:rPr>
        <w:t xml:space="preserve"> </w:t>
      </w:r>
    </w:p>
    <w:p w:rsidR="004D6F0E" w:rsidRDefault="004D6F0E">
      <w:pPr>
        <w:sectPr w:rsidR="004D6F0E">
          <w:type w:val="continuous"/>
          <w:pgSz w:w="12240" w:h="15840"/>
          <w:pgMar w:top="982" w:right="11713" w:bottom="1440" w:left="432" w:header="720" w:footer="720" w:gutter="0"/>
          <w:cols w:space="720"/>
        </w:sectPr>
      </w:pPr>
    </w:p>
    <w:p w:rsidR="004D6F0E" w:rsidRDefault="00490F21">
      <w:pPr>
        <w:spacing w:after="0" w:line="259" w:lineRule="auto"/>
        <w:ind w:left="0" w:firstLine="0"/>
        <w:jc w:val="both"/>
      </w:pPr>
      <w:r>
        <w:rPr>
          <w:rFonts w:ascii="SimSun" w:eastAsia="SimSun" w:hAnsi="SimSun" w:cs="SimSun"/>
          <w:sz w:val="20"/>
        </w:rPr>
        <w:t xml:space="preserve"> </w:t>
      </w:r>
    </w:p>
    <w:p w:rsidR="004D6F0E" w:rsidRDefault="004D6F0E">
      <w:pPr>
        <w:sectPr w:rsidR="004D6F0E">
          <w:type w:val="continuous"/>
          <w:pgSz w:w="12240" w:h="15840"/>
          <w:pgMar w:top="982" w:right="620" w:bottom="1440" w:left="11520" w:header="720" w:footer="720" w:gutter="0"/>
          <w:cols w:space="720"/>
        </w:sectPr>
      </w:pPr>
    </w:p>
    <w:p w:rsidR="004D6F0E" w:rsidRDefault="00490F21">
      <w:pPr>
        <w:pStyle w:val="Heading4"/>
        <w:spacing w:after="205"/>
        <w:ind w:left="14"/>
      </w:pPr>
      <w:r>
        <w:lastRenderedPageBreak/>
        <w:t>如何交換或轉換股份</w:t>
      </w:r>
      <w:r>
        <w:rPr>
          <w:rFonts w:ascii="Arial" w:eastAsia="Arial" w:hAnsi="Arial" w:cs="Arial"/>
        </w:rPr>
        <w:t xml:space="preserve"> </w:t>
      </w:r>
    </w:p>
    <w:p w:rsidR="004D6F0E" w:rsidRDefault="00490F21">
      <w:pPr>
        <w:spacing w:after="101"/>
        <w:ind w:left="11" w:right="2"/>
      </w:pPr>
      <w:r>
        <w:t>轉換本傘子基金及若干其他聯博基金內其他基金的股份</w:t>
      </w:r>
      <w:r>
        <w:rPr>
          <w:rFonts w:ascii="Arial" w:eastAsia="Arial" w:hAnsi="Arial" w:cs="Arial"/>
        </w:rPr>
        <w:t xml:space="preserve">  </w:t>
      </w:r>
      <w:r>
        <w:t>股東可選擇將股份與本傘子基金任何其他基金的同類股份或若干其他聯博基金的同類股份轉換。任何此類轉換均須遵守本認購章程所載有關透過轉換可取得的本傘子基金或其他聯博基金股份的最低投資額規定及任何其他適用條款。管理公司保留權利酌情豁免任何適用最低認購數額的規定。</w:t>
      </w:r>
      <w:r>
        <w:rPr>
          <w:rFonts w:ascii="Arial" w:eastAsia="Arial" w:hAnsi="Arial" w:cs="Arial"/>
        </w:rPr>
        <w:t xml:space="preserve"> </w:t>
      </w:r>
    </w:p>
    <w:p w:rsidR="004D6F0E" w:rsidRDefault="00490F21">
      <w:pPr>
        <w:spacing w:after="103"/>
        <w:ind w:left="11" w:right="2"/>
      </w:pPr>
      <w:r>
        <w:t>相關換股指示截止時間將為換股所涉及的兩檔聯博基金或股份類別中較早的指示截止時間。如果錯過該較早的換股指示截止時間，該項換股於該兩檔聯博基金下一個共同營業日之前不被視為已獲接納。管理公司或其代理人接獲並接受有效及完整的轉換指示後，轉換將在各種情況下按載列於</w:t>
      </w:r>
      <w:r>
        <w:t>「附加資料</w:t>
      </w:r>
      <w:r>
        <w:rPr>
          <w:rFonts w:ascii="Arial" w:eastAsia="Arial" w:hAnsi="Arial" w:cs="Arial"/>
        </w:rPr>
        <w:t>—</w:t>
      </w:r>
      <w:r>
        <w:t>股份資產淨值的釐定」的條款釐定的資產淨值進行。涉及其他聯博基金的轉換將透過贖回原有股份，以及認購及購買透過轉換所取得的股份進行。換股交易各方將於同一個交易日辦理換股。</w:t>
      </w:r>
      <w:r>
        <w:rPr>
          <w:rFonts w:ascii="Arial" w:eastAsia="Arial" w:hAnsi="Arial" w:cs="Arial"/>
        </w:rPr>
        <w:t xml:space="preserve"> </w:t>
      </w:r>
    </w:p>
    <w:p w:rsidR="004D6F0E" w:rsidRDefault="00490F21">
      <w:pPr>
        <w:spacing w:after="100"/>
        <w:ind w:left="11" w:right="2"/>
      </w:pPr>
      <w:r>
        <w:t>管理公司代表本傘子基金及分銷商保留權利（</w:t>
      </w:r>
      <w:r>
        <w:rPr>
          <w:rFonts w:ascii="Arial" w:eastAsia="Arial" w:hAnsi="Arial" w:cs="Arial"/>
        </w:rPr>
        <w:t>i</w:t>
      </w:r>
      <w:r>
        <w:t>）隨時拒絕透過轉換而取得股份的任何指示或（</w:t>
      </w:r>
      <w:r>
        <w:rPr>
          <w:rFonts w:ascii="Arial" w:eastAsia="Arial" w:hAnsi="Arial" w:cs="Arial"/>
        </w:rPr>
        <w:t>ii</w:t>
      </w:r>
      <w:r>
        <w:t>）向股東發出六十日的通知，隨時以其他方式全面修改、限制或終止轉換股份權利。</w:t>
      </w:r>
      <w:r>
        <w:rPr>
          <w:rFonts w:ascii="Arial" w:eastAsia="Arial" w:hAnsi="Arial" w:cs="Arial"/>
        </w:rPr>
        <w:t xml:space="preserve"> </w:t>
      </w:r>
    </w:p>
    <w:p w:rsidR="004D6F0E" w:rsidRDefault="00490F21">
      <w:pPr>
        <w:spacing w:after="103"/>
        <w:ind w:left="11" w:right="2"/>
      </w:pPr>
      <w:r>
        <w:t>就涉及附有或有遞延銷售費的股份類別的任何轉換指示而言，用於計算這贖回時（因轉換而獲得的股份）應支付的或有遞遲銷售費（如適用）的持有期間，將以原有股份購買日期為基準。於作出交換時購入的股份的或有遞延銷售費將根據購買原股份時有關的或有遞延銷售費表計算。此等限制在若干情況下可由管理公司代表本傘子基金全權酌情豁免。</w:t>
      </w:r>
      <w:r>
        <w:rPr>
          <w:rFonts w:ascii="Arial" w:eastAsia="Arial" w:hAnsi="Arial" w:cs="Arial"/>
        </w:rPr>
        <w:t xml:space="preserve"> </w:t>
      </w:r>
    </w:p>
    <w:p w:rsidR="004D6F0E" w:rsidRDefault="00490F21">
      <w:pPr>
        <w:spacing w:after="100"/>
        <w:ind w:left="11" w:right="2"/>
      </w:pPr>
      <w:r>
        <w:t>股份轉換將以特定方式進行，以使轉換所得股份獲贖回時，贖回價格將以股東的聯博基金帳戶的計價發售貨幣支付。倘股東將原有股份轉換為並非以股東的聯博基金帳戶計價發售貨幣計價的股份，則吾等將開立以另一種發售貨幣</w:t>
      </w:r>
      <w:r>
        <w:t>計價的另一個聯博基金帳戶，以便記錄有關股份。股東將獲發另一個聯博基金帳號並收取該帳戶的獨立帳戶結單。轉換同類股份但涉及不同貨幣的交易成本（如有），將在投資者因轉換而實現的股份數目中反映。</w:t>
      </w:r>
      <w:r>
        <w:rPr>
          <w:rFonts w:ascii="Arial" w:eastAsia="Arial" w:hAnsi="Arial" w:cs="Arial"/>
        </w:rPr>
        <w:t xml:space="preserve"> </w:t>
      </w:r>
    </w:p>
    <w:p w:rsidR="004D6F0E" w:rsidRDefault="00490F21">
      <w:pPr>
        <w:spacing w:after="111"/>
        <w:ind w:left="11" w:right="2"/>
      </w:pPr>
      <w:r>
        <w:t>有意轉換股份的投資者應聯絡其財務顧問或分銷商，以獲取有關轉換方法的更多資料。本傘子基金及管理公司目前概無就轉換收取任何行政管理或其他費用。然而，透過在交易商開立的帳戶持有股份的股東，應聯絡有關交易商以確定任何此類費用是否適用於有關轉換。</w:t>
      </w:r>
      <w:r>
        <w:rPr>
          <w:rFonts w:ascii="Arial" w:eastAsia="Arial" w:hAnsi="Arial" w:cs="Arial"/>
        </w:rPr>
        <w:t xml:space="preserve"> </w:t>
      </w:r>
    </w:p>
    <w:p w:rsidR="004D6F0E" w:rsidRDefault="00490F21">
      <w:pPr>
        <w:spacing w:after="115"/>
        <w:ind w:left="11" w:right="2"/>
      </w:pPr>
      <w:r>
        <w:t>轉換</w:t>
      </w:r>
      <w:r>
        <w:t xml:space="preserve"> </w:t>
      </w:r>
      <w:r>
        <w:rPr>
          <w:rFonts w:ascii="Arial" w:eastAsia="Arial" w:hAnsi="Arial" w:cs="Arial"/>
          <w:b/>
        </w:rPr>
        <w:t xml:space="preserve">CDSC </w:t>
      </w:r>
      <w:r>
        <w:t>股份</w:t>
      </w:r>
      <w:r>
        <w:rPr>
          <w:rFonts w:ascii="Arial" w:eastAsia="Arial" w:hAnsi="Arial" w:cs="Arial"/>
          <w:b/>
        </w:rPr>
        <w:t xml:space="preserve"> </w:t>
      </w:r>
    </w:p>
    <w:p w:rsidR="004D6F0E" w:rsidRDefault="00490F21">
      <w:pPr>
        <w:spacing w:after="3" w:line="369" w:lineRule="auto"/>
        <w:ind w:left="-15" w:right="1780" w:firstLine="3"/>
      </w:pPr>
      <w:r>
        <w:t>轉換</w:t>
      </w:r>
      <w:r>
        <w:t xml:space="preserve"> </w:t>
      </w:r>
      <w:r>
        <w:rPr>
          <w:rFonts w:ascii="Arial" w:eastAsia="Arial" w:hAnsi="Arial" w:cs="Arial"/>
          <w:b/>
        </w:rPr>
        <w:t xml:space="preserve">B </w:t>
      </w:r>
      <w:r>
        <w:t>類</w:t>
      </w:r>
      <w:r>
        <w:t xml:space="preserve"> </w:t>
      </w:r>
      <w:r>
        <w:rPr>
          <w:rFonts w:ascii="Arial" w:eastAsia="Arial" w:hAnsi="Arial" w:cs="Arial"/>
          <w:b/>
        </w:rPr>
        <w:t xml:space="preserve">CDSC </w:t>
      </w:r>
      <w:r>
        <w:t>股份</w:t>
      </w:r>
      <w:r>
        <w:rPr>
          <w:sz w:val="20"/>
          <w:u w:val="single" w:color="000000"/>
        </w:rPr>
        <w:t>根據股東的選擇轉換</w:t>
      </w:r>
      <w:r>
        <w:rPr>
          <w:rFonts w:ascii="Arial" w:eastAsia="Arial" w:hAnsi="Arial" w:cs="Arial"/>
          <w:i/>
        </w:rPr>
        <w:t xml:space="preserve"> </w:t>
      </w:r>
    </w:p>
    <w:p w:rsidR="004D6F0E" w:rsidRDefault="00490F21">
      <w:pPr>
        <w:spacing w:after="102" w:line="273" w:lineRule="auto"/>
        <w:ind w:left="14" w:right="41"/>
        <w:jc w:val="both"/>
      </w:pPr>
      <w:r>
        <w:t>根據第</w:t>
      </w:r>
      <w:r>
        <w:t xml:space="preserve"> </w:t>
      </w:r>
      <w:r>
        <w:rPr>
          <w:rFonts w:ascii="Arial" w:eastAsia="Arial" w:hAnsi="Arial" w:cs="Arial"/>
        </w:rPr>
        <w:t xml:space="preserve">I </w:t>
      </w:r>
      <w:r>
        <w:t>部分的規定具有轉換權的</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股份」）股東，在持有此等合資格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股份若干年份（第</w:t>
      </w:r>
      <w:r>
        <w:t xml:space="preserve"> </w:t>
      </w:r>
      <w:r>
        <w:rPr>
          <w:rFonts w:ascii="Arial" w:eastAsia="Arial" w:hAnsi="Arial" w:cs="Arial"/>
        </w:rPr>
        <w:t xml:space="preserve">I </w:t>
      </w:r>
      <w:r>
        <w:t>部分規定的年份）之後，將有權根據第</w:t>
      </w:r>
      <w:r>
        <w:t xml:space="preserve"> </w:t>
      </w:r>
      <w:r>
        <w:rPr>
          <w:rFonts w:ascii="Arial" w:eastAsia="Arial" w:hAnsi="Arial" w:cs="Arial"/>
        </w:rPr>
        <w:t xml:space="preserve">I </w:t>
      </w:r>
      <w:r>
        <w:t>部分的規定，將此等合資格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股份轉換成相同基金其他類別的股份，本傘子基金和管理公司均不會因此收取費用。除下文另有論述外，轉換僅可根據此等合資格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股份的註冊股東（即本傘子基金股東名冊上的合資格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股份擁有人）的選擇辦理。因此，透過金融中介人帳戶持有合資格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股份的投資者應與該金融中介人接洽，了解轉換合資格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股份的詳細資料。</w:t>
      </w:r>
      <w:r>
        <w:rPr>
          <w:rFonts w:ascii="Arial" w:eastAsia="Arial" w:hAnsi="Arial" w:cs="Arial"/>
        </w:rPr>
        <w:t xml:space="preserve"> </w:t>
      </w:r>
    </w:p>
    <w:p w:rsidR="004D6F0E" w:rsidRDefault="00490F21">
      <w:pPr>
        <w:spacing w:after="100" w:line="259" w:lineRule="auto"/>
        <w:ind w:left="-15" w:right="1780" w:firstLine="3"/>
      </w:pPr>
      <w:r>
        <w:rPr>
          <w:sz w:val="20"/>
          <w:u w:val="single" w:color="000000"/>
        </w:rPr>
        <w:t>自動轉換</w:t>
      </w:r>
      <w:r>
        <w:rPr>
          <w:rFonts w:ascii="Arial" w:eastAsia="Arial" w:hAnsi="Arial" w:cs="Arial"/>
          <w:i/>
        </w:rPr>
        <w:t xml:space="preserve"> </w:t>
      </w:r>
    </w:p>
    <w:p w:rsidR="004D6F0E" w:rsidRDefault="00490F21">
      <w:pPr>
        <w:spacing w:after="102"/>
        <w:ind w:left="11" w:right="2"/>
      </w:pPr>
      <w:r>
        <w:t>從二零二一年一月起，以單一投資者名義（及並非於綜合帳戶）持有的合資格</w:t>
      </w:r>
      <w:r>
        <w:rPr>
          <w:rFonts w:ascii="Arial" w:eastAsia="Arial" w:hAnsi="Arial" w:cs="Arial"/>
        </w:rPr>
        <w:t>B</w:t>
      </w:r>
      <w:r>
        <w:t>類</w:t>
      </w:r>
      <w:r>
        <w:rPr>
          <w:rFonts w:ascii="Arial" w:eastAsia="Arial" w:hAnsi="Arial" w:cs="Arial"/>
        </w:rPr>
        <w:t>CDSC</w:t>
      </w:r>
      <w:r>
        <w:t>股份，在持有此等合資格</w:t>
      </w:r>
      <w:r>
        <w:rPr>
          <w:rFonts w:ascii="Arial" w:eastAsia="Arial" w:hAnsi="Arial" w:cs="Arial"/>
        </w:rPr>
        <w:t>B</w:t>
      </w:r>
      <w:r>
        <w:t>類</w:t>
      </w:r>
      <w:r>
        <w:rPr>
          <w:rFonts w:ascii="Arial" w:eastAsia="Arial" w:hAnsi="Arial" w:cs="Arial"/>
        </w:rPr>
        <w:t xml:space="preserve">CDSC </w:t>
      </w:r>
      <w:r>
        <w:t>股份若干年份（第</w:t>
      </w:r>
      <w:r>
        <w:t xml:space="preserve"> </w:t>
      </w:r>
      <w:r>
        <w:rPr>
          <w:rFonts w:ascii="Arial" w:eastAsia="Arial" w:hAnsi="Arial" w:cs="Arial"/>
        </w:rPr>
        <w:t xml:space="preserve">I </w:t>
      </w:r>
      <w:r>
        <w:t>部分規定的年份）之後，將根據第</w:t>
      </w:r>
      <w:r>
        <w:t xml:space="preserve"> </w:t>
      </w:r>
      <w:r>
        <w:rPr>
          <w:rFonts w:ascii="Arial" w:eastAsia="Arial" w:hAnsi="Arial" w:cs="Arial"/>
        </w:rPr>
        <w:t xml:space="preserve">I </w:t>
      </w:r>
      <w:r>
        <w:t>部分的規定，自動轉換成相同基金其他類別的股份。透過金融中介人於綜合帳戶持有的股份（其相關投資者的帳目紀錄乃由該金融中介人管理），將繼續按照該綜合帳戶登記擁有人的</w:t>
      </w:r>
      <w:r>
        <w:t>指示轉換。</w:t>
      </w:r>
      <w:r>
        <w:rPr>
          <w:rFonts w:ascii="Arial" w:eastAsia="Arial" w:hAnsi="Arial" w:cs="Arial"/>
        </w:rPr>
        <w:t xml:space="preserve"> </w:t>
      </w:r>
    </w:p>
    <w:p w:rsidR="004D6F0E" w:rsidRDefault="00490F21">
      <w:pPr>
        <w:spacing w:after="102" w:line="273" w:lineRule="auto"/>
        <w:ind w:left="14" w:right="41"/>
        <w:jc w:val="both"/>
      </w:pPr>
      <w:r>
        <w:t>儘管上文有任何規定，從生效日期起（定義見下文），由居住於台灣的股東持有的合資格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股份，在持有此等合資格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股份若干年份（第</w:t>
      </w:r>
      <w:r>
        <w:t xml:space="preserve"> </w:t>
      </w:r>
      <w:r>
        <w:rPr>
          <w:rFonts w:ascii="Arial" w:eastAsia="Arial" w:hAnsi="Arial" w:cs="Arial"/>
        </w:rPr>
        <w:t xml:space="preserve">I </w:t>
      </w:r>
      <w:r>
        <w:t>部分規定的年份）之後，將根據第</w:t>
      </w:r>
      <w:r>
        <w:t xml:space="preserve"> </w:t>
      </w:r>
      <w:r>
        <w:rPr>
          <w:rFonts w:ascii="Arial" w:eastAsia="Arial" w:hAnsi="Arial" w:cs="Arial"/>
        </w:rPr>
        <w:t xml:space="preserve">I </w:t>
      </w:r>
      <w:r>
        <w:t>部分的規定，自動轉換成相同基金其他類別的股份。就此而言的生效日期為二零一六年四月三十日或帳戶持有人／金融中介人實施必要的相關升級以處理自動轉換所需的較後日期。</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轉換</w:t>
      </w:r>
      <w:r>
        <w:t xml:space="preserve"> </w:t>
      </w:r>
      <w:r>
        <w:rPr>
          <w:rFonts w:ascii="Arial" w:eastAsia="Arial" w:hAnsi="Arial" w:cs="Arial"/>
          <w:b/>
        </w:rPr>
        <w:t xml:space="preserve">E </w:t>
      </w:r>
      <w:r>
        <w:t>類</w:t>
      </w:r>
      <w:r>
        <w:t xml:space="preserve"> </w:t>
      </w:r>
      <w:r>
        <w:rPr>
          <w:rFonts w:ascii="Arial" w:eastAsia="Arial" w:hAnsi="Arial" w:cs="Arial"/>
          <w:b/>
        </w:rPr>
        <w:t xml:space="preserve">CDSC </w:t>
      </w:r>
      <w:r>
        <w:t>股份</w:t>
      </w:r>
      <w:r>
        <w:rPr>
          <w:rFonts w:ascii="Arial" w:eastAsia="Arial" w:hAnsi="Arial" w:cs="Arial"/>
          <w:b/>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spacing w:after="3" w:line="259" w:lineRule="auto"/>
        <w:ind w:left="-15" w:right="1780" w:firstLine="3"/>
      </w:pPr>
      <w:r>
        <w:rPr>
          <w:sz w:val="20"/>
          <w:u w:val="single" w:color="000000"/>
        </w:rPr>
        <w:t>自動轉換</w:t>
      </w:r>
      <w:r>
        <w:rPr>
          <w:rFonts w:ascii="Arial" w:eastAsia="Arial" w:hAnsi="Arial" w:cs="Arial"/>
          <w:i/>
          <w:u w:val="single" w:color="000000"/>
        </w:rPr>
        <w:t xml:space="preserve"> </w:t>
      </w:r>
      <w:r>
        <w:rPr>
          <w:rFonts w:ascii="Arial" w:eastAsia="Arial" w:hAnsi="Arial" w:cs="Arial"/>
          <w:i/>
        </w:rPr>
        <w:t xml:space="preserve"> </w:t>
      </w:r>
    </w:p>
    <w:p w:rsidR="004D6F0E" w:rsidRDefault="00490F21">
      <w:pPr>
        <w:ind w:left="11" w:right="2"/>
      </w:pPr>
      <w:r>
        <w:rPr>
          <w:rFonts w:ascii="Arial" w:eastAsia="Arial" w:hAnsi="Arial" w:cs="Arial"/>
        </w:rPr>
        <w:t xml:space="preserve">E </w:t>
      </w:r>
      <w:r>
        <w:t>類</w:t>
      </w:r>
      <w:r>
        <w:t xml:space="preserve"> </w:t>
      </w:r>
      <w:r>
        <w:rPr>
          <w:rFonts w:ascii="Arial" w:eastAsia="Arial" w:hAnsi="Arial" w:cs="Arial"/>
        </w:rPr>
        <w:t xml:space="preserve">CDSC </w:t>
      </w:r>
      <w:r>
        <w:t>股份如屬直接持有，在持有該等</w:t>
      </w:r>
      <w:r>
        <w:t xml:space="preserve"> </w:t>
      </w:r>
      <w:r>
        <w:rPr>
          <w:rFonts w:ascii="Arial" w:eastAsia="Arial" w:hAnsi="Arial" w:cs="Arial"/>
        </w:rPr>
        <w:t xml:space="preserve">E </w:t>
      </w:r>
      <w:r>
        <w:t>類</w:t>
      </w:r>
      <w:r>
        <w:t xml:space="preserve"> </w:t>
      </w:r>
      <w:r>
        <w:rPr>
          <w:rFonts w:ascii="Arial" w:eastAsia="Arial" w:hAnsi="Arial" w:cs="Arial"/>
        </w:rPr>
        <w:t xml:space="preserve">CDSC </w:t>
      </w:r>
      <w:r>
        <w:t>股份若干年份（第</w:t>
      </w:r>
      <w:r>
        <w:t xml:space="preserve"> </w:t>
      </w:r>
      <w:r>
        <w:rPr>
          <w:rFonts w:ascii="Arial" w:eastAsia="Arial" w:hAnsi="Arial" w:cs="Arial"/>
        </w:rPr>
        <w:t xml:space="preserve">I </w:t>
      </w:r>
      <w:r>
        <w:t>部分規定的年份）之後，將根據第</w:t>
      </w:r>
      <w:r>
        <w:t xml:space="preserve"> </w:t>
      </w:r>
      <w:r>
        <w:rPr>
          <w:rFonts w:ascii="Arial" w:eastAsia="Arial" w:hAnsi="Arial" w:cs="Arial"/>
        </w:rPr>
        <w:t xml:space="preserve">I </w:t>
      </w:r>
      <w:r>
        <w:t>部分的規</w:t>
      </w:r>
    </w:p>
    <w:p w:rsidR="004D6F0E" w:rsidRDefault="00490F21">
      <w:pPr>
        <w:ind w:left="11" w:right="2"/>
      </w:pPr>
      <w:r>
        <w:t>定，自動轉換成相同基金其他類別的股份。</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8" w:line="273" w:lineRule="auto"/>
        <w:ind w:left="14" w:right="41"/>
        <w:jc w:val="both"/>
      </w:pPr>
      <w:r>
        <w:rPr>
          <w:rFonts w:ascii="Arial" w:eastAsia="Arial" w:hAnsi="Arial" w:cs="Arial"/>
        </w:rPr>
        <w:t xml:space="preserve">E </w:t>
      </w:r>
      <w:r>
        <w:t>類</w:t>
      </w:r>
      <w:r>
        <w:t xml:space="preserve"> </w:t>
      </w:r>
      <w:r>
        <w:rPr>
          <w:rFonts w:ascii="Arial" w:eastAsia="Arial" w:hAnsi="Arial" w:cs="Arial"/>
        </w:rPr>
        <w:t xml:space="preserve">CDSC </w:t>
      </w:r>
      <w:r>
        <w:t>股份如透過金融中介人於綜合帳戶持有（其相關投資者的帳目記錄乃由該金融中介人管理），在持有該等</w:t>
      </w:r>
      <w:r>
        <w:t xml:space="preserve"> </w:t>
      </w:r>
      <w:r>
        <w:rPr>
          <w:rFonts w:ascii="Arial" w:eastAsia="Arial" w:hAnsi="Arial" w:cs="Arial"/>
        </w:rPr>
        <w:t xml:space="preserve">E </w:t>
      </w:r>
      <w:r>
        <w:t>類</w:t>
      </w:r>
      <w:r>
        <w:t xml:space="preserve"> </w:t>
      </w:r>
      <w:r>
        <w:rPr>
          <w:rFonts w:ascii="Arial" w:eastAsia="Arial" w:hAnsi="Arial" w:cs="Arial"/>
        </w:rPr>
        <w:t xml:space="preserve">CDSC </w:t>
      </w:r>
      <w:r>
        <w:t>股份若干年份（第</w:t>
      </w:r>
      <w:r>
        <w:t xml:space="preserve"> </w:t>
      </w:r>
      <w:r>
        <w:rPr>
          <w:rFonts w:ascii="Arial" w:eastAsia="Arial" w:hAnsi="Arial" w:cs="Arial"/>
        </w:rPr>
        <w:t xml:space="preserve">I </w:t>
      </w:r>
      <w:r>
        <w:t>部分規定的年份）後，將按照該綜</w:t>
      </w:r>
    </w:p>
    <w:p w:rsidR="004D6F0E" w:rsidRDefault="00490F21">
      <w:pPr>
        <w:ind w:left="11" w:right="2"/>
      </w:pPr>
      <w:r>
        <w:t>合帳戶登記擁有人的指示轉換。</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股東應諮詢其金融中介人，以了解有關轉換的其他資料。</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111"/>
        <w:ind w:left="11" w:right="2"/>
      </w:pPr>
      <w:r>
        <w:t>稅務</w:t>
      </w:r>
      <w:r>
        <w:rPr>
          <w:rFonts w:ascii="Arial" w:eastAsia="Arial" w:hAnsi="Arial" w:cs="Arial"/>
          <w:b/>
        </w:rPr>
        <w:t xml:space="preserve"> </w:t>
      </w:r>
    </w:p>
    <w:p w:rsidR="004D6F0E" w:rsidRDefault="00490F21">
      <w:pPr>
        <w:spacing w:after="143"/>
        <w:ind w:left="11" w:right="2"/>
      </w:pPr>
      <w:r>
        <w:t>轉換合資格</w:t>
      </w:r>
      <w:r>
        <w:t xml:space="preserve"> </w:t>
      </w:r>
      <w:r>
        <w:rPr>
          <w:rFonts w:ascii="Arial" w:eastAsia="Arial" w:hAnsi="Arial" w:cs="Arial"/>
        </w:rPr>
        <w:t xml:space="preserve">B </w:t>
      </w:r>
      <w:r>
        <w:t>類</w:t>
      </w:r>
      <w:r>
        <w:t xml:space="preserve"> </w:t>
      </w:r>
      <w:r>
        <w:rPr>
          <w:rFonts w:ascii="Arial" w:eastAsia="Arial" w:hAnsi="Arial" w:cs="Arial"/>
        </w:rPr>
        <w:t xml:space="preserve">CDSC </w:t>
      </w:r>
      <w:r>
        <w:t>股份和</w:t>
      </w:r>
      <w:r>
        <w:t xml:space="preserve"> </w:t>
      </w:r>
      <w:r>
        <w:rPr>
          <w:rFonts w:ascii="Arial" w:eastAsia="Arial" w:hAnsi="Arial" w:cs="Arial"/>
        </w:rPr>
        <w:t xml:space="preserve">E </w:t>
      </w:r>
      <w:r>
        <w:t>類</w:t>
      </w:r>
      <w:r>
        <w:t xml:space="preserve"> </w:t>
      </w:r>
      <w:r>
        <w:rPr>
          <w:rFonts w:ascii="Arial" w:eastAsia="Arial" w:hAnsi="Arial" w:cs="Arial"/>
        </w:rPr>
        <w:t xml:space="preserve">CDSC </w:t>
      </w:r>
      <w:r>
        <w:t>股份可能於若干司法管轄區使股東產生稅務責任。股東應諮詢彼等的稅務顧問，以了解根據彼等所在司法管轄區的法律進行此等轉換的稅務影響。</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b/>
          <w:sz w:val="24"/>
        </w:rPr>
        <w:t xml:space="preserve"> </w:t>
      </w:r>
    </w:p>
    <w:p w:rsidR="004D6F0E" w:rsidRDefault="004D6F0E">
      <w:pPr>
        <w:sectPr w:rsidR="004D6F0E">
          <w:type w:val="continuous"/>
          <w:pgSz w:w="12240" w:h="15840"/>
          <w:pgMar w:top="1440" w:right="624" w:bottom="1440" w:left="419" w:header="720" w:footer="720" w:gutter="0"/>
          <w:cols w:num="2" w:space="720" w:equalWidth="0">
            <w:col w:w="5434" w:space="614"/>
            <w:col w:w="5149"/>
          </w:cols>
        </w:sectPr>
      </w:pPr>
    </w:p>
    <w:p w:rsidR="004D6F0E" w:rsidRDefault="00490F21">
      <w:pPr>
        <w:pStyle w:val="Heading3"/>
        <w:spacing w:after="144" w:line="257" w:lineRule="auto"/>
        <w:ind w:left="8"/>
      </w:pPr>
      <w:r>
        <w:rPr>
          <w:sz w:val="24"/>
        </w:rPr>
        <w:t>資產淨值的釐定</w:t>
      </w:r>
      <w:r>
        <w:rPr>
          <w:rFonts w:ascii="Arial" w:eastAsia="Arial" w:hAnsi="Arial" w:cs="Arial"/>
          <w:sz w:val="19"/>
        </w:rPr>
        <w:t xml:space="preserve"> </w:t>
      </w:r>
    </w:p>
    <w:p w:rsidR="004D6F0E" w:rsidRDefault="00490F21">
      <w:pPr>
        <w:spacing w:after="100"/>
        <w:ind w:left="11" w:right="2"/>
      </w:pPr>
      <w:r>
        <w:t>各類股份的每股資產淨值（以基金的貨幣及任何其他發售貨幣計值）將由管理公司於各營業日的美國東部時間下午</w:t>
      </w:r>
      <w:r>
        <w:t xml:space="preserve"> </w:t>
      </w:r>
      <w:r>
        <w:rPr>
          <w:rFonts w:ascii="Arial" w:eastAsia="Arial" w:hAnsi="Arial" w:cs="Arial"/>
        </w:rPr>
        <w:t xml:space="preserve">4:00 </w:t>
      </w:r>
      <w:r>
        <w:t>釐定。惟在可行情況下，投資收入、應付利息、費用及其他負債（包括管理費）將按日累計。</w:t>
      </w:r>
      <w:r>
        <w:rPr>
          <w:rFonts w:ascii="Arial" w:eastAsia="Arial" w:hAnsi="Arial" w:cs="Arial"/>
        </w:rPr>
        <w:t xml:space="preserve"> </w:t>
      </w:r>
    </w:p>
    <w:p w:rsidR="004D6F0E" w:rsidRDefault="00490F21">
      <w:pPr>
        <w:spacing w:after="102"/>
        <w:ind w:left="11" w:right="2"/>
      </w:pPr>
      <w:r>
        <w:t>在所有情況下，各類股份的每股資產淨值釐定方式為：於各營業日從各項基金適當分配予相關類別股份的資產總值扣減相關基金適當分配予該類別股份的負債後，除以該類別於當日已發行的股份的總數。基金下各類股份的每股資產淨值可能因相關基金各類股份的應計費用不同而各異。</w:t>
      </w:r>
      <w:r>
        <w:rPr>
          <w:rFonts w:ascii="Arial" w:eastAsia="Arial" w:hAnsi="Arial" w:cs="Arial"/>
        </w:rPr>
        <w:t xml:space="preserve"> </w:t>
      </w:r>
    </w:p>
    <w:p w:rsidR="004D6F0E" w:rsidRDefault="00490F21">
      <w:pPr>
        <w:spacing w:after="101"/>
        <w:ind w:left="11" w:right="2"/>
      </w:pPr>
      <w:r>
        <w:t>就已有現成市場報價的證券而言，基金所持證券的市值將按下列方式釐定：</w:t>
      </w:r>
      <w:r>
        <w:rPr>
          <w:rFonts w:ascii="Arial" w:eastAsia="Arial" w:hAnsi="Arial" w:cs="Arial"/>
        </w:rPr>
        <w:t xml:space="preserve"> </w:t>
      </w:r>
    </w:p>
    <w:p w:rsidR="004D6F0E" w:rsidRDefault="00490F21">
      <w:pPr>
        <w:numPr>
          <w:ilvl w:val="0"/>
          <w:numId w:val="23"/>
        </w:numPr>
        <w:spacing w:after="104"/>
        <w:ind w:left="429" w:right="2" w:hanging="427"/>
      </w:pPr>
      <w:r>
        <w:t>於交易所上市的證券，按該估值的營業日交易所收市時統一自動行情顯示帶上所示的最後售價估值。如該日並無出售相關證券，則按該日最後買盤價與賣盤價的中間值進行估值。如該日並無買盤價和賣盤價的報價，</w:t>
      </w:r>
      <w:r>
        <w:t>則由管理公司真誠地按公平價值或按管理公司釐定的程序對證券進行估值；</w:t>
      </w:r>
      <w:r>
        <w:rPr>
          <w:rFonts w:ascii="Arial" w:eastAsia="Arial" w:hAnsi="Arial" w:cs="Arial"/>
        </w:rPr>
        <w:t xml:space="preserve"> </w:t>
      </w:r>
    </w:p>
    <w:p w:rsidR="004D6F0E" w:rsidRDefault="00490F21">
      <w:pPr>
        <w:numPr>
          <w:ilvl w:val="0"/>
          <w:numId w:val="23"/>
        </w:numPr>
        <w:spacing w:after="103"/>
        <w:ind w:left="429" w:right="2" w:hanging="427"/>
      </w:pPr>
      <w:r>
        <w:t>在多於一家交易所買賣的證券，按上文</w:t>
      </w:r>
      <w:r>
        <w:rPr>
          <w:rFonts w:ascii="Arial" w:eastAsia="Arial" w:hAnsi="Arial" w:cs="Arial"/>
        </w:rPr>
        <w:t>(a)</w:t>
      </w:r>
      <w:r>
        <w:t>段並參考證券上市買賣的主要交易所進行估值；</w:t>
      </w:r>
      <w:r>
        <w:rPr>
          <w:rFonts w:ascii="Arial" w:eastAsia="Arial" w:hAnsi="Arial" w:cs="Arial"/>
        </w:rPr>
        <w:t xml:space="preserve"> </w:t>
      </w:r>
    </w:p>
    <w:p w:rsidR="004D6F0E" w:rsidRDefault="00490F21">
      <w:pPr>
        <w:numPr>
          <w:ilvl w:val="0"/>
          <w:numId w:val="23"/>
        </w:numPr>
        <w:spacing w:after="101"/>
        <w:ind w:left="429" w:right="2" w:hanging="427"/>
      </w:pPr>
      <w:r>
        <w:t>於場外市場買賣的證券，包括在交易所上市但其第一市場被視為場外市場（不包括在納斯達克證券市場有限公司（「納斯達克」）買賣的證券）的證券，按當前買盤價與賣盤價的中間值進行估值；</w:t>
      </w:r>
      <w:r>
        <w:rPr>
          <w:rFonts w:ascii="Arial" w:eastAsia="Arial" w:hAnsi="Arial" w:cs="Arial"/>
        </w:rPr>
        <w:t xml:space="preserve"> </w:t>
      </w:r>
    </w:p>
    <w:p w:rsidR="004D6F0E" w:rsidRDefault="00490F21">
      <w:pPr>
        <w:numPr>
          <w:ilvl w:val="0"/>
          <w:numId w:val="23"/>
        </w:numPr>
        <w:spacing w:after="102"/>
        <w:ind w:left="429" w:right="2" w:hanging="427"/>
      </w:pPr>
      <w:r>
        <w:t>於納斯達克買賣的證券則按納斯達克的正式收市價進行估值；</w:t>
      </w:r>
      <w:r>
        <w:rPr>
          <w:rFonts w:ascii="Arial" w:eastAsia="Arial" w:hAnsi="Arial" w:cs="Arial"/>
        </w:rPr>
        <w:t xml:space="preserve"> </w:t>
      </w:r>
    </w:p>
    <w:p w:rsidR="004D6F0E" w:rsidRDefault="00490F21">
      <w:pPr>
        <w:numPr>
          <w:ilvl w:val="0"/>
          <w:numId w:val="23"/>
        </w:numPr>
        <w:spacing w:after="100"/>
        <w:ind w:left="429" w:right="2" w:hanging="427"/>
      </w:pPr>
      <w:r>
        <w:t>某基金所購買的上市認沽期權或認購期權按最後售價估值。如該日並無出售相關證券，則按當日的收市最後買盤價進行估值；</w:t>
      </w:r>
      <w:r>
        <w:rPr>
          <w:rFonts w:ascii="Arial" w:eastAsia="Arial" w:hAnsi="Arial" w:cs="Arial"/>
        </w:rPr>
        <w:t xml:space="preserve"> </w:t>
      </w:r>
    </w:p>
    <w:p w:rsidR="004D6F0E" w:rsidRDefault="00490F21">
      <w:pPr>
        <w:numPr>
          <w:ilvl w:val="0"/>
          <w:numId w:val="23"/>
        </w:numPr>
        <w:spacing w:after="107"/>
        <w:ind w:left="429" w:right="2" w:hanging="427"/>
      </w:pPr>
      <w:r>
        <w:t>相關的未</w:t>
      </w:r>
      <w:r>
        <w:t>平倉期貨合約及其期權乃採用收市平倉價格進行估值，或如無收市平倉價格，則採用最近期所報的買盤價。如估值當日並無報價，則採用最後可得的收市平倉價格；</w:t>
      </w:r>
      <w:r>
        <w:rPr>
          <w:rFonts w:ascii="Arial" w:eastAsia="Arial" w:hAnsi="Arial" w:cs="Arial"/>
        </w:rPr>
        <w:t xml:space="preserve"> </w:t>
      </w:r>
    </w:p>
    <w:p w:rsidR="004D6F0E" w:rsidRDefault="00490F21">
      <w:pPr>
        <w:numPr>
          <w:ilvl w:val="0"/>
          <w:numId w:val="23"/>
        </w:numPr>
        <w:spacing w:after="100"/>
        <w:ind w:left="429" w:right="2" w:hanging="427"/>
      </w:pPr>
      <w:r>
        <w:t>就距離到期日餘下</w:t>
      </w:r>
      <w:r>
        <w:t xml:space="preserve"> </w:t>
      </w:r>
      <w:r>
        <w:rPr>
          <w:rFonts w:ascii="Arial" w:eastAsia="Arial" w:hAnsi="Arial" w:cs="Arial"/>
        </w:rPr>
        <w:t xml:space="preserve">60 </w:t>
      </w:r>
      <w:r>
        <w:t>日或以下的美國政府證券及其他債務工具而言，如有可用市價，則一般由獨立定價供應商按市價估值。如並無可用市價，則該等證券按攤銷成本估值。此方法適用於初始到期日為</w:t>
      </w:r>
      <w:r>
        <w:t xml:space="preserve"> </w:t>
      </w:r>
      <w:r>
        <w:rPr>
          <w:rFonts w:ascii="Arial" w:eastAsia="Arial" w:hAnsi="Arial" w:cs="Arial"/>
        </w:rPr>
        <w:t xml:space="preserve">60 </w:t>
      </w:r>
      <w:r>
        <w:t>日或以下的短期證券，以及初始到期日超過</w:t>
      </w:r>
      <w:r>
        <w:t xml:space="preserve"> </w:t>
      </w:r>
      <w:r>
        <w:rPr>
          <w:rFonts w:ascii="Arial" w:eastAsia="Arial" w:hAnsi="Arial" w:cs="Arial"/>
        </w:rPr>
        <w:t xml:space="preserve">60 </w:t>
      </w:r>
      <w:r>
        <w:t>日的短期證券。如採用攤銷成本，管理公司必須合理地斷定所採用的攤銷成本與該證券的公平價值相若。管理公司將考慮的因素包括但不限於發行人</w:t>
      </w:r>
      <w:r>
        <w:t>的信貸水平有否受損或利率是否有重大變動；</w:t>
      </w:r>
      <w:r>
        <w:rPr>
          <w:rFonts w:ascii="Arial" w:eastAsia="Arial" w:hAnsi="Arial" w:cs="Arial"/>
        </w:rPr>
        <w:t xml:space="preserve"> </w:t>
      </w:r>
    </w:p>
    <w:p w:rsidR="004D6F0E" w:rsidRDefault="00490F21">
      <w:pPr>
        <w:numPr>
          <w:ilvl w:val="0"/>
          <w:numId w:val="23"/>
        </w:numPr>
        <w:spacing w:after="102"/>
        <w:ind w:left="429" w:right="2" w:hanging="427"/>
      </w:pPr>
      <w:r>
        <w:t>固定收益證券乃按主要市場製造者所報的最近買盤價進行估值；</w:t>
      </w:r>
      <w:r>
        <w:rPr>
          <w:rFonts w:ascii="Arial" w:eastAsia="Arial" w:hAnsi="Arial" w:cs="Arial"/>
        </w:rPr>
        <w:t xml:space="preserve"> </w:t>
      </w:r>
    </w:p>
    <w:p w:rsidR="004D6F0E" w:rsidRDefault="00490F21">
      <w:pPr>
        <w:numPr>
          <w:ilvl w:val="0"/>
          <w:numId w:val="23"/>
        </w:numPr>
        <w:spacing w:after="103"/>
        <w:ind w:left="429" w:right="2" w:hanging="427"/>
      </w:pPr>
      <w:r>
        <w:t>按揭抵押及資產抵押證券可按反映該等證券的市值並由債券定價服務所提供的價格或可反映該等證券的市值並由一名或多名該等證券的主要經紀交易人所提供的價格，在相關價格被視為可反映該等證券的公平市值時進行估值。倘取得經紀交易人的報價，投資管理人可制定程序，並根據該程序利用市場收益率或差價的變動對最近期獲取的證券所報買盤價每日進行調整；</w:t>
      </w:r>
      <w:r>
        <w:rPr>
          <w:rFonts w:ascii="Arial" w:eastAsia="Arial" w:hAnsi="Arial" w:cs="Arial"/>
        </w:rPr>
        <w:t xml:space="preserve"> </w:t>
      </w:r>
    </w:p>
    <w:p w:rsidR="004D6F0E" w:rsidRDefault="00490F21">
      <w:pPr>
        <w:numPr>
          <w:ilvl w:val="0"/>
          <w:numId w:val="23"/>
        </w:numPr>
        <w:ind w:left="429" w:right="2" w:hanging="427"/>
      </w:pPr>
      <w:r>
        <w:t>場外及其他衍生工具按相關證券的主要經紀交易人的報價或差價進行估值；及</w:t>
      </w: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II-8</w:t>
      </w:r>
      <w:r>
        <w:rPr>
          <w:rFonts w:ascii="Times New Roman" w:eastAsia="Times New Roman" w:hAnsi="Times New Roman" w:cs="Times New Roman"/>
          <w:sz w:val="18"/>
        </w:rPr>
        <w:t xml:space="preserve"> </w:t>
      </w:r>
    </w:p>
    <w:p w:rsidR="004D6F0E" w:rsidRDefault="00490F21">
      <w:pPr>
        <w:spacing w:after="0" w:line="259" w:lineRule="auto"/>
        <w:ind w:left="0" w:right="160" w:firstLine="0"/>
        <w:jc w:val="right"/>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489" w:line="259" w:lineRule="auto"/>
        <w:ind w:left="0" w:right="54" w:firstLine="0"/>
        <w:jc w:val="right"/>
      </w:pPr>
      <w:r>
        <w:rPr>
          <w:rFonts w:ascii="Arial" w:eastAsia="Arial" w:hAnsi="Arial" w:cs="Arial"/>
          <w:sz w:val="20"/>
        </w:rPr>
        <w:t xml:space="preserve"> </w:t>
      </w:r>
    </w:p>
    <w:p w:rsidR="004D6F0E" w:rsidRDefault="00490F21">
      <w:pPr>
        <w:numPr>
          <w:ilvl w:val="0"/>
          <w:numId w:val="23"/>
        </w:numPr>
        <w:spacing w:after="100"/>
        <w:ind w:left="429" w:right="2" w:hanging="427"/>
      </w:pPr>
      <w:r>
        <w:t>所有其他的證券將按根據管理公司所制定程序釐定的現成市場報價進行估值。倘出現令估值變得不可行或不合適的異常情況，管理公司有權以謹慎及真誠的態度遵循其他規則，以獲得本傘子基金資產的公平估值。</w:t>
      </w:r>
      <w:r>
        <w:rPr>
          <w:rFonts w:ascii="Arial" w:eastAsia="Arial" w:hAnsi="Arial" w:cs="Arial"/>
        </w:rPr>
        <w:t xml:space="preserve"> </w:t>
      </w:r>
    </w:p>
    <w:p w:rsidR="004D6F0E" w:rsidRDefault="00490F21">
      <w:pPr>
        <w:spacing w:after="99"/>
        <w:ind w:left="11" w:right="2"/>
      </w:pPr>
      <w:r>
        <w:t>本傘子基金的證券乃根據其現行市值估值，而其現行市值乃基於市場報價釐定。倘市場報價不是現成的或被視為不可靠，則證券的現行市值將按管理公司制定的程序並在管理公司的一般監督下釐定的「公平價值」估值。於釐定是否採用公平價值定價時，本傘子基金考慮多項因素，例如特定基金的指示截止時間、該基金交易所在證券市場的收市時間及是否存在特殊事</w:t>
      </w:r>
      <w:r>
        <w:t>件。倘本傘子基金採用公平價值定價，則可考慮其認為適當的任何因素。本傘子基金可根據特定證券相關的發展或市場指數的現行估值釐定公平價值。本傘子基金用以計算其資產淨值的證券價格可能與該證券的報價或公佈價格有所不同。故此，如同之前報出的證券轉換價運用公平價值定價程序確定出的任何基金任何證券的價格，可能會與出售該證券時實現所得價值存在較大差異。</w:t>
      </w:r>
      <w:r>
        <w:rPr>
          <w:rFonts w:ascii="Arial" w:eastAsia="Arial" w:hAnsi="Arial" w:cs="Arial"/>
        </w:rPr>
        <w:t xml:space="preserve"> </w:t>
      </w:r>
    </w:p>
    <w:p w:rsidR="004D6F0E" w:rsidRDefault="00490F21">
      <w:pPr>
        <w:spacing w:after="103"/>
        <w:ind w:left="11" w:right="2"/>
      </w:pPr>
      <w:r>
        <w:t>為確定本傘子基金的每股資產淨值，初步以非基金貨幣計價的所有資產及負債，均將按經常參與有關交易所市場的主要銀行最後所報該貨幣兌基金貨幣的當時買入價及賣出價的中間值或按計及若干</w:t>
      </w:r>
      <w:r>
        <w:t>該等主要銀行報價的定價服務，換算為基金的貨幣。倘直至交易所收市時並無有關報價，則匯率將由管理公司管理會以真誠方式或根據其指示釐定。</w:t>
      </w:r>
      <w:r>
        <w:rPr>
          <w:rFonts w:ascii="Arial" w:eastAsia="Arial" w:hAnsi="Arial" w:cs="Arial"/>
        </w:rPr>
        <w:t xml:space="preserve"> </w:t>
      </w:r>
    </w:p>
    <w:p w:rsidR="004D6F0E" w:rsidRDefault="00490F21">
      <w:pPr>
        <w:spacing w:after="113"/>
        <w:ind w:left="11" w:right="2"/>
      </w:pPr>
      <w:r>
        <w:t>倘因特殊情況，使以上估值變得不可行或不適當，管理公司有權按照誠信原則審慎地依循其他規則辦理，以達致為本傘子基金資產公平估值的目的。</w:t>
      </w:r>
      <w:r>
        <w:rPr>
          <w:rFonts w:ascii="Arial" w:eastAsia="Arial" w:hAnsi="Arial" w:cs="Arial"/>
        </w:rPr>
        <w:t xml:space="preserve"> </w:t>
      </w:r>
    </w:p>
    <w:p w:rsidR="004D6F0E" w:rsidRDefault="00490F21">
      <w:pPr>
        <w:spacing w:after="102" w:line="273" w:lineRule="auto"/>
        <w:ind w:left="14" w:right="41"/>
        <w:jc w:val="both"/>
      </w:pPr>
      <w:r>
        <w:t>管理公司已委任</w:t>
      </w:r>
      <w:r>
        <w:t xml:space="preserve"> </w:t>
      </w:r>
      <w:r>
        <w:rPr>
          <w:rFonts w:ascii="Arial" w:eastAsia="Arial" w:hAnsi="Arial" w:cs="Arial"/>
        </w:rPr>
        <w:t>Brown Brothers Harriman (Luxembourg) S.C.A.</w:t>
      </w:r>
      <w:r>
        <w:t>每日釐定各基金內各類別股份的每股資產淨值。於某一估值時間的資產淨值將於或約於該營業日的美國東部時間下午</w:t>
      </w:r>
      <w:r>
        <w:t xml:space="preserve"> </w:t>
      </w:r>
      <w:r>
        <w:rPr>
          <w:rFonts w:ascii="Arial" w:eastAsia="Arial" w:hAnsi="Arial" w:cs="Arial"/>
        </w:rPr>
        <w:t xml:space="preserve">6:00 </w:t>
      </w:r>
      <w:r>
        <w:t>備妥。就發行及贖回股份而言，</w:t>
      </w:r>
      <w:r>
        <w:t>資產淨值可如認購章程所指折算成其他貨幣。</w:t>
      </w:r>
      <w:r>
        <w:rPr>
          <w:rFonts w:ascii="Arial" w:eastAsia="Arial" w:hAnsi="Arial" w:cs="Arial"/>
        </w:rPr>
        <w:t xml:space="preserve"> </w:t>
      </w:r>
    </w:p>
    <w:p w:rsidR="004D6F0E" w:rsidRDefault="00490F21">
      <w:pPr>
        <w:spacing w:after="104"/>
        <w:ind w:left="11" w:right="2"/>
      </w:pPr>
      <w:r>
        <w:t>波動定價調整</w:t>
      </w:r>
      <w:r>
        <w:rPr>
          <w:rFonts w:ascii="Arial" w:eastAsia="Arial" w:hAnsi="Arial" w:cs="Arial"/>
          <w:b/>
        </w:rPr>
        <w:t xml:space="preserve"> </w:t>
      </w:r>
    </w:p>
    <w:p w:rsidR="004D6F0E" w:rsidRDefault="00490F21">
      <w:pPr>
        <w:spacing w:after="100"/>
        <w:ind w:left="11" w:right="2"/>
      </w:pPr>
      <w:r>
        <w:t>為了抗衡因大量購入或贖回基金股份而對基金資產淨值造成的攤薄效果，管理會已實施波動定價政策。</w:t>
      </w:r>
      <w:r>
        <w:rPr>
          <w:rFonts w:ascii="Arial" w:eastAsia="Arial" w:hAnsi="Arial" w:cs="Arial"/>
        </w:rPr>
        <w:t xml:space="preserve"> </w:t>
      </w:r>
    </w:p>
    <w:p w:rsidR="004D6F0E" w:rsidRDefault="00490F21">
      <w:pPr>
        <w:spacing w:after="102"/>
        <w:ind w:left="11" w:right="2"/>
      </w:pPr>
      <w:r>
        <w:t>攤薄涉及的資產淨值減少是因投資者購買、出售及／或換入及換出本傘子基金的基金時，所涉價格並不反映與所進行以應付相應現金流入或流出的基金交易活動有關的交易成本所致。當由於交易費用、稅項及相關資產的購買及出售價格之間出現任何差價，因而令購買或出售基金相關資產的實際成本偏離基金此等資產的估值時，即發生攤薄。攤薄可能對基金的價值造成不利影響，因而影響股東。</w:t>
      </w:r>
      <w:r>
        <w:rPr>
          <w:rFonts w:ascii="Arial" w:eastAsia="Arial" w:hAnsi="Arial" w:cs="Arial"/>
        </w:rPr>
        <w:t xml:space="preserve"> </w:t>
      </w:r>
    </w:p>
    <w:p w:rsidR="004D6F0E" w:rsidRDefault="00490F21">
      <w:pPr>
        <w:spacing w:after="99"/>
        <w:ind w:left="11" w:right="2"/>
      </w:pPr>
      <w:r>
        <w:t>根據本傘子基金的波動定價政策，如於任何營業日，於基金股份的合計淨投資者流入或流出超過預先釐定限額（經管理會不時釐定），則基金的資產淨值可能向上或向下調整以反映該</w:t>
      </w:r>
      <w:r>
        <w:t>等淨流入或淨流出的應佔成本。管理會在設定限額時考慮多項因素，例如當前市場情況、估計攤薄成本及基金規模。波動定價調整的水平將會定期檢討及可能予以調整，以反映經管理會釐定的估計交易成本。當穿越相關限額時，將會按日自動觸發使用波動定價。波動定價調整將在該營業日適用於基金的所有股份（及所有交易）。於檢討並實施本傘子基金的波動定價政策時，管理會可從聯博集團旗下的不同業務單位，包括（其中包括）風險管理、法律及合規、交易，以及產品開發單位獲取意見與專業知識。</w:t>
      </w:r>
      <w:r>
        <w:rPr>
          <w:rFonts w:ascii="Arial" w:eastAsia="Arial" w:hAnsi="Arial" w:cs="Arial"/>
          <w:sz w:val="20"/>
        </w:rPr>
        <w:t xml:space="preserve"> </w:t>
      </w:r>
    </w:p>
    <w:p w:rsidR="004D6F0E" w:rsidRDefault="00490F21">
      <w:pPr>
        <w:spacing w:after="102" w:line="273" w:lineRule="auto"/>
        <w:ind w:left="14" w:right="379"/>
        <w:jc w:val="both"/>
      </w:pPr>
      <w:r>
        <w:t>波動定價調整可能因基金而異，且視乎基金所投資的特定資產而定。</w:t>
      </w:r>
      <w:r>
        <w:t>在正常市况下，波動定價調整一般將不會超過基金的原先資產淨值的</w:t>
      </w:r>
      <w:r>
        <w:t xml:space="preserve"> </w:t>
      </w:r>
      <w:r>
        <w:rPr>
          <w:rFonts w:ascii="Arial" w:eastAsia="Arial" w:hAnsi="Arial" w:cs="Arial"/>
        </w:rPr>
        <w:t>2%</w:t>
      </w:r>
      <w:r>
        <w:t>。然而，於特殊情況下，通常是波動加劇及價格釐定受到挑戰時，交易成本或會大幅上升，而管理會為了保障基金現有股東的利益，可決定將波動定價調整調高至超過</w:t>
      </w:r>
      <w:r>
        <w:t xml:space="preserve"> </w:t>
      </w:r>
      <w:r>
        <w:rPr>
          <w:rFonts w:ascii="Arial" w:eastAsia="Arial" w:hAnsi="Arial" w:cs="Arial"/>
        </w:rPr>
        <w:t>2%</w:t>
      </w:r>
      <w:r>
        <w:t>。管理會將於其後在實際可行範圍內盡快在本傘子基金網站公佈該決定。投資者謹請注意，採用波動定價可能導致基金的估值及表現波動增加，而應用波動定價可能導致於特定營業日的基金資產淨值偏離相關投資表現。一般而言，當基金出現淨流入時，該調整將增加於特定營業日的每股股份資產淨值，而當基金出現有淨流出時，該調</w:t>
      </w:r>
      <w:r>
        <w:t>整將減少每股股份資產淨值。任何基金如就特定股份類別設有奬勵費或業績表現費，奬勵費或業績表現費將按照適用的資產淨值基準計算，而不計及波動定價機制的影響。</w:t>
      </w:r>
      <w:r>
        <w:rPr>
          <w:rFonts w:ascii="Arial" w:eastAsia="Arial" w:hAnsi="Arial" w:cs="Arial"/>
        </w:rPr>
        <w:t xml:space="preserve"> </w:t>
      </w:r>
    </w:p>
    <w:p w:rsidR="004D6F0E" w:rsidRDefault="00490F21">
      <w:pPr>
        <w:spacing w:after="24" w:line="254" w:lineRule="auto"/>
        <w:ind w:left="8" w:hanging="10"/>
      </w:pPr>
      <w:r>
        <w:t>有關本傘子基金內並不應用任何波動定價調整的基金清單，請參閱：</w:t>
      </w:r>
      <w:r>
        <w:rPr>
          <w:rFonts w:ascii="Arial" w:eastAsia="Arial" w:hAnsi="Arial" w:cs="Arial"/>
        </w:rPr>
        <w:t xml:space="preserve"> </w:t>
      </w:r>
      <w:r>
        <w:rPr>
          <w:rFonts w:ascii="Arial" w:eastAsia="Arial" w:hAnsi="Arial" w:cs="Arial"/>
          <w:color w:val="0000FF"/>
          <w:u w:val="single" w:color="0000FF"/>
        </w:rPr>
        <w:t>www.alliancebernstein.com/go/Swing-Pricing-Exclusion-</w:t>
      </w:r>
    </w:p>
    <w:p w:rsidR="004D6F0E" w:rsidRDefault="00490F21">
      <w:pPr>
        <w:spacing w:after="4" w:line="254" w:lineRule="auto"/>
        <w:ind w:left="8" w:hanging="10"/>
      </w:pPr>
      <w:r>
        <w:rPr>
          <w:rFonts w:ascii="Arial" w:eastAsia="Arial" w:hAnsi="Arial" w:cs="Arial"/>
          <w:color w:val="0000FF"/>
          <w:u w:val="single" w:color="0000FF"/>
        </w:rPr>
        <w:t>List</w:t>
      </w:r>
      <w:r>
        <w:rPr>
          <w:rFonts w:ascii="Arial" w:eastAsia="Arial" w:hAnsi="Arial" w:cs="Arial"/>
        </w:rPr>
        <w:t xml:space="preserve"> </w:t>
      </w:r>
    </w:p>
    <w:p w:rsidR="004D6F0E" w:rsidRDefault="00490F21">
      <w:pPr>
        <w:spacing w:after="8262" w:line="259" w:lineRule="auto"/>
        <w:ind w:left="0" w:firstLine="0"/>
      </w:pPr>
      <w:r>
        <w:rPr>
          <w:rFonts w:ascii="Arial" w:eastAsia="Arial" w:hAnsi="Arial" w:cs="Arial"/>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II-9</w:t>
      </w: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jc w:val="right"/>
      </w:pPr>
      <w:r>
        <w:rPr>
          <w:rFonts w:ascii="SimSun" w:eastAsia="SimSun" w:hAnsi="SimSun" w:cs="SimSun"/>
          <w:sz w:val="20"/>
        </w:rPr>
        <w:t xml:space="preserve"> </w:t>
      </w:r>
    </w:p>
    <w:p w:rsidR="004D6F0E" w:rsidRDefault="00490F21">
      <w:pPr>
        <w:spacing w:after="70" w:line="265" w:lineRule="auto"/>
        <w:ind w:right="34" w:hanging="10"/>
        <w:jc w:val="right"/>
      </w:pPr>
      <w:r>
        <w:rPr>
          <w:rFonts w:ascii="Arial" w:eastAsia="Arial" w:hAnsi="Arial" w:cs="Arial"/>
          <w:sz w:val="20"/>
        </w:rPr>
        <w:t xml:space="preserve"> </w:t>
      </w:r>
      <w:r>
        <w:t>暫停發行、贖回與轉換股份及計算資產淨值</w:t>
      </w:r>
      <w:r>
        <w:rPr>
          <w:rFonts w:ascii="Arial" w:eastAsia="Arial" w:hAnsi="Arial" w:cs="Arial"/>
          <w:b/>
        </w:rPr>
        <w:t xml:space="preserve"> </w:t>
      </w:r>
    </w:p>
    <w:p w:rsidR="004D6F0E" w:rsidRDefault="00490F21">
      <w:pPr>
        <w:spacing w:after="115"/>
        <w:ind w:left="11" w:right="2"/>
      </w:pPr>
      <w:r>
        <w:t>倘發生以下任何一項事件，管理公司可以暫停計算基金的資產淨值，並因此暫停發行、贖回及轉換該基金股份：</w:t>
      </w:r>
      <w:r>
        <w:rPr>
          <w:rFonts w:ascii="Arial" w:eastAsia="Arial" w:hAnsi="Arial" w:cs="Arial"/>
        </w:rPr>
        <w:t xml:space="preserve"> </w:t>
      </w:r>
    </w:p>
    <w:p w:rsidR="004D6F0E" w:rsidRDefault="00490F21">
      <w:pPr>
        <w:numPr>
          <w:ilvl w:val="0"/>
          <w:numId w:val="24"/>
        </w:numPr>
        <w:spacing w:after="115"/>
        <w:ind w:left="362" w:right="2" w:hanging="360"/>
      </w:pPr>
      <w:r>
        <w:t>除正常假日外，為基金內大部分資產提供評估基礎的一間或多間證券交易所或市場關閉或有關基金內大部分資產計價貨幣的一個或多個外匯市場關閉，或交易受到限制或暫停。</w:t>
      </w:r>
      <w:r>
        <w:rPr>
          <w:rFonts w:ascii="Arial" w:eastAsia="Arial" w:hAnsi="Arial" w:cs="Arial"/>
        </w:rPr>
        <w:t xml:space="preserve"> </w:t>
      </w:r>
    </w:p>
    <w:p w:rsidR="004D6F0E" w:rsidRDefault="00490F21">
      <w:pPr>
        <w:numPr>
          <w:ilvl w:val="0"/>
          <w:numId w:val="24"/>
        </w:numPr>
        <w:spacing w:after="115"/>
        <w:ind w:left="362" w:right="2" w:hanging="360"/>
      </w:pPr>
      <w:r>
        <w:t>由於政治、經濟、軍事或金融事件或超出管理公司責任範圍或控制的其他情況，無法在不嚴重損害股東利益的情況下合理或正常出售基金資產。</w:t>
      </w:r>
      <w:r>
        <w:rPr>
          <w:rFonts w:ascii="Arial" w:eastAsia="Arial" w:hAnsi="Arial" w:cs="Arial"/>
        </w:rPr>
        <w:t xml:space="preserve"> </w:t>
      </w:r>
    </w:p>
    <w:p w:rsidR="004D6F0E" w:rsidRDefault="00490F21">
      <w:pPr>
        <w:numPr>
          <w:ilvl w:val="0"/>
          <w:numId w:val="24"/>
        </w:numPr>
        <w:spacing w:after="115"/>
        <w:ind w:left="362" w:right="2" w:hanging="360"/>
      </w:pPr>
      <w:r>
        <w:t>用於基金投資評估的正常通訊系統中斷或由於任何原因令基金資產價值無法按照規定迅速並準確地評估。</w:t>
      </w:r>
      <w:r>
        <w:rPr>
          <w:rFonts w:ascii="Arial" w:eastAsia="Arial" w:hAnsi="Arial" w:cs="Arial"/>
        </w:rPr>
        <w:t xml:space="preserve"> </w:t>
      </w:r>
    </w:p>
    <w:p w:rsidR="004D6F0E" w:rsidRDefault="00490F21">
      <w:pPr>
        <w:numPr>
          <w:ilvl w:val="0"/>
          <w:numId w:val="24"/>
        </w:numPr>
        <w:ind w:left="362" w:right="2" w:hanging="360"/>
      </w:pPr>
      <w:r>
        <w:t>由於外匯限制或其他限制影響</w:t>
      </w:r>
      <w:r>
        <w:t>資金轉帳、代表基金辦理的</w:t>
      </w:r>
    </w:p>
    <w:p w:rsidR="004D6F0E" w:rsidRDefault="00490F21">
      <w:pPr>
        <w:ind w:left="2" w:right="2" w:firstLine="361"/>
      </w:pPr>
      <w:r>
        <w:t>交易無法進行或無法按照正常匯率購買及出售基金資產。暫時停止釐定某一個基金內股份</w:t>
      </w:r>
      <w:r>
        <w:rPr>
          <w:sz w:val="20"/>
        </w:rPr>
        <w:t>資產淨值</w:t>
      </w:r>
      <w:r>
        <w:t>的釐定並不表示其他基金同類股份亦有相同決定</w:t>
      </w:r>
      <w:r>
        <w:rPr>
          <w:rFonts w:ascii="Arial" w:eastAsia="Arial" w:hAnsi="Arial" w:cs="Arial"/>
        </w:rPr>
        <w:t>(</w:t>
      </w:r>
      <w:r>
        <w:t>倘該等其他基金資產未受相同情況下同等程度影響</w:t>
      </w:r>
      <w:r>
        <w:rPr>
          <w:rFonts w:ascii="Arial" w:eastAsia="Arial" w:hAnsi="Arial" w:cs="Arial"/>
        </w:rPr>
        <w:t>)</w:t>
      </w:r>
      <w:r>
        <w:t>。倘暫停計算</w:t>
      </w:r>
      <w:r>
        <w:rPr>
          <w:sz w:val="20"/>
        </w:rPr>
        <w:t>資產淨值</w:t>
      </w:r>
      <w:r>
        <w:t>可能超過十日，則將按第</w:t>
      </w:r>
      <w:r>
        <w:t xml:space="preserve"> </w:t>
      </w:r>
      <w:r>
        <w:rPr>
          <w:rFonts w:ascii="Arial" w:eastAsia="Arial" w:hAnsi="Arial" w:cs="Arial"/>
        </w:rPr>
        <w:t xml:space="preserve">II </w:t>
      </w:r>
      <w:r>
        <w:t>部分「股東大會及致股東的報告」一節所述通知股東的方式公佈。</w:t>
      </w:r>
      <w:r>
        <w:rPr>
          <w:rFonts w:ascii="Arial" w:eastAsia="Arial" w:hAnsi="Arial" w:cs="Arial"/>
        </w:rPr>
        <w:t xml:space="preserve"> </w:t>
      </w:r>
      <w:r>
        <w:br w:type="page"/>
      </w:r>
    </w:p>
    <w:p w:rsidR="004D6F0E" w:rsidRDefault="00490F21">
      <w:pPr>
        <w:pStyle w:val="Heading4"/>
        <w:ind w:left="14"/>
      </w:pPr>
      <w:r>
        <w:t>投資類別</w:t>
      </w:r>
      <w:r>
        <w:rPr>
          <w:rFonts w:ascii="Arial" w:eastAsia="Arial" w:hAnsi="Arial" w:cs="Arial"/>
        </w:rPr>
        <w:t xml:space="preserve"> </w:t>
      </w:r>
    </w:p>
    <w:p w:rsidR="004D6F0E" w:rsidRDefault="00490F21">
      <w:pPr>
        <w:spacing w:after="102"/>
        <w:ind w:left="11" w:right="2"/>
      </w:pPr>
      <w:r>
        <w:t>下表列示各基金可投資的主要投資類別，但並非本傘子基金內各基金可投資的所有投資類別的完整說明。此等投資類別僅為方便說明，而不應詮釋為限制基金投資於其他類別證券的能力。如未有就特定基金列出</w:t>
      </w:r>
      <w:r>
        <w:t>投資類別，該基金仍可在任何時候投資於該投資類別，惟須受該基金所規定的投資目標及政策限制以及附錄</w:t>
      </w:r>
      <w:r>
        <w:t xml:space="preserve"> </w:t>
      </w:r>
      <w:r>
        <w:rPr>
          <w:rFonts w:ascii="Arial" w:eastAsia="Arial" w:hAnsi="Arial" w:cs="Arial"/>
        </w:rPr>
        <w:t xml:space="preserve">A </w:t>
      </w:r>
      <w:r>
        <w:t>「投資限制」所載的限制規限。各投資類別會詳細的在以下各頁介紹。</w:t>
      </w:r>
      <w:r>
        <w:rPr>
          <w:rFonts w:ascii="Arial" w:eastAsia="Arial" w:hAnsi="Arial" w:cs="Arial"/>
        </w:rPr>
        <w:t xml:space="preserve"> </w:t>
      </w:r>
    </w:p>
    <w:p w:rsidR="004D6F0E" w:rsidRDefault="00490F21">
      <w:pPr>
        <w:spacing w:after="100"/>
        <w:ind w:left="11" w:right="2"/>
      </w:pPr>
      <w:r>
        <w:t>投資者亦應注意，投資管理人或會因應不斷變化的市況變更基金的持股量，進一步詳述如下。</w:t>
      </w:r>
      <w:r>
        <w:rPr>
          <w:rFonts w:ascii="Arial" w:eastAsia="Arial" w:hAnsi="Arial" w:cs="Arial"/>
        </w:rPr>
        <w:t xml:space="preserve"> </w:t>
      </w:r>
    </w:p>
    <w:p w:rsidR="004D6F0E" w:rsidRDefault="00490F21">
      <w:pPr>
        <w:spacing w:after="7552"/>
        <w:ind w:left="11" w:right="2"/>
      </w:pPr>
      <w:r>
        <w:t>暫時防守性持倉。在非常環境下及特定期間，投資管理人可採取暫時性防守措施，在證券市場或其他經濟或政治狀況許可的時期，變更任何基金的投資政策。本傘子基金可減少基金中股本證券或長期債務證券的持倉量（按適用者），及增加其他債務證券的持倉量。這些債務證券可包括由美國政府</w:t>
      </w:r>
      <w:r>
        <w:t>或經合組織任何成員國的政府機構、美國／歐洲公司，跨國公司（或超國家機構）發行或擔保的短期固定收益證券（該等短期固定收益證券是獲標準普爾授予「</w:t>
      </w:r>
      <w:r>
        <w:rPr>
          <w:rFonts w:ascii="Arial" w:eastAsia="Arial" w:hAnsi="Arial" w:cs="Arial"/>
        </w:rPr>
        <w:t>AA</w:t>
      </w:r>
      <w:r>
        <w:t>」或以上評級，或穆迪授予「</w:t>
      </w:r>
      <w:r>
        <w:rPr>
          <w:rFonts w:ascii="Arial" w:eastAsia="Arial" w:hAnsi="Arial" w:cs="Arial"/>
        </w:rPr>
        <w:t>Aa</w:t>
      </w:r>
      <w:r>
        <w:t>」或以上評級，或至少一家國際知名評級機構授予相應評級（或倘無該等評級，則由投資管理人確定為具有相若投資質量）的）。上述證券可按基金的基礎貨幣或非基礎貨幣計價。基金亦可持有附屬流動資產，包括上述評級較高機構發行或擔保的現金及貨幣市場票據，惟到期日須於一百二十日之內。基金亦可於任何時間暫時把以待再投資或</w:t>
      </w:r>
    </w:p>
    <w:p w:rsidR="004D6F0E" w:rsidRDefault="00490F21">
      <w:pPr>
        <w:spacing w:after="3" w:line="259" w:lineRule="auto"/>
        <w:ind w:right="46" w:hanging="10"/>
        <w:jc w:val="right"/>
      </w:pPr>
      <w:r>
        <w:rPr>
          <w:rFonts w:ascii="Times New Roman" w:eastAsia="Times New Roman" w:hAnsi="Times New Roman" w:cs="Times New Roman"/>
          <w:sz w:val="20"/>
        </w:rPr>
        <w:t xml:space="preserve">II-10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440" w:line="259" w:lineRule="auto"/>
        <w:ind w:left="0" w:firstLine="0"/>
        <w:jc w:val="right"/>
      </w:pPr>
      <w:r>
        <w:rPr>
          <w:rFonts w:ascii="SimSun" w:eastAsia="SimSun" w:hAnsi="SimSun" w:cs="SimSun"/>
          <w:sz w:val="20"/>
        </w:rPr>
        <w:t xml:space="preserve"> </w:t>
      </w:r>
    </w:p>
    <w:p w:rsidR="004D6F0E" w:rsidRDefault="00490F21">
      <w:pPr>
        <w:spacing w:after="162"/>
        <w:ind w:left="11" w:right="2"/>
      </w:pPr>
      <w:r>
        <w:t>持作股東股息及其他分派的儲備投資在上述貨幣市場票據方面。當基金為暫時防守性目的投資時，基金可能無法達致其投資目標。</w:t>
      </w:r>
      <w:r>
        <w:rPr>
          <w:rFonts w:ascii="Arial" w:eastAsia="Arial" w:hAnsi="Arial" w:cs="Arial"/>
        </w:rPr>
        <w:t xml:space="preserve"> </w:t>
      </w:r>
    </w:p>
    <w:p w:rsidR="004D6F0E" w:rsidRDefault="00490F21">
      <w:pPr>
        <w:spacing w:after="100"/>
        <w:ind w:left="11" w:right="2"/>
      </w:pPr>
      <w:r>
        <w:t>未來發展。作為輔助工具，各基金可利用其現時不擬採用的其他投資方法，惟該等投資方法須符合基金的投資目標並獲法律許可。應用該等投資方法涉及的風險，可能高於本文所述投資方法涉及的風險。</w:t>
      </w:r>
      <w:r>
        <w:rPr>
          <w:rFonts w:ascii="Arial" w:eastAsia="Arial" w:hAnsi="Arial" w:cs="Arial"/>
        </w:rPr>
        <w:t xml:space="preserve"> </w:t>
      </w:r>
    </w:p>
    <w:p w:rsidR="004D6F0E" w:rsidRDefault="00490F21">
      <w:pPr>
        <w:spacing w:after="166"/>
        <w:ind w:left="11" w:right="2"/>
      </w:pPr>
      <w:r>
        <w:t>缺乏流動性的若干證券。本傘子基金可能投資的若干證券或會受法律或其他轉讓限制，故該等證券可能缺少流通市場。各基金於缺乏流動性的證券的投資不得超過其總淨資產的</w:t>
      </w:r>
      <w:r>
        <w:t xml:space="preserve"> </w:t>
      </w:r>
      <w:r>
        <w:rPr>
          <w:rFonts w:ascii="Arial" w:eastAsia="Arial" w:hAnsi="Arial" w:cs="Arial"/>
        </w:rPr>
        <w:t>10%</w:t>
      </w:r>
      <w:r>
        <w:t>。就此而言，該等證券其中包括</w:t>
      </w:r>
      <w:r>
        <w:rPr>
          <w:rFonts w:ascii="Arial" w:eastAsia="Arial" w:hAnsi="Arial" w:cs="Arial"/>
        </w:rPr>
        <w:t>(a)</w:t>
      </w:r>
      <w:r>
        <w:t>轉售受法律或合約</w:t>
      </w:r>
      <w:r>
        <w:t>限制或並無現成市場的直接配售或其他證券（如：證券暫停交易或，如屬非上市證券，並無市場製造者或市場製造者不會出價買賣），包括不少貨幣掉期及任何用以平倉沽出貨幣掉期的資產，</w:t>
      </w:r>
      <w:r>
        <w:rPr>
          <w:rFonts w:ascii="Arial" w:eastAsia="Arial" w:hAnsi="Arial" w:cs="Arial"/>
        </w:rPr>
        <w:t xml:space="preserve">(b) </w:t>
      </w:r>
      <w:r>
        <w:t>場外交易期權及用於平倉沽出場外期權的所有資產，及</w:t>
      </w:r>
      <w:r>
        <w:rPr>
          <w:rFonts w:ascii="Arial" w:eastAsia="Arial" w:hAnsi="Arial" w:cs="Arial"/>
        </w:rPr>
        <w:t>(c)</w:t>
      </w:r>
      <w:r>
        <w:t>七日內不能被終止的回購協議。轉售受法律或合約限制但有現成市場的證券不會被視為非流動證券。投資管理人將監管基金下組合證券的流動性。倘基金投資於缺乏流動性的證券，則可能無法出售該等證券及或不能於銷售時實現全部價值。</w:t>
      </w:r>
      <w:r>
        <w:rPr>
          <w:rFonts w:ascii="Arial" w:eastAsia="Arial" w:hAnsi="Arial" w:cs="Arial"/>
        </w:rPr>
        <w:t xml:space="preserve"> </w:t>
      </w:r>
    </w:p>
    <w:p w:rsidR="004D6F0E" w:rsidRDefault="00490F21">
      <w:pPr>
        <w:spacing w:after="104"/>
        <w:ind w:left="11" w:right="2"/>
      </w:pPr>
      <w:r>
        <w:t>有關基金可能投資的缺乏流動性的證券的討論見附錄</w:t>
      </w:r>
      <w:r>
        <w:t xml:space="preserve"> </w:t>
      </w:r>
      <w:r>
        <w:rPr>
          <w:rFonts w:ascii="Arial" w:eastAsia="Arial" w:hAnsi="Arial" w:cs="Arial"/>
        </w:rPr>
        <w:t>A</w:t>
      </w:r>
      <w:r>
        <w:t>「投資限制」第</w:t>
      </w:r>
      <w:r>
        <w:rPr>
          <w:rFonts w:ascii="Arial" w:eastAsia="Arial" w:hAnsi="Arial" w:cs="Arial"/>
        </w:rPr>
        <w:t>(5</w:t>
      </w:r>
      <w:r>
        <w:rPr>
          <w:rFonts w:ascii="Arial" w:eastAsia="Arial" w:hAnsi="Arial" w:cs="Arial"/>
        </w:rPr>
        <w:t>)</w:t>
      </w:r>
      <w:r>
        <w:t>段。</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r>
        <w:rPr>
          <w:rFonts w:ascii="Arial" w:eastAsia="Arial" w:hAnsi="Arial" w:cs="Arial"/>
          <w:sz w:val="18"/>
        </w:rPr>
        <w:tab/>
        <w:t xml:space="preserve"> </w:t>
      </w:r>
    </w:p>
    <w:p w:rsidR="004D6F0E" w:rsidRDefault="004D6F0E">
      <w:pPr>
        <w:sectPr w:rsidR="004D6F0E">
          <w:headerReference w:type="even" r:id="rId279"/>
          <w:headerReference w:type="default" r:id="rId280"/>
          <w:footerReference w:type="even" r:id="rId281"/>
          <w:footerReference w:type="default" r:id="rId282"/>
          <w:headerReference w:type="first" r:id="rId283"/>
          <w:footerReference w:type="first" r:id="rId284"/>
          <w:pgSz w:w="12240" w:h="15840"/>
          <w:pgMar w:top="719" w:right="620" w:bottom="577" w:left="432" w:header="746" w:footer="720" w:gutter="0"/>
          <w:cols w:num="2" w:space="720" w:equalWidth="0">
            <w:col w:w="5762" w:space="312"/>
            <w:col w:w="5114"/>
          </w:cols>
          <w:titlePg/>
        </w:sectPr>
      </w:pPr>
    </w:p>
    <w:p w:rsidR="004D6F0E" w:rsidRDefault="00490F21">
      <w:pPr>
        <w:spacing w:after="29" w:line="259" w:lineRule="auto"/>
        <w:ind w:left="0" w:firstLine="0"/>
        <w:jc w:val="right"/>
      </w:pPr>
      <w:r>
        <w:rPr>
          <w:rFonts w:ascii="Arial" w:eastAsia="Arial" w:hAnsi="Arial" w:cs="Arial"/>
          <w:sz w:val="20"/>
        </w:rPr>
        <w:t xml:space="preserve"> </w:t>
      </w:r>
    </w:p>
    <w:p w:rsidR="004D6F0E" w:rsidRDefault="00490F21">
      <w:pPr>
        <w:spacing w:line="259" w:lineRule="auto"/>
        <w:ind w:left="0" w:firstLine="0"/>
      </w:pPr>
      <w:r>
        <w:rPr>
          <w:rFonts w:ascii="Arial" w:eastAsia="Arial" w:hAnsi="Arial" w:cs="Arial"/>
          <w:sz w:val="23"/>
        </w:rPr>
        <w:t xml:space="preserve"> </w:t>
      </w:r>
    </w:p>
    <w:p w:rsidR="004D6F0E" w:rsidRDefault="00490F21">
      <w:pPr>
        <w:pStyle w:val="Heading4"/>
        <w:spacing w:after="140"/>
        <w:ind w:left="281"/>
      </w:pPr>
      <w:r>
        <w:t>多元資產／資產配置</w:t>
      </w:r>
      <w:r>
        <w:rPr>
          <w:rFonts w:ascii="Arial" w:eastAsia="Arial" w:hAnsi="Arial" w:cs="Arial"/>
        </w:rPr>
        <w:t xml:space="preserve"> </w:t>
      </w:r>
    </w:p>
    <w:p w:rsidR="004D6F0E" w:rsidRDefault="00490F21">
      <w:pPr>
        <w:spacing w:after="0" w:line="259" w:lineRule="auto"/>
        <w:ind w:left="271" w:firstLine="0"/>
      </w:pPr>
      <w:r>
        <w:rPr>
          <w:rFonts w:ascii="Arial" w:eastAsia="Arial" w:hAnsi="Arial" w:cs="Arial"/>
          <w:sz w:val="23"/>
        </w:rPr>
        <w:t xml:space="preserve"> </w:t>
      </w:r>
    </w:p>
    <w:tbl>
      <w:tblPr>
        <w:tblStyle w:val="TableGrid"/>
        <w:tblW w:w="5261" w:type="dxa"/>
        <w:tblInd w:w="550" w:type="dxa"/>
        <w:tblCellMar>
          <w:top w:w="28" w:type="dxa"/>
          <w:left w:w="115" w:type="dxa"/>
          <w:bottom w:w="0" w:type="dxa"/>
          <w:right w:w="115" w:type="dxa"/>
        </w:tblCellMar>
        <w:tblLook w:val="04A0" w:firstRow="1" w:lastRow="0" w:firstColumn="1" w:lastColumn="0" w:noHBand="0" w:noVBand="1"/>
      </w:tblPr>
      <w:tblGrid>
        <w:gridCol w:w="4515"/>
        <w:gridCol w:w="746"/>
      </w:tblGrid>
      <w:tr w:rsidR="004D6F0E">
        <w:trPr>
          <w:trHeight w:val="2578"/>
        </w:trPr>
        <w:tc>
          <w:tcPr>
            <w:tcW w:w="4514" w:type="dxa"/>
            <w:tcBorders>
              <w:top w:val="nil"/>
              <w:left w:val="nil"/>
              <w:bottom w:val="single" w:sz="4" w:space="0" w:color="000000"/>
              <w:right w:val="nil"/>
            </w:tcBorders>
            <w:vAlign w:val="center"/>
          </w:tcPr>
          <w:p w:rsidR="004D6F0E" w:rsidRDefault="00490F21">
            <w:pPr>
              <w:spacing w:after="0" w:line="259" w:lineRule="auto"/>
              <w:ind w:left="0" w:firstLine="0"/>
            </w:pPr>
            <w:r>
              <w:rPr>
                <w:rFonts w:ascii="Arial" w:eastAsia="Arial" w:hAnsi="Arial" w:cs="Arial"/>
                <w:b/>
                <w:sz w:val="16"/>
              </w:rPr>
              <w:t xml:space="preserve"> </w:t>
            </w:r>
          </w:p>
        </w:tc>
        <w:tc>
          <w:tcPr>
            <w:tcW w:w="746" w:type="dxa"/>
            <w:tcBorders>
              <w:top w:val="nil"/>
              <w:left w:val="nil"/>
              <w:bottom w:val="single" w:sz="4" w:space="0" w:color="000000"/>
              <w:right w:val="nil"/>
            </w:tcBorders>
            <w:shd w:val="clear" w:color="auto" w:fill="D9D9D9"/>
            <w:vAlign w:val="center"/>
          </w:tcPr>
          <w:p w:rsidR="004D6F0E" w:rsidRDefault="00490F21">
            <w:pPr>
              <w:spacing w:after="0" w:line="259" w:lineRule="auto"/>
              <w:ind w:left="174" w:firstLine="0"/>
            </w:pPr>
            <w:r>
              <w:rPr>
                <w:rFonts w:ascii="Calibri" w:eastAsia="Calibri" w:hAnsi="Calibri" w:cs="Calibri"/>
                <w:noProof/>
                <w:sz w:val="22"/>
              </w:rPr>
              <mc:AlternateContent>
                <mc:Choice Requires="wpg">
                  <w:drawing>
                    <wp:inline distT="0" distB="0" distL="0" distR="0">
                      <wp:extent cx="103405" cy="840655"/>
                      <wp:effectExtent l="0" t="0" r="0" b="0"/>
                      <wp:docPr id="577118" name="Group 577118"/>
                      <wp:cNvGraphicFramePr/>
                      <a:graphic xmlns:a="http://schemas.openxmlformats.org/drawingml/2006/main">
                        <a:graphicData uri="http://schemas.microsoft.com/office/word/2010/wordprocessingGroup">
                          <wpg:wgp>
                            <wpg:cNvGrpSpPr/>
                            <wpg:grpSpPr>
                              <a:xfrm>
                                <a:off x="0" y="0"/>
                                <a:ext cx="103405" cy="840655"/>
                                <a:chOff x="0" y="0"/>
                                <a:chExt cx="103405" cy="840655"/>
                              </a:xfrm>
                            </wpg:grpSpPr>
                            <wps:wsp>
                              <wps:cNvPr id="45875" name="Rectangle 45875"/>
                              <wps:cNvSpPr/>
                              <wps:spPr>
                                <a:xfrm rot="-5399999">
                                  <a:off x="2299" y="707877"/>
                                  <a:ext cx="137908"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s:wsp>
                              <wps:cNvPr id="45876" name="Rectangle 45876"/>
                              <wps:cNvSpPr/>
                              <wps:spPr>
                                <a:xfrm rot="-5399999">
                                  <a:off x="-405386" y="197356"/>
                                  <a:ext cx="946579" cy="135804"/>
                                </a:xfrm>
                                <a:prstGeom prst="rect">
                                  <a:avLst/>
                                </a:prstGeom>
                                <a:ln>
                                  <a:noFill/>
                                </a:ln>
                              </wps:spPr>
                              <wps:txbx>
                                <w:txbxContent>
                                  <w:p w:rsidR="004D6F0E" w:rsidRDefault="00490F21">
                                    <w:pPr>
                                      <w:spacing w:after="160" w:line="259" w:lineRule="auto"/>
                                      <w:ind w:left="0" w:firstLine="0"/>
                                    </w:pPr>
                                    <w:r>
                                      <w:rPr>
                                        <w:sz w:val="16"/>
                                      </w:rPr>
                                      <w:t>全方位領航基金</w:t>
                                    </w:r>
                                  </w:p>
                                </w:txbxContent>
                              </wps:txbx>
                              <wps:bodyPr horzOverflow="overflow" vert="horz" lIns="0" tIns="0" rIns="0" bIns="0" rtlCol="0">
                                <a:noAutofit/>
                              </wps:bodyPr>
                            </wps:wsp>
                            <wps:wsp>
                              <wps:cNvPr id="45877" name="Rectangle 45877"/>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77118" o:spid="_x0000_s1372"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">
                      <v:rect id="Rectangle 45875" o:spid="_x0000_s1373" style="position:absolute;left:22;top:7079;width:1379;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v:rect id="Rectangle 45876" o:spid="_x0000_s1374" style="position:absolute;left:-4054;top:1974;width:946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" filled="f" stroked="f">
                        <v:textbox inset="0,0,0,0">
                          <w:txbxContent>
                            <w:p w:rsidR="004D6F0E" w:rsidRDefault="00490F21">
                              <w:pPr>
                                <w:spacing w:after="160" w:line="259" w:lineRule="auto"/>
                                <w:ind w:left="0" w:firstLine="0"/>
                              </w:pPr>
                              <w:r>
                                <w:rPr>
                                  <w:sz w:val="16"/>
                                </w:rPr>
                                <w:t>全方位領航基金</w:t>
                              </w:r>
                            </w:p>
                          </w:txbxContent>
                        </v:textbox>
                      </v:rect>
                      <v:rect id="Rectangle 45877" o:spid="_x0000_s1375"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r>
      <w:tr w:rsidR="004D6F0E">
        <w:trPr>
          <w:trHeight w:val="240"/>
        </w:trPr>
        <w:tc>
          <w:tcPr>
            <w:tcW w:w="451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股本證券類</w:t>
            </w:r>
            <w:r>
              <w:rPr>
                <w:rFonts w:ascii="Arial" w:eastAsia="Arial" w:hAnsi="Arial" w:cs="Arial"/>
                <w:b/>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股本證券</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房地產投資信託基金</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債務證券類型</w:t>
            </w:r>
            <w:r>
              <w:rPr>
                <w:rFonts w:ascii="Arial" w:eastAsia="Arial" w:hAnsi="Arial" w:cs="Arial"/>
                <w:b/>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固定收益證券</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住宅按揭擔保證券</w:t>
            </w:r>
            <w:r>
              <w:rPr>
                <w:rFonts w:ascii="Arial" w:eastAsia="Arial" w:hAnsi="Arial" w:cs="Arial"/>
                <w:sz w:val="16"/>
              </w:rPr>
              <w:t xml:space="preserve">(RMBS)*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商業抵押擔保證券</w:t>
            </w:r>
            <w:r>
              <w:rPr>
                <w:rFonts w:ascii="Arial" w:eastAsia="Arial" w:hAnsi="Arial" w:cs="Arial"/>
                <w:sz w:val="16"/>
              </w:rPr>
              <w:t xml:space="preserve">(CMBS)*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其他資產擔保證券</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結構式證券及一籃子證券</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其他投資類別</w:t>
            </w:r>
            <w:r>
              <w:rPr>
                <w:rFonts w:ascii="Arial" w:eastAsia="Arial" w:hAnsi="Arial" w:cs="Arial"/>
                <w:b/>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期權、認股權及認股證</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期貨合約</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遠期承諾</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回購協議／逆回購協議</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貨幣交易</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40"/>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掉期、上限、下限</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r w:rsidR="004D6F0E">
        <w:trPr>
          <w:trHeight w:val="239"/>
        </w:trPr>
        <w:tc>
          <w:tcPr>
            <w:tcW w:w="4514"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合成股本證券</w:t>
            </w:r>
            <w:r>
              <w:rPr>
                <w:rFonts w:ascii="Arial" w:eastAsia="Arial" w:hAnsi="Arial" w:cs="Arial"/>
                <w:sz w:val="16"/>
              </w:rPr>
              <w:t xml:space="preserve"> </w:t>
            </w:r>
          </w:p>
        </w:tc>
        <w:tc>
          <w:tcPr>
            <w:tcW w:w="74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r>
    </w:tbl>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73"/>
        <w:ind w:left="8" w:right="13" w:hanging="10"/>
      </w:pPr>
      <w:r>
        <w:rPr>
          <w:rFonts w:ascii="Arial" w:eastAsia="Arial" w:hAnsi="Arial" w:cs="Arial"/>
          <w:sz w:val="18"/>
        </w:rPr>
        <w:t xml:space="preserve">* </w:t>
      </w:r>
      <w:r>
        <w:rPr>
          <w:sz w:val="18"/>
        </w:rPr>
        <w:t>除非本認購章程第</w:t>
      </w:r>
      <w:r>
        <w:rPr>
          <w:sz w:val="18"/>
        </w:rPr>
        <w:t xml:space="preserve"> </w:t>
      </w:r>
      <w:r>
        <w:rPr>
          <w:rFonts w:ascii="Arial" w:eastAsia="Arial" w:hAnsi="Arial" w:cs="Arial"/>
          <w:sz w:val="18"/>
        </w:rPr>
        <w:t xml:space="preserve">I </w:t>
      </w:r>
      <w:r>
        <w:rPr>
          <w:sz w:val="18"/>
        </w:rPr>
        <w:t>部分有關個別基金的特定資料内另有説明，否則，於資產及按揭擔保證券以及結構式證券的投資限額為任何基金淨資產的</w:t>
      </w:r>
      <w:r>
        <w:rPr>
          <w:sz w:val="18"/>
        </w:rPr>
        <w:t xml:space="preserve"> </w:t>
      </w:r>
      <w:r>
        <w:rPr>
          <w:rFonts w:ascii="Arial" w:eastAsia="Arial" w:hAnsi="Arial" w:cs="Arial"/>
          <w:sz w:val="18"/>
        </w:rPr>
        <w:t xml:space="preserve">20% </w:t>
      </w:r>
    </w:p>
    <w:p w:rsidR="004D6F0E" w:rsidRDefault="00490F21">
      <w:pPr>
        <w:spacing w:after="4929"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spacing w:after="82" w:line="259" w:lineRule="auto"/>
        <w:ind w:left="0" w:firstLine="0"/>
      </w:pPr>
      <w:r>
        <w:rPr>
          <w:rFonts w:ascii="Arial" w:eastAsia="Arial" w:hAnsi="Arial" w:cs="Arial"/>
          <w:sz w:val="12"/>
        </w:rPr>
        <w:t xml:space="preserve"> </w:t>
      </w:r>
    </w:p>
    <w:p w:rsidR="004D6F0E" w:rsidRDefault="00490F21">
      <w:pPr>
        <w:spacing w:after="3" w:line="259" w:lineRule="auto"/>
        <w:ind w:right="57" w:hanging="10"/>
        <w:jc w:val="center"/>
      </w:pPr>
      <w:r>
        <w:rPr>
          <w:rFonts w:ascii="Times New Roman" w:eastAsia="Times New Roman" w:hAnsi="Times New Roman" w:cs="Times New Roman"/>
          <w:sz w:val="20"/>
        </w:rPr>
        <w:t>II-11</w:t>
      </w:r>
      <w:r>
        <w:rPr>
          <w:rFonts w:ascii="Times New Roman" w:eastAsia="Times New Roman" w:hAnsi="Times New Roman" w:cs="Times New Roman"/>
          <w:sz w:val="24"/>
        </w:rPr>
        <w:t xml:space="preserve"> </w:t>
      </w:r>
    </w:p>
    <w:p w:rsidR="004D6F0E" w:rsidRDefault="004D6F0E">
      <w:pPr>
        <w:sectPr w:rsidR="004D6F0E">
          <w:headerReference w:type="even" r:id="rId285"/>
          <w:headerReference w:type="default" r:id="rId286"/>
          <w:footerReference w:type="even" r:id="rId287"/>
          <w:footerReference w:type="default" r:id="rId288"/>
          <w:headerReference w:type="first" r:id="rId289"/>
          <w:footerReference w:type="first" r:id="rId290"/>
          <w:pgSz w:w="12240" w:h="15840"/>
          <w:pgMar w:top="1440" w:right="665" w:bottom="1440" w:left="432" w:header="746" w:footer="720" w:gutter="0"/>
          <w:cols w:space="720"/>
          <w:titlePg/>
        </w:sectPr>
      </w:pPr>
    </w:p>
    <w:p w:rsidR="004D6F0E" w:rsidRDefault="00490F21">
      <w:pPr>
        <w:pStyle w:val="Heading3"/>
        <w:spacing w:after="6" w:line="257" w:lineRule="auto"/>
        <w:ind w:left="-2" w:firstLine="11088"/>
      </w:pPr>
      <w:r>
        <w:rPr>
          <w:rFonts w:ascii="Arial" w:eastAsia="Arial" w:hAnsi="Arial" w:cs="Arial"/>
        </w:rPr>
        <w:t xml:space="preserve"> </w:t>
      </w:r>
      <w:r>
        <w:rPr>
          <w:sz w:val="24"/>
        </w:rPr>
        <w:t>股票</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p>
    <w:tbl>
      <w:tblPr>
        <w:tblStyle w:val="TableGrid"/>
        <w:tblW w:w="5772" w:type="dxa"/>
        <w:tblInd w:w="0" w:type="dxa"/>
        <w:tblCellMar>
          <w:top w:w="28" w:type="dxa"/>
          <w:left w:w="0" w:type="dxa"/>
          <w:bottom w:w="0" w:type="dxa"/>
          <w:right w:w="115" w:type="dxa"/>
        </w:tblCellMar>
        <w:tblLook w:val="04A0" w:firstRow="1" w:lastRow="0" w:firstColumn="1" w:lastColumn="0" w:noHBand="0" w:noVBand="1"/>
      </w:tblPr>
      <w:tblGrid>
        <w:gridCol w:w="2515"/>
        <w:gridCol w:w="437"/>
        <w:gridCol w:w="662"/>
        <w:gridCol w:w="679"/>
        <w:gridCol w:w="682"/>
        <w:gridCol w:w="797"/>
      </w:tblGrid>
      <w:tr w:rsidR="004D6F0E">
        <w:trPr>
          <w:trHeight w:val="2578"/>
        </w:trPr>
        <w:tc>
          <w:tcPr>
            <w:tcW w:w="2515" w:type="dxa"/>
            <w:tcBorders>
              <w:top w:val="nil"/>
              <w:left w:val="nil"/>
              <w:bottom w:val="single" w:sz="4" w:space="0" w:color="000000"/>
              <w:right w:val="nil"/>
            </w:tcBorders>
            <w:vAlign w:val="center"/>
          </w:tcPr>
          <w:p w:rsidR="004D6F0E" w:rsidRDefault="00490F21">
            <w:pPr>
              <w:spacing w:after="0" w:line="259" w:lineRule="auto"/>
              <w:ind w:left="115" w:firstLine="0"/>
            </w:pPr>
            <w:r>
              <w:rPr>
                <w:rFonts w:ascii="Arial" w:eastAsia="Arial" w:hAnsi="Arial" w:cs="Arial"/>
                <w:sz w:val="23"/>
              </w:rPr>
              <w:t xml:space="preserve"> </w:t>
            </w:r>
          </w:p>
        </w:tc>
        <w:tc>
          <w:tcPr>
            <w:tcW w:w="437" w:type="dxa"/>
            <w:tcBorders>
              <w:top w:val="nil"/>
              <w:left w:val="nil"/>
              <w:bottom w:val="single" w:sz="4" w:space="0" w:color="000000"/>
              <w:right w:val="nil"/>
            </w:tcBorders>
            <w:vAlign w:val="center"/>
          </w:tcPr>
          <w:p w:rsidR="004D6F0E" w:rsidRDefault="00490F21">
            <w:pPr>
              <w:spacing w:after="0" w:line="259" w:lineRule="auto"/>
              <w:ind w:left="58" w:firstLine="0"/>
            </w:pPr>
            <w:r>
              <w:rPr>
                <w:rFonts w:ascii="Calibri" w:eastAsia="Calibri" w:hAnsi="Calibri" w:cs="Calibri"/>
                <w:noProof/>
                <w:sz w:val="22"/>
              </w:rPr>
              <mc:AlternateContent>
                <mc:Choice Requires="wpg">
                  <w:drawing>
                    <wp:inline distT="0" distB="0" distL="0" distR="0">
                      <wp:extent cx="103404" cy="840655"/>
                      <wp:effectExtent l="0" t="0" r="0" b="0"/>
                      <wp:docPr id="582086" name="Group 582086"/>
                      <wp:cNvGraphicFramePr/>
                      <a:graphic xmlns:a="http://schemas.openxmlformats.org/drawingml/2006/main">
                        <a:graphicData uri="http://schemas.microsoft.com/office/word/2010/wordprocessingGroup">
                          <wpg:wgp>
                            <wpg:cNvGrpSpPr/>
                            <wpg:grpSpPr>
                              <a:xfrm>
                                <a:off x="0" y="0"/>
                                <a:ext cx="103404" cy="840655"/>
                                <a:chOff x="0" y="0"/>
                                <a:chExt cx="103404" cy="840655"/>
                              </a:xfrm>
                            </wpg:grpSpPr>
                            <wps:wsp>
                              <wps:cNvPr id="46073" name="Rectangle 46073"/>
                              <wps:cNvSpPr/>
                              <wps:spPr>
                                <a:xfrm rot="-5399999">
                                  <a:off x="-473288" y="231562"/>
                                  <a:ext cx="1082382" cy="135804"/>
                                </a:xfrm>
                                <a:prstGeom prst="rect">
                                  <a:avLst/>
                                </a:prstGeom>
                                <a:ln>
                                  <a:noFill/>
                                </a:ln>
                              </wps:spPr>
                              <wps:txbx>
                                <w:txbxContent>
                                  <w:p w:rsidR="004D6F0E" w:rsidRDefault="00490F21">
                                    <w:pPr>
                                      <w:spacing w:after="160" w:line="259" w:lineRule="auto"/>
                                      <w:ind w:left="0" w:firstLine="0"/>
                                    </w:pPr>
                                    <w:r>
                                      <w:rPr>
                                        <w:sz w:val="16"/>
                                      </w:rPr>
                                      <w:t>環球股票策略基金</w:t>
                                    </w:r>
                                  </w:p>
                                </w:txbxContent>
                              </wps:txbx>
                              <wps:bodyPr horzOverflow="overflow" vert="horz" lIns="0" tIns="0" rIns="0" bIns="0" rtlCol="0">
                                <a:noAutofit/>
                              </wps:bodyPr>
                            </wps:wsp>
                            <wps:wsp>
                              <wps:cNvPr id="46074" name="Rectangle 46074"/>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82086" o:spid="_x0000_s1376"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">
                      <v:rect id="Rectangle 46073" o:spid="_x0000_s1377" style="position:absolute;left:-4733;top:231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環球股票策略基金</w:t>
                              </w:r>
                            </w:p>
                          </w:txbxContent>
                        </v:textbox>
                      </v:rect>
                      <v:rect id="Rectangle 46074" o:spid="_x0000_s1378"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662" w:type="dxa"/>
            <w:tcBorders>
              <w:top w:val="nil"/>
              <w:left w:val="nil"/>
              <w:bottom w:val="single" w:sz="4" w:space="0" w:color="000000"/>
              <w:right w:val="nil"/>
            </w:tcBorders>
            <w:shd w:val="clear" w:color="auto" w:fill="D9D9D9"/>
          </w:tcPr>
          <w:p w:rsidR="004D6F0E" w:rsidRDefault="00490F21">
            <w:pPr>
              <w:spacing w:after="0" w:line="259" w:lineRule="auto"/>
              <w:ind w:left="200" w:firstLine="0"/>
            </w:pPr>
            <w:r>
              <w:rPr>
                <w:rFonts w:ascii="Calibri" w:eastAsia="Calibri" w:hAnsi="Calibri" w:cs="Calibri"/>
                <w:noProof/>
                <w:sz w:val="22"/>
              </w:rPr>
              <mc:AlternateContent>
                <mc:Choice Requires="wpg">
                  <w:drawing>
                    <wp:inline distT="0" distB="0" distL="0" distR="0">
                      <wp:extent cx="143247" cy="854659"/>
                      <wp:effectExtent l="0" t="0" r="0" b="0"/>
                      <wp:docPr id="582128" name="Group 582128"/>
                      <wp:cNvGraphicFramePr/>
                      <a:graphic xmlns:a="http://schemas.openxmlformats.org/drawingml/2006/main">
                        <a:graphicData uri="http://schemas.microsoft.com/office/word/2010/wordprocessingGroup">
                          <wpg:wgp>
                            <wpg:cNvGrpSpPr/>
                            <wpg:grpSpPr>
                              <a:xfrm>
                                <a:off x="0" y="0"/>
                                <a:ext cx="143247" cy="854659"/>
                                <a:chOff x="0" y="0"/>
                                <a:chExt cx="143247" cy="854659"/>
                              </a:xfrm>
                            </wpg:grpSpPr>
                            <wps:wsp>
                              <wps:cNvPr id="46077" name="Rectangle 46077"/>
                              <wps:cNvSpPr/>
                              <wps:spPr>
                                <a:xfrm rot="-5399999">
                                  <a:off x="-444103" y="245566"/>
                                  <a:ext cx="1082382" cy="135804"/>
                                </a:xfrm>
                                <a:prstGeom prst="rect">
                                  <a:avLst/>
                                </a:prstGeom>
                                <a:ln>
                                  <a:noFill/>
                                </a:ln>
                              </wps:spPr>
                              <wps:txbx>
                                <w:txbxContent>
                                  <w:p w:rsidR="004D6F0E" w:rsidRDefault="00490F21">
                                    <w:pPr>
                                      <w:spacing w:after="160" w:line="259" w:lineRule="auto"/>
                                      <w:ind w:left="0" w:firstLine="0"/>
                                    </w:pPr>
                                    <w:r>
                                      <w:rPr>
                                        <w:sz w:val="16"/>
                                      </w:rPr>
                                      <w:t>新興市場增長基金</w:t>
                                    </w:r>
                                  </w:p>
                                </w:txbxContent>
                              </wps:txbx>
                              <wps:bodyPr horzOverflow="overflow" vert="horz" lIns="0" tIns="0" rIns="0" bIns="0" rtlCol="0">
                                <a:noAutofit/>
                              </wps:bodyPr>
                            </wps:wsp>
                            <wps:wsp>
                              <wps:cNvPr id="46078" name="Rectangle 46078"/>
                              <wps:cNvSpPr/>
                              <wps:spPr>
                                <a:xfrm rot="-5399999">
                                  <a:off x="67085" y="-81065"/>
                                  <a:ext cx="56348" cy="190518"/>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82128" o:spid="_x0000_s1379" style="width:11.3pt;height:67.3pt;mso-position-horizontal-relative:char;mso-position-vertical-relative:line" coordsize="1432,8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">
                      <v:rect id="Rectangle 46077" o:spid="_x0000_s1380" style="position:absolute;left:-4442;top:245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" filled="f" stroked="f">
                        <v:textbox inset="0,0,0,0">
                          <w:txbxContent>
                            <w:p w:rsidR="004D6F0E" w:rsidRDefault="00490F21">
                              <w:pPr>
                                <w:spacing w:after="160" w:line="259" w:lineRule="auto"/>
                                <w:ind w:left="0" w:firstLine="0"/>
                              </w:pPr>
                              <w:r>
                                <w:rPr>
                                  <w:sz w:val="16"/>
                                </w:rPr>
                                <w:t>新興市場增長基金</w:t>
                              </w:r>
                            </w:p>
                          </w:txbxContent>
                        </v:textbox>
                      </v:rect>
                      <v:rect id="Rectangle 46078" o:spid="_x0000_s1381"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c>
          <w:tcPr>
            <w:tcW w:w="679" w:type="dxa"/>
            <w:tcBorders>
              <w:top w:val="nil"/>
              <w:left w:val="nil"/>
              <w:bottom w:val="single" w:sz="4" w:space="0" w:color="000000"/>
              <w:right w:val="nil"/>
            </w:tcBorders>
          </w:tcPr>
          <w:p w:rsidR="004D6F0E" w:rsidRDefault="00490F21">
            <w:pPr>
              <w:spacing w:after="0" w:line="259" w:lineRule="auto"/>
              <w:ind w:left="255" w:firstLine="0"/>
            </w:pPr>
            <w:r>
              <w:rPr>
                <w:rFonts w:ascii="Calibri" w:eastAsia="Calibri" w:hAnsi="Calibri" w:cs="Calibri"/>
                <w:noProof/>
                <w:sz w:val="22"/>
              </w:rPr>
              <mc:AlternateContent>
                <mc:Choice Requires="wpg">
                  <w:drawing>
                    <wp:inline distT="0" distB="0" distL="0" distR="0">
                      <wp:extent cx="103404" cy="1247556"/>
                      <wp:effectExtent l="0" t="0" r="0" b="0"/>
                      <wp:docPr id="582136" name="Group 582136"/>
                      <wp:cNvGraphicFramePr/>
                      <a:graphic xmlns:a="http://schemas.openxmlformats.org/drawingml/2006/main">
                        <a:graphicData uri="http://schemas.microsoft.com/office/word/2010/wordprocessingGroup">
                          <wpg:wgp>
                            <wpg:cNvGrpSpPr/>
                            <wpg:grpSpPr>
                              <a:xfrm>
                                <a:off x="0" y="0"/>
                                <a:ext cx="103404" cy="1247556"/>
                                <a:chOff x="0" y="0"/>
                                <a:chExt cx="103404" cy="1247556"/>
                              </a:xfrm>
                            </wpg:grpSpPr>
                            <wps:wsp>
                              <wps:cNvPr id="46079" name="Rectangle 46079"/>
                              <wps:cNvSpPr/>
                              <wps:spPr>
                                <a:xfrm rot="-5399999">
                                  <a:off x="-743877" y="367874"/>
                                  <a:ext cx="1623560" cy="135804"/>
                                </a:xfrm>
                                <a:prstGeom prst="rect">
                                  <a:avLst/>
                                </a:prstGeom>
                                <a:ln>
                                  <a:noFill/>
                                </a:ln>
                              </wps:spPr>
                              <wps:txbx>
                                <w:txbxContent>
                                  <w:p w:rsidR="004D6F0E" w:rsidRDefault="00490F21">
                                    <w:pPr>
                                      <w:spacing w:after="160" w:line="259" w:lineRule="auto"/>
                                      <w:ind w:left="0" w:firstLine="0"/>
                                    </w:pPr>
                                    <w:r>
                                      <w:rPr>
                                        <w:sz w:val="16"/>
                                      </w:rPr>
                                      <w:t>亞洲（日本以外）股票基金</w:t>
                                    </w:r>
                                  </w:p>
                                </w:txbxContent>
                              </wps:txbx>
                              <wps:bodyPr horzOverflow="overflow" vert="horz" lIns="0" tIns="0" rIns="0" bIns="0" rtlCol="0">
                                <a:noAutofit/>
                              </wps:bodyPr>
                            </wps:wsp>
                            <wps:wsp>
                              <wps:cNvPr id="46080" name="Rectangle 46080"/>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82136" o:spid="_x0000_s1382" style="width:8.15pt;height:98.25pt;mso-position-horizontal-relative:char;mso-position-vertical-relative:line" coordsize="1034,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">
                      <v:rect id="Rectangle 46079" o:spid="_x0000_s1383" style="position:absolute;left:-7439;top:3679;width:1623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亞洲（日本以外）股票基金</w:t>
                              </w:r>
                            </w:p>
                          </w:txbxContent>
                        </v:textbox>
                      </v:rect>
                      <v:rect id="Rectangle 46080" o:spid="_x0000_s1384"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682" w:type="dxa"/>
            <w:tcBorders>
              <w:top w:val="nil"/>
              <w:left w:val="nil"/>
              <w:bottom w:val="single" w:sz="4" w:space="0" w:color="000000"/>
              <w:right w:val="nil"/>
            </w:tcBorders>
            <w:shd w:val="clear" w:color="auto" w:fill="D9D9D9"/>
            <w:vAlign w:val="center"/>
          </w:tcPr>
          <w:p w:rsidR="004D6F0E" w:rsidRDefault="00490F21">
            <w:pPr>
              <w:spacing w:after="0" w:line="259" w:lineRule="auto"/>
              <w:ind w:left="255" w:firstLine="0"/>
            </w:pPr>
            <w:r>
              <w:rPr>
                <w:rFonts w:ascii="Calibri" w:eastAsia="Calibri" w:hAnsi="Calibri" w:cs="Calibri"/>
                <w:noProof/>
                <w:sz w:val="22"/>
              </w:rPr>
              <mc:AlternateContent>
                <mc:Choice Requires="wpg">
                  <w:drawing>
                    <wp:inline distT="0" distB="0" distL="0" distR="0">
                      <wp:extent cx="103404" cy="840677"/>
                      <wp:effectExtent l="0" t="0" r="0" b="0"/>
                      <wp:docPr id="582144" name="Group 582144"/>
                      <wp:cNvGraphicFramePr/>
                      <a:graphic xmlns:a="http://schemas.openxmlformats.org/drawingml/2006/main">
                        <a:graphicData uri="http://schemas.microsoft.com/office/word/2010/wordprocessingGroup">
                          <wpg:wgp>
                            <wpg:cNvGrpSpPr/>
                            <wpg:grpSpPr>
                              <a:xfrm>
                                <a:off x="0" y="0"/>
                                <a:ext cx="103404" cy="840677"/>
                                <a:chOff x="0" y="0"/>
                                <a:chExt cx="103404" cy="840677"/>
                              </a:xfrm>
                            </wpg:grpSpPr>
                            <wps:wsp>
                              <wps:cNvPr id="46083" name="Rectangle 46083"/>
                              <wps:cNvSpPr/>
                              <wps:spPr>
                                <a:xfrm rot="-5399999">
                                  <a:off x="-473288" y="231584"/>
                                  <a:ext cx="1082382" cy="135804"/>
                                </a:xfrm>
                                <a:prstGeom prst="rect">
                                  <a:avLst/>
                                </a:prstGeom>
                                <a:ln>
                                  <a:noFill/>
                                </a:ln>
                              </wps:spPr>
                              <wps:txbx>
                                <w:txbxContent>
                                  <w:p w:rsidR="004D6F0E" w:rsidRDefault="00490F21">
                                    <w:pPr>
                                      <w:spacing w:after="160" w:line="259" w:lineRule="auto"/>
                                      <w:ind w:left="0" w:firstLine="0"/>
                                    </w:pPr>
                                    <w:r>
                                      <w:rPr>
                                        <w:sz w:val="16"/>
                                      </w:rPr>
                                      <w:t>日本策略價值基金</w:t>
                                    </w:r>
                                  </w:p>
                                </w:txbxContent>
                              </wps:txbx>
                              <wps:bodyPr horzOverflow="overflow" vert="horz" lIns="0" tIns="0" rIns="0" bIns="0" rtlCol="0">
                                <a:noAutofit/>
                              </wps:bodyPr>
                            </wps:wsp>
                            <wps:wsp>
                              <wps:cNvPr id="46084" name="Rectangle 46084"/>
                              <wps:cNvSpPr/>
                              <wps:spPr>
                                <a:xfrm rot="-5399999">
                                  <a:off x="52375" y="-54313"/>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82144" o:spid="_x0000_s1385"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">
                      <v:rect id="Rectangle 46083" o:spid="_x0000_s1386" style="position:absolute;left:-4733;top:231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日本策略價值基金</w:t>
                              </w:r>
                            </w:p>
                          </w:txbxContent>
                        </v:textbox>
                      </v:rect>
                      <v:rect id="Rectangle 46084" o:spid="_x0000_s1387"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797" w:type="dxa"/>
            <w:tcBorders>
              <w:top w:val="nil"/>
              <w:left w:val="nil"/>
              <w:bottom w:val="single" w:sz="4" w:space="0" w:color="000000"/>
              <w:right w:val="nil"/>
            </w:tcBorders>
          </w:tcPr>
          <w:p w:rsidR="004D6F0E" w:rsidRDefault="00490F21">
            <w:pPr>
              <w:spacing w:after="0" w:line="259" w:lineRule="auto"/>
              <w:ind w:left="310" w:firstLine="0"/>
            </w:pPr>
            <w:r>
              <w:rPr>
                <w:rFonts w:ascii="Calibri" w:eastAsia="Calibri" w:hAnsi="Calibri" w:cs="Calibri"/>
                <w:noProof/>
                <w:sz w:val="22"/>
              </w:rPr>
              <mc:AlternateContent>
                <mc:Choice Requires="wpg">
                  <w:drawing>
                    <wp:inline distT="0" distB="0" distL="0" distR="0">
                      <wp:extent cx="103405" cy="1145447"/>
                      <wp:effectExtent l="0" t="0" r="0" b="0"/>
                      <wp:docPr id="582149" name="Group 582149"/>
                      <wp:cNvGraphicFramePr/>
                      <a:graphic xmlns:a="http://schemas.openxmlformats.org/drawingml/2006/main">
                        <a:graphicData uri="http://schemas.microsoft.com/office/word/2010/wordprocessingGroup">
                          <wpg:wgp>
                            <wpg:cNvGrpSpPr/>
                            <wpg:grpSpPr>
                              <a:xfrm>
                                <a:off x="0" y="0"/>
                                <a:ext cx="103405" cy="1145447"/>
                                <a:chOff x="0" y="0"/>
                                <a:chExt cx="103405" cy="1145447"/>
                              </a:xfrm>
                            </wpg:grpSpPr>
                            <wps:wsp>
                              <wps:cNvPr id="46085" name="Rectangle 46085"/>
                              <wps:cNvSpPr/>
                              <wps:spPr>
                                <a:xfrm rot="-5399999">
                                  <a:off x="-675975" y="333667"/>
                                  <a:ext cx="1487757" cy="135804"/>
                                </a:xfrm>
                                <a:prstGeom prst="rect">
                                  <a:avLst/>
                                </a:prstGeom>
                                <a:ln>
                                  <a:noFill/>
                                </a:ln>
                              </wps:spPr>
                              <wps:txbx>
                                <w:txbxContent>
                                  <w:p w:rsidR="004D6F0E" w:rsidRDefault="00490F21">
                                    <w:pPr>
                                      <w:spacing w:after="160" w:line="259" w:lineRule="auto"/>
                                      <w:ind w:left="0" w:firstLine="0"/>
                                    </w:pPr>
                                    <w:r>
                                      <w:rPr>
                                        <w:sz w:val="16"/>
                                      </w:rPr>
                                      <w:t>中國低波幅策略股票基金</w:t>
                                    </w:r>
                                  </w:p>
                                </w:txbxContent>
                              </wps:txbx>
                              <wps:bodyPr horzOverflow="overflow" vert="horz" lIns="0" tIns="0" rIns="0" bIns="0" rtlCol="0">
                                <a:noAutofit/>
                              </wps:bodyPr>
                            </wps:wsp>
                            <wps:wsp>
                              <wps:cNvPr id="46086" name="Rectangle 46086"/>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82149" o:spid="_x0000_s1388" style="width:8.15pt;height:90.2pt;mso-position-horizontal-relative:char;mso-position-vertical-relative:line" coordsize="1034,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">
                      <v:rect id="Rectangle 46085" o:spid="_x0000_s1389" style="position:absolute;left:-6760;top:3337;width:1487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中國低波幅策略股票基金</w:t>
                              </w:r>
                            </w:p>
                          </w:txbxContent>
                        </v:textbox>
                      </v:rect>
                      <v:rect id="Rectangle 46086" o:spid="_x0000_s1390"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r>
      <w:tr w:rsidR="004D6F0E">
        <w:trPr>
          <w:trHeight w:val="240"/>
        </w:trPr>
        <w:tc>
          <w:tcPr>
            <w:tcW w:w="25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股本證券類</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9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51" w:firstLine="0"/>
              <w:jc w:val="center"/>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4" w:firstLine="0"/>
              <w:jc w:val="center"/>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股本證券</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9"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33"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7" w:firstLine="0"/>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47"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房地產投資信託基金</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47"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債務證券類型</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固定收益證券</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住宅按揭擔保證券</w:t>
            </w:r>
            <w:r>
              <w:rPr>
                <w:rFonts w:ascii="Arial" w:eastAsia="Arial" w:hAnsi="Arial" w:cs="Arial"/>
                <w:sz w:val="16"/>
              </w:rPr>
              <w:t>(RMBS)*</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商業抵押擔保證券</w:t>
            </w:r>
            <w:r>
              <w:rPr>
                <w:rFonts w:ascii="Arial" w:eastAsia="Arial" w:hAnsi="Arial" w:cs="Arial"/>
                <w:sz w:val="16"/>
              </w:rPr>
              <w:t>(CMBS)*</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其他資產擔保證券</w:t>
            </w:r>
            <w:r>
              <w:rPr>
                <w:rFonts w:ascii="Arial" w:eastAsia="Arial" w:hAnsi="Arial" w:cs="Arial"/>
                <w:sz w:val="16"/>
              </w:rPr>
              <w:t>*</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結構式證券及一籃子證券</w:t>
            </w:r>
            <w:r>
              <w:rPr>
                <w:rFonts w:ascii="Arial" w:eastAsia="Arial" w:hAnsi="Arial" w:cs="Arial"/>
                <w:sz w:val="16"/>
              </w:rPr>
              <w:t>*</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7" w:firstLine="0"/>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其他投資類別</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期權、認股權及認股證</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9"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33"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7" w:firstLine="0"/>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47"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期貨合約</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9"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33"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7" w:firstLine="0"/>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47"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遠期承諾</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9"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33"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7" w:firstLine="0"/>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47"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回購協議／逆回購協議</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3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5"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69"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83" w:firstLine="0"/>
            </w:pPr>
            <w:r>
              <w:rPr>
                <w:rFonts w:ascii="Arial" w:eastAsia="Arial" w:hAnsi="Arial" w:cs="Arial"/>
                <w:sz w:val="12"/>
              </w:rPr>
              <w:t xml:space="preserve"> </w:t>
            </w:r>
          </w:p>
        </w:tc>
      </w:tr>
      <w:tr w:rsidR="004D6F0E">
        <w:trPr>
          <w:trHeight w:val="240"/>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掉期、上限、下限</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60"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9"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33"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7" w:firstLine="0"/>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247" w:firstLine="0"/>
            </w:pPr>
            <w:r>
              <w:rPr>
                <w:rFonts w:ascii="Arial" w:eastAsia="Arial" w:hAnsi="Arial" w:cs="Arial"/>
                <w:sz w:val="12"/>
              </w:rPr>
              <w:t xml:space="preserve">● </w:t>
            </w:r>
          </w:p>
        </w:tc>
      </w:tr>
      <w:tr w:rsidR="004D6F0E">
        <w:trPr>
          <w:trHeight w:val="239"/>
        </w:trPr>
        <w:tc>
          <w:tcPr>
            <w:tcW w:w="2515"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合成股本證券</w:t>
            </w:r>
            <w:r>
              <w:rPr>
                <w:rFonts w:ascii="Arial" w:eastAsia="Arial" w:hAnsi="Arial" w:cs="Arial"/>
                <w:sz w:val="24"/>
              </w:rPr>
              <w:t xml:space="preserve"> </w:t>
            </w:r>
          </w:p>
        </w:tc>
        <w:tc>
          <w:tcPr>
            <w:tcW w:w="437" w:type="dxa"/>
            <w:tcBorders>
              <w:top w:val="single" w:sz="4" w:space="0" w:color="000000"/>
              <w:left w:val="nil"/>
              <w:bottom w:val="single" w:sz="4" w:space="0" w:color="000000"/>
              <w:right w:val="nil"/>
            </w:tcBorders>
          </w:tcPr>
          <w:p w:rsidR="004D6F0E" w:rsidRDefault="00490F21">
            <w:pPr>
              <w:spacing w:after="0" w:line="259" w:lineRule="auto"/>
              <w:ind w:left="96" w:firstLine="0"/>
            </w:pPr>
            <w:r>
              <w:rPr>
                <w:rFonts w:ascii="Arial" w:eastAsia="Arial" w:hAnsi="Arial" w:cs="Arial"/>
                <w:sz w:val="12"/>
              </w:rPr>
              <w:t xml:space="preserve"> </w:t>
            </w:r>
          </w:p>
        </w:tc>
        <w:tc>
          <w:tcPr>
            <w:tcW w:w="66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9" w:firstLine="0"/>
            </w:pPr>
            <w:r>
              <w:rPr>
                <w:rFonts w:ascii="Arial" w:eastAsia="Arial" w:hAnsi="Arial" w:cs="Arial"/>
                <w:sz w:val="12"/>
              </w:rPr>
              <w:t xml:space="preserve">● </w:t>
            </w:r>
          </w:p>
        </w:tc>
        <w:tc>
          <w:tcPr>
            <w:tcW w:w="679" w:type="dxa"/>
            <w:tcBorders>
              <w:top w:val="single" w:sz="4" w:space="0" w:color="000000"/>
              <w:left w:val="nil"/>
              <w:bottom w:val="single" w:sz="4" w:space="0" w:color="000000"/>
              <w:right w:val="nil"/>
            </w:tcBorders>
          </w:tcPr>
          <w:p w:rsidR="004D6F0E" w:rsidRDefault="00490F21">
            <w:pPr>
              <w:spacing w:after="0" w:line="259" w:lineRule="auto"/>
              <w:ind w:left="233" w:firstLine="0"/>
            </w:pPr>
            <w:r>
              <w:rPr>
                <w:rFonts w:ascii="Arial" w:eastAsia="Arial" w:hAnsi="Arial" w:cs="Arial"/>
                <w:sz w:val="12"/>
              </w:rPr>
              <w:t xml:space="preserve">● </w:t>
            </w:r>
          </w:p>
        </w:tc>
        <w:tc>
          <w:tcPr>
            <w:tcW w:w="682"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c>
          <w:tcPr>
            <w:tcW w:w="797" w:type="dxa"/>
            <w:tcBorders>
              <w:top w:val="single" w:sz="4" w:space="0" w:color="000000"/>
              <w:left w:val="nil"/>
              <w:bottom w:val="single" w:sz="4" w:space="0" w:color="000000"/>
              <w:right w:val="nil"/>
            </w:tcBorders>
          </w:tcPr>
          <w:p w:rsidR="004D6F0E" w:rsidRDefault="00490F21">
            <w:pPr>
              <w:spacing w:after="0" w:line="259" w:lineRule="auto"/>
              <w:ind w:left="144" w:firstLine="0"/>
              <w:jc w:val="center"/>
            </w:pPr>
            <w:r>
              <w:rPr>
                <w:rFonts w:ascii="Arial" w:eastAsia="Arial" w:hAnsi="Arial" w:cs="Arial"/>
                <w:sz w:val="12"/>
              </w:rPr>
              <w:t xml:space="preserve"> </w:t>
            </w:r>
          </w:p>
        </w:tc>
      </w:tr>
    </w:tbl>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r>
        <w:rPr>
          <w:rFonts w:ascii="Arial" w:eastAsia="Arial" w:hAnsi="Arial" w:cs="Arial"/>
          <w:sz w:val="24"/>
        </w:rPr>
        <w:tab/>
        <w:t xml:space="preserve"> </w:t>
      </w:r>
    </w:p>
    <w:p w:rsidR="004D6F0E" w:rsidRDefault="00490F21">
      <w:pPr>
        <w:pStyle w:val="Heading3"/>
        <w:spacing w:after="6" w:line="257" w:lineRule="auto"/>
        <w:ind w:left="-2" w:firstLine="11088"/>
      </w:pPr>
      <w:r>
        <w:rPr>
          <w:rFonts w:ascii="Arial" w:eastAsia="Arial" w:hAnsi="Arial" w:cs="Arial"/>
        </w:rPr>
        <w:t xml:space="preserve"> </w:t>
      </w:r>
      <w:r>
        <w:rPr>
          <w:sz w:val="24"/>
        </w:rPr>
        <w:t>固定收益</w:t>
      </w:r>
      <w:r>
        <w:rPr>
          <w:rFonts w:ascii="Arial" w:eastAsia="Arial" w:hAnsi="Arial" w:cs="Arial"/>
          <w:sz w:val="24"/>
        </w:rPr>
        <w:t xml:space="preserve"> </w:t>
      </w:r>
    </w:p>
    <w:tbl>
      <w:tblPr>
        <w:tblStyle w:val="TableGrid"/>
        <w:tblW w:w="10399" w:type="dxa"/>
        <w:tblInd w:w="0" w:type="dxa"/>
        <w:tblCellMar>
          <w:top w:w="28" w:type="dxa"/>
          <w:left w:w="115" w:type="dxa"/>
          <w:bottom w:w="31" w:type="dxa"/>
          <w:right w:w="115" w:type="dxa"/>
        </w:tblCellMar>
        <w:tblLook w:val="04A0" w:firstRow="1" w:lastRow="0" w:firstColumn="1" w:lastColumn="0" w:noHBand="0" w:noVBand="1"/>
      </w:tblPr>
      <w:tblGrid>
        <w:gridCol w:w="3970"/>
        <w:gridCol w:w="919"/>
        <w:gridCol w:w="919"/>
        <w:gridCol w:w="917"/>
        <w:gridCol w:w="919"/>
        <w:gridCol w:w="919"/>
        <w:gridCol w:w="919"/>
        <w:gridCol w:w="917"/>
      </w:tblGrid>
      <w:tr w:rsidR="004D6F0E">
        <w:trPr>
          <w:trHeight w:val="2578"/>
        </w:trPr>
        <w:tc>
          <w:tcPr>
            <w:tcW w:w="3970" w:type="dxa"/>
            <w:tcBorders>
              <w:top w:val="nil"/>
              <w:left w:val="nil"/>
              <w:bottom w:val="single" w:sz="4" w:space="0" w:color="000000"/>
              <w:right w:val="nil"/>
            </w:tcBorders>
            <w:vAlign w:val="center"/>
          </w:tcPr>
          <w:p w:rsidR="004D6F0E" w:rsidRDefault="00490F21">
            <w:pPr>
              <w:spacing w:after="0" w:line="259" w:lineRule="auto"/>
              <w:ind w:left="0" w:firstLine="0"/>
            </w:pPr>
            <w:r>
              <w:rPr>
                <w:rFonts w:ascii="Arial" w:eastAsia="Arial" w:hAnsi="Arial" w:cs="Arial"/>
                <w:b/>
                <w:sz w:val="16"/>
              </w:rPr>
              <w:t xml:space="preserve">  </w:t>
            </w:r>
          </w:p>
        </w:tc>
        <w:tc>
          <w:tcPr>
            <w:tcW w:w="919" w:type="dxa"/>
            <w:tcBorders>
              <w:top w:val="nil"/>
              <w:left w:val="nil"/>
              <w:bottom w:val="single" w:sz="4" w:space="0" w:color="000000"/>
              <w:right w:val="nil"/>
            </w:tcBorders>
            <w:shd w:val="clear" w:color="auto" w:fill="D9D9D9"/>
            <w:vAlign w:val="bottom"/>
          </w:tcPr>
          <w:p w:rsidR="004D6F0E" w:rsidRDefault="00490F21">
            <w:pPr>
              <w:spacing w:after="0" w:line="259" w:lineRule="auto"/>
              <w:ind w:left="214" w:firstLine="0"/>
            </w:pPr>
            <w:r>
              <w:rPr>
                <w:rFonts w:ascii="Calibri" w:eastAsia="Calibri" w:hAnsi="Calibri" w:cs="Calibri"/>
                <w:noProof/>
                <w:sz w:val="22"/>
              </w:rPr>
              <mc:AlternateContent>
                <mc:Choice Requires="wpg">
                  <w:drawing>
                    <wp:inline distT="0" distB="0" distL="0" distR="0">
                      <wp:extent cx="143247" cy="651967"/>
                      <wp:effectExtent l="0" t="0" r="0" b="0"/>
                      <wp:docPr id="590321" name="Group 590321"/>
                      <wp:cNvGraphicFramePr/>
                      <a:graphic xmlns:a="http://schemas.openxmlformats.org/drawingml/2006/main">
                        <a:graphicData uri="http://schemas.microsoft.com/office/word/2010/wordprocessingGroup">
                          <wpg:wgp>
                            <wpg:cNvGrpSpPr/>
                            <wpg:grpSpPr>
                              <a:xfrm>
                                <a:off x="0" y="0"/>
                                <a:ext cx="143247" cy="651967"/>
                                <a:chOff x="0" y="0"/>
                                <a:chExt cx="143247" cy="651967"/>
                              </a:xfrm>
                            </wpg:grpSpPr>
                            <wps:wsp>
                              <wps:cNvPr id="46535" name="Rectangle 46535"/>
                              <wps:cNvSpPr/>
                              <wps:spPr>
                                <a:xfrm rot="-5399999">
                                  <a:off x="-309311" y="177666"/>
                                  <a:ext cx="812798" cy="135804"/>
                                </a:xfrm>
                                <a:prstGeom prst="rect">
                                  <a:avLst/>
                                </a:prstGeom>
                                <a:ln>
                                  <a:noFill/>
                                </a:ln>
                              </wps:spPr>
                              <wps:txbx>
                                <w:txbxContent>
                                  <w:p w:rsidR="004D6F0E" w:rsidRDefault="00490F21">
                                    <w:pPr>
                                      <w:spacing w:after="160" w:line="259" w:lineRule="auto"/>
                                      <w:ind w:left="0" w:firstLine="0"/>
                                    </w:pPr>
                                    <w:r>
                                      <w:rPr>
                                        <w:sz w:val="16"/>
                                      </w:rPr>
                                      <w:t>短期債券基金</w:t>
                                    </w:r>
                                  </w:p>
                                </w:txbxContent>
                              </wps:txbx>
                              <wps:bodyPr horzOverflow="overflow" vert="horz" lIns="0" tIns="0" rIns="0" bIns="0" rtlCol="0">
                                <a:noAutofit/>
                              </wps:bodyPr>
                            </wps:wsp>
                            <wps:wsp>
                              <wps:cNvPr id="46536" name="Rectangle 46536"/>
                              <wps:cNvSpPr/>
                              <wps:spPr>
                                <a:xfrm rot="-5399999">
                                  <a:off x="67085" y="-81065"/>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90321" o:spid="_x0000_s1391" style="width:11.3pt;height:51.35pt;mso-position-horizontal-relative:char;mso-position-vertical-relative:line" coordsize="1432,6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">
                      <v:rect id="Rectangle 46535" o:spid="_x0000_s1392" style="position:absolute;left:-3094;top:177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" filled="f" stroked="f">
                        <v:textbox inset="0,0,0,0">
                          <w:txbxContent>
                            <w:p w:rsidR="004D6F0E" w:rsidRDefault="00490F21">
                              <w:pPr>
                                <w:spacing w:after="160" w:line="259" w:lineRule="auto"/>
                                <w:ind w:left="0" w:firstLine="0"/>
                              </w:pPr>
                              <w:r>
                                <w:rPr>
                                  <w:sz w:val="16"/>
                                </w:rPr>
                                <w:t>短期債券基金</w:t>
                              </w:r>
                            </w:p>
                          </w:txbxContent>
                        </v:textbox>
                      </v:rect>
                      <v:rect id="Rectangle 46536" o:spid="_x0000_s1393"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c>
          <w:tcPr>
            <w:tcW w:w="919" w:type="dxa"/>
            <w:tcBorders>
              <w:top w:val="nil"/>
              <w:left w:val="nil"/>
              <w:bottom w:val="single" w:sz="4" w:space="0" w:color="000000"/>
              <w:right w:val="nil"/>
            </w:tcBorders>
            <w:vAlign w:val="bottom"/>
          </w:tcPr>
          <w:p w:rsidR="004D6F0E" w:rsidRDefault="00490F21">
            <w:pPr>
              <w:spacing w:after="0" w:line="259" w:lineRule="auto"/>
              <w:ind w:left="214" w:firstLine="0"/>
            </w:pPr>
            <w:r>
              <w:rPr>
                <w:rFonts w:ascii="Calibri" w:eastAsia="Calibri" w:hAnsi="Calibri" w:cs="Calibri"/>
                <w:noProof/>
                <w:sz w:val="22"/>
              </w:rPr>
              <mc:AlternateContent>
                <mc:Choice Requires="wpg">
                  <w:drawing>
                    <wp:inline distT="0" distB="0" distL="0" distR="0">
                      <wp:extent cx="143247" cy="754075"/>
                      <wp:effectExtent l="0" t="0" r="0" b="0"/>
                      <wp:docPr id="590334" name="Group 590334"/>
                      <wp:cNvGraphicFramePr/>
                      <a:graphic xmlns:a="http://schemas.openxmlformats.org/drawingml/2006/main">
                        <a:graphicData uri="http://schemas.microsoft.com/office/word/2010/wordprocessingGroup">
                          <wpg:wgp>
                            <wpg:cNvGrpSpPr/>
                            <wpg:grpSpPr>
                              <a:xfrm>
                                <a:off x="0" y="0"/>
                                <a:ext cx="143247" cy="754075"/>
                                <a:chOff x="0" y="0"/>
                                <a:chExt cx="143247" cy="754075"/>
                              </a:xfrm>
                            </wpg:grpSpPr>
                            <wps:wsp>
                              <wps:cNvPr id="46537" name="Rectangle 46537"/>
                              <wps:cNvSpPr/>
                              <wps:spPr>
                                <a:xfrm rot="-5399999">
                                  <a:off x="-377213" y="211872"/>
                                  <a:ext cx="948602" cy="135804"/>
                                </a:xfrm>
                                <a:prstGeom prst="rect">
                                  <a:avLst/>
                                </a:prstGeom>
                                <a:ln>
                                  <a:noFill/>
                                </a:ln>
                              </wps:spPr>
                              <wps:txbx>
                                <w:txbxContent>
                                  <w:p w:rsidR="004D6F0E" w:rsidRDefault="00490F21">
                                    <w:pPr>
                                      <w:spacing w:after="160" w:line="259" w:lineRule="auto"/>
                                      <w:ind w:left="0" w:firstLine="0"/>
                                    </w:pPr>
                                    <w:r>
                                      <w:rPr>
                                        <w:sz w:val="16"/>
                                      </w:rPr>
                                      <w:t>環球高收益基金</w:t>
                                    </w:r>
                                  </w:p>
                                </w:txbxContent>
                              </wps:txbx>
                              <wps:bodyPr horzOverflow="overflow" vert="horz" lIns="0" tIns="0" rIns="0" bIns="0" rtlCol="0">
                                <a:noAutofit/>
                              </wps:bodyPr>
                            </wps:wsp>
                            <wps:wsp>
                              <wps:cNvPr id="46538" name="Rectangle 46538"/>
                              <wps:cNvSpPr/>
                              <wps:spPr>
                                <a:xfrm rot="-5399999">
                                  <a:off x="67085" y="-81065"/>
                                  <a:ext cx="56348" cy="190518"/>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90334" o:spid="_x0000_s1394" style="width:11.3pt;height:59.4pt;mso-position-horizontal-relative:char;mso-position-vertical-relative:line" coordsize="1432,7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">
                      <v:rect id="Rectangle 46537" o:spid="_x0000_s1395" style="position:absolute;left:-3773;top:2119;width:948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" filled="f" stroked="f">
                        <v:textbox inset="0,0,0,0">
                          <w:txbxContent>
                            <w:p w:rsidR="004D6F0E" w:rsidRDefault="00490F21">
                              <w:pPr>
                                <w:spacing w:after="160" w:line="259" w:lineRule="auto"/>
                                <w:ind w:left="0" w:firstLine="0"/>
                              </w:pPr>
                              <w:r>
                                <w:rPr>
                                  <w:sz w:val="16"/>
                                </w:rPr>
                                <w:t>環球高收益基金</w:t>
                              </w:r>
                            </w:p>
                          </w:txbxContent>
                        </v:textbox>
                      </v:rect>
                      <v:rect id="Rectangle 46538" o:spid="_x0000_s1396"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c>
          <w:tcPr>
            <w:tcW w:w="917" w:type="dxa"/>
            <w:tcBorders>
              <w:top w:val="nil"/>
              <w:left w:val="nil"/>
              <w:bottom w:val="single" w:sz="4" w:space="0" w:color="000000"/>
              <w:right w:val="nil"/>
            </w:tcBorders>
            <w:shd w:val="clear" w:color="auto" w:fill="D9D9D9"/>
            <w:vAlign w:val="bottom"/>
          </w:tcPr>
          <w:p w:rsidR="004D6F0E" w:rsidRDefault="00490F21">
            <w:pPr>
              <w:spacing w:after="0" w:line="259" w:lineRule="auto"/>
              <w:ind w:left="212" w:firstLine="0"/>
            </w:pPr>
            <w:r>
              <w:rPr>
                <w:rFonts w:ascii="Calibri" w:eastAsia="Calibri" w:hAnsi="Calibri" w:cs="Calibri"/>
                <w:noProof/>
                <w:sz w:val="22"/>
              </w:rPr>
              <mc:AlternateContent>
                <mc:Choice Requires="wpg">
                  <w:drawing>
                    <wp:inline distT="0" distB="0" distL="0" distR="0">
                      <wp:extent cx="143247" cy="651967"/>
                      <wp:effectExtent l="0" t="0" r="0" b="0"/>
                      <wp:docPr id="590338" name="Group 590338"/>
                      <wp:cNvGraphicFramePr/>
                      <a:graphic xmlns:a="http://schemas.openxmlformats.org/drawingml/2006/main">
                        <a:graphicData uri="http://schemas.microsoft.com/office/word/2010/wordprocessingGroup">
                          <wpg:wgp>
                            <wpg:cNvGrpSpPr/>
                            <wpg:grpSpPr>
                              <a:xfrm>
                                <a:off x="0" y="0"/>
                                <a:ext cx="143247" cy="651967"/>
                                <a:chOff x="0" y="0"/>
                                <a:chExt cx="143247" cy="651967"/>
                              </a:xfrm>
                            </wpg:grpSpPr>
                            <wps:wsp>
                              <wps:cNvPr id="46541" name="Rectangle 46541"/>
                              <wps:cNvSpPr/>
                              <wps:spPr>
                                <a:xfrm rot="-5399999">
                                  <a:off x="-309311" y="177666"/>
                                  <a:ext cx="812798" cy="135804"/>
                                </a:xfrm>
                                <a:prstGeom prst="rect">
                                  <a:avLst/>
                                </a:prstGeom>
                                <a:ln>
                                  <a:noFill/>
                                </a:ln>
                              </wps:spPr>
                              <wps:txbx>
                                <w:txbxContent>
                                  <w:p w:rsidR="004D6F0E" w:rsidRDefault="00490F21">
                                    <w:pPr>
                                      <w:spacing w:after="160" w:line="259" w:lineRule="auto"/>
                                      <w:ind w:left="0" w:firstLine="0"/>
                                    </w:pPr>
                                    <w:r>
                                      <w:rPr>
                                        <w:sz w:val="16"/>
                                      </w:rPr>
                                      <w:t>美元收益基金</w:t>
                                    </w:r>
                                  </w:p>
                                </w:txbxContent>
                              </wps:txbx>
                              <wps:bodyPr horzOverflow="overflow" vert="horz" lIns="0" tIns="0" rIns="0" bIns="0" rtlCol="0">
                                <a:noAutofit/>
                              </wps:bodyPr>
                            </wps:wsp>
                            <wps:wsp>
                              <wps:cNvPr id="46542" name="Rectangle 46542"/>
                              <wps:cNvSpPr/>
                              <wps:spPr>
                                <a:xfrm rot="-5399999">
                                  <a:off x="67085" y="-81065"/>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90338" o:spid="_x0000_s1397" style="width:11.3pt;height:51.35pt;mso-position-horizontal-relative:char;mso-position-vertical-relative:line" coordsize="1432,6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">
                      <v:rect id="Rectangle 46541" o:spid="_x0000_s1398" style="position:absolute;left:-3094;top:177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美元收益基金</w:t>
                              </w:r>
                            </w:p>
                          </w:txbxContent>
                        </v:textbox>
                      </v:rect>
                      <v:rect id="Rectangle 46542" o:spid="_x0000_s1399"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c>
          <w:tcPr>
            <w:tcW w:w="919" w:type="dxa"/>
            <w:tcBorders>
              <w:top w:val="nil"/>
              <w:left w:val="nil"/>
              <w:bottom w:val="single" w:sz="4" w:space="0" w:color="000000"/>
              <w:right w:val="nil"/>
            </w:tcBorders>
            <w:vAlign w:val="bottom"/>
          </w:tcPr>
          <w:p w:rsidR="004D6F0E" w:rsidRDefault="00490F21">
            <w:pPr>
              <w:spacing w:after="0" w:line="259" w:lineRule="auto"/>
              <w:ind w:left="214" w:firstLine="0"/>
            </w:pPr>
            <w:r>
              <w:rPr>
                <w:rFonts w:ascii="Calibri" w:eastAsia="Calibri" w:hAnsi="Calibri" w:cs="Calibri"/>
                <w:noProof/>
                <w:sz w:val="22"/>
              </w:rPr>
              <mc:AlternateContent>
                <mc:Choice Requires="wpg">
                  <w:drawing>
                    <wp:inline distT="0" distB="0" distL="0" distR="0">
                      <wp:extent cx="143247" cy="651967"/>
                      <wp:effectExtent l="0" t="0" r="0" b="0"/>
                      <wp:docPr id="590342" name="Group 590342"/>
                      <wp:cNvGraphicFramePr/>
                      <a:graphic xmlns:a="http://schemas.openxmlformats.org/drawingml/2006/main">
                        <a:graphicData uri="http://schemas.microsoft.com/office/word/2010/wordprocessingGroup">
                          <wpg:wgp>
                            <wpg:cNvGrpSpPr/>
                            <wpg:grpSpPr>
                              <a:xfrm>
                                <a:off x="0" y="0"/>
                                <a:ext cx="143247" cy="651967"/>
                                <a:chOff x="0" y="0"/>
                                <a:chExt cx="143247" cy="651967"/>
                              </a:xfrm>
                            </wpg:grpSpPr>
                            <wps:wsp>
                              <wps:cNvPr id="46543" name="Rectangle 46543"/>
                              <wps:cNvSpPr/>
                              <wps:spPr>
                                <a:xfrm rot="-5399999">
                                  <a:off x="-309311" y="177666"/>
                                  <a:ext cx="812798" cy="135804"/>
                                </a:xfrm>
                                <a:prstGeom prst="rect">
                                  <a:avLst/>
                                </a:prstGeom>
                                <a:ln>
                                  <a:noFill/>
                                </a:ln>
                              </wps:spPr>
                              <wps:txbx>
                                <w:txbxContent>
                                  <w:p w:rsidR="004D6F0E" w:rsidRDefault="00490F21">
                                    <w:pPr>
                                      <w:spacing w:after="160" w:line="259" w:lineRule="auto"/>
                                      <w:ind w:left="0" w:firstLine="0"/>
                                    </w:pPr>
                                    <w:r>
                                      <w:rPr>
                                        <w:sz w:val="16"/>
                                      </w:rPr>
                                      <w:t>歐洲收益基金</w:t>
                                    </w:r>
                                  </w:p>
                                </w:txbxContent>
                              </wps:txbx>
                              <wps:bodyPr horzOverflow="overflow" vert="horz" lIns="0" tIns="0" rIns="0" bIns="0" rtlCol="0">
                                <a:noAutofit/>
                              </wps:bodyPr>
                            </wps:wsp>
                            <wps:wsp>
                              <wps:cNvPr id="46544" name="Rectangle 46544"/>
                              <wps:cNvSpPr/>
                              <wps:spPr>
                                <a:xfrm rot="-5399999">
                                  <a:off x="67085" y="-81065"/>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90342" o:spid="_x0000_s1400" style="width:11.3pt;height:51.35pt;mso-position-horizontal-relative:char;mso-position-vertical-relative:line" coordsize="1432,6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">
                      <v:rect id="Rectangle 46543" o:spid="_x0000_s1401" style="position:absolute;left:-3094;top:177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歐洲收益基金</w:t>
                              </w:r>
                            </w:p>
                          </w:txbxContent>
                        </v:textbox>
                      </v:rect>
                      <v:rect id="Rectangle 46544" o:spid="_x0000_s1402"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c>
          <w:tcPr>
            <w:tcW w:w="919" w:type="dxa"/>
            <w:tcBorders>
              <w:top w:val="nil"/>
              <w:left w:val="nil"/>
              <w:bottom w:val="single" w:sz="4" w:space="0" w:color="000000"/>
              <w:right w:val="nil"/>
            </w:tcBorders>
            <w:shd w:val="clear" w:color="auto" w:fill="D9D9D9"/>
          </w:tcPr>
          <w:p w:rsidR="004D6F0E" w:rsidRDefault="00490F21">
            <w:pPr>
              <w:spacing w:after="0" w:line="259" w:lineRule="auto"/>
              <w:ind w:left="214" w:firstLine="0"/>
            </w:pPr>
            <w:r>
              <w:rPr>
                <w:rFonts w:ascii="Calibri" w:eastAsia="Calibri" w:hAnsi="Calibri" w:cs="Calibri"/>
                <w:noProof/>
                <w:sz w:val="22"/>
              </w:rPr>
              <mc:AlternateContent>
                <mc:Choice Requires="wpg">
                  <w:drawing>
                    <wp:inline distT="0" distB="0" distL="0" distR="0">
                      <wp:extent cx="143247" cy="854659"/>
                      <wp:effectExtent l="0" t="0" r="0" b="0"/>
                      <wp:docPr id="590347" name="Group 590347"/>
                      <wp:cNvGraphicFramePr/>
                      <a:graphic xmlns:a="http://schemas.openxmlformats.org/drawingml/2006/main">
                        <a:graphicData uri="http://schemas.microsoft.com/office/word/2010/wordprocessingGroup">
                          <wpg:wgp>
                            <wpg:cNvGrpSpPr/>
                            <wpg:grpSpPr>
                              <a:xfrm>
                                <a:off x="0" y="0"/>
                                <a:ext cx="143247" cy="854659"/>
                                <a:chOff x="0" y="0"/>
                                <a:chExt cx="143247" cy="854659"/>
                              </a:xfrm>
                            </wpg:grpSpPr>
                            <wps:wsp>
                              <wps:cNvPr id="46547" name="Rectangle 46547"/>
                              <wps:cNvSpPr/>
                              <wps:spPr>
                                <a:xfrm rot="-5399999">
                                  <a:off x="-444103" y="245566"/>
                                  <a:ext cx="1082382" cy="135804"/>
                                </a:xfrm>
                                <a:prstGeom prst="rect">
                                  <a:avLst/>
                                </a:prstGeom>
                                <a:ln>
                                  <a:noFill/>
                                </a:ln>
                              </wps:spPr>
                              <wps:txbx>
                                <w:txbxContent>
                                  <w:p w:rsidR="004D6F0E" w:rsidRDefault="00490F21">
                                    <w:pPr>
                                      <w:spacing w:after="160" w:line="259" w:lineRule="auto"/>
                                      <w:ind w:left="0" w:firstLine="0"/>
                                    </w:pPr>
                                    <w:r>
                                      <w:rPr>
                                        <w:sz w:val="16"/>
                                      </w:rPr>
                                      <w:t>新興市場債券基金</w:t>
                                    </w:r>
                                  </w:p>
                                </w:txbxContent>
                              </wps:txbx>
                              <wps:bodyPr horzOverflow="overflow" vert="horz" lIns="0" tIns="0" rIns="0" bIns="0" rtlCol="0">
                                <a:noAutofit/>
                              </wps:bodyPr>
                            </wps:wsp>
                            <wps:wsp>
                              <wps:cNvPr id="46548" name="Rectangle 46548"/>
                              <wps:cNvSpPr/>
                              <wps:spPr>
                                <a:xfrm rot="-5399999">
                                  <a:off x="67085" y="-81065"/>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90347" o:spid="_x0000_s1403" style="width:11.3pt;height:67.3pt;mso-position-horizontal-relative:char;mso-position-vertical-relative:line" coordsize="1432,8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">
                      <v:rect id="Rectangle 46547" o:spid="_x0000_s1404" style="position:absolute;left:-4442;top:245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新興市場債券基金</w:t>
                              </w:r>
                            </w:p>
                          </w:txbxContent>
                        </v:textbox>
                      </v:rect>
                      <v:rect id="Rectangle 46548" o:spid="_x0000_s1405"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c>
          <w:tcPr>
            <w:tcW w:w="1836" w:type="dxa"/>
            <w:gridSpan w:val="2"/>
            <w:tcBorders>
              <w:top w:val="nil"/>
              <w:left w:val="nil"/>
              <w:bottom w:val="nil"/>
              <w:right w:val="nil"/>
            </w:tcBorders>
            <w:vAlign w:val="bottom"/>
          </w:tcPr>
          <w:p w:rsidR="004D6F0E" w:rsidRDefault="00490F21">
            <w:pPr>
              <w:spacing w:after="0" w:line="259" w:lineRule="auto"/>
              <w:ind w:left="260" w:firstLine="0"/>
            </w:pPr>
            <w:r>
              <w:rPr>
                <w:rFonts w:ascii="Calibri" w:eastAsia="Calibri" w:hAnsi="Calibri" w:cs="Calibri"/>
                <w:noProof/>
                <w:sz w:val="22"/>
              </w:rPr>
              <mc:AlternateContent>
                <mc:Choice Requires="wpg">
                  <w:drawing>
                    <wp:inline distT="0" distB="0" distL="0" distR="0">
                      <wp:extent cx="693193" cy="637986"/>
                      <wp:effectExtent l="0" t="0" r="0" b="0"/>
                      <wp:docPr id="636266" name="Group 636266"/>
                      <wp:cNvGraphicFramePr/>
                      <a:graphic xmlns:a="http://schemas.openxmlformats.org/drawingml/2006/main">
                        <a:graphicData uri="http://schemas.microsoft.com/office/word/2010/wordprocessingGroup">
                          <wpg:wgp>
                            <wpg:cNvGrpSpPr/>
                            <wpg:grpSpPr>
                              <a:xfrm>
                                <a:off x="0" y="0"/>
                                <a:ext cx="693193" cy="637986"/>
                                <a:chOff x="0" y="0"/>
                                <a:chExt cx="693193" cy="637986"/>
                              </a:xfrm>
                            </wpg:grpSpPr>
                            <wps:wsp>
                              <wps:cNvPr id="46551" name="Rectangle 46551"/>
                              <wps:cNvSpPr/>
                              <wps:spPr>
                                <a:xfrm rot="-5399999">
                                  <a:off x="-338496" y="163685"/>
                                  <a:ext cx="812798" cy="135804"/>
                                </a:xfrm>
                                <a:prstGeom prst="rect">
                                  <a:avLst/>
                                </a:prstGeom>
                                <a:ln>
                                  <a:noFill/>
                                </a:ln>
                              </wps:spPr>
                              <wps:txbx>
                                <w:txbxContent>
                                  <w:p w:rsidR="004D6F0E" w:rsidRDefault="00490F21">
                                    <w:pPr>
                                      <w:spacing w:after="160" w:line="259" w:lineRule="auto"/>
                                      <w:ind w:left="0" w:firstLine="0"/>
                                    </w:pPr>
                                    <w:r>
                                      <w:rPr>
                                        <w:sz w:val="16"/>
                                      </w:rPr>
                                      <w:t>按揭收益基金</w:t>
                                    </w:r>
                                  </w:p>
                                </w:txbxContent>
                              </wps:txbx>
                              <wps:bodyPr horzOverflow="overflow" vert="horz" lIns="0" tIns="0" rIns="0" bIns="0" rtlCol="0">
                                <a:noAutofit/>
                              </wps:bodyPr>
                            </wps:wsp>
                            <wps:wsp>
                              <wps:cNvPr id="46552" name="Rectangle 46552"/>
                              <wps:cNvSpPr/>
                              <wps:spPr>
                                <a:xfrm rot="-5399999">
                                  <a:off x="52377"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s:wsp>
                              <wps:cNvPr id="46555" name="Rectangle 46555"/>
                              <wps:cNvSpPr/>
                              <wps:spPr>
                                <a:xfrm rot="-5399999">
                                  <a:off x="642164" y="555286"/>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36266" o:spid="_x0000_s1406" style="width:54.6pt;height:50.25pt;mso-position-horizontal-relative:char;mso-position-vertical-relative:line" coordsize="6931,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">
                      <v:rect id="Rectangle 46551" o:spid="_x0000_s1407" style="position:absolute;left:-3385;top:163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按揭收益基金</w:t>
                              </w:r>
                            </w:p>
                          </w:txbxContent>
                        </v:textbox>
                      </v:rect>
                      <v:rect id="Rectangle 46552" o:spid="_x0000_s1408"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v:rect id="Rectangle 46555" o:spid="_x0000_s1409" style="position:absolute;left:6421;top:5553;width:377;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r>
      <w:tr w:rsidR="004D6F0E">
        <w:trPr>
          <w:trHeight w:val="240"/>
        </w:trPr>
        <w:tc>
          <w:tcPr>
            <w:tcW w:w="397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股本證券類</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47" w:firstLine="0"/>
              <w:jc w:val="center"/>
            </w:pPr>
            <w:r>
              <w:rPr>
                <w:rFonts w:ascii="Arial" w:eastAsia="Arial" w:hAnsi="Arial" w:cs="Arial"/>
                <w:sz w:val="16"/>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42" w:firstLine="0"/>
              <w:jc w:val="center"/>
            </w:pPr>
            <w:r>
              <w:rPr>
                <w:rFonts w:ascii="Arial" w:eastAsia="Arial" w:hAnsi="Arial" w:cs="Arial"/>
                <w:sz w:val="16"/>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45" w:firstLine="0"/>
              <w:jc w:val="center"/>
            </w:pPr>
            <w:r>
              <w:rPr>
                <w:rFonts w:ascii="Arial" w:eastAsia="Arial" w:hAnsi="Arial" w:cs="Arial"/>
                <w:sz w:val="16"/>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42" w:firstLine="0"/>
              <w:jc w:val="center"/>
            </w:pPr>
            <w:r>
              <w:rPr>
                <w:rFonts w:ascii="Arial" w:eastAsia="Arial" w:hAnsi="Arial" w:cs="Arial"/>
                <w:sz w:val="16"/>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42" w:firstLine="0"/>
              <w:jc w:val="center"/>
            </w:pPr>
            <w:r>
              <w:rPr>
                <w:rFonts w:ascii="Arial" w:eastAsia="Arial" w:hAnsi="Arial" w:cs="Arial"/>
                <w:sz w:val="16"/>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42" w:firstLine="0"/>
              <w:jc w:val="center"/>
            </w:pPr>
            <w:r>
              <w:rPr>
                <w:rFonts w:ascii="Arial" w:eastAsia="Arial" w:hAnsi="Arial" w:cs="Arial"/>
                <w:sz w:val="16"/>
              </w:rPr>
              <w:t xml:space="preserve"> </w:t>
            </w:r>
          </w:p>
        </w:tc>
        <w:tc>
          <w:tcPr>
            <w:tcW w:w="917" w:type="dxa"/>
            <w:tcBorders>
              <w:top w:val="nil"/>
              <w:left w:val="nil"/>
              <w:bottom w:val="nil"/>
              <w:right w:val="nil"/>
            </w:tcBorders>
            <w:shd w:val="clear" w:color="auto" w:fill="FFFFFF"/>
          </w:tcPr>
          <w:p w:rsidR="004D6F0E" w:rsidRDefault="00490F21">
            <w:pPr>
              <w:spacing w:after="0" w:line="259" w:lineRule="auto"/>
              <w:ind w:left="45" w:firstLine="0"/>
              <w:jc w:val="center"/>
            </w:pPr>
            <w:r>
              <w:rPr>
                <w:rFonts w:ascii="Arial" w:eastAsia="Arial" w:hAnsi="Arial" w:cs="Arial"/>
                <w:sz w:val="16"/>
              </w:rPr>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股本證券</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1836" w:type="dxa"/>
            <w:gridSpan w:val="2"/>
            <w:tcBorders>
              <w:top w:val="nil"/>
              <w:left w:val="nil"/>
              <w:bottom w:val="single" w:sz="4" w:space="0" w:color="FFFFFF"/>
              <w:right w:val="nil"/>
            </w:tcBorders>
          </w:tcPr>
          <w:p w:rsidR="004D6F0E" w:rsidRDefault="00490F21">
            <w:pPr>
              <w:spacing w:after="0" w:line="259" w:lineRule="auto"/>
              <w:ind w:left="33" w:firstLine="0"/>
              <w:jc w:val="center"/>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房地產投資信託基金</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1836" w:type="dxa"/>
            <w:gridSpan w:val="2"/>
            <w:tcBorders>
              <w:top w:val="single" w:sz="4" w:space="0" w:color="FFFFFF"/>
              <w:left w:val="nil"/>
              <w:bottom w:val="nil"/>
              <w:right w:val="nil"/>
            </w:tcBorders>
          </w:tcPr>
          <w:p w:rsidR="004D6F0E" w:rsidRDefault="00490F21">
            <w:pPr>
              <w:spacing w:after="0" w:line="259" w:lineRule="auto"/>
              <w:ind w:left="33" w:firstLine="0"/>
              <w:jc w:val="center"/>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債務證券類型</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nil"/>
              <w:left w:val="nil"/>
              <w:bottom w:val="nil"/>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固定收益證券</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nil"/>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住宅按揭擔保證券</w:t>
            </w:r>
            <w:r>
              <w:rPr>
                <w:rFonts w:ascii="Arial" w:eastAsia="Arial" w:hAnsi="Arial" w:cs="Arial"/>
                <w:sz w:val="16"/>
              </w:rPr>
              <w:t>(RMBS)*</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商業抵押擔保證券</w:t>
            </w:r>
            <w:r>
              <w:rPr>
                <w:rFonts w:ascii="Arial" w:eastAsia="Arial" w:hAnsi="Arial" w:cs="Arial"/>
                <w:sz w:val="16"/>
              </w:rPr>
              <w:t>(CMBS)*</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其他資產擔保證券</w:t>
            </w:r>
            <w:r>
              <w:rPr>
                <w:rFonts w:ascii="Arial" w:eastAsia="Arial" w:hAnsi="Arial" w:cs="Arial"/>
                <w:sz w:val="16"/>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r>
            <w:r>
              <w:rPr>
                <w:rFonts w:ascii="Arial" w:eastAsia="Arial" w:hAnsi="Arial" w:cs="Arial"/>
                <w:sz w:val="18"/>
                <w:vertAlign w:val="superscript"/>
              </w:rPr>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結構式證券及一籃子證券</w:t>
            </w:r>
            <w:r>
              <w:rPr>
                <w:rFonts w:ascii="Arial" w:eastAsia="Arial" w:hAnsi="Arial" w:cs="Arial"/>
                <w:sz w:val="16"/>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single" w:sz="4" w:space="0" w:color="FFFFFF"/>
              <w:left w:val="nil"/>
              <w:bottom w:val="nil"/>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其他投資類別</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nil"/>
              <w:left w:val="nil"/>
              <w:bottom w:val="nil"/>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期權、認股權及認股證</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nil"/>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期貨合約</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遠期承諾</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single" w:sz="4" w:space="0" w:color="FFFFFF"/>
              <w:left w:val="nil"/>
              <w:bottom w:val="single" w:sz="4" w:space="0" w:color="FFFFFF"/>
              <w:right w:val="nil"/>
            </w:tcBorders>
          </w:tcPr>
          <w:p w:rsidR="004D6F0E" w:rsidRDefault="00490F21">
            <w:pPr>
              <w:spacing w:after="0" w:line="259" w:lineRule="auto"/>
              <w:ind w:left="33" w:firstLine="0"/>
              <w:jc w:val="center"/>
            </w:pPr>
            <w:r>
              <w:rPr>
                <w:rFonts w:ascii="Arial" w:eastAsia="Arial" w:hAnsi="Arial" w:cs="Arial"/>
                <w:sz w:val="12"/>
              </w:rPr>
              <w:t xml:space="preserve"> </w:t>
            </w:r>
            <w:r>
              <w:rPr>
                <w:rFonts w:ascii="Arial" w:eastAsia="Arial" w:hAnsi="Arial" w:cs="Arial"/>
                <w:sz w:val="12"/>
              </w:rPr>
              <w:tab/>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回購協議／逆回購協議</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r>
            <w:r>
              <w:rPr>
                <w:rFonts w:ascii="Arial" w:eastAsia="Arial" w:hAnsi="Arial" w:cs="Arial"/>
                <w:sz w:val="18"/>
                <w:vertAlign w:val="superscript"/>
              </w:rPr>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貨幣交易</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w:t>
            </w:r>
            <w:r>
              <w:rPr>
                <w:rFonts w:ascii="Arial" w:eastAsia="Arial" w:hAnsi="Arial" w:cs="Arial"/>
                <w:sz w:val="24"/>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r>
            <w:r>
              <w:rPr>
                <w:rFonts w:ascii="Arial" w:eastAsia="Arial" w:hAnsi="Arial" w:cs="Arial"/>
                <w:sz w:val="18"/>
                <w:vertAlign w:val="superscript"/>
              </w:rPr>
              <w:t xml:space="preserve"> </w:t>
            </w:r>
          </w:p>
        </w:tc>
      </w:tr>
      <w:tr w:rsidR="004D6F0E">
        <w:trPr>
          <w:trHeight w:val="240"/>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掉期、上限、下限</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6"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1836" w:type="dxa"/>
            <w:gridSpan w:val="2"/>
            <w:tcBorders>
              <w:top w:val="single" w:sz="4" w:space="0" w:color="FFFFFF"/>
              <w:left w:val="nil"/>
              <w:bottom w:val="single" w:sz="4" w:space="0" w:color="FFFFFF"/>
              <w:right w:val="nil"/>
            </w:tcBorders>
          </w:tcPr>
          <w:p w:rsidR="004D6F0E" w:rsidRDefault="00490F21">
            <w:pPr>
              <w:tabs>
                <w:tab w:val="center" w:pos="1262"/>
              </w:tabs>
              <w:spacing w:after="0" w:line="259" w:lineRule="auto"/>
              <w:ind w:left="0" w:firstLine="0"/>
            </w:pPr>
            <w:r>
              <w:rPr>
                <w:rFonts w:ascii="Arial" w:eastAsia="Arial" w:hAnsi="Arial" w:cs="Arial"/>
                <w:sz w:val="12"/>
              </w:rPr>
              <w:t xml:space="preserve">● </w:t>
            </w:r>
            <w:r>
              <w:rPr>
                <w:rFonts w:ascii="Arial" w:eastAsia="Arial" w:hAnsi="Arial" w:cs="Arial"/>
                <w:sz w:val="12"/>
              </w:rPr>
              <w:tab/>
            </w:r>
            <w:r>
              <w:rPr>
                <w:rFonts w:ascii="Arial" w:eastAsia="Arial" w:hAnsi="Arial" w:cs="Arial"/>
                <w:sz w:val="18"/>
                <w:vertAlign w:val="superscript"/>
              </w:rPr>
              <w:t xml:space="preserve"> </w:t>
            </w:r>
          </w:p>
        </w:tc>
      </w:tr>
      <w:tr w:rsidR="004D6F0E">
        <w:trPr>
          <w:trHeight w:val="239"/>
        </w:trPr>
        <w:tc>
          <w:tcPr>
            <w:tcW w:w="397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合成股本證券</w:t>
            </w:r>
            <w:r>
              <w:rPr>
                <w:rFonts w:ascii="Arial" w:eastAsia="Arial" w:hAnsi="Arial" w:cs="Arial"/>
                <w:sz w:val="24"/>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91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tcPr>
          <w:p w:rsidR="004D6F0E" w:rsidRDefault="00490F21">
            <w:pPr>
              <w:spacing w:after="0" w:line="259" w:lineRule="auto"/>
              <w:ind w:left="0" w:firstLine="0"/>
            </w:pPr>
            <w:r>
              <w:rPr>
                <w:rFonts w:ascii="Arial" w:eastAsia="Arial" w:hAnsi="Arial" w:cs="Arial"/>
                <w:sz w:val="12"/>
              </w:rPr>
              <w:t xml:space="preserve"> </w:t>
            </w:r>
          </w:p>
        </w:tc>
        <w:tc>
          <w:tcPr>
            <w:tcW w:w="919"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1836" w:type="dxa"/>
            <w:gridSpan w:val="2"/>
            <w:tcBorders>
              <w:top w:val="single" w:sz="4" w:space="0" w:color="FFFFFF"/>
              <w:left w:val="nil"/>
              <w:bottom w:val="nil"/>
              <w:right w:val="nil"/>
            </w:tcBorders>
          </w:tcPr>
          <w:p w:rsidR="004D6F0E" w:rsidRDefault="00490F21">
            <w:pPr>
              <w:spacing w:after="0" w:line="259" w:lineRule="auto"/>
              <w:ind w:left="0" w:firstLine="0"/>
            </w:pPr>
            <w:r>
              <w:rPr>
                <w:rFonts w:ascii="Arial" w:eastAsia="Arial" w:hAnsi="Arial" w:cs="Arial"/>
                <w:sz w:val="12"/>
              </w:rPr>
              <w:t xml:space="preserve"> </w:t>
            </w:r>
            <w:r>
              <w:rPr>
                <w:rFonts w:ascii="Arial" w:eastAsia="Arial" w:hAnsi="Arial" w:cs="Arial"/>
                <w:sz w:val="12"/>
              </w:rPr>
              <w:tab/>
              <w:t xml:space="preserve"> </w:t>
            </w:r>
          </w:p>
        </w:tc>
      </w:tr>
    </w:tbl>
    <w:p w:rsidR="004D6F0E" w:rsidRDefault="00490F21">
      <w:pPr>
        <w:spacing w:after="13" w:line="259" w:lineRule="auto"/>
        <w:ind w:left="0" w:firstLine="0"/>
      </w:pPr>
      <w:r>
        <w:rPr>
          <w:rFonts w:ascii="Arial" w:eastAsia="Arial" w:hAnsi="Arial" w:cs="Arial"/>
          <w:sz w:val="17"/>
        </w:rPr>
        <w:t xml:space="preserve">* </w:t>
      </w:r>
      <w:r>
        <w:rPr>
          <w:sz w:val="17"/>
        </w:rPr>
        <w:t>除非本認購章程第</w:t>
      </w:r>
      <w:r>
        <w:rPr>
          <w:sz w:val="17"/>
        </w:rPr>
        <w:t xml:space="preserve"> </w:t>
      </w:r>
      <w:r>
        <w:rPr>
          <w:rFonts w:ascii="Arial" w:eastAsia="Arial" w:hAnsi="Arial" w:cs="Arial"/>
          <w:sz w:val="17"/>
        </w:rPr>
        <w:t xml:space="preserve">I </w:t>
      </w:r>
      <w:r>
        <w:rPr>
          <w:sz w:val="17"/>
        </w:rPr>
        <w:t>部分有關個別基金的特定資料内另有説明，否則，於資產及按揭擔保證券以及結構式證券的投資限額為任何基金淨資產的</w:t>
      </w:r>
    </w:p>
    <w:p w:rsidR="004D6F0E" w:rsidRDefault="00490F21">
      <w:pPr>
        <w:spacing w:after="0" w:line="259" w:lineRule="auto"/>
        <w:ind w:left="0" w:firstLine="0"/>
      </w:pPr>
      <w:r>
        <w:rPr>
          <w:rFonts w:ascii="Arial" w:eastAsia="Arial" w:hAnsi="Arial" w:cs="Arial"/>
          <w:sz w:val="17"/>
        </w:rPr>
        <w:t xml:space="preserve">20%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jc w:val="both"/>
      </w:pPr>
      <w:r>
        <w:rPr>
          <w:rFonts w:ascii="Times New Roman" w:eastAsia="Times New Roman" w:hAnsi="Times New Roman" w:cs="Times New Roman"/>
        </w:rPr>
        <w:t xml:space="preserve"> </w:t>
      </w:r>
    </w:p>
    <w:p w:rsidR="004D6F0E" w:rsidRDefault="004D6F0E">
      <w:pPr>
        <w:sectPr w:rsidR="004D6F0E">
          <w:headerReference w:type="even" r:id="rId291"/>
          <w:headerReference w:type="default" r:id="rId292"/>
          <w:footerReference w:type="even" r:id="rId293"/>
          <w:footerReference w:type="default" r:id="rId294"/>
          <w:headerReference w:type="first" r:id="rId295"/>
          <w:footerReference w:type="first" r:id="rId296"/>
          <w:pgSz w:w="12240" w:h="15840"/>
          <w:pgMar w:top="723" w:right="667" w:bottom="7087" w:left="432" w:header="746" w:footer="402" w:gutter="0"/>
          <w:cols w:space="720"/>
        </w:sectPr>
      </w:pPr>
    </w:p>
    <w:p w:rsidR="004D6F0E" w:rsidRDefault="00490F21">
      <w:pPr>
        <w:spacing w:after="0" w:line="259" w:lineRule="auto"/>
        <w:ind w:left="0" w:firstLine="0"/>
        <w:jc w:val="both"/>
      </w:pPr>
      <w:r>
        <w:rPr>
          <w:rFonts w:ascii="SimSun" w:eastAsia="SimSun" w:hAnsi="SimSun" w:cs="SimSun"/>
          <w:sz w:val="20"/>
        </w:rPr>
        <w:t xml:space="preserve"> </w:t>
      </w:r>
    </w:p>
    <w:p w:rsidR="004D6F0E" w:rsidRDefault="004D6F0E">
      <w:pPr>
        <w:sectPr w:rsidR="004D6F0E">
          <w:type w:val="continuous"/>
          <w:pgSz w:w="12240" w:h="15840"/>
          <w:pgMar w:top="723" w:right="620" w:bottom="1440" w:left="11520" w:header="720" w:footer="720" w:gutter="0"/>
          <w:cols w:space="720"/>
        </w:sectPr>
      </w:pPr>
    </w:p>
    <w:p w:rsidR="004D6F0E" w:rsidRDefault="00490F21">
      <w:pPr>
        <w:spacing w:after="84" w:line="259" w:lineRule="auto"/>
        <w:ind w:left="0" w:firstLine="0"/>
      </w:pPr>
      <w:r>
        <w:rPr>
          <w:rFonts w:ascii="Arial" w:eastAsia="Arial" w:hAnsi="Arial" w:cs="Arial"/>
        </w:rPr>
        <w:t xml:space="preserve"> </w:t>
      </w:r>
    </w:p>
    <w:p w:rsidR="004D6F0E" w:rsidRDefault="00490F21">
      <w:pPr>
        <w:spacing w:after="162"/>
        <w:ind w:left="427" w:right="2"/>
      </w:pPr>
      <w:r>
        <w:t>本傘子基金各基金可投資以下任何投資類別，惟須受基金規定的投資目標及政策的限制，以及附錄</w:t>
      </w:r>
      <w:r>
        <w:t xml:space="preserve"> </w:t>
      </w:r>
      <w:r>
        <w:rPr>
          <w:rFonts w:ascii="Arial" w:eastAsia="Arial" w:hAnsi="Arial" w:cs="Arial"/>
        </w:rPr>
        <w:t>A</w:t>
      </w:r>
      <w:r>
        <w:t>「投資限制」所載限制的規限。</w:t>
      </w:r>
      <w:r>
        <w:rPr>
          <w:rFonts w:ascii="Arial" w:eastAsia="Arial" w:hAnsi="Arial" w:cs="Arial"/>
        </w:rPr>
        <w:t xml:space="preserve"> </w:t>
      </w:r>
    </w:p>
    <w:p w:rsidR="004D6F0E" w:rsidRDefault="00490F21">
      <w:pPr>
        <w:spacing w:after="160"/>
        <w:ind w:left="427" w:right="2"/>
      </w:pPr>
      <w:r>
        <w:t>為有效管理基金及對沖市場風險並在不直接購買所屬資產的情況下，投資管理人人可全權酌情決定基金是否利用多種基金策略，惟該等策略須受附錄</w:t>
      </w:r>
      <w:r>
        <w:t xml:space="preserve"> </w:t>
      </w:r>
      <w:r>
        <w:rPr>
          <w:rFonts w:ascii="Arial" w:eastAsia="Arial" w:hAnsi="Arial" w:cs="Arial"/>
        </w:rPr>
        <w:t xml:space="preserve">A </w:t>
      </w:r>
      <w:r>
        <w:t>本傘子基金投資限制的規限。相關基金可進行的交易包括衍生工具（如掉期合約包括利息掉期，回報總率掉期和信貸違約掉期）、金融期貨及期權的交易。基金亦可進行基金證券的期權交易。基金可採用貨幣期權、期貨合約及遠期貨幣合約對沖對其投資的基金貨幣不利的外匯波動。採用該</w:t>
      </w:r>
      <w:r>
        <w:t>等交易涉及若干風險，且不能保證透過使用相關工具尋求的目標將獲達致。見下文「風險因素」。</w:t>
      </w:r>
      <w:r>
        <w:rPr>
          <w:rFonts w:ascii="Arial" w:eastAsia="Arial" w:hAnsi="Arial" w:cs="Arial"/>
        </w:rPr>
        <w:t xml:space="preserve"> </w:t>
      </w:r>
    </w:p>
    <w:p w:rsidR="004D6F0E" w:rsidRDefault="00490F21">
      <w:pPr>
        <w:spacing w:after="63"/>
        <w:ind w:left="427" w:right="2"/>
      </w:pPr>
      <w:r>
        <w:t>股本證券類別</w:t>
      </w:r>
      <w:r>
        <w:rPr>
          <w:rFonts w:ascii="Arial" w:eastAsia="Arial" w:hAnsi="Arial" w:cs="Arial"/>
        </w:rPr>
        <w:t xml:space="preserve"> </w:t>
      </w:r>
    </w:p>
    <w:p w:rsidR="004D6F0E" w:rsidRDefault="00490F21">
      <w:pPr>
        <w:spacing w:after="162"/>
        <w:ind w:left="427" w:right="2"/>
      </w:pPr>
      <w:r>
        <w:t>股本證券。基金可投資的股本證券包括普通股、優先股、可轉換為普通股或優先股的證券，及於合夥、信託或其他類別符合可轉讓證券資格的股本證券。</w:t>
      </w:r>
      <w:r>
        <w:rPr>
          <w:rFonts w:ascii="Arial" w:eastAsia="Arial" w:hAnsi="Arial" w:cs="Arial"/>
        </w:rPr>
        <w:t xml:space="preserve"> </w:t>
      </w:r>
    </w:p>
    <w:p w:rsidR="004D6F0E" w:rsidRDefault="00490F21">
      <w:pPr>
        <w:spacing w:after="160"/>
        <w:ind w:left="427" w:right="2"/>
      </w:pPr>
      <w:r>
        <w:t>除於各證券市場上直接購買公司發行人的證券外，基金可投資美國預託證券、歐洲預託證券、環球預託證券或其他代表美國以外國家的公司所發行的證券的證券。預託證券的計價貨幣不一定與其可轉換的基礎證券的計價貨幣相同。此外，無保薦預託證券的股票發行人毋須在美國披露重大資料，因此，該等</w:t>
      </w:r>
      <w:r>
        <w:t>資料與其預託證券的市值可能並無關聯。美國預託證券通常由美國銀行或信託公司發行，乃為持有非美國企業所發行基礎證券的證明。歐洲預託證券、環球預託證券及其他類型的預託證券通常由非美國銀行或信託公司發行，乃為持有非美國或美國企業所發行基礎證券的證明。通常而言，美國預託證券採用記名方式，旨為用於美國證券市場；而歐洲預託證券採用不記名方式，旨為用於非美國證券市場。為確定發行國，投資任何一類別的預託證券均視為投資其基礎證券。</w:t>
      </w:r>
      <w:r>
        <w:rPr>
          <w:rFonts w:ascii="Arial" w:eastAsia="Arial" w:hAnsi="Arial" w:cs="Arial"/>
        </w:rPr>
        <w:t xml:space="preserve"> </w:t>
      </w:r>
    </w:p>
    <w:p w:rsidR="004D6F0E" w:rsidRDefault="00490F21">
      <w:pPr>
        <w:spacing w:after="158"/>
        <w:ind w:left="427" w:right="2"/>
      </w:pPr>
      <w:r>
        <w:t>房地產投資信託基金。基金可投資於不被盧森堡法例界定為開放式投資公司並在美國或其他地方證券交易所</w:t>
      </w:r>
      <w:r>
        <w:t>上市及公開買賣資格的環球房地產投資信託基金（「房地產投資信託基金」）﹐</w:t>
      </w:r>
      <w:r>
        <w:t xml:space="preserve"> </w:t>
      </w:r>
      <w:r>
        <w:t>及其他環球房地產產業公司。「房地產投資信託基金」指至少有</w:t>
      </w:r>
      <w:r>
        <w:t xml:space="preserve"> </w:t>
      </w:r>
      <w:r>
        <w:rPr>
          <w:rFonts w:ascii="Arial" w:eastAsia="Arial" w:hAnsi="Arial" w:cs="Arial"/>
        </w:rPr>
        <w:t>50%</w:t>
      </w:r>
      <w:r>
        <w:t>的總收益或純利源自擁有、開發、建造、資助、管理或銷售商業、工業或住宅房地產或其權益的公司，或源自擁有或提供房地產相關貸款或利息。就此而言，基金可投資的股本證券包括普通股、房地產投資信託基金的實益權益及具備普通股特徵的證券，如優先股或可換股證券等。房地產投資信託基金指主要投資於可產生收入的房地產或與房地產有關的貸款或利息的匯集投資工具。房地產投資信託基金通常可分為權益型房地產</w:t>
      </w:r>
      <w:r>
        <w:t>投資信託基金、投資於商業按揭或民宅按揭的按揭型房地產投資信託基金或權益與按揭結合型房地產投資信託基金。權益型房地產投資信託基金將大部分資產直接投資於房地產，主要透過收租來賺取收入。權益型房地產投資信託基金亦可透過出售增值物業來實現資本收益。</w:t>
      </w:r>
      <w:r>
        <w:rPr>
          <w:rFonts w:ascii="Arial" w:eastAsia="Arial" w:hAnsi="Arial" w:cs="Arial"/>
        </w:rPr>
        <w:t xml:space="preserve"> </w:t>
      </w:r>
    </w:p>
    <w:p w:rsidR="004D6F0E" w:rsidRDefault="00490F21">
      <w:pPr>
        <w:spacing w:after="141" w:line="259" w:lineRule="auto"/>
        <w:ind w:left="134" w:firstLine="0"/>
      </w:pPr>
      <w:r>
        <w:rPr>
          <w:rFonts w:ascii="Arial" w:eastAsia="Arial" w:hAnsi="Arial" w:cs="Arial"/>
          <w:b/>
        </w:rPr>
        <w:t xml:space="preserve"> </w:t>
      </w:r>
    </w:p>
    <w:p w:rsidR="004D6F0E" w:rsidRDefault="00490F21">
      <w:pPr>
        <w:spacing w:after="144" w:line="259" w:lineRule="auto"/>
        <w:ind w:left="134" w:firstLine="0"/>
      </w:pPr>
      <w:r>
        <w:rPr>
          <w:rFonts w:ascii="Arial" w:eastAsia="Arial" w:hAnsi="Arial" w:cs="Arial"/>
          <w:b/>
        </w:rPr>
        <w:t xml:space="preserve"> </w:t>
      </w:r>
    </w:p>
    <w:p w:rsidR="004D6F0E" w:rsidRDefault="00490F21">
      <w:pPr>
        <w:spacing w:after="0" w:line="259" w:lineRule="auto"/>
        <w:ind w:left="134" w:firstLine="0"/>
      </w:pPr>
      <w:r>
        <w:rPr>
          <w:rFonts w:ascii="Arial" w:eastAsia="Arial" w:hAnsi="Arial" w:cs="Arial"/>
          <w:b/>
        </w:rPr>
        <w:t xml:space="preserve"> </w:t>
      </w:r>
    </w:p>
    <w:p w:rsidR="004D6F0E" w:rsidRDefault="00490F21">
      <w:pPr>
        <w:spacing w:after="164"/>
        <w:ind w:left="11" w:right="2"/>
      </w:pPr>
      <w:r>
        <w:t>債務證券類別</w:t>
      </w:r>
      <w:r>
        <w:rPr>
          <w:rFonts w:ascii="Arial" w:eastAsia="Arial" w:hAnsi="Arial" w:cs="Arial"/>
          <w:b/>
        </w:rPr>
        <w:t xml:space="preserve"> </w:t>
      </w:r>
    </w:p>
    <w:p w:rsidR="004D6F0E" w:rsidRDefault="00490F21">
      <w:pPr>
        <w:spacing w:after="163"/>
        <w:ind w:left="11" w:right="2"/>
      </w:pPr>
      <w:r>
        <w:t>固定收益證券。基金將投資的固定收益債務包括政府機構、超國家機構、公司及其他實體發行的固定收益證券。</w:t>
      </w:r>
      <w:r>
        <w:rPr>
          <w:rFonts w:ascii="Arial" w:eastAsia="Arial" w:hAnsi="Arial" w:cs="Arial"/>
        </w:rPr>
        <w:t xml:space="preserve"> </w:t>
      </w:r>
    </w:p>
    <w:p w:rsidR="004D6F0E" w:rsidRDefault="00490F21">
      <w:pPr>
        <w:spacing w:after="163"/>
        <w:ind w:left="11" w:right="2"/>
      </w:pPr>
      <w:r>
        <w:rPr>
          <w:rFonts w:ascii="Arial" w:eastAsia="Arial" w:hAnsi="Arial" w:cs="Arial"/>
          <w:i/>
        </w:rPr>
        <w:t xml:space="preserve"> </w:t>
      </w:r>
      <w:r>
        <w:rPr>
          <w:sz w:val="20"/>
        </w:rPr>
        <w:t>可轉換證券。</w:t>
      </w:r>
      <w:r>
        <w:t>可轉換證券包括債券、債權證、公司票據及可按規定轉換率轉換為普通股的優先股。轉換前，可轉換證券具備與非轉換債務證券相同的一般特性，可產生穩定收益，且收益率通常高於由同一或類似發行人發行的股本證券。可轉換證券的價格通常會隨基礎股票的價格波動，惟其波幅往往會因可轉換證券具較高收益率而低於基礎普通股的價格波幅。與債務證券一樣，可轉換證券的市值往往會隨利率上調而下降，以及隨利率下調而上升。可轉換證券的利息或股息收益率一般低於類似性質的非轉換債務證券，但卻使投資者能隨基礎普通股市價上升而受惠。</w:t>
      </w:r>
      <w:r>
        <w:rPr>
          <w:rFonts w:ascii="Arial" w:eastAsia="Arial" w:hAnsi="Arial" w:cs="Arial"/>
        </w:rPr>
        <w:t xml:space="preserve"> </w:t>
      </w:r>
    </w:p>
    <w:p w:rsidR="004D6F0E" w:rsidRDefault="00490F21">
      <w:pPr>
        <w:spacing w:after="160"/>
        <w:ind w:left="11" w:right="2"/>
      </w:pPr>
      <w:r>
        <w:rPr>
          <w:rFonts w:ascii="Arial" w:eastAsia="Arial" w:hAnsi="Arial" w:cs="Arial"/>
          <w:i/>
        </w:rPr>
        <w:t xml:space="preserve"> </w:t>
      </w:r>
      <w:r>
        <w:rPr>
          <w:sz w:val="20"/>
        </w:rPr>
        <w:t>「零息」國庫證券。</w:t>
      </w:r>
      <w:r>
        <w:t>基</w:t>
      </w:r>
      <w:r>
        <w:t>金可投資於「零息」國庫證券，即以不計利息方式發行的美國國庫券、已被剝奪未到期利息的美國國庫票據及債券，以及代表於該等剝離債務及息票的權益的收據或證書。零息證券持有人於證券存續期間不會獲付任何利息。零息證券對投資者帶來的價值，乃證券到期時的面值與證券購買價格（通常遠低於證券面值，有時稱爲「大幅折讓」價格）間的差額。此類證券的買賣價格通常遠低於其面值，且相比屆滿期限相若並即期派息的債務而言，此類證券因利率變動而承受的市值波動風險較大。另一方面，由於在到期前不會有定期派付的利息用於再投資，零息證券可避免再投資風險</w:t>
      </w:r>
      <w:r>
        <w:t>並鎖定回報率直至到期。</w:t>
      </w:r>
      <w:r>
        <w:rPr>
          <w:rFonts w:ascii="Arial" w:eastAsia="Arial" w:hAnsi="Arial" w:cs="Arial"/>
        </w:rPr>
        <w:t xml:space="preserve"> </w:t>
      </w:r>
    </w:p>
    <w:p w:rsidR="004D6F0E" w:rsidRDefault="00490F21">
      <w:pPr>
        <w:spacing w:after="162"/>
        <w:ind w:left="11" w:right="2"/>
      </w:pPr>
      <w:r>
        <w:t>目前發行的無息美國國庫證券僅有國庫券一種。儘管美國財政部本身並不發行無息國庫票據及債券，但根據美國財政部本息分離計劃，若干長期國庫證券的利息及本金付款或會獨立存置於美聯儲備簿記系統並獨立買賣及擁有。此外，過往數年，若干銀行及經紀行已將美國國庫債券及票據的本金部分（「本金」）與其利息部分區分開（「剝離」），並將代表該等工具（一般由銀行以託管或信託帳戶持有）的權益以收據或證書形式出售。</w:t>
      </w:r>
      <w:r>
        <w:rPr>
          <w:rFonts w:ascii="Arial" w:eastAsia="Arial" w:hAnsi="Arial" w:cs="Arial"/>
        </w:rPr>
        <w:t xml:space="preserve"> </w:t>
      </w:r>
    </w:p>
    <w:p w:rsidR="004D6F0E" w:rsidRDefault="00490F21">
      <w:pPr>
        <w:ind w:left="11" w:right="2"/>
      </w:pPr>
      <w:r>
        <w:rPr>
          <w:rFonts w:ascii="Arial" w:eastAsia="Arial" w:hAnsi="Arial" w:cs="Arial"/>
          <w:i/>
        </w:rPr>
        <w:t xml:space="preserve"> </w:t>
      </w:r>
      <w:r>
        <w:rPr>
          <w:sz w:val="20"/>
        </w:rPr>
        <w:t>可變、浮動及逆浮動利率證券。</w:t>
      </w:r>
      <w:r>
        <w:t>固定收益證券可採用固定、可變或浮動息率。可變及浮動利率證券可按根據指</w:t>
      </w:r>
      <w:r>
        <w:t>定公式定期調整利率支付利息。「可變」利率於預定間距（例如每日</w:t>
      </w:r>
    </w:p>
    <w:p w:rsidR="004D6F0E" w:rsidRDefault="00490F21">
      <w:pPr>
        <w:ind w:left="11" w:right="2"/>
      </w:pPr>
      <w:r>
        <w:t>、每週或每月）調整，「浮動」利率則隨時根據指定基準利率</w:t>
      </w:r>
    </w:p>
    <w:p w:rsidR="004D6F0E" w:rsidRDefault="00490F21">
      <w:pPr>
        <w:spacing w:after="162"/>
        <w:ind w:left="11" w:right="2"/>
      </w:pPr>
      <w:r>
        <w:t>（如銀行最優惠貸款利率）的變動而調整。</w:t>
      </w:r>
      <w:r>
        <w:rPr>
          <w:rFonts w:ascii="Arial" w:eastAsia="Arial" w:hAnsi="Arial" w:cs="Arial"/>
        </w:rPr>
        <w:t xml:space="preserve"> </w:t>
      </w:r>
    </w:p>
    <w:p w:rsidR="004D6F0E" w:rsidRDefault="00490F21">
      <w:pPr>
        <w:spacing w:after="163"/>
        <w:ind w:left="11" w:right="2"/>
      </w:pPr>
      <w:r>
        <w:t>基金可投資於按相等於基本利率的票面息率付息的固定收益證券，而若短期利率升破預定水平或「上限」，則還需附加若干期間的額外利息。該等額外利息的金額通常按基於短期利率指數乘以一個指定因子的公式計算。</w:t>
      </w:r>
      <w:r>
        <w:rPr>
          <w:rFonts w:ascii="Arial" w:eastAsia="Arial" w:hAnsi="Arial" w:cs="Arial"/>
        </w:rPr>
        <w:t xml:space="preserve"> </w:t>
      </w:r>
    </w:p>
    <w:p w:rsidR="004D6F0E" w:rsidRDefault="00490F21">
      <w:pPr>
        <w:ind w:left="11" w:right="2"/>
      </w:pPr>
      <w:r>
        <w:t>槓桿型逆浮動利率固定收益證券有時稱作逆浮動利率證券。逆浮動利率證券利率跟與其指數掛鉤市場利率朝相反方向變動。逆浮動利率證券被槓桿化的程度乃繁繫於其利率變動的</w:t>
      </w:r>
      <w:r>
        <w:t>幅度到底比指數利率變動的幅度大了多少。逆浮動利率證券的槓桿比率越高，市值波動的幅度就越大，因此，在利率上升期間，逆浮動利率證券市值往往比固定利率證券市值下降得更快。</w:t>
      </w:r>
      <w:r>
        <w:rPr>
          <w:rFonts w:ascii="Arial" w:eastAsia="Arial" w:hAnsi="Arial" w:cs="Arial"/>
        </w:rPr>
        <w:t xml:space="preserve"> </w:t>
      </w:r>
    </w:p>
    <w:p w:rsidR="004D6F0E" w:rsidRDefault="004D6F0E">
      <w:pPr>
        <w:sectPr w:rsidR="004D6F0E">
          <w:type w:val="continuous"/>
          <w:pgSz w:w="12240" w:h="15840"/>
          <w:pgMar w:top="1440" w:right="497" w:bottom="1440" w:left="432" w:header="720" w:footer="720" w:gutter="0"/>
          <w:cols w:num="2" w:space="650"/>
        </w:sectPr>
      </w:pPr>
    </w:p>
    <w:p w:rsidR="004D6F0E" w:rsidRDefault="00490F21">
      <w:pPr>
        <w:spacing w:after="165"/>
        <w:ind w:left="150" w:right="2"/>
      </w:pPr>
      <w:r>
        <w:rPr>
          <w:rFonts w:ascii="Arial" w:eastAsia="Arial" w:hAnsi="Arial" w:cs="Arial"/>
          <w:i/>
        </w:rPr>
        <w:t xml:space="preserve"> </w:t>
      </w:r>
      <w:r>
        <w:rPr>
          <w:sz w:val="20"/>
        </w:rPr>
        <w:t>抗通脹證券。</w:t>
      </w:r>
      <w:r>
        <w:t>基金可投資於若干類政府發行的抗通脹證券，包括美國抗通脹證券及由其他國家政府發行的抗通脹證券。美國抗通脹證券爲美國財政部發行的固定收益證券，其本金金額每日根據通脹率（目前爲非季節性調整的全部城市消費物價指數，按滯後三個月計算）調整。美國財政部目前發行的美國抗通脹證券僅有</w:t>
      </w:r>
      <w:r>
        <w:t xml:space="preserve"> </w:t>
      </w:r>
      <w:r>
        <w:rPr>
          <w:rFonts w:ascii="Arial" w:eastAsia="Arial" w:hAnsi="Arial" w:cs="Arial"/>
        </w:rPr>
        <w:t xml:space="preserve">10 </w:t>
      </w:r>
      <w:r>
        <w:t>年期一種，不過今後可能會發行其</w:t>
      </w:r>
      <w:r>
        <w:t>他年期的證券。美國曾經發行有</w:t>
      </w:r>
      <w:r>
        <w:t xml:space="preserve"> </w:t>
      </w:r>
      <w:r>
        <w:rPr>
          <w:rFonts w:ascii="Arial" w:eastAsia="Arial" w:hAnsi="Arial" w:cs="Arial"/>
        </w:rPr>
        <w:t xml:space="preserve">5 </w:t>
      </w:r>
      <w:r>
        <w:t>年、</w:t>
      </w:r>
      <w:r>
        <w:rPr>
          <w:rFonts w:ascii="Arial" w:eastAsia="Arial" w:hAnsi="Arial" w:cs="Arial"/>
        </w:rPr>
        <w:t xml:space="preserve">10 </w:t>
      </w:r>
      <w:r>
        <w:t>年及</w:t>
      </w:r>
      <w:r>
        <w:t xml:space="preserve"> </w:t>
      </w:r>
      <w:r>
        <w:rPr>
          <w:rFonts w:ascii="Arial" w:eastAsia="Arial" w:hAnsi="Arial" w:cs="Arial"/>
        </w:rPr>
        <w:t xml:space="preserve">30 </w:t>
      </w:r>
      <w:r>
        <w:t>年期的抗通脹證券。美國抗通脹證券每半年付息一次，利息相等於經通脹調整本金額的某個固定百分比。該等證券的利率於發行時釐定，但在其存續期內，其利息可按經通脹調整而增加或減少的本金額支付。即使是在通縮期，始初債券本金在到期日（經通脹調整）的償還亦會有保證。倘基金於二級市場購買美國抗通脹證券，而其本金額曾因自發行以來的通脹關係被調升，則此後出現通縮時，基金或會蒙受虧損。此外，該等債券的現行市場價值並無保證，且會出現波動。倘在基金持有美國抗通脹證券的期間，通脹低</w:t>
      </w:r>
      <w:r>
        <w:t>於預期，則基金在該類證券上的獲利將低於傳統債券。其他政府的抗通脹證券，視乎各自的結構及當地市場而定或須面對額外或不同的問題及風險。</w:t>
      </w:r>
      <w:r>
        <w:rPr>
          <w:rFonts w:ascii="Arial" w:eastAsia="Arial" w:hAnsi="Arial" w:cs="Arial"/>
        </w:rPr>
        <w:t xml:space="preserve"> </w:t>
      </w:r>
    </w:p>
    <w:p w:rsidR="004D6F0E" w:rsidRDefault="00490F21">
      <w:pPr>
        <w:spacing w:after="162"/>
        <w:ind w:left="150" w:right="2"/>
      </w:pPr>
      <w:r>
        <w:t>住宅按揭擔保證券（「</w:t>
      </w:r>
      <w:r>
        <w:rPr>
          <w:rFonts w:ascii="Arial" w:eastAsia="Arial" w:hAnsi="Arial" w:cs="Arial"/>
          <w:b/>
        </w:rPr>
        <w:t>RMBS</w:t>
      </w:r>
      <w:r>
        <w:t>」）。住宅按揭擔保證券（「</w:t>
      </w:r>
      <w:r>
        <w:rPr>
          <w:rFonts w:ascii="Arial" w:eastAsia="Arial" w:hAnsi="Arial" w:cs="Arial"/>
        </w:rPr>
        <w:t>RMBS</w:t>
      </w:r>
      <w:r>
        <w:t>」）持有人面臨各種風險，包括信貸、市場、利率、結構及法律風險。</w:t>
      </w:r>
      <w:r>
        <w:t xml:space="preserve"> </w:t>
      </w:r>
      <w:r>
        <w:rPr>
          <w:rFonts w:ascii="Arial" w:eastAsia="Arial" w:hAnsi="Arial" w:cs="Arial"/>
        </w:rPr>
        <w:t>RMBS</w:t>
      </w:r>
      <w:r>
        <w:t>指以一至四個家庭住宅按揭貸款作抵押的住宅按揭貸款池的權益。該等貸款可隨時預付。雖然住宅按揭貸款可由政府機構予以證券化及以所發行證券予以擔保，惟該等貸款僅屬借方責任，一般並非由任何其他人士或實體保證或擔保。住宅按揭貸款違約及虧損率受多種因素影響，</w:t>
      </w:r>
      <w:r>
        <w:t>包括整體經濟環境及按揭物業所在地區經濟環境、按揭貸款條款、借方於按揭物業的「權益」及借方的財務狀況。</w:t>
      </w:r>
      <w:r>
        <w:rPr>
          <w:rFonts w:ascii="Arial" w:eastAsia="Arial" w:hAnsi="Arial" w:cs="Arial"/>
        </w:rPr>
        <w:t xml:space="preserve"> </w:t>
      </w:r>
    </w:p>
    <w:p w:rsidR="004D6F0E" w:rsidRDefault="00490F21">
      <w:pPr>
        <w:spacing w:after="163"/>
        <w:ind w:left="150" w:right="2"/>
      </w:pPr>
      <w:r>
        <w:rPr>
          <w:rFonts w:ascii="Arial" w:eastAsia="Arial" w:hAnsi="Arial" w:cs="Arial"/>
          <w:i/>
        </w:rPr>
        <w:t xml:space="preserve"> </w:t>
      </w:r>
      <w:r>
        <w:rPr>
          <w:sz w:val="20"/>
        </w:rPr>
        <w:t>轉手按揭相關證券。</w:t>
      </w:r>
      <w:r>
        <w:t>基金可投資的按揭相關證券為美國住宅買家的按揭貸款提供資金。該等證券包括代表於放貸機構（如儲蓄及貸款機構、按揭銀行及商業銀行等）的按揭貸款匯集中權益的證券。按揭貸款匯集乃由各類美國政府、政府相關及私人機構集結後方售予投資者（如基金等）的。</w:t>
      </w:r>
      <w:r>
        <w:rPr>
          <w:rFonts w:ascii="Arial" w:eastAsia="Arial" w:hAnsi="Arial" w:cs="Arial"/>
        </w:rPr>
        <w:t xml:space="preserve"> </w:t>
      </w:r>
    </w:p>
    <w:p w:rsidR="004D6F0E" w:rsidRDefault="00490F21">
      <w:pPr>
        <w:spacing w:after="163"/>
        <w:ind w:left="150" w:right="2"/>
      </w:pPr>
      <w:r>
        <w:t>按揭相關證券匯集的利息與其他形式的傳統債務證券有所不同，傳統債務證券通常定期支付定額利息，並於到期日或指定償還日支付本金。而按揭相關證券則按月付款，</w:t>
      </w:r>
      <w:r>
        <w:t>當中包括利息及本金。實際上，此等付款乃個別借款人就其住宅按揭貸款作出的每月利息及本金付款的「轉手」，當中已扣除付予此等證券發行人、服務商或擔保人的任何費用。因出售基礎住宅物業、再融資或止贖而償還本金會產生額外付款，惟須扣除可能產生的費用及成本。若干按揭相關證券，如美國政府全國按揭協會（「</w:t>
      </w:r>
      <w:r>
        <w:rPr>
          <w:rFonts w:ascii="Arial" w:eastAsia="Arial" w:hAnsi="Arial" w:cs="Arial"/>
        </w:rPr>
        <w:t>GNMA</w:t>
      </w:r>
      <w:r>
        <w:t>」）發行的證券等，乃稱為「改進型轉手證券」。該等證券賦予其持有人可收取按揭匯集所欠付的一切利息及本金付款（扣除若干費用）的權利，而不論按揭人實際是否按期支付按揭付款。</w:t>
      </w:r>
      <w:r>
        <w:rPr>
          <w:rFonts w:ascii="Arial" w:eastAsia="Arial" w:hAnsi="Arial" w:cs="Arial"/>
        </w:rPr>
        <w:t xml:space="preserve"> </w:t>
      </w:r>
    </w:p>
    <w:p w:rsidR="004D6F0E" w:rsidRDefault="00490F21">
      <w:pPr>
        <w:spacing w:after="160"/>
        <w:ind w:left="150" w:right="2"/>
      </w:pPr>
      <w:r>
        <w:t>轉手按揭相關證券的投資特點與傳統固定收益證券有</w:t>
      </w:r>
      <w:r>
        <w:t>所不同。主要差異包括按揭相關證券的利息及本金付款（如上文所述）較爲頻繁，且本金可能會因預付基礎按揭貸款或其他資產而可在任何時間預付。</w:t>
      </w:r>
      <w:r>
        <w:rPr>
          <w:rFonts w:ascii="Arial" w:eastAsia="Arial" w:hAnsi="Arial" w:cs="Arial"/>
        </w:rPr>
        <w:t xml:space="preserve"> </w:t>
      </w:r>
    </w:p>
    <w:p w:rsidR="004D6F0E" w:rsidRDefault="00490F21">
      <w:pPr>
        <w:spacing w:after="152"/>
        <w:ind w:left="150" w:right="2"/>
      </w:pPr>
      <w:r>
        <w:t>按揭預付的產生受諸多因素影響，包括利率水平、一般經濟狀況、按揭地區及年限及其他社會及人口狀況。一般而言，轉手按揭相關證券的預付款額會在按揭息率下降時增加，於按揭息率上升時減少。預付款再投資所依據的利率或會高於或低於首次投資的利率，從而影響基金的收益率。按揭相關證券的主要美國政府（即由美國政府的完全誠信作保）擔保人為</w:t>
      </w:r>
      <w:r>
        <w:t xml:space="preserve"> </w:t>
      </w:r>
      <w:r>
        <w:rPr>
          <w:rFonts w:ascii="Arial" w:eastAsia="Arial" w:hAnsi="Arial" w:cs="Arial"/>
        </w:rPr>
        <w:t>GNMA</w:t>
      </w:r>
      <w:r>
        <w:t>。</w:t>
      </w:r>
      <w:r>
        <w:rPr>
          <w:rFonts w:ascii="Arial" w:eastAsia="Arial" w:hAnsi="Arial" w:cs="Arial"/>
        </w:rPr>
        <w:t xml:space="preserve">GNMA </w:t>
      </w:r>
      <w:r>
        <w:t>乃一間由美國政府全資擁有的法團，隸屬住</w:t>
      </w:r>
      <w:r>
        <w:t>宅及城市發展部。</w:t>
      </w:r>
      <w:r>
        <w:rPr>
          <w:rFonts w:ascii="Arial" w:eastAsia="Arial" w:hAnsi="Arial" w:cs="Arial"/>
        </w:rPr>
        <w:t xml:space="preserve">GNMA </w:t>
      </w:r>
      <w:r>
        <w:t>獲授權以美國政府的完全誠信保證，會按時支付在</w:t>
      </w:r>
      <w:r>
        <w:t xml:space="preserve"> </w:t>
      </w:r>
      <w:r>
        <w:rPr>
          <w:rFonts w:ascii="Arial" w:eastAsia="Arial" w:hAnsi="Arial" w:cs="Arial"/>
        </w:rPr>
        <w:t xml:space="preserve">GNMA </w:t>
      </w:r>
      <w:r>
        <w:t>認可機構（如儲蓄及貸款機構、商業銀行及按揭銀行等）發行並由聯邦住房管理局承保或退伍軍人管理局擔保的按揭貸款匯集作保證券的本金及利息。</w:t>
      </w:r>
      <w:r>
        <w:rPr>
          <w:rFonts w:ascii="Arial" w:eastAsia="Arial" w:hAnsi="Arial" w:cs="Arial"/>
        </w:rPr>
        <w:t xml:space="preserve"> </w:t>
      </w:r>
    </w:p>
    <w:p w:rsidR="004D6F0E" w:rsidRDefault="00490F21">
      <w:pPr>
        <w:spacing w:after="160" w:line="273" w:lineRule="auto"/>
        <w:ind w:left="14" w:right="187"/>
        <w:jc w:val="both"/>
      </w:pPr>
      <w:r>
        <w:t>美國政府相關（</w:t>
      </w:r>
      <w:r>
        <w:rPr>
          <w:sz w:val="20"/>
        </w:rPr>
        <w:t>即</w:t>
      </w:r>
      <w:r>
        <w:t>並非由美國政府的完全誠信作保）擔保人包括美國聯邦國民抵押貸款協會（「</w:t>
      </w:r>
      <w:r>
        <w:rPr>
          <w:rFonts w:ascii="Arial" w:eastAsia="Arial" w:hAnsi="Arial" w:cs="Arial"/>
        </w:rPr>
        <w:t>FNMA</w:t>
      </w:r>
      <w:r>
        <w:t>」）及美國聯邦住房貸款按揭公司（「</w:t>
      </w:r>
      <w:r>
        <w:rPr>
          <w:rFonts w:ascii="Arial" w:eastAsia="Arial" w:hAnsi="Arial" w:cs="Arial"/>
        </w:rPr>
        <w:t>FHLMC</w:t>
      </w:r>
      <w:r>
        <w:t>」）。</w:t>
      </w:r>
      <w:r>
        <w:rPr>
          <w:rFonts w:ascii="Arial" w:eastAsia="Arial" w:hAnsi="Arial" w:cs="Arial"/>
        </w:rPr>
        <w:t xml:space="preserve">FNMA </w:t>
      </w:r>
      <w:r>
        <w:t>乃一間政府贊助完全由私人股東擁有的法團。</w:t>
      </w:r>
      <w:r>
        <w:rPr>
          <w:rFonts w:ascii="Arial" w:eastAsia="Arial" w:hAnsi="Arial" w:cs="Arial"/>
        </w:rPr>
        <w:t xml:space="preserve">FNMA </w:t>
      </w:r>
      <w:r>
        <w:t>發行的轉手證券由</w:t>
      </w:r>
      <w:r>
        <w:t xml:space="preserve"> </w:t>
      </w:r>
      <w:r>
        <w:rPr>
          <w:rFonts w:ascii="Arial" w:eastAsia="Arial" w:hAnsi="Arial" w:cs="Arial"/>
        </w:rPr>
        <w:t xml:space="preserve">FNMA </w:t>
      </w:r>
      <w:r>
        <w:t>擔保按時支付本金及利息但並非由美國政府以完全信用作擔保。</w:t>
      </w:r>
      <w:r>
        <w:rPr>
          <w:rFonts w:ascii="Arial" w:eastAsia="Arial" w:hAnsi="Arial" w:cs="Arial"/>
        </w:rPr>
        <w:t xml:space="preserve">FHLMC </w:t>
      </w:r>
      <w:r>
        <w:t>為美國政府的公司機構。由</w:t>
      </w:r>
      <w:r>
        <w:t xml:space="preserve"> </w:t>
      </w:r>
      <w:r>
        <w:rPr>
          <w:rFonts w:ascii="Arial" w:eastAsia="Arial" w:hAnsi="Arial" w:cs="Arial"/>
        </w:rPr>
        <w:t xml:space="preserve">FHLMC </w:t>
      </w:r>
      <w:r>
        <w:t>發行的分紅證券保證及時支付利息及最終（或在若干情況下及時）收取本金，但並非由美國政府以完全信用作擔保。</w:t>
      </w:r>
      <w:r>
        <w:rPr>
          <w:rFonts w:ascii="Arial" w:eastAsia="Arial" w:hAnsi="Arial" w:cs="Arial"/>
        </w:rPr>
        <w:t xml:space="preserve"> </w:t>
      </w:r>
    </w:p>
    <w:p w:rsidR="004D6F0E" w:rsidRDefault="00490F21">
      <w:pPr>
        <w:spacing w:after="160"/>
        <w:ind w:left="11" w:right="2"/>
      </w:pPr>
      <w:r>
        <w:t>商業銀行、儲蓄及貸款機構、私人按揭保險公司、按揭銀行及其他二級市場發行人亦可設立傳統住宅按揭貸款轉手匯集。該等發行人亦可始發基礎按揭貸款，並為按揭相關證券提供擔保。此類非政府發行人所設立貸款匯集的息率一般較政府及政府相關貸款匯集的息率為高，因爲前者並無直接或間接政府付款擔保。不過，該等貸款匯集的利息及本金的按時繳付，一般會由各式保險或擔保保障，包括個人貸款、產權、貸款匯集及風險保險。有關保險及擔保由政府機構、私人保險公司及按揭貸款匯集創始人發行。在確定按揭相關證券是否符合基金的投資質素標準時，會考慮有關保險</w:t>
      </w:r>
      <w:r>
        <w:t>及擔保及其發行人的信用。吾等不能保證私人保險公司會履行其於保險單應負的責任。倘經審查匯集人的貸款經營往績及實例後，投資管理人確定按揭相關證券符合基金的質素標準，則基金或會在並無保險或擔保的情況下買入有關證券。儘管該等證券的市場流動性日高，但若干私人機構發行的證券仍可能未可流通。</w:t>
      </w:r>
      <w:r>
        <w:rPr>
          <w:rFonts w:ascii="Arial" w:eastAsia="Arial" w:hAnsi="Arial" w:cs="Arial"/>
        </w:rPr>
        <w:t xml:space="preserve"> </w:t>
      </w:r>
    </w:p>
    <w:p w:rsidR="004D6F0E" w:rsidRDefault="00490F21">
      <w:pPr>
        <w:spacing w:after="162"/>
        <w:ind w:left="11" w:right="2"/>
      </w:pPr>
      <w:r>
        <w:rPr>
          <w:rFonts w:ascii="Arial" w:eastAsia="Arial" w:hAnsi="Arial" w:cs="Arial"/>
          <w:i/>
        </w:rPr>
        <w:t xml:space="preserve"> </w:t>
      </w:r>
      <w:r>
        <w:rPr>
          <w:sz w:val="20"/>
        </w:rPr>
        <w:t>抵押按揭債務產品及多類別轉手證券。</w:t>
      </w:r>
      <w:r>
        <w:t>基金可投資的按揭相關證券亦可能包括抵押按揭債務產品（「抵押按揭債務產品」）及多類別轉手證券。抵押按揭債務產品乃由特殊目的實體發行，並由按揭抵押憑證作保的債務，該等憑證在很多情況下包括由政府或政府</w:t>
      </w:r>
      <w:r>
        <w:t>相關擔保人（包括</w:t>
      </w:r>
      <w:r>
        <w:t xml:space="preserve"> </w:t>
      </w:r>
      <w:r>
        <w:rPr>
          <w:rFonts w:ascii="Arial" w:eastAsia="Arial" w:hAnsi="Arial" w:cs="Arial"/>
        </w:rPr>
        <w:t>GNMA</w:t>
      </w:r>
      <w:r>
        <w:t>、</w:t>
      </w:r>
      <w:r>
        <w:rPr>
          <w:rFonts w:ascii="Arial" w:eastAsia="Arial" w:hAnsi="Arial" w:cs="Arial"/>
        </w:rPr>
        <w:t xml:space="preserve">FNMA </w:t>
      </w:r>
      <w:r>
        <w:t>及</w:t>
      </w:r>
      <w:r>
        <w:t xml:space="preserve"> </w:t>
      </w:r>
      <w:r>
        <w:rPr>
          <w:rFonts w:ascii="Arial" w:eastAsia="Arial" w:hAnsi="Arial" w:cs="Arial"/>
        </w:rPr>
        <w:t>FHLMC</w:t>
      </w:r>
      <w:r>
        <w:t>）發行的證書，以及若干資金及其他抵押品。多類別轉手證券乃於由抵押貸款或其他抵押相關證券組成的信託中的股票權益。基礎抵押品的本金及利息付款可提供資金，用以償還抵押按揭債務產品的債項或就多類別轉手證券作出預定分派。抵押按揭債務產品及多類別轉手證券（除非文義另有所指，統稱為抵押按揭債務產品）可由美國政府機關、部門或私人機構發行。抵押按揭債務產品的發行人可選擇被視為房地產抵押貸款投資渠道（「房地產抵押貸款投資渠道」）。</w:t>
      </w:r>
      <w:r>
        <w:rPr>
          <w:rFonts w:ascii="Arial" w:eastAsia="Arial" w:hAnsi="Arial" w:cs="Arial"/>
        </w:rPr>
        <w:t xml:space="preserve"> </w:t>
      </w:r>
    </w:p>
    <w:p w:rsidR="004D6F0E" w:rsidRDefault="00490F21">
      <w:pPr>
        <w:spacing w:after="159"/>
        <w:ind w:left="11" w:right="2"/>
      </w:pPr>
      <w:r>
        <w:t>就抵押按揭債務產品而言，所發行的一系列債券</w:t>
      </w:r>
      <w:r>
        <w:t>或證書乃分成多個類別。抵押按揭債務產品的各個類別（通常稱為「分額」）乃以特定票面息率發行，並訂有屆滿或最終分派日期。預先支付抵押按揭債務產品所涉及抵押品的本金，可導致抵押按揭債務產品遠在訂明屆滿或最終分派日期來臨前已被撤銷。基礎抵押的本金及利息可以多種方式在一系列抵押按揭債務產品若干類別間進行分配。於一般架構中，基礎按揭的本金付款（包括任何本金預付款）乃按指定次序分發至抵押按揭債務產品系列的各個類別，因此，吾等不會用這筆款項付清抵押按揭債務產品的某些類別後，才撥款至其他類別。抵押按揭債務產品中一個或多個分額</w:t>
      </w:r>
      <w:r>
        <w:t>產品或會有按某項指數（如</w:t>
      </w:r>
      <w:r>
        <w:t xml:space="preserve"> </w:t>
      </w:r>
      <w:r>
        <w:rPr>
          <w:rFonts w:ascii="Arial" w:eastAsia="Arial" w:hAnsi="Arial" w:cs="Arial"/>
        </w:rPr>
        <w:t>SOFR</w:t>
      </w:r>
      <w:r>
        <w:t>（定義見下文））另加某項指定的定期重訂的增加率計算的票面息率。此等息率可予調整的抵押按揭債務產品（稱爲「浮息抵押按揭債務產品」）將被基金視為可調息按揭證券（定義見下文）。通常浮息抵押按揭債務產品的票面息率於發行時是設有永久上限的。該等上限類接近於下文「調息按揭證券」所述調息按揭的利率上限。無論與其掛鉤的利率指數是否上漲，浮息抵押按揭債務產品的票面息率均不得上調至超過此上限。</w:t>
      </w:r>
      <w:r>
        <w:rPr>
          <w:rFonts w:ascii="Arial" w:eastAsia="Arial" w:hAnsi="Arial" w:cs="Arial"/>
        </w:rPr>
        <w:t xml:space="preserve"> </w:t>
      </w:r>
    </w:p>
    <w:p w:rsidR="004D6F0E" w:rsidRDefault="00490F21">
      <w:pPr>
        <w:spacing w:after="162"/>
        <w:ind w:left="150" w:right="2"/>
      </w:pPr>
      <w:r>
        <w:rPr>
          <w:rFonts w:ascii="Arial" w:eastAsia="Arial" w:hAnsi="Arial" w:cs="Arial"/>
          <w:i/>
        </w:rPr>
        <w:t xml:space="preserve"> </w:t>
      </w:r>
      <w:r>
        <w:rPr>
          <w:sz w:val="20"/>
        </w:rPr>
        <w:t>可調息按揭證券。</w:t>
      </w:r>
      <w:r>
        <w:t>基金可投資的調息按揭證券（「調息按揭證券」）包括：</w:t>
      </w:r>
      <w:r>
        <w:rPr>
          <w:rFonts w:ascii="Arial" w:eastAsia="Arial" w:hAnsi="Arial" w:cs="Arial"/>
        </w:rPr>
        <w:t>(i)</w:t>
      </w:r>
      <w:r>
        <w:t>由調息按揭抵押並由</w:t>
      </w:r>
      <w:r>
        <w:t xml:space="preserve"> </w:t>
      </w:r>
      <w:r>
        <w:rPr>
          <w:rFonts w:ascii="Arial" w:eastAsia="Arial" w:hAnsi="Arial" w:cs="Arial"/>
        </w:rPr>
        <w:t>GN</w:t>
      </w:r>
      <w:r>
        <w:rPr>
          <w:rFonts w:ascii="Arial" w:eastAsia="Arial" w:hAnsi="Arial" w:cs="Arial"/>
        </w:rPr>
        <w:t>MA</w:t>
      </w:r>
      <w:r>
        <w:t>、</w:t>
      </w:r>
      <w:r>
        <w:rPr>
          <w:rFonts w:ascii="Arial" w:eastAsia="Arial" w:hAnsi="Arial" w:cs="Arial"/>
        </w:rPr>
        <w:t>FNMA</w:t>
      </w:r>
      <w:r>
        <w:t>、</w:t>
      </w:r>
      <w:r>
        <w:rPr>
          <w:rFonts w:ascii="Arial" w:eastAsia="Arial" w:hAnsi="Arial" w:cs="Arial"/>
        </w:rPr>
        <w:t xml:space="preserve">FHLMC </w:t>
      </w:r>
      <w:r>
        <w:t>及私人機構發行的轉手證券及</w:t>
      </w:r>
      <w:r>
        <w:rPr>
          <w:rFonts w:ascii="Arial" w:eastAsia="Arial" w:hAnsi="Arial" w:cs="Arial"/>
        </w:rPr>
        <w:t>(ii)</w:t>
      </w:r>
      <w:r>
        <w:t>浮息抵押按揭債務產品。調息按揭證券的票面息率乃按某一預定息率指數另加某項定期重訂的比率計算。該等指數有三個主要類別：</w:t>
      </w:r>
      <w:r>
        <w:rPr>
          <w:rFonts w:ascii="Arial" w:eastAsia="Arial" w:hAnsi="Arial" w:cs="Arial"/>
        </w:rPr>
        <w:t>(i)</w:t>
      </w:r>
      <w:r>
        <w:t>以美國國庫證券為基準的指數；</w:t>
      </w:r>
      <w:r>
        <w:rPr>
          <w:rFonts w:ascii="Arial" w:eastAsia="Arial" w:hAnsi="Arial" w:cs="Arial"/>
        </w:rPr>
        <w:t>(ii)</w:t>
      </w:r>
      <w:r>
        <w:t>從一個計算標準（例如資金成本指數或按揭利率的移動平均線）衍生出來的指數；及</w:t>
      </w:r>
      <w:r>
        <w:rPr>
          <w:rFonts w:ascii="Arial" w:eastAsia="Arial" w:hAnsi="Arial" w:cs="Arial"/>
        </w:rPr>
        <w:t>(iii)</w:t>
      </w:r>
      <w:r>
        <w:t>以具抵押隔夜融資利率（「</w:t>
      </w:r>
      <w:r>
        <w:rPr>
          <w:rFonts w:ascii="Arial" w:eastAsia="Arial" w:hAnsi="Arial" w:cs="Arial"/>
        </w:rPr>
        <w:t xml:space="preserve">SOFR </w:t>
      </w:r>
      <w:r>
        <w:t>」）、存款證（「存款證」）或最優惠利率等短期利率為基準的指數。許多發行人已選定一年、三年及五年期美國國庫票據的收益率、兩份聯儲局統計報告公佈的六個月美國國庫券貼現率、每月</w:t>
      </w:r>
      <w:r>
        <w:t xml:space="preserve"> </w:t>
      </w:r>
      <w:r>
        <w:rPr>
          <w:rFonts w:ascii="Arial" w:eastAsia="Arial" w:hAnsi="Arial" w:cs="Arial"/>
        </w:rPr>
        <w:t>G</w:t>
      </w:r>
      <w:r>
        <w:rPr>
          <w:rFonts w:ascii="Arial" w:eastAsia="Arial" w:hAnsi="Arial" w:cs="Arial"/>
        </w:rPr>
        <w:t>.13(415)</w:t>
      </w:r>
      <w:r>
        <w:t>及每週</w:t>
      </w:r>
      <w:r>
        <w:t xml:space="preserve"> </w:t>
      </w:r>
      <w:r>
        <w:rPr>
          <w:rFonts w:ascii="Arial" w:eastAsia="Arial" w:hAnsi="Arial" w:cs="Arial"/>
        </w:rPr>
        <w:t>H.15(519)</w:t>
      </w:r>
      <w:r>
        <w:t>、存款證綜合利率、最優惠利率、</w:t>
      </w:r>
      <w:r>
        <w:t xml:space="preserve"> </w:t>
      </w:r>
      <w:r>
        <w:rPr>
          <w:rFonts w:ascii="Arial" w:eastAsia="Arial" w:hAnsi="Arial" w:cs="Arial"/>
        </w:rPr>
        <w:t xml:space="preserve">SOFR </w:t>
      </w:r>
      <w:r>
        <w:t>及其他指數作為有關指數。未來還可能會有其他指數可供選擇。選擇所投資調息按揭證券類別時，投資管理人亦會考慮有關調息按揭證券市場的流動性。</w:t>
      </w:r>
      <w:r>
        <w:rPr>
          <w:rFonts w:ascii="Arial" w:eastAsia="Arial" w:hAnsi="Arial" w:cs="Arial"/>
        </w:rPr>
        <w:t xml:space="preserve"> </w:t>
      </w:r>
    </w:p>
    <w:p w:rsidR="004D6F0E" w:rsidRDefault="00490F21">
      <w:pPr>
        <w:spacing w:after="160"/>
        <w:ind w:left="150" w:right="2"/>
      </w:pPr>
      <w:r>
        <w:t>基金可投資的調息按揭證券的基礎調息按揭通常設有上下限，以限制給予住宅貸款借款人的貸款利率在</w:t>
      </w:r>
      <w:r>
        <w:rPr>
          <w:rFonts w:ascii="Arial" w:eastAsia="Arial" w:hAnsi="Arial" w:cs="Arial"/>
        </w:rPr>
        <w:t>(i)</w:t>
      </w:r>
      <w:r>
        <w:t>每次重訂或調整期間及</w:t>
      </w:r>
      <w:r>
        <w:t xml:space="preserve"> </w:t>
      </w:r>
      <w:r>
        <w:rPr>
          <w:rFonts w:ascii="Arial" w:eastAsia="Arial" w:hAnsi="Arial" w:cs="Arial"/>
        </w:rPr>
        <w:t>(ii)</w:t>
      </w:r>
      <w:r>
        <w:t>貸款期限內可向上調或下調的最大幅度。部分住宅調息按揭貸款透過限制借款人每月本金及利息付款的變動（而非限制利率變動）來限制定期調整。該等付款限制或會導致負攤銷（</w:t>
      </w:r>
      <w:r>
        <w:rPr>
          <w:sz w:val="20"/>
        </w:rPr>
        <w:t>即</w:t>
      </w:r>
      <w:r>
        <w:t>按揭</w:t>
      </w:r>
      <w:r>
        <w:t>貸款的結餘增加）。基金可投資的調息按揭證券亦可由定息按揭抵押。該等調息按揭證券（即上文所述浮息抵押按揭債務產品）一般會對其票面息率設立永久上限。</w:t>
      </w:r>
      <w:r>
        <w:rPr>
          <w:rFonts w:ascii="Arial" w:eastAsia="Arial" w:hAnsi="Arial" w:cs="Arial"/>
        </w:rPr>
        <w:t xml:space="preserve"> </w:t>
      </w:r>
    </w:p>
    <w:p w:rsidR="004D6F0E" w:rsidRDefault="00490F21">
      <w:pPr>
        <w:ind w:left="150" w:right="2"/>
      </w:pPr>
      <w:r>
        <w:t>基金可投資的調息按揭證券包括由調息按揭抵押及浮息抵押按揭債務產品作抵押的轉手按揭相關證券。如上文所述，調息按揭常設有上下限，以限制票面息率在某一間距期間或整段貸款期限內可上調或下調的最大幅度。浮息抵押按揭債務產品亦設有類似永久限制。倘利率上調速度快於調息按揭證券允許的上限，則此等調息按揭證券的表現，將更加近似由定息按揭抵押的證券而非由調息按揭貸款抵押的證券。因此</w:t>
      </w:r>
      <w:r>
        <w:t>，利率上調超過上限預期會導致調息按揭證券的表現與傳統債務證券（而非調息證券）更加相近</w:t>
      </w:r>
    </w:p>
    <w:p w:rsidR="004D6F0E" w:rsidRDefault="00490F21">
      <w:pPr>
        <w:spacing w:after="164"/>
        <w:ind w:left="150" w:right="2"/>
      </w:pPr>
      <w:r>
        <w:t>，進而導致其貶價幅度大於假設不設限的情況下的貶幅。</w:t>
      </w:r>
      <w:r>
        <w:rPr>
          <w:rFonts w:ascii="Arial" w:eastAsia="Arial" w:hAnsi="Arial" w:cs="Arial"/>
        </w:rPr>
        <w:t xml:space="preserve"> </w:t>
      </w:r>
    </w:p>
    <w:p w:rsidR="004D6F0E" w:rsidRDefault="00490F21">
      <w:pPr>
        <w:spacing w:after="160"/>
        <w:ind w:left="150" w:right="2"/>
      </w:pPr>
      <w:r>
        <w:t>如上文所述，由於調息按揭證券票面息率乃因應利率變動作出調整，調息按揭證券價格因利率變動引起的波動，將較傳統債務證券為小。不過，調息按揭證券的調息特點並不會消除價格波動，尤其在利率急劇波動的時期。此外，由於許多調息按揭僅按年重訂，故預計調息按揭證券的價格將出現波動，波動的幅度將因應尚有多現行利率的變動未被即時反映在基礎調息按揭的票面息率上而定。</w:t>
      </w:r>
      <w:r>
        <w:rPr>
          <w:rFonts w:ascii="Arial" w:eastAsia="Arial" w:hAnsi="Arial" w:cs="Arial"/>
          <w:b/>
        </w:rPr>
        <w:t xml:space="preserve"> </w:t>
      </w:r>
    </w:p>
    <w:p w:rsidR="004D6F0E" w:rsidRDefault="00490F21">
      <w:pPr>
        <w:spacing w:after="161"/>
        <w:ind w:left="150" w:right="2"/>
      </w:pPr>
      <w:r>
        <w:rPr>
          <w:rFonts w:ascii="Arial" w:eastAsia="Arial" w:hAnsi="Arial" w:cs="Arial"/>
          <w:i/>
        </w:rPr>
        <w:t xml:space="preserve"> </w:t>
      </w:r>
      <w:r>
        <w:rPr>
          <w:sz w:val="20"/>
        </w:rPr>
        <w:t>剝離式按揭相關證券。</w:t>
      </w:r>
      <w:r>
        <w:t>剝</w:t>
      </w:r>
      <w:r>
        <w:t>離式按揭相關證券（「剝離式按揭相關證券」）為衍生多類別按揭相關證券。剝離式按揭相關證券可由美國政府、其機構或部門、或按揭貸款私人創始人或投資者（包括儲蓄及貸款機構、按揭銀行、商業銀行、投資銀行及其特殊目的附屬機構）發行。剝離式按揭相關證券通常由兩個類別構成，該兩個類別分別從以</w:t>
      </w:r>
      <w:r>
        <w:t xml:space="preserve"> </w:t>
      </w:r>
      <w:r>
        <w:rPr>
          <w:rFonts w:ascii="Arial" w:eastAsia="Arial" w:hAnsi="Arial" w:cs="Arial"/>
        </w:rPr>
        <w:t>GNMA</w:t>
      </w:r>
      <w:r>
        <w:t>、</w:t>
      </w:r>
      <w:r>
        <w:rPr>
          <w:rFonts w:ascii="Arial" w:eastAsia="Arial" w:hAnsi="Arial" w:cs="Arial"/>
        </w:rPr>
        <w:t xml:space="preserve">FNMA </w:t>
      </w:r>
      <w:r>
        <w:t>或</w:t>
      </w:r>
      <w:r>
        <w:t xml:space="preserve"> </w:t>
      </w:r>
      <w:r>
        <w:rPr>
          <w:rFonts w:ascii="Arial" w:eastAsia="Arial" w:hAnsi="Arial" w:cs="Arial"/>
        </w:rPr>
        <w:t xml:space="preserve">FHLMC </w:t>
      </w:r>
      <w:r>
        <w:t>證書、整體貸款或私人轉手按揭相關證券等集結而成的按揭資產（「按揭資產」）收取不同比重的利息及本金分派。就普通類型剝離式按揭相關證券而言，其中一類別將收取按揭資產的部分利息及大部分本金，而另一類則收取</w:t>
      </w:r>
      <w:r>
        <w:t>大部分利息及本金的剩餘部分。在極少數情況下，其中一類將收取所有利息（「唯息類」），而另一類則收取所有本金（「唯本類」）。唯息類證券的到期收益率對相關按揭資產的本金（包括預付）付款速率極爲敏感，較快的本金預付速率對唯息類證券的到期收益率或會有重大不利影響。本金預付速率隨利率的一般水平波動。即使該等證券獲標普評為</w:t>
      </w:r>
      <w:r>
        <w:t xml:space="preserve"> </w:t>
      </w:r>
      <w:r>
        <w:rPr>
          <w:rFonts w:ascii="Arial" w:eastAsia="Arial" w:hAnsi="Arial" w:cs="Arial"/>
        </w:rPr>
        <w:t xml:space="preserve">AAA </w:t>
      </w:r>
      <w:r>
        <w:t>級或獲穆迪評為</w:t>
      </w:r>
      <w:r>
        <w:t xml:space="preserve"> </w:t>
      </w:r>
      <w:r>
        <w:rPr>
          <w:rFonts w:ascii="Arial" w:eastAsia="Arial" w:hAnsi="Arial" w:cs="Arial"/>
        </w:rPr>
        <w:t xml:space="preserve">Aaa </w:t>
      </w:r>
      <w:r>
        <w:t>級或獲其他國家認可統計評級機構給予同等評級，倘基礎按揭資產的本金預付額比預期多，則基金可能無法悉數收回其於該等證券的首次投資。由於其結構及基礎現金流量，剝離式按揭相關證</w:t>
      </w:r>
      <w:r>
        <w:t>券的價值可能較非剝離式按揭相關證券更易波動。</w:t>
      </w:r>
      <w:r>
        <w:rPr>
          <w:rFonts w:ascii="Arial" w:eastAsia="Arial" w:hAnsi="Arial" w:cs="Arial"/>
        </w:rPr>
        <w:t xml:space="preserve"> </w:t>
      </w:r>
    </w:p>
    <w:p w:rsidR="004D6F0E" w:rsidRDefault="00490F21">
      <w:pPr>
        <w:spacing w:after="162"/>
        <w:ind w:left="11" w:right="2"/>
      </w:pPr>
      <w:r>
        <w:rPr>
          <w:rFonts w:ascii="Arial" w:eastAsia="Arial" w:hAnsi="Arial" w:cs="Arial"/>
          <w:i/>
        </w:rPr>
        <w:t xml:space="preserve"> </w:t>
      </w:r>
      <w:r>
        <w:rPr>
          <w:sz w:val="20"/>
        </w:rPr>
        <w:t>信貸支持類別。</w:t>
      </w:r>
      <w:r>
        <w:t>為降低所屬資產的債務人無法償付的影響，非</w:t>
      </w:r>
      <w:r>
        <w:t xml:space="preserve"> </w:t>
      </w:r>
      <w:r>
        <w:rPr>
          <w:rFonts w:ascii="Arial" w:eastAsia="Arial" w:hAnsi="Arial" w:cs="Arial"/>
        </w:rPr>
        <w:t>GNMA</w:t>
      </w:r>
      <w:r>
        <w:t>、</w:t>
      </w:r>
      <w:r>
        <w:rPr>
          <w:rFonts w:ascii="Arial" w:eastAsia="Arial" w:hAnsi="Arial" w:cs="Arial"/>
        </w:rPr>
        <w:t xml:space="preserve">FNMA </w:t>
      </w:r>
      <w:r>
        <w:t>或</w:t>
      </w:r>
      <w:r>
        <w:t xml:space="preserve"> </w:t>
      </w:r>
      <w:r>
        <w:rPr>
          <w:rFonts w:ascii="Arial" w:eastAsia="Arial" w:hAnsi="Arial" w:cs="Arial"/>
        </w:rPr>
        <w:t xml:space="preserve">FHLMC </w:t>
      </w:r>
      <w:r>
        <w:t>按揭相關證券或會包含現金流支持。有關現金流支持分為兩類：</w:t>
      </w:r>
      <w:r>
        <w:rPr>
          <w:rFonts w:ascii="Arial" w:eastAsia="Arial" w:hAnsi="Arial" w:cs="Arial"/>
        </w:rPr>
        <w:t>(i)</w:t>
      </w:r>
      <w:r>
        <w:t>流動性保障；及</w:t>
      </w:r>
      <w:r>
        <w:rPr>
          <w:rFonts w:ascii="Arial" w:eastAsia="Arial" w:hAnsi="Arial" w:cs="Arial"/>
        </w:rPr>
        <w:t>(ii)</w:t>
      </w:r>
      <w:r>
        <w:t>所屬資產的債務人最終拖欠產生損失的信貸保障。流動性保障指通常由管理資產匯集的實體提供貸款以應付拖欠（</w:t>
      </w:r>
      <w:r>
        <w:rPr>
          <w:sz w:val="20"/>
        </w:rPr>
        <w:t>如</w:t>
      </w:r>
      <w:r>
        <w:t>拖欠三十至六十日）的款項，確保應付相關匯集的款項及時轉手。至少就匯集資產的一部分而言，對最終拖欠產生損失的信貸保障提高了最終償付債務的可能性。該等保障可透過發行人或保薦人所獲第三方提供的擔保、保單或信用證、透過構成交易的各種方式（如下文所述）或共用上述各種方法而提供。</w:t>
      </w:r>
      <w:r>
        <w:rPr>
          <w:rFonts w:ascii="Arial" w:eastAsia="Arial" w:hAnsi="Arial" w:cs="Arial"/>
        </w:rPr>
        <w:t xml:space="preserve"> </w:t>
      </w:r>
    </w:p>
    <w:p w:rsidR="004D6F0E" w:rsidRDefault="00490F21">
      <w:pPr>
        <w:spacing w:after="160"/>
        <w:ind w:left="11" w:right="2"/>
      </w:pPr>
      <w:r>
        <w:t>第三方信用增強提供流動性保障或對拖欠所產生的損失的信貸保障的證券評級，通常取決於信用增強提供者的持續借貸能力。倘信用增強提供者的信用惡化，即使所屬資產匯集的拖欠及損失狀況較預期為佳，有關證券的評級可能須予調低。</w:t>
      </w:r>
      <w:r>
        <w:rPr>
          <w:rFonts w:ascii="Arial" w:eastAsia="Arial" w:hAnsi="Arial" w:cs="Arial"/>
        </w:rPr>
        <w:t xml:space="preserve"> </w:t>
      </w:r>
    </w:p>
    <w:p w:rsidR="004D6F0E" w:rsidRDefault="00490F21">
      <w:pPr>
        <w:spacing w:after="163"/>
        <w:ind w:left="11" w:right="2"/>
      </w:pPr>
      <w:r>
        <w:t>交易結構產生的信貸支持的例</w:t>
      </w:r>
      <w:r>
        <w:t>子，包括「優先後償證券」（多類別證券，就支付本金及其利息而言，其中一類或多類較其他類別後償，因此，所屬資產的拖欠款項首先由後償類別的持有人承擔）、創建「儲備基金」（其中現金或投資（有時由所屬資產的部分付款提供資金）保留於儲備中，以應付日後的虧損）及「超額抵押」（其中所屬資產的預定付款或本金數額超逾預期須就證券支付的數額及支付任何服務或其他費用的數額）。就每次發行所提供的信貸支持程度，一般根據所屬資產有關的信貸風險水平的歷史資料釐定。可能會考慮的其他資料包括人口因素、貸款風險管理慣例及一般市場及經濟狀況。超過</w:t>
      </w:r>
      <w:r>
        <w:t>預期的拖欠或損失可能對有關證券的投資回報帶來不利影響。</w:t>
      </w:r>
      <w:r>
        <w:rPr>
          <w:rFonts w:ascii="Arial" w:eastAsia="Arial" w:hAnsi="Arial" w:cs="Arial"/>
        </w:rPr>
        <w:t xml:space="preserve"> </w:t>
      </w:r>
    </w:p>
    <w:p w:rsidR="004D6F0E" w:rsidRDefault="00490F21">
      <w:pPr>
        <w:spacing w:after="160"/>
        <w:ind w:left="11" w:right="2"/>
      </w:pPr>
      <w:r>
        <w:t>商業抵押擔保證券（「</w:t>
      </w:r>
      <w:r>
        <w:rPr>
          <w:rFonts w:ascii="Arial" w:eastAsia="Arial" w:hAnsi="Arial" w:cs="Arial"/>
          <w:b/>
        </w:rPr>
        <w:t>CMBS</w:t>
      </w:r>
      <w:r>
        <w:t>」）。商業抵押擔保證券是指於以多家庭或商業物業（如工業及倉庫物業、辦公樓宇、零售場所及購物中心、及合作公寓、酒店及汽車旅館、育兒院、醫院及老人中心）中作抵押的按揭貸款擁有權益或以其作抵押的證券。商業抵押擔保證券由各種公共或私人發行人採用各種結構，在公開及私人交易中發行。其中一些結構是在住宅按揭中發展起來的，包括以優先及後償為特徵的多類別結構。商業抵押擔保證券可按定息或浮動息率支付利息。商業抵押擔保證券的相關商業按揭貸款有若</w:t>
      </w:r>
      <w:r>
        <w:t>干獨特的風險特徵。商業抵押擔保證券一般缺少標準化的條款，因而可能令結構變得複雜，通常較住宅按揭貸款而言到期日更短，且或許不能全數攤銷。商業物業一般比較獨特，較單一家庭住宅物業更難估值。此外，商業物業（尤其是工業及倉庫物業）須承受環境風險及需負擔遵守環境法律法規的有關成本。</w:t>
      </w:r>
      <w:r>
        <w:rPr>
          <w:rFonts w:ascii="Arial" w:eastAsia="Arial" w:hAnsi="Arial" w:cs="Arial"/>
        </w:rPr>
        <w:t xml:space="preserve"> </w:t>
      </w:r>
    </w:p>
    <w:p w:rsidR="004D6F0E" w:rsidRDefault="00490F21">
      <w:pPr>
        <w:spacing w:after="162"/>
        <w:ind w:left="150" w:right="2"/>
      </w:pPr>
      <w:r>
        <w:t>與所有的固定收益證券一樣，商業抵押擔保證券於利率上升時的價值一般會下跌。此外，儘管減息期間固定收益證券的價值一般會上升，但由於在商業抵押擔保證券中，減息期間可能出現更多提早還款情況，故此種相反關係在單一家庭住宅按揭擔保證券而言可能並不顯</w:t>
      </w:r>
      <w:r>
        <w:t>著。商業抵押擔保證券評級所採用的程序可能集中於比較（其中包括其他因素）證券的結構、抵押品及保險的質素及充足度，以及創始人、服務公司及信貸支持提供人的借貸能力。</w:t>
      </w:r>
      <w:r>
        <w:rPr>
          <w:rFonts w:ascii="Arial" w:eastAsia="Arial" w:hAnsi="Arial" w:cs="Arial"/>
        </w:rPr>
        <w:t xml:space="preserve"> </w:t>
      </w:r>
    </w:p>
    <w:p w:rsidR="004D6F0E" w:rsidRDefault="00490F21">
      <w:pPr>
        <w:ind w:left="150" w:right="2"/>
      </w:pPr>
      <w:r>
        <w:t>其他資產抵押證券。基金可投資於若干優質的資產抵押證券。透過利用信託機構、特殊目的法團及其他工具，不同類別的資產</w:t>
      </w:r>
      <w:r>
        <w:rPr>
          <w:rFonts w:ascii="Arial" w:eastAsia="Arial" w:hAnsi="Arial" w:cs="Arial"/>
        </w:rPr>
        <w:t xml:space="preserve">    </w:t>
      </w:r>
    </w:p>
    <w:p w:rsidR="004D6F0E" w:rsidRDefault="00490F21">
      <w:pPr>
        <w:spacing w:after="160"/>
        <w:ind w:left="150" w:right="2"/>
      </w:pPr>
      <w:r>
        <w:t>（包括汽車及信用卡貸款、房屋權益貸款及設備租賃）可被證券化為近似上述抵押轉手結構的轉手結構或近似抵押按揭債務產品結構的支付結構。資產抵押證券的抵押品往往設有受控制或限制的預付速率。此外，資產抵押貸款的短期性質亦會降低預付水平變動所帶來的影響。由於攤銷，資產抵押證券的平均期限亦按常規替代了到期日。</w:t>
      </w:r>
      <w:r>
        <w:rPr>
          <w:rFonts w:ascii="Arial" w:eastAsia="Arial" w:hAnsi="Arial" w:cs="Arial"/>
        </w:rPr>
        <w:t xml:space="preserve"> </w:t>
      </w:r>
    </w:p>
    <w:p w:rsidR="004D6F0E" w:rsidRDefault="00490F21">
      <w:pPr>
        <w:spacing w:after="162"/>
        <w:ind w:left="150" w:right="2"/>
      </w:pPr>
      <w:r>
        <w:t>由於預付（有關按揭貸款、汽車貸款或其他抵押）可能會改變資產抵押證券的現金流量，無人能夠預先釐定實際最後到期日或平均期限。預付速率加快將縮短平均期限，預付速率放慢則會延長平均期限。不過，卻可釐定變動的範圍及計算其對</w:t>
      </w:r>
      <w:r>
        <w:t>證券價格的影響。</w:t>
      </w:r>
      <w:r>
        <w:rPr>
          <w:rFonts w:ascii="Arial" w:eastAsia="Arial" w:hAnsi="Arial" w:cs="Arial"/>
        </w:rPr>
        <w:t xml:space="preserve"> </w:t>
      </w:r>
    </w:p>
    <w:p w:rsidR="004D6F0E" w:rsidRDefault="00490F21">
      <w:pPr>
        <w:spacing w:after="160"/>
        <w:ind w:left="150" w:right="2"/>
      </w:pPr>
      <w:r>
        <w:t>結構式證券及一籃子證券。基金可投資於各類結構式證券及一籃子證券。基金投資的結構式證券可代表，例如，於純粹為重組特定固定收益債務的投資特徵而組建及經營的實體的權益。此類重組涉及某實體（如法團或信託等）交付存置或購買特定工具，以及該實體發行一類或多類由相關工具抵押或代表於基礎工具的權益的結構式證券。基礎工具的現金流量可於新發行結構式證券中分攤，以設立具不同投資特點（如不同期限、支付優先權及利率條款等）的證券，就有關結構式證券作出的款項，取決於基礎工具的現金流量水平。特定類別結構式證券可有低於</w:t>
      </w:r>
      <w:r>
        <w:t>或高於另一類別的付款權優先等級。相比非後償結構證券，後償結構式證券的收益率通常較大，風險亦較高。</w:t>
      </w:r>
      <w:r>
        <w:rPr>
          <w:rFonts w:ascii="Arial" w:eastAsia="Arial" w:hAnsi="Arial" w:cs="Arial"/>
        </w:rPr>
        <w:t xml:space="preserve"> </w:t>
      </w:r>
    </w:p>
    <w:p w:rsidR="004D6F0E" w:rsidRDefault="00490F21">
      <w:pPr>
        <w:spacing w:after="166"/>
        <w:ind w:left="150" w:right="2"/>
      </w:pPr>
      <w:r>
        <w:t>基金投資的一籃子證券可包括為持有不同發行人的一籃子固定收益債務或一籃子其他可轉讓證券而組建及營運的實體。包括固定收益債務的一籃子證券可特別設計，以代表部分或整個固定收益證券市場的特性。</w:t>
      </w:r>
      <w:r>
        <w:rPr>
          <w:rFonts w:ascii="Arial" w:eastAsia="Arial" w:hAnsi="Arial" w:cs="Arial"/>
        </w:rPr>
        <w:t xml:space="preserve"> </w:t>
      </w:r>
    </w:p>
    <w:p w:rsidR="004D6F0E" w:rsidRDefault="00490F21">
      <w:pPr>
        <w:spacing w:after="162"/>
        <w:ind w:left="150" w:right="2"/>
      </w:pPr>
      <w:r>
        <w:t>在附錄</w:t>
      </w:r>
      <w:r>
        <w:t xml:space="preserve"> </w:t>
      </w:r>
      <w:r>
        <w:rPr>
          <w:rFonts w:ascii="Arial" w:eastAsia="Arial" w:hAnsi="Arial" w:cs="Arial"/>
        </w:rPr>
        <w:t xml:space="preserve">A </w:t>
      </w:r>
      <w:r>
        <w:t>所載本傘子基金投資限制的規限下，基金可投資於結構式證券及一籃子證券。</w:t>
      </w:r>
      <w:r>
        <w:rPr>
          <w:rFonts w:ascii="Arial" w:eastAsia="Arial" w:hAnsi="Arial" w:cs="Arial"/>
        </w:rPr>
        <w:t xml:space="preserve"> </w:t>
      </w:r>
    </w:p>
    <w:p w:rsidR="004D6F0E" w:rsidRDefault="00490F21">
      <w:pPr>
        <w:spacing w:after="102" w:line="273" w:lineRule="auto"/>
        <w:ind w:left="150" w:right="293"/>
        <w:jc w:val="both"/>
      </w:pPr>
      <w:r>
        <w:t>抵押債務。抵押債務（「</w:t>
      </w:r>
      <w:r>
        <w:rPr>
          <w:rFonts w:ascii="Arial" w:eastAsia="Arial" w:hAnsi="Arial" w:cs="Arial"/>
        </w:rPr>
        <w:t>CDO</w:t>
      </w:r>
      <w:r>
        <w:t>」）指代表集合基金權益（通常分為不同部分）的工具；抵押債務的有關資產類別可包括若干固定收益證券，例如資產擔保證券</w:t>
      </w:r>
      <w:r>
        <w:t>、企業槓杆貸款、其他抵押債務、信用違約掉期合約及其他衍生工具。</w:t>
      </w:r>
      <w:r>
        <w:rPr>
          <w:rFonts w:ascii="Arial" w:eastAsia="Arial" w:hAnsi="Arial" w:cs="Arial"/>
        </w:rPr>
        <w:t xml:space="preserve">CDO </w:t>
      </w:r>
      <w:r>
        <w:t>類型多樣，包括由信託優先證券及資產擔保證券抵押的</w:t>
      </w:r>
      <w:r>
        <w:t xml:space="preserve"> </w:t>
      </w:r>
      <w:r>
        <w:rPr>
          <w:rFonts w:ascii="Arial" w:eastAsia="Arial" w:hAnsi="Arial" w:cs="Arial"/>
        </w:rPr>
        <w:t xml:space="preserve">CDO </w:t>
      </w:r>
      <w:r>
        <w:t>以及由企業貸款及債務證券（即貸款擔保債券（「</w:t>
      </w:r>
      <w:r>
        <w:rPr>
          <w:rFonts w:ascii="Arial" w:eastAsia="Arial" w:hAnsi="Arial" w:cs="Arial"/>
        </w:rPr>
        <w:t>CLO</w:t>
      </w:r>
      <w:r>
        <w:t>」））抵押的</w:t>
      </w:r>
      <w:r>
        <w:t xml:space="preserve"> </w:t>
      </w:r>
      <w:r>
        <w:rPr>
          <w:rFonts w:ascii="Arial" w:eastAsia="Arial" w:hAnsi="Arial" w:cs="Arial"/>
        </w:rPr>
        <w:t>CDO</w:t>
      </w:r>
      <w:r>
        <w:t>。</w:t>
      </w:r>
      <w:r>
        <w:rPr>
          <w:rFonts w:ascii="Arial" w:eastAsia="Arial" w:hAnsi="Arial" w:cs="Arial"/>
        </w:rPr>
        <w:t xml:space="preserve">CDO </w:t>
      </w:r>
      <w:r>
        <w:t>可發行多種證券或級別，包括但不限於</w:t>
      </w:r>
      <w:r>
        <w:t xml:space="preserve"> </w:t>
      </w:r>
      <w:r>
        <w:rPr>
          <w:rFonts w:ascii="Arial" w:eastAsia="Arial" w:hAnsi="Arial" w:cs="Arial"/>
        </w:rPr>
        <w:t xml:space="preserve">CDO </w:t>
      </w:r>
      <w:r>
        <w:t>及</w:t>
      </w:r>
      <w:r>
        <w:t xml:space="preserve"> </w:t>
      </w:r>
      <w:r>
        <w:rPr>
          <w:rFonts w:ascii="Arial" w:eastAsia="Arial" w:hAnsi="Arial" w:cs="Arial"/>
        </w:rPr>
        <w:t xml:space="preserve">CLO </w:t>
      </w:r>
      <w:r>
        <w:t>股權、多界別</w:t>
      </w:r>
      <w:r>
        <w:t xml:space="preserve"> </w:t>
      </w:r>
      <w:r>
        <w:rPr>
          <w:rFonts w:ascii="Arial" w:eastAsia="Arial" w:hAnsi="Arial" w:cs="Arial"/>
        </w:rPr>
        <w:t xml:space="preserve">CDO </w:t>
      </w:r>
      <w:r>
        <w:t>股權、信託優先</w:t>
      </w:r>
      <w:r>
        <w:t xml:space="preserve"> </w:t>
      </w:r>
      <w:r>
        <w:rPr>
          <w:rFonts w:ascii="Arial" w:eastAsia="Arial" w:hAnsi="Arial" w:cs="Arial"/>
        </w:rPr>
        <w:t xml:space="preserve">CDO </w:t>
      </w:r>
      <w:r>
        <w:t>股權以及</w:t>
      </w:r>
      <w:r>
        <w:t xml:space="preserve"> </w:t>
      </w:r>
      <w:r>
        <w:rPr>
          <w:rFonts w:ascii="Arial" w:eastAsia="Arial" w:hAnsi="Arial" w:cs="Arial"/>
        </w:rPr>
        <w:t xml:space="preserve">CLO </w:t>
      </w:r>
      <w:r>
        <w:t>債券。</w:t>
      </w:r>
      <w:r>
        <w:rPr>
          <w:rFonts w:ascii="Arial" w:eastAsia="Arial" w:hAnsi="Arial" w:cs="Arial"/>
        </w:rPr>
        <w:t xml:space="preserve">CDO </w:t>
      </w:r>
      <w:r>
        <w:t>股權級別或為無信用等級或非投資級別。</w:t>
      </w:r>
      <w:r>
        <w:rPr>
          <w:rFonts w:ascii="Arial" w:eastAsia="Arial" w:hAnsi="Arial" w:cs="Arial"/>
        </w:rPr>
        <w:t xml:space="preserve">CDO </w:t>
      </w:r>
      <w:r>
        <w:t>面臨信用、流動性及利率風險；更多相關詳情在下文分別進行討論。</w:t>
      </w:r>
      <w:r>
        <w:rPr>
          <w:rFonts w:ascii="Arial" w:eastAsia="Arial" w:hAnsi="Arial" w:cs="Arial"/>
        </w:rPr>
        <w:t xml:space="preserve"> </w:t>
      </w:r>
    </w:p>
    <w:p w:rsidR="004D6F0E" w:rsidRDefault="00490F21">
      <w:pPr>
        <w:spacing w:after="63"/>
        <w:ind w:left="11" w:right="2"/>
      </w:pPr>
      <w:r>
        <w:t>其他投資類別</w:t>
      </w:r>
      <w:r>
        <w:rPr>
          <w:rFonts w:ascii="Arial" w:eastAsia="Arial" w:hAnsi="Arial" w:cs="Arial"/>
        </w:rPr>
        <w:t xml:space="preserve"> </w:t>
      </w:r>
    </w:p>
    <w:p w:rsidR="004D6F0E" w:rsidRDefault="00490F21">
      <w:pPr>
        <w:spacing w:after="160"/>
        <w:ind w:left="11" w:right="2"/>
      </w:pPr>
      <w:r>
        <w:t>期權、認股權及認股證。期權賦予期權買家權利，可</w:t>
      </w:r>
      <w:r>
        <w:t>在支付期權金後於其一確定日期之前以某一預定價格，向期權發出人出售（倘為認沽期權）或購買（倘為認購期權）一定數額的證券（或倘為指數期權，則指現金）。就基金沽出的認購期權而言，倘基金擁有基礎證券、擁有絕對及即時權利</w:t>
      </w:r>
      <w:r>
        <w:rPr>
          <w:rFonts w:ascii="Arial" w:eastAsia="Arial" w:hAnsi="Arial" w:cs="Arial"/>
        </w:rPr>
        <w:t xml:space="preserve"> </w:t>
      </w:r>
      <w:r>
        <w:t>通過轉換或交換其持有的另一證券購入該證券，或持有基礎證券的認購期權而期權行使價等於或低於其已沽出認購期權的行使價，則有關認購期權為「備兌」期權。就基金沽出的認沽期權而言，倘基金持有基礎證券的認沽期權而期權行使價等於或高於其已沽出認沽期權的行使價，則有關認沽期權為「備兌」期權。</w:t>
      </w:r>
      <w:r>
        <w:rPr>
          <w:rFonts w:ascii="Arial" w:eastAsia="Arial" w:hAnsi="Arial" w:cs="Arial"/>
        </w:rPr>
        <w:t xml:space="preserve"> </w:t>
      </w:r>
    </w:p>
    <w:p w:rsidR="004D6F0E" w:rsidRDefault="00490F21">
      <w:pPr>
        <w:spacing w:after="163"/>
        <w:ind w:left="11" w:right="2"/>
      </w:pPr>
      <w:r>
        <w:t>倘基金並不擁有基礎證</w:t>
      </w:r>
      <w:r>
        <w:t>券，及本身是為對沖其已經擁有或有權購入的其他債券所承擔的貶值風險而設的，則認購期權乃用作交叉對沖用途。倘自交叉對沖交易所得的期權金高於自沽出備兌認購期權所得的期權金，同時又能達到預期對沖目的，則基金將為對沖目的沽出認購期權，而非沽出備兌期權。</w:t>
      </w:r>
      <w:r>
        <w:rPr>
          <w:rFonts w:ascii="Arial" w:eastAsia="Arial" w:hAnsi="Arial" w:cs="Arial"/>
        </w:rPr>
        <w:t xml:space="preserve"> </w:t>
      </w:r>
    </w:p>
    <w:p w:rsidR="004D6F0E" w:rsidRDefault="00490F21">
      <w:pPr>
        <w:spacing w:after="159"/>
        <w:ind w:left="11" w:right="2"/>
      </w:pPr>
      <w:r>
        <w:t>認股權及認股證賦予其持有人，在特定時期內按特定價格購買股本證券的權利。基金只會在基礎股本證券本身被投資管理人視為適宜納入有關基金的情況下，方可投資於認股權或認股證。認股權一般授予發行人的現有股東，在某些國家亦稱為「優先認購權」。認股權與認股證類似，惟其存續期遠遠短於</w:t>
      </w:r>
      <w:r>
        <w:t>認股證。相比若干其他類別投資，認股權及認股證或會被視為更具投機性，因為其持有人無權就相關證券享有股息或投票權，而其本身亦不代表於發行公司資產中的任何權利。認股權或認股證的價值不一定隨基礎證券的價值變動，但可能會因基礎證券貶值、時間的推移或對基礎證券潛力不再被投資者看好而下跌。倘基礎證券於到期日的市值低於認股證所載的行使價，則認股證到期時將毫無價值。此外，認股權或認股證如於到期日前未獲行使，則不再具任何價值。</w:t>
      </w:r>
      <w:r>
        <w:rPr>
          <w:rFonts w:ascii="Arial" w:eastAsia="Arial" w:hAnsi="Arial" w:cs="Arial"/>
        </w:rPr>
        <w:t xml:space="preserve"> </w:t>
      </w:r>
    </w:p>
    <w:p w:rsidR="004D6F0E" w:rsidRDefault="00490F21">
      <w:pPr>
        <w:spacing w:after="162"/>
        <w:ind w:left="11" w:right="2"/>
      </w:pPr>
      <w:r>
        <w:t>期貨合約。「沽售」一張期權貨合約的意思是，獲取於指定日期以指定價格交付該合約所需證券、外匯或商品指數的合約責任。「認購」一張期貨合約的意思是，促成於指定日期以指定價格獲取該合約所需證券、外匯或商品指數的合約責任。一張指數期貨合約的買家同意收取或支付相等於有關指數價值於合約到期日</w:t>
      </w:r>
      <w:r>
        <w:rPr>
          <w:rFonts w:ascii="Arial" w:eastAsia="Arial" w:hAnsi="Arial" w:cs="Arial"/>
        </w:rPr>
        <w:t>(</w:t>
      </w:r>
      <w:r>
        <w:t>「合約現值」</w:t>
      </w:r>
      <w:r>
        <w:rPr>
          <w:rFonts w:ascii="Arial" w:eastAsia="Arial" w:hAnsi="Arial" w:cs="Arial"/>
        </w:rPr>
        <w:t>)</w:t>
      </w:r>
      <w:r>
        <w:t>的指定倍數與合約原來執行價之間差價的現金。無需以實物交付指數基礎證券。基金亦可投資於期貨期權合約，即須於履約時交付期貨合約的期權。基金沽售或認購的期貨期權合約將會於交易所或場外交易市場買賣﹐並只會用以有效管理其證券基金</w:t>
      </w:r>
      <w:r>
        <w:t>。</w:t>
      </w:r>
      <w:r>
        <w:rPr>
          <w:rFonts w:ascii="Arial" w:eastAsia="Arial" w:hAnsi="Arial" w:cs="Arial"/>
        </w:rPr>
        <w:t xml:space="preserve"> </w:t>
      </w:r>
    </w:p>
    <w:p w:rsidR="004D6F0E" w:rsidRDefault="00490F21">
      <w:pPr>
        <w:spacing w:after="161"/>
        <w:ind w:left="11" w:right="2"/>
      </w:pPr>
      <w:r>
        <w:t>遠期承諾。為認購或沽售證券而訂立的遠期承諾可包括屬於發行時交易性質的認購或屬於延遲交付性質的認購或沽售。在某些情況下，遠期承諾或須待某宗後續事件發生後，如合併、公司重組或債務重組獲批准及完成等（</w:t>
      </w:r>
      <w:r>
        <w:rPr>
          <w:sz w:val="20"/>
        </w:rPr>
        <w:t>即</w:t>
      </w:r>
      <w:r>
        <w:t>「發行時／視作發行／如已發行」交易）方可作實。</w:t>
      </w:r>
      <w:r>
        <w:rPr>
          <w:rFonts w:ascii="Arial" w:eastAsia="Arial" w:hAnsi="Arial" w:cs="Arial"/>
        </w:rPr>
        <w:t xml:space="preserve"> </w:t>
      </w:r>
    </w:p>
    <w:p w:rsidR="004D6F0E" w:rsidRDefault="00490F21">
      <w:pPr>
        <w:spacing w:after="160"/>
        <w:ind w:left="11" w:right="2"/>
      </w:pPr>
      <w:r>
        <w:t>洽談遠期承諾交易時，價格在作出承諾當時釐定，但證券的交付及付款會在較後日期進行。交收日期通常定在交易後兩個月內，惟亦可透過磋商定在兩個月後交收。根據遠期承諾認購或沽售的證券，須承受市場波動風險，交收日期前買方無權享有任何權益或股息。使用遠期承諾有助基金防範利率及價格的預期變動。例如，在利率上升但債券價格下跌時，基金可按遠期承諾基準沽售所持證券，以限制價格下跌所引致的風險。在利率下跌但債券價格上升時，基金可按發行時交易或遠期承諾基準沽售所持證券或購入同一證券或同類證券，以取得現時較高的現金收益之利。不過，倘投</w:t>
      </w:r>
      <w:r>
        <w:t>資管理人錯誤預測利率變動方向，則有關基金或須按遜於現行市值的價格完成此類發行時交易或遠期交易。發行時交易證券及遠期承諾可在交收日期前沽售，但基金只會在有意真正接收或交付證券（視情況而定）時方會訂立發行時交易及遠期承諾。倘基金選擇在購入或出售交付或接收遠期承諾的權利之前，出售購入發行時交易證券的權利，則可能產生收益或虧損。基金資產對按「發行時／視作發行／如以發行交易」基準購買證券的任何重大承諾，均可能增大該基金資產淨值的波動。倘遠期承諾交易的另一方違約，基金或會喪失按有利價格投資或以有利價格沽售證券的時機。</w:t>
      </w:r>
      <w:r>
        <w:rPr>
          <w:rFonts w:ascii="Arial" w:eastAsia="Arial" w:hAnsi="Arial" w:cs="Arial"/>
        </w:rPr>
        <w:t xml:space="preserve"> </w:t>
      </w:r>
    </w:p>
    <w:p w:rsidR="004D6F0E" w:rsidRDefault="00490F21">
      <w:pPr>
        <w:spacing w:after="165"/>
        <w:ind w:left="150" w:right="2"/>
      </w:pPr>
      <w:r>
        <w:t>有效基金管理技術</w:t>
      </w:r>
      <w:r>
        <w:rPr>
          <w:rFonts w:ascii="Arial" w:eastAsia="Arial" w:hAnsi="Arial" w:cs="Arial"/>
          <w:b/>
        </w:rPr>
        <w:t xml:space="preserve"> </w:t>
      </w:r>
    </w:p>
    <w:p w:rsidR="004D6F0E" w:rsidRDefault="00490F21">
      <w:pPr>
        <w:spacing w:after="157" w:line="273" w:lineRule="auto"/>
        <w:ind w:left="150" w:right="41"/>
        <w:jc w:val="both"/>
      </w:pPr>
      <w:r>
        <w:t>受制於《二零一零年法律》以及盧森堡金融業監管委員會（</w:t>
      </w:r>
      <w:r>
        <w:rPr>
          <w:rFonts w:ascii="Arial" w:eastAsia="Arial" w:hAnsi="Arial" w:cs="Arial"/>
        </w:rPr>
        <w:t>CSSF</w:t>
      </w:r>
      <w:r>
        <w:t>）不時發出的任何公告所載的條件及限制，尤其是盧森堡金融業監管委員會（</w:t>
      </w:r>
      <w:r>
        <w:rPr>
          <w:rFonts w:ascii="Arial" w:eastAsia="Arial" w:hAnsi="Arial" w:cs="Arial"/>
        </w:rPr>
        <w:t>CSSF</w:t>
      </w:r>
      <w:r>
        <w:t>）</w:t>
      </w:r>
      <w:r>
        <w:rPr>
          <w:rFonts w:ascii="Arial" w:eastAsia="Arial" w:hAnsi="Arial" w:cs="Arial"/>
        </w:rPr>
        <w:t xml:space="preserve">14/592 </w:t>
      </w:r>
      <w:r>
        <w:t>號公告就主管機構和</w:t>
      </w:r>
      <w:r>
        <w:t xml:space="preserve"> </w:t>
      </w:r>
      <w:r>
        <w:rPr>
          <w:rFonts w:ascii="Arial" w:eastAsia="Arial" w:hAnsi="Arial" w:cs="Arial"/>
        </w:rPr>
        <w:t xml:space="preserve">UCITS </w:t>
      </w:r>
      <w:r>
        <w:t>管理公司移調歐洲證券和市場管理局（</w:t>
      </w:r>
      <w:r>
        <w:rPr>
          <w:rFonts w:ascii="Arial" w:eastAsia="Arial" w:hAnsi="Arial" w:cs="Arial"/>
        </w:rPr>
        <w:t>ESMA</w:t>
      </w:r>
      <w:r>
        <w:t>）</w:t>
      </w:r>
      <w:r>
        <w:rPr>
          <w:rFonts w:ascii="Arial" w:eastAsia="Arial" w:hAnsi="Arial" w:cs="Arial"/>
        </w:rPr>
        <w:t xml:space="preserve">/2014/937 </w:t>
      </w:r>
      <w:r>
        <w:t>指引</w:t>
      </w:r>
      <w:r>
        <w:rPr>
          <w:rFonts w:ascii="Arial" w:eastAsia="Arial" w:hAnsi="Arial" w:cs="Arial"/>
        </w:rPr>
        <w:t>—</w:t>
      </w:r>
      <w:r>
        <w:t>交易所交易基金及其他</w:t>
      </w:r>
      <w:r>
        <w:t xml:space="preserve"> </w:t>
      </w:r>
      <w:r>
        <w:rPr>
          <w:rFonts w:ascii="Arial" w:eastAsia="Arial" w:hAnsi="Arial" w:cs="Arial"/>
        </w:rPr>
        <w:t xml:space="preserve">UCITS </w:t>
      </w:r>
      <w:r>
        <w:t>事宜指引（「歐洲證券和市場管理局指引」）所載者，基金可運用與可轉讓證券及貨幣市場工具有關的技術及工具，如借出證券及回購協議交易，惟有關技術及工具乃用於有效基金管理目的。有關本傘子基金運用的有效的基金管理</w:t>
      </w:r>
      <w:r>
        <w:t>技術詳情，請參閱「附錄</w:t>
      </w:r>
      <w:r>
        <w:t xml:space="preserve"> </w:t>
      </w:r>
      <w:r>
        <w:rPr>
          <w:rFonts w:ascii="Arial" w:eastAsia="Arial" w:hAnsi="Arial" w:cs="Arial"/>
        </w:rPr>
        <w:t>C</w:t>
      </w:r>
      <w:r>
        <w:t>：有關金融衍生工具、金融技術及工具以及抵押品管理的額外資料」。</w:t>
      </w:r>
      <w:r>
        <w:rPr>
          <w:rFonts w:ascii="Arial" w:eastAsia="Arial" w:hAnsi="Arial" w:cs="Arial"/>
        </w:rPr>
        <w:t xml:space="preserve"> </w:t>
      </w:r>
    </w:p>
    <w:p w:rsidR="004D6F0E" w:rsidRDefault="00490F21">
      <w:pPr>
        <w:spacing w:after="162"/>
        <w:ind w:left="150" w:right="2"/>
      </w:pPr>
      <w:r>
        <w:t>回購及逆回購協議。當本傘子基金向對手方「購買」證券並同時同意按議定的未來日期及價格將有關證券售回予對手方，逆回購協議便因應而生。在回購交易中，本傘子基金向對手方「出售」證券並同時同意按議定的未來日期及價格向對手方回購有關證券。回購價格為回購協議本金與買家資金投資於該證券的時期內的議定利率之和。此類協議為投資管理人提供額外的靈活性以實現基金的投資目標。</w:t>
      </w:r>
      <w:r>
        <w:rPr>
          <w:rFonts w:ascii="Arial" w:eastAsia="Arial" w:hAnsi="Arial" w:cs="Arial"/>
        </w:rPr>
        <w:t xml:space="preserve"> </w:t>
      </w:r>
    </w:p>
    <w:p w:rsidR="004D6F0E" w:rsidRDefault="00490F21">
      <w:pPr>
        <w:spacing w:after="160"/>
        <w:ind w:left="150" w:right="2"/>
      </w:pPr>
      <w:r>
        <w:t>貨幣交易。貨幣交易可包括期權、遠期、期貨及掉期，並面臨較多風險，</w:t>
      </w:r>
      <w:r>
        <w:t>尤其是貨幣合約市價波動所引致的風險。</w:t>
      </w:r>
      <w:r>
        <w:rPr>
          <w:rFonts w:ascii="Arial" w:eastAsia="Arial" w:hAnsi="Arial" w:cs="Arial"/>
        </w:rPr>
        <w:t xml:space="preserve"> </w:t>
      </w:r>
    </w:p>
    <w:p w:rsidR="004D6F0E" w:rsidRDefault="00490F21">
      <w:pPr>
        <w:spacing w:after="163"/>
        <w:ind w:left="150" w:right="2"/>
      </w:pPr>
      <w:r>
        <w:rPr>
          <w:rFonts w:ascii="Arial" w:eastAsia="Arial" w:hAnsi="Arial" w:cs="Arial"/>
          <w:i/>
        </w:rPr>
        <w:t xml:space="preserve"> </w:t>
      </w:r>
      <w:r>
        <w:rPr>
          <w:sz w:val="20"/>
        </w:rPr>
        <w:t>貨幣期權。</w:t>
      </w:r>
      <w:r>
        <w:t>與其他種類期權一樣，沽出貨幣期權僅構成金額不超過已收取的期權金的部分對沖，而相關基金則或須以不利匯率買賣相關貨幣，因此招致虧損。購買貨幣期權可能對匯率波動構成有效對沖，惟倘匯率走勢與基金的持倉相反，則可能喪失全部期權金及附加的相關交易成本。</w:t>
      </w:r>
      <w:r>
        <w:rPr>
          <w:rFonts w:ascii="Arial" w:eastAsia="Arial" w:hAnsi="Arial" w:cs="Arial"/>
        </w:rPr>
        <w:t xml:space="preserve"> </w:t>
      </w:r>
    </w:p>
    <w:p w:rsidR="004D6F0E" w:rsidRDefault="00490F21">
      <w:pPr>
        <w:spacing w:after="163"/>
        <w:ind w:left="150" w:right="2"/>
      </w:pPr>
      <w:r>
        <w:rPr>
          <w:rFonts w:ascii="Arial" w:eastAsia="Arial" w:hAnsi="Arial" w:cs="Arial"/>
          <w:i/>
        </w:rPr>
        <w:t xml:space="preserve"> </w:t>
      </w:r>
      <w:r>
        <w:rPr>
          <w:sz w:val="20"/>
        </w:rPr>
        <w:t>遠期外匯交易合約。</w:t>
      </w:r>
      <w:r>
        <w:t>基金可認購或沽售遠期外匯交易合約﹐</w:t>
      </w:r>
      <w:r>
        <w:t xml:space="preserve"> </w:t>
      </w:r>
      <w:r>
        <w:t>以减少或獲取該基金貨幣、相關投資貨幣及／或其他貨幣的風險。遠期外匯交易合約乃按議定價格於未來日期買賣特定貨幣的責任，這種合約是由單獨磋商達成的，且能於私底下交易</w:t>
      </w:r>
      <w:r>
        <w:t>。</w:t>
      </w:r>
      <w:r>
        <w:rPr>
          <w:rFonts w:ascii="Arial" w:eastAsia="Arial" w:hAnsi="Arial" w:cs="Arial"/>
        </w:rPr>
        <w:t xml:space="preserve"> </w:t>
      </w:r>
    </w:p>
    <w:p w:rsidR="004D6F0E" w:rsidRDefault="00490F21">
      <w:pPr>
        <w:ind w:left="150" w:right="2"/>
      </w:pPr>
      <w:r>
        <w:t>基金可訂立遠期外匯交易合約，例如，基金可於訂立以外幣計價的證券買賣合約時訂約，以「鎖定」基金貨幣的證券價位</w:t>
      </w:r>
      <w:r>
        <w:rPr>
          <w:rFonts w:ascii="Arial" w:eastAsia="Arial" w:hAnsi="Arial" w:cs="Arial"/>
        </w:rPr>
        <w:t xml:space="preserve"> </w:t>
      </w:r>
    </w:p>
    <w:p w:rsidR="004D6F0E" w:rsidRDefault="00490F21">
      <w:pPr>
        <w:spacing w:after="160"/>
        <w:ind w:left="150" w:right="2"/>
      </w:pPr>
      <w:r>
        <w:t>（「交易對沖」）。基金可能從事特定國家貨幣對沖交易，數額相當於基金該類貨幣交易的總額，但是，如果因基金未實現收益或虧損進行融通，或因購股贖股引起相關基金證券買賣作出調整，也可能低於或高於該數額。不要求調整為交易對沖的目的建立的未平倉現金部位，惟此等交易對沖額與以該貨幣計價或報價的市場總值之間不定期發生的差額不得超過基金淨資產的</w:t>
      </w:r>
      <w:r>
        <w:t xml:space="preserve"> </w:t>
      </w:r>
      <w:r>
        <w:rPr>
          <w:rFonts w:ascii="Arial" w:eastAsia="Arial" w:hAnsi="Arial" w:cs="Arial"/>
        </w:rPr>
        <w:t>0.50%</w:t>
      </w:r>
      <w:r>
        <w:t>。倘基金認為其投資的計價貨幣兌基金貨幣可能大幅下跌，基金</w:t>
      </w:r>
      <w:r>
        <w:t>可訂立遠期出售合約，以出售這貨幣，將相約於其部分或所有用同外幣計價的投資的總額，或倘基金認為基金的計價。貨幣兌另一種貨幣可能大幅下跌，可訂立遠期購入合約，以一筆定額基金貨幣買入該種貨幣（「持倉對沖」）。基金通常可能做特定貨幣對沖交易，數額相當於基金以該貨幣計價或報價的證券的總市值（出售時的市值），但是，如果因基金未實現收益或虧損進行融通，或因購股贖股引起相關基金證券買賣而作出調整，也可能低於或高於該數額。不要求調整為持倉對沖的目的建立的未平倉現金部位，惟此等持倉對沖額與以該貨幣計價或報價的市場總值之間不定期</w:t>
      </w:r>
      <w:r>
        <w:t>發生的差額不得超過基金淨資產的</w:t>
      </w:r>
      <w:r>
        <w:t xml:space="preserve"> </w:t>
      </w:r>
      <w:r>
        <w:rPr>
          <w:rFonts w:ascii="Arial" w:eastAsia="Arial" w:hAnsi="Arial" w:cs="Arial"/>
        </w:rPr>
        <w:t>0.50%</w:t>
      </w:r>
      <w:r>
        <w:t>。若基金認為每當基金證券計價貨幣的價值下跌時，按遠期合約出售的貨幣的價值也會隨時下跌（兩者皆以基金貨幣計價）基金可訂立遠期合約，以定額（也是以基金貨幣計價）出售另一種外幣（「交叉對沖」）。若基金沒有訂立此等遠期外匯交易合約﹐則貨幣價格的非預期變動可能會令其整體表現相對較差。為某貨幣的貶值作對沖並不能完全消除基金證券價格的波動﹐或於該等證券價格下跌時防止損失。倘對沖貨幣升值，此等交易亦會影響盈利。再者，基金或不能對沖減值，如果這減值是市場普遍預期幾乎一定會出現的，以致</w:t>
      </w:r>
      <w:r>
        <w:t>基金將無法按高於預期貶值水平的價格訂約出售貨幣。</w:t>
      </w:r>
      <w:r>
        <w:rPr>
          <w:rFonts w:ascii="Arial" w:eastAsia="Arial" w:hAnsi="Arial" w:cs="Arial"/>
        </w:rPr>
        <w:t xml:space="preserve"> </w:t>
      </w:r>
    </w:p>
    <w:p w:rsidR="004D6F0E" w:rsidRDefault="00490F21">
      <w:pPr>
        <w:spacing w:after="160"/>
        <w:ind w:left="11" w:right="2"/>
      </w:pPr>
      <w:r>
        <w:t>掉期、上限、下限。基金可訂立掉期（包括利率掉期）、可買賣利率上限、可買賣下限及買賣前述所有交易的期權。基金預期訂立該等交易以保持特定投資或基金部分的回報或分散某一投資或某一部分基金或用於其他對沖目的。基金亦可訂立該等交易，以保障基金於較後日期預期購買的證券價格上升或管理基金的存續期。利率掉期均涉及基金與另一方交換彼等各自支付或收取利息的承諾（</w:t>
      </w:r>
      <w:r>
        <w:rPr>
          <w:sz w:val="20"/>
        </w:rPr>
        <w:t>如</w:t>
      </w:r>
      <w:r>
        <w:t>浮息付款與定息付款的交換）。購買利率上限使基金可在指定指數超過預定利率時，有權向出售利率上限的一方收取按合約規定的</w:t>
      </w:r>
      <w:r>
        <w:t>名義金額的利息付款。購買利率下限使基金可在指定指數低於預定利率時，有權向出售利率下限的一方收取按合約規定的名義金額的利息付款。如出售利率上限，則基金需在指定指數升逾預定利率時，向購買上限的一方按合約規定的名義金額支付利息，以交換基金收取的溢價。如出售利率下限，則基金須在指定指數跌穿預定利率時，向購買下限的一方按合約規定的名義金額支付利息。</w:t>
      </w:r>
      <w:r>
        <w:rPr>
          <w:rFonts w:ascii="Arial" w:eastAsia="Arial" w:hAnsi="Arial" w:cs="Arial"/>
        </w:rPr>
        <w:t xml:space="preserve"> </w:t>
      </w:r>
    </w:p>
    <w:p w:rsidR="004D6F0E" w:rsidRDefault="00490F21">
      <w:pPr>
        <w:spacing w:after="163"/>
        <w:ind w:left="11" w:right="2"/>
      </w:pPr>
      <w:r>
        <w:t>基金可按資產或負債基準（取決於基金是對沖其資產還是負債）訂立掉期、上限及下限，且通常按淨值基準（即兩項付款互相抵銷，基金會視情況僅收取或支付兩項付款的淨額）訂立掉期。就</w:t>
      </w:r>
      <w:r>
        <w:t>每宗掉期而言，有關基金責任超過其權益的淨差額（如有）將按日累計。倘基金按淨值基準以外的方式訂立掉期，則就該宗掉期而言，基金將對其按日累計的全數責任設立獨立帳目。投資管理人將持續監察其掉期、上限及下限交易的對手方的借貸能力。</w:t>
      </w:r>
      <w:r>
        <w:rPr>
          <w:rFonts w:ascii="Arial" w:eastAsia="Arial" w:hAnsi="Arial" w:cs="Arial"/>
        </w:rPr>
        <w:t xml:space="preserve"> </w:t>
      </w:r>
    </w:p>
    <w:p w:rsidR="004D6F0E" w:rsidRDefault="00490F21">
      <w:pPr>
        <w:spacing w:after="160"/>
        <w:ind w:left="11" w:right="2"/>
      </w:pPr>
      <w:r>
        <w:t>掉期（包括上限及下限）的使用涉及有別於一般基金證券交易的投資技巧及風險。倘投資管理人不能正確預測市值、利率及其他有關因素，則基金的投資表現將遜於如不運用該等投資技巧而原應有的表現。此外，即使投資管理人預測正確，仍存在掉期可能與所對沖的資產或負債的價格並不完全相關的風險。</w:t>
      </w:r>
      <w:r>
        <w:rPr>
          <w:rFonts w:ascii="Arial" w:eastAsia="Arial" w:hAnsi="Arial" w:cs="Arial"/>
        </w:rPr>
        <w:t xml:space="preserve"> </w:t>
      </w:r>
    </w:p>
    <w:p w:rsidR="004D6F0E" w:rsidRDefault="00490F21">
      <w:pPr>
        <w:spacing w:after="162"/>
        <w:ind w:left="11" w:right="2"/>
      </w:pPr>
      <w:r>
        <w:rPr>
          <w:rFonts w:ascii="Arial" w:eastAsia="Arial" w:hAnsi="Arial" w:cs="Arial"/>
          <w:i/>
        </w:rPr>
        <w:t xml:space="preserve"> </w:t>
      </w:r>
      <w:r>
        <w:rPr>
          <w:sz w:val="20"/>
        </w:rPr>
        <w:t>貨幣掉期。</w:t>
      </w:r>
      <w:r>
        <w:t>所有貨幣掉期均涉及基金與另一方單獨磋商交換特定貨幣的一系列付款。當中，一宗貨幣掉期亦可能涉及於兌換期完結時大量地以一種指定貨幣兌換另一種指定貨幣。因此，貨幣掉期的所有本金須承受掉期對手不履行合約交付責任的風險。就每宗貨幣掉期而言，基金責任超過其權益的淨差額（如有）將按日累計。倘一宗交易的另一方違約，基金將根據與交易有關的協議獲得合約補償。</w:t>
      </w:r>
      <w:r>
        <w:rPr>
          <w:rFonts w:ascii="Arial" w:eastAsia="Arial" w:hAnsi="Arial" w:cs="Arial"/>
        </w:rPr>
        <w:t xml:space="preserve"> </w:t>
      </w:r>
    </w:p>
    <w:p w:rsidR="004D6F0E" w:rsidRDefault="00490F21">
      <w:pPr>
        <w:spacing w:after="166" w:line="273" w:lineRule="auto"/>
        <w:ind w:left="150" w:right="41"/>
        <w:jc w:val="both"/>
      </w:pPr>
      <w:r>
        <w:rPr>
          <w:rFonts w:ascii="Arial" w:eastAsia="Arial" w:hAnsi="Arial" w:cs="Arial"/>
          <w:i/>
        </w:rPr>
        <w:t xml:space="preserve"> </w:t>
      </w:r>
      <w:r>
        <w:rPr>
          <w:sz w:val="20"/>
        </w:rPr>
        <w:t>信用違約掉期。</w:t>
      </w:r>
      <w:r>
        <w:t>基金可訂立信用違約掉期合約（或稱為</w:t>
      </w:r>
      <w:r>
        <w:t xml:space="preserve"> </w:t>
      </w:r>
      <w:r>
        <w:rPr>
          <w:rFonts w:ascii="Arial" w:eastAsia="Arial" w:hAnsi="Arial" w:cs="Arial"/>
        </w:rPr>
        <w:t>CDS</w:t>
      </w:r>
      <w:r>
        <w:t>），但立約對手方須經審慎監督，並在涉及上述任何以對沖為目的合格投資和投機交易時，須屬於經盧森堡金融業監管委員會</w:t>
      </w:r>
      <w:r>
        <w:rPr>
          <w:rFonts w:ascii="Arial" w:eastAsia="Arial" w:hAnsi="Arial" w:cs="Arial"/>
        </w:rPr>
        <w:t>(CSSF)</w:t>
      </w:r>
      <w:r>
        <w:t>核准的類別。用於對沖目的時，基金將是</w:t>
      </w:r>
      <w:r>
        <w:t xml:space="preserve"> </w:t>
      </w:r>
      <w:r>
        <w:rPr>
          <w:rFonts w:ascii="Arial" w:eastAsia="Arial" w:hAnsi="Arial" w:cs="Arial"/>
        </w:rPr>
        <w:t xml:space="preserve">CDS </w:t>
      </w:r>
      <w:r>
        <w:t>合約的買方。在此情況下，基金將在</w:t>
      </w:r>
      <w:r>
        <w:t xml:space="preserve"> </w:t>
      </w:r>
      <w:r>
        <w:rPr>
          <w:rFonts w:ascii="Arial" w:eastAsia="Arial" w:hAnsi="Arial" w:cs="Arial"/>
        </w:rPr>
        <w:t xml:space="preserve">CDS </w:t>
      </w:r>
      <w:r>
        <w:t>合約有效時期持續向對手方定期付款，換取特定債務證券發行人出現「信用事件」時以債券或債券現金結算的換取面值（或其他商定價值）的權利。如果並未發生信用事件，則基金將全部付清</w:t>
      </w:r>
      <w:r>
        <w:t xml:space="preserve"> </w:t>
      </w:r>
      <w:r>
        <w:rPr>
          <w:rFonts w:ascii="Arial" w:eastAsia="Arial" w:hAnsi="Arial" w:cs="Arial"/>
        </w:rPr>
        <w:t xml:space="preserve">CDS </w:t>
      </w:r>
      <w:r>
        <w:t>價值，而不會收到任何好處。相反，如果基金是</w:t>
      </w:r>
      <w:r>
        <w:t xml:space="preserve"> </w:t>
      </w:r>
      <w:r>
        <w:rPr>
          <w:rFonts w:ascii="Arial" w:eastAsia="Arial" w:hAnsi="Arial" w:cs="Arial"/>
        </w:rPr>
        <w:t xml:space="preserve">CDS </w:t>
      </w:r>
      <w:r>
        <w:t>的賣方，基金將收到持續付款，並有義務向對手方支付相關債務證券的面值（或其他商定的價值），以此換取發行人出現「信用事件」時獲得該項債務證券或以現金結算代替債券的權利。基金作為賣方將承受發行人信用風險，因為基金將指望發行人提前整筆償債。基金可投資於單項證券、指數、某類風險級別的證券、一籃子證券或定製</w:t>
      </w:r>
      <w:r>
        <w:t xml:space="preserve"> </w:t>
      </w:r>
      <w:r>
        <w:rPr>
          <w:rFonts w:ascii="Arial" w:eastAsia="Arial" w:hAnsi="Arial" w:cs="Arial"/>
        </w:rPr>
        <w:t xml:space="preserve">CDS </w:t>
      </w:r>
      <w:r>
        <w:t>交易。</w:t>
      </w:r>
      <w:r>
        <w:rPr>
          <w:rFonts w:ascii="Arial" w:eastAsia="Arial" w:hAnsi="Arial" w:cs="Arial"/>
        </w:rPr>
        <w:t xml:space="preserve"> </w:t>
      </w:r>
    </w:p>
    <w:p w:rsidR="004D6F0E" w:rsidRDefault="00490F21">
      <w:pPr>
        <w:spacing w:after="159"/>
        <w:ind w:left="150" w:right="2"/>
      </w:pPr>
      <w:r>
        <w:rPr>
          <w:rFonts w:ascii="Arial" w:eastAsia="Arial" w:hAnsi="Arial" w:cs="Arial"/>
          <w:i/>
        </w:rPr>
        <w:t xml:space="preserve"> </w:t>
      </w:r>
      <w:r>
        <w:rPr>
          <w:sz w:val="20"/>
        </w:rPr>
        <w:t>總回報掉期及其他金融衍生工具特徵類似的工具。</w:t>
      </w:r>
      <w:r>
        <w:t>倘基金訂立總回報掉期或投資於特徵類似的其他金融衍生工具，基金所持有的資產必須符合《二零一零年法律》第</w:t>
      </w:r>
      <w:r>
        <w:t xml:space="preserve"> </w:t>
      </w:r>
      <w:r>
        <w:rPr>
          <w:rFonts w:ascii="Arial" w:eastAsia="Arial" w:hAnsi="Arial" w:cs="Arial"/>
        </w:rPr>
        <w:t>43</w:t>
      </w:r>
      <w:r>
        <w:t>、</w:t>
      </w:r>
      <w:r>
        <w:rPr>
          <w:rFonts w:ascii="Arial" w:eastAsia="Arial" w:hAnsi="Arial" w:cs="Arial"/>
        </w:rPr>
        <w:t>44</w:t>
      </w:r>
      <w:r>
        <w:t>、</w:t>
      </w:r>
      <w:r>
        <w:rPr>
          <w:rFonts w:ascii="Arial" w:eastAsia="Arial" w:hAnsi="Arial" w:cs="Arial"/>
        </w:rPr>
        <w:t>45</w:t>
      </w:r>
      <w:r>
        <w:t>、</w:t>
      </w:r>
      <w:r>
        <w:rPr>
          <w:rFonts w:ascii="Arial" w:eastAsia="Arial" w:hAnsi="Arial" w:cs="Arial"/>
        </w:rPr>
        <w:t xml:space="preserve">46 </w:t>
      </w:r>
      <w:r>
        <w:t>及</w:t>
      </w:r>
      <w:r>
        <w:t xml:space="preserve"> </w:t>
      </w:r>
      <w:r>
        <w:rPr>
          <w:rFonts w:ascii="Arial" w:eastAsia="Arial" w:hAnsi="Arial" w:cs="Arial"/>
        </w:rPr>
        <w:t xml:space="preserve">48 </w:t>
      </w:r>
      <w:r>
        <w:t>條載列的分散投資限制。同時，根據《二零一零年法律》第</w:t>
      </w:r>
      <w:r>
        <w:t xml:space="preserve"> </w:t>
      </w:r>
      <w:r>
        <w:rPr>
          <w:rFonts w:ascii="Arial" w:eastAsia="Arial" w:hAnsi="Arial" w:cs="Arial"/>
        </w:rPr>
        <w:t xml:space="preserve">42(3) </w:t>
      </w:r>
      <w:r>
        <w:t>條及盧森堡金融業監管委員會（</w:t>
      </w:r>
      <w:r>
        <w:rPr>
          <w:rFonts w:ascii="Arial" w:eastAsia="Arial" w:hAnsi="Arial" w:cs="Arial"/>
        </w:rPr>
        <w:t>CSSF</w:t>
      </w:r>
      <w:r>
        <w:t>）</w:t>
      </w:r>
      <w:r>
        <w:rPr>
          <w:rFonts w:ascii="Arial" w:eastAsia="Arial" w:hAnsi="Arial" w:cs="Arial"/>
        </w:rPr>
        <w:t xml:space="preserve">10-4 </w:t>
      </w:r>
      <w:r>
        <w:t>號規例第</w:t>
      </w:r>
      <w:r>
        <w:t xml:space="preserve"> </w:t>
      </w:r>
      <w:r>
        <w:rPr>
          <w:rFonts w:ascii="Arial" w:eastAsia="Arial" w:hAnsi="Arial" w:cs="Arial"/>
        </w:rPr>
        <w:t>48(5)</w:t>
      </w:r>
      <w:r>
        <w:t>條，管理公司必須確保在根據《二零一零年法律》第</w:t>
      </w:r>
      <w:r>
        <w:t xml:space="preserve"> </w:t>
      </w:r>
      <w:r>
        <w:rPr>
          <w:rFonts w:ascii="Arial" w:eastAsia="Arial" w:hAnsi="Arial" w:cs="Arial"/>
        </w:rPr>
        <w:t xml:space="preserve">43 </w:t>
      </w:r>
      <w:r>
        <w:t>條計算基金投資限制時，計及總回報掉期或特徵類似的其他金融衍生工具的相關持倉。</w:t>
      </w:r>
      <w:r>
        <w:rPr>
          <w:rFonts w:ascii="Arial" w:eastAsia="Arial" w:hAnsi="Arial" w:cs="Arial"/>
        </w:rPr>
        <w:t xml:space="preserve"> </w:t>
      </w:r>
    </w:p>
    <w:p w:rsidR="004D6F0E" w:rsidRDefault="00490F21">
      <w:pPr>
        <w:spacing w:after="168"/>
        <w:ind w:left="11" w:right="2"/>
      </w:pPr>
      <w:r>
        <w:t>此外，倘基金訂立總回報掉期或投資於特徵類似的其他金融衍生工具，直接建立或透過認可指數建立的相關持倉必須符合本</w:t>
      </w:r>
      <w:r>
        <w:t>認購章程第</w:t>
      </w:r>
      <w:r>
        <w:t xml:space="preserve"> </w:t>
      </w:r>
      <w:r>
        <w:rPr>
          <w:rFonts w:ascii="Arial" w:eastAsia="Arial" w:hAnsi="Arial" w:cs="Arial"/>
        </w:rPr>
        <w:t xml:space="preserve">I </w:t>
      </w:r>
      <w:r>
        <w:t>部分所載的相關基金投資目標及政策。</w:t>
      </w:r>
      <w:r>
        <w:rPr>
          <w:rFonts w:ascii="Arial" w:eastAsia="Arial" w:hAnsi="Arial" w:cs="Arial"/>
        </w:rPr>
        <w:t xml:space="preserve"> </w:t>
      </w:r>
    </w:p>
    <w:p w:rsidR="004D6F0E" w:rsidRDefault="00490F21">
      <w:pPr>
        <w:spacing w:after="163"/>
        <w:ind w:left="11" w:right="2"/>
      </w:pPr>
      <w:r>
        <w:t>此類交易的對手方必須為專門從事此類交易且具有高評級的金融機構，並須從投資管理人建立的認可對手方名單中遴選。</w:t>
      </w:r>
      <w:r>
        <w:rPr>
          <w:rFonts w:ascii="Arial" w:eastAsia="Arial" w:hAnsi="Arial" w:cs="Arial"/>
        </w:rPr>
        <w:t xml:space="preserve"> </w:t>
      </w:r>
    </w:p>
    <w:p w:rsidR="004D6F0E" w:rsidRDefault="00490F21">
      <w:pPr>
        <w:spacing w:after="2" w:line="273" w:lineRule="auto"/>
        <w:ind w:left="14" w:right="41"/>
        <w:jc w:val="both"/>
      </w:pPr>
      <w:r>
        <w:t>除第</w:t>
      </w:r>
      <w:r>
        <w:t xml:space="preserve"> </w:t>
      </w:r>
      <w:r>
        <w:rPr>
          <w:rFonts w:ascii="Arial" w:eastAsia="Arial" w:hAnsi="Arial" w:cs="Arial"/>
        </w:rPr>
        <w:t xml:space="preserve">I </w:t>
      </w:r>
      <w:r>
        <w:t>部分有關特定基金的相關內容另有規定外，對手方對基金投資或相關資產或金融衍生工具的參考指數之組成或管理概無酌情權。倘就特定基金而言，如對手方對基金投資或相關資產或金融衍生工具的組成或管理擁有任何酌情權，則基金與對手方之間訂立的協議應被視為投資管理委託安排，應遵守</w:t>
      </w:r>
      <w:r>
        <w:t xml:space="preserve"> </w:t>
      </w:r>
      <w:r>
        <w:rPr>
          <w:rFonts w:ascii="Arial" w:eastAsia="Arial" w:hAnsi="Arial" w:cs="Arial"/>
        </w:rPr>
        <w:t xml:space="preserve">UCITS </w:t>
      </w:r>
      <w:r>
        <w:t>有關委託的規定。在此情況下，與相關基金有關的第</w:t>
      </w:r>
      <w:r>
        <w:t xml:space="preserve"> </w:t>
      </w:r>
      <w:r>
        <w:rPr>
          <w:rFonts w:ascii="Arial" w:eastAsia="Arial" w:hAnsi="Arial" w:cs="Arial"/>
        </w:rPr>
        <w:t xml:space="preserve">I </w:t>
      </w:r>
      <w:r>
        <w:t>部分內容將說</w:t>
      </w:r>
      <w:r>
        <w:t>明協議的詳情。訂立總回報掉期或投資於特徵類似的其他金融衍生工具的基金承受對手方違約風險，這可能影響該基金的股東回報。如欲進一步瞭解該風險及適用於此類交易的其他風險，投資者應參閱下文</w:t>
      </w:r>
    </w:p>
    <w:p w:rsidR="004D6F0E" w:rsidRDefault="00490F21">
      <w:pPr>
        <w:spacing w:after="161"/>
        <w:ind w:left="11" w:right="2"/>
      </w:pPr>
      <w:r>
        <w:t>「風險因素」，尤其是當中「衍生工具風險」的說明。</w:t>
      </w:r>
      <w:r>
        <w:rPr>
          <w:rFonts w:ascii="Arial" w:eastAsia="Arial" w:hAnsi="Arial" w:cs="Arial"/>
        </w:rPr>
        <w:t xml:space="preserve"> </w:t>
      </w:r>
    </w:p>
    <w:p w:rsidR="004D6F0E" w:rsidRDefault="00490F21">
      <w:pPr>
        <w:spacing w:after="162"/>
        <w:ind w:left="11" w:right="2"/>
      </w:pPr>
      <w:r>
        <w:t>合成股本證券。基金可投資於合成股本證券，一般指「本地存取產品」或「參與票據」或「低行使價認股權證」。該等工具通常由銀行或其他金融機構發行，或可在交易所買賣。該等工具屬衍生證券，根據《二零一零年法律》第</w:t>
      </w:r>
      <w:r>
        <w:t xml:space="preserve"> </w:t>
      </w:r>
      <w:r>
        <w:rPr>
          <w:rFonts w:ascii="Arial" w:eastAsia="Arial" w:hAnsi="Arial" w:cs="Arial"/>
        </w:rPr>
        <w:t>41(1)</w:t>
      </w:r>
      <w:r>
        <w:t>條，持有人有權按某個特定價格向發行人購買或出售相關證券或代表某個指</w:t>
      </w:r>
      <w:r>
        <w:t>數的一籃子證券，或授予持有人權利就相關證券或指數的價值收取現金付款。該等工具與期權類似，可由相關證券或該證券價值的持有人行使，但通常可行使的期限較一般的期權為長。該等工具通常有一個在發行時釐定的行使價。</w:t>
      </w:r>
      <w:r>
        <w:rPr>
          <w:rFonts w:ascii="Arial" w:eastAsia="Arial" w:hAnsi="Arial" w:cs="Arial"/>
        </w:rPr>
        <w:t xml:space="preserve"> </w:t>
      </w:r>
    </w:p>
    <w:p w:rsidR="004D6F0E" w:rsidRDefault="00490F21">
      <w:pPr>
        <w:spacing w:after="160"/>
        <w:ind w:left="11" w:right="2"/>
      </w:pPr>
      <w:r>
        <w:t>該等工具授權持有人向發行人購買公司的普通股或收取現金付款。現金付款乃按預定的公式計算。該等工具在發行時的行使價相對相關工具的市價而言通常較低（</w:t>
      </w:r>
      <w:r>
        <w:rPr>
          <w:sz w:val="20"/>
        </w:rPr>
        <w:t>比如，</w:t>
      </w:r>
      <w:r>
        <w:t>一美仙）。開始時，低行使價認股權證的購買人實際支付相關普通股的全值。在行使認股權證的情況下，認股權證持有人發出行使指令的時間與決定相關普通股於行使或結算日期的</w:t>
      </w:r>
      <w:r>
        <w:t>價格的時間之間會有時間延誤，在此期間，相關證券的價格可能會出現重大變化。此外，認股權證的行使或結算日期可受若干市場干擾事件（如當地司法權區實施資本控制或有關外國投資者的法律出現更改）影響。該等事件可導致行使日期或認股權證的結算貨幣發生變化，或結算日期推遲。在某些情形下，若市場干擾事件持續一段時間﹐認股權證可能變得毫無價值﹐從而導致認股權證的購買價全額損失。</w:t>
      </w:r>
      <w:r>
        <w:rPr>
          <w:rFonts w:ascii="Arial" w:eastAsia="Arial" w:hAnsi="Arial" w:cs="Arial"/>
        </w:rPr>
        <w:t xml:space="preserve"> </w:t>
      </w:r>
    </w:p>
    <w:p w:rsidR="004D6F0E" w:rsidRDefault="00490F21">
      <w:pPr>
        <w:spacing w:after="163"/>
        <w:ind w:left="11" w:right="2"/>
      </w:pPr>
      <w:r>
        <w:t>基金將購買投資管理人視為信用可靠的實體所發行的有關工具，該投資管理人將會持續監察發行人的信用狀況。投資該等工具涉及該工具的發行人在交付相關證券或以現金</w:t>
      </w:r>
      <w:r>
        <w:t>代替時可能出現違責風險。該等工具也可能受流動性風險的影響﹐原因為會買賣認股權證的二手市場可能有限。</w:t>
      </w:r>
      <w:r>
        <w:rPr>
          <w:rFonts w:ascii="Arial" w:eastAsia="Arial" w:hAnsi="Arial" w:cs="Arial"/>
        </w:rPr>
        <w:t xml:space="preserve"> </w:t>
      </w:r>
    </w:p>
    <w:p w:rsidR="004D6F0E" w:rsidRDefault="00490F21">
      <w:pPr>
        <w:ind w:left="11" w:right="2"/>
      </w:pPr>
      <w:r>
        <w:t>基金也可投資於若干發行人的長期期權或與彼等有關的期權。長期期權為發行人（通常為金融機構）設立的認購期權，其持有人有權向發行人購買另一發行人的已發行證券。長期期權的最初期限為一年或以上，但其期限通常為三至五年。長期期權並非透過保證對手方履約的結算公司進行結算。相反﹐長期期權於交易所買賣﹐並須遵守該交易所的交易規則。</w:t>
      </w:r>
      <w:r>
        <w:rPr>
          <w:rFonts w:ascii="Arial" w:eastAsia="Arial" w:hAnsi="Arial" w:cs="Arial"/>
        </w:rPr>
        <w:t xml:space="preserve"> </w:t>
      </w:r>
    </w:p>
    <w:p w:rsidR="004D6F0E" w:rsidRDefault="004D6F0E">
      <w:pPr>
        <w:sectPr w:rsidR="004D6F0E">
          <w:headerReference w:type="even" r:id="rId297"/>
          <w:headerReference w:type="default" r:id="rId298"/>
          <w:footerReference w:type="even" r:id="rId299"/>
          <w:footerReference w:type="default" r:id="rId300"/>
          <w:headerReference w:type="first" r:id="rId301"/>
          <w:footerReference w:type="first" r:id="rId302"/>
          <w:pgSz w:w="12240" w:h="15840"/>
          <w:pgMar w:top="947" w:right="475" w:bottom="1459" w:left="425" w:header="566" w:footer="577" w:gutter="0"/>
          <w:cols w:num="2" w:space="339"/>
        </w:sectPr>
      </w:pPr>
    </w:p>
    <w:p w:rsidR="004D6F0E" w:rsidRDefault="00490F21">
      <w:pPr>
        <w:pStyle w:val="Heading4"/>
        <w:ind w:left="14"/>
      </w:pPr>
      <w:r>
        <w:t>風險因素</w:t>
      </w:r>
      <w:r>
        <w:rPr>
          <w:rFonts w:ascii="Arial" w:eastAsia="Arial" w:hAnsi="Arial" w:cs="Arial"/>
        </w:rPr>
        <w:t xml:space="preserve"> </w:t>
      </w:r>
    </w:p>
    <w:p w:rsidR="004D6F0E" w:rsidRDefault="00490F21">
      <w:pPr>
        <w:spacing w:after="63"/>
        <w:ind w:left="11" w:right="2"/>
      </w:pPr>
      <w:r>
        <w:t>一般風險</w:t>
      </w:r>
      <w:r>
        <w:rPr>
          <w:rFonts w:ascii="Arial" w:eastAsia="Arial" w:hAnsi="Arial" w:cs="Arial"/>
        </w:rPr>
        <w:t xml:space="preserve"> </w:t>
      </w:r>
    </w:p>
    <w:p w:rsidR="004D6F0E" w:rsidRDefault="00490F21">
      <w:pPr>
        <w:spacing w:after="163"/>
        <w:ind w:left="11" w:right="2"/>
      </w:pPr>
      <w:r>
        <w:t>各基金均涉及附帶若干風險的證券投資業務。以下為本傘子基金的所有基金均會面臨的一般風險因素。</w:t>
      </w:r>
      <w:r>
        <w:rPr>
          <w:rFonts w:ascii="Arial" w:eastAsia="Arial" w:hAnsi="Arial" w:cs="Arial"/>
        </w:rPr>
        <w:t xml:space="preserve"> </w:t>
      </w:r>
    </w:p>
    <w:p w:rsidR="004D6F0E" w:rsidRDefault="00490F21">
      <w:pPr>
        <w:spacing w:after="160"/>
        <w:ind w:left="11" w:right="2"/>
      </w:pPr>
      <w:r>
        <w:t>國家風險</w:t>
      </w:r>
      <w:r>
        <w:rPr>
          <w:rFonts w:ascii="Arial" w:eastAsia="Arial" w:hAnsi="Arial" w:cs="Arial"/>
          <w:b/>
        </w:rPr>
        <w:t>—</w:t>
      </w:r>
      <w:r>
        <w:t>一般。基金可投資不同國家及地區發行人的證券。各國經濟在許多領域可能存在對基金有利或不利的差別，包括國內生產</w:t>
      </w:r>
      <w:r>
        <w:t>總值或國民生產總值增長率、通貨膨脹率、資本再投資、資源自給及收支平衡。通常，發行人受到不同程度的監管，如內幕買賣規定、市場操縱限制、股東代理人要求及及時披露資料。各國發行人的報告、會計及核數標準在若干重要方面可能存在差別，有時差別會很大。因此，證券或其他資產投資者在若干國家能夠獲得的資料可能少於在其他國家所獲得者。</w:t>
      </w:r>
      <w:r>
        <w:rPr>
          <w:rFonts w:ascii="Arial" w:eastAsia="Arial" w:hAnsi="Arial" w:cs="Arial"/>
        </w:rPr>
        <w:t xml:space="preserve"> </w:t>
      </w:r>
    </w:p>
    <w:p w:rsidR="004D6F0E" w:rsidRDefault="00490F21">
      <w:pPr>
        <w:ind w:left="11" w:right="2"/>
      </w:pPr>
      <w:r>
        <w:t>收歸國有、徵用或沒收性質稅項、貨幣凍結、政治變動、政府規例、政治或社會不穩定或外交事件均可能對一國的經濟或基金在該國的投資產生不利影響。倘發生徵用、收歸國有或其他沒收行爲，基金可能失去在該國的全部投資。此外，若干國家規管企業組織、公司破產及無力償付的法律也許只能對證券持有人</w:t>
      </w:r>
    </w:p>
    <w:p w:rsidR="004D6F0E" w:rsidRDefault="00490F21">
      <w:pPr>
        <w:spacing w:after="164"/>
        <w:ind w:left="11" w:right="2"/>
      </w:pPr>
      <w:r>
        <w:t>（如基金）提供有限的保障。</w:t>
      </w:r>
      <w:r>
        <w:rPr>
          <w:rFonts w:ascii="Arial" w:eastAsia="Arial" w:hAnsi="Arial" w:cs="Arial"/>
        </w:rPr>
        <w:t xml:space="preserve"> </w:t>
      </w:r>
    </w:p>
    <w:p w:rsidR="004D6F0E" w:rsidRDefault="00490F21">
      <w:pPr>
        <w:spacing w:after="160"/>
        <w:ind w:left="11" w:right="2"/>
      </w:pPr>
      <w:r>
        <w:t>主要投資單一國家發行人的證券的基金所承受該國市場、政治及經濟風險，程度高於投資於多個國家或地區所承受的該國相應風險。投資多個國家發行人的證券基金不必承受集中於某一個國家的風險，但將承受多個國家的風險。</w:t>
      </w:r>
      <w:r>
        <w:rPr>
          <w:rFonts w:ascii="Arial" w:eastAsia="Arial" w:hAnsi="Arial" w:cs="Arial"/>
        </w:rPr>
        <w:t xml:space="preserve"> </w:t>
      </w:r>
    </w:p>
    <w:p w:rsidR="004D6F0E" w:rsidRDefault="00490F21">
      <w:pPr>
        <w:spacing w:after="163"/>
        <w:ind w:left="11" w:right="2"/>
      </w:pPr>
      <w:r>
        <w:t>基</w:t>
      </w:r>
      <w:r>
        <w:t>金可能於多個市場與眾多不同經紀商及交易商買賣證券。經紀或交易商倘破產，有時可能導致基金託存於此經紀或交易商的資產全部損失，視乎規限該等經紀或交易商的監管規則情況。此外，與其他國家相比，若干國家的經紀佣金可能較高，而若干國家的證券市場流動性較小、波幅較大、被政府監管範圍也較其他國家小。</w:t>
      </w:r>
      <w:r>
        <w:rPr>
          <w:rFonts w:ascii="Arial" w:eastAsia="Arial" w:hAnsi="Arial" w:cs="Arial"/>
        </w:rPr>
        <w:t xml:space="preserve"> </w:t>
      </w:r>
    </w:p>
    <w:p w:rsidR="004D6F0E" w:rsidRDefault="00490F21">
      <w:pPr>
        <w:spacing w:after="160"/>
        <w:ind w:left="11" w:right="2"/>
      </w:pPr>
      <w:r>
        <w:t>許多國家的證券市場亦相對較小，市值及交投量大部分集中於代表少部分產業、且數量有限的公司中。因此，投資該等國家公司股票的基金的價格波動，可能會高於單單投資於證券市場相對較大的國家的公司股票的基金，且流動性亦顯著較低。普遍影響市</w:t>
      </w:r>
      <w:r>
        <w:t>場的不利事件及大型投資者大手買賣證券，對該等小型市場造成的影響可能會較大。在若干情況下，證券交收可能會受到延誤及相關管理的不明朗情況影響。</w:t>
      </w:r>
      <w:r>
        <w:rPr>
          <w:rFonts w:ascii="Arial" w:eastAsia="Arial" w:hAnsi="Arial" w:cs="Arial"/>
        </w:rPr>
        <w:t xml:space="preserve"> </w:t>
      </w:r>
    </w:p>
    <w:p w:rsidR="004D6F0E" w:rsidRDefault="00490F21">
      <w:pPr>
        <w:ind w:left="11" w:right="2"/>
      </w:pPr>
      <w:r>
        <w:t>在若干國家外國人士需要經政府批准後才可作出投資，而他們的投資僅限於發行人已發行證券的特定比例或雖屬同一公司但其投資條款</w:t>
      </w:r>
      <w:r>
        <w:rPr>
          <w:rFonts w:ascii="Arial" w:eastAsia="Arial" w:hAnsi="Arial" w:cs="Arial"/>
        </w:rPr>
        <w:t>(</w:t>
      </w:r>
      <w:r>
        <w:t>包括價格</w:t>
      </w:r>
      <w:r>
        <w:rPr>
          <w:rFonts w:ascii="Arial" w:eastAsia="Arial" w:hAnsi="Arial" w:cs="Arial"/>
        </w:rPr>
        <w:t>)</w:t>
      </w:r>
      <w:r>
        <w:t>可能遜於本國人士可購買的特定類別證券。該等限制或控制可能會限制或妨礙外國人士於若干證券的投資，及可能提高其基金的成本及費用。此外，於若干國家獲得的投資收益、資本或出售證券所得款項匯回本國亦受監管規定控制，包括可能需要事前通知政府或獲政府授權</w:t>
      </w:r>
      <w:r>
        <w:t>。倘一個國家的收支平衡狀況惡化，該國可能會對外匯施加暫時性質的限制。此外，給予匯款回國所需批文的阻延或拒發，及其他投資限制亦會對基金造成不利影響。投資當地市場可能需要基金採用特別程序，當中可能涉及額外成本。該等因素可能會影響基金於任何國家的投資的流動性，投資管理人將監督任何上述因素對基金投資所造成的影響。網絡保安風險。作為本傘子基金業務的一部分，管理公司及投資管理人處理、儲存及傳送大量電子資料，包括有關本傘子基金交易的資料及股東的可辨識個人資料。同樣地，本傘子基金的服務供應商可能處理、儲存及傳送有關資料。管</w:t>
      </w:r>
      <w:r>
        <w:t>理公司及投資管理人設有其相信為設計合理的程序及系統，以保護有關資料及防止數據流失及保安漏洞。然而，該等措施無法保證絕對安全。用作取得未經授權數據存取、關閉或減低服務或破壞系統的技術經常改變及可能在長時間內都難以偵測。從第三方取得的硬件或軟件可能在設計或製造方面存在缺陷或其他問題而意外地危害資訊保安。由第三方向管理公司及投資管理人提供的網絡接駁服務可能易受破壞，引致管理公司或投資管理人的網絡受到入侵。系統、設施或網上服務可能因僱員失誤或不當行為、政府監視或其他保安威脅而易受破壞。入侵管理公司或投資管理人的資訊</w:t>
      </w:r>
      <w:r>
        <w:t>系統可能引致有關本傘子基金交易的資料及股東的可辨識個人資料流失或遭不正當方式存取、使用或披露。</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160"/>
        <w:ind w:left="11" w:right="2"/>
      </w:pPr>
      <w:r>
        <w:t>管理公司、投資管理人及本傘子基金的服務供應商受到類似的電子資訊保安威脅。如服務供應商未能採取或依循足夠的數據保安政策，或如其網絡受到入侵，有關本傘子基金交易的資料及股東的可辨識個人資料可能流失或遭不正當方式存取、使用或披露。</w:t>
      </w:r>
      <w:r>
        <w:rPr>
          <w:rFonts w:ascii="Arial" w:eastAsia="Arial" w:hAnsi="Arial" w:cs="Arial"/>
        </w:rPr>
        <w:t xml:space="preserve"> </w:t>
      </w:r>
    </w:p>
    <w:p w:rsidR="004D6F0E" w:rsidRDefault="00490F21">
      <w:pPr>
        <w:spacing w:after="162"/>
        <w:ind w:left="11" w:right="2"/>
      </w:pPr>
      <w:r>
        <w:t>本傘子基金獨有資料的流失或遭不正當方式存取、使用或披露可能引致本傘子基金蒙受（其中包括）財務損失、業務中斷、對第三方承擔責任、監管干預或名譽損失。任何前述事件均可能對本傘子基金及股東於其中的投資有重大不利影響。</w:t>
      </w:r>
      <w:r>
        <w:rPr>
          <w:rFonts w:ascii="Arial" w:eastAsia="Arial" w:hAnsi="Arial" w:cs="Arial"/>
        </w:rPr>
        <w:t xml:space="preserve"> </w:t>
      </w:r>
    </w:p>
    <w:p w:rsidR="004D6F0E" w:rsidRDefault="00490F21">
      <w:pPr>
        <w:ind w:left="11" w:right="2"/>
      </w:pPr>
      <w:r>
        <w:t>流動性風險。基金的證券或持倉可能變得難以估值、出售或按期望的時間或價格出售，因此可能會影響基金應付贖回要求的能力。</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pStyle w:val="Heading5"/>
        <w:spacing w:after="0"/>
        <w:ind w:left="3"/>
      </w:pPr>
      <w:r>
        <w:t>概覽</w:t>
      </w:r>
      <w:r>
        <w:rPr>
          <w:rFonts w:ascii="Arial" w:eastAsia="Arial" w:hAnsi="Arial" w:cs="Arial"/>
          <w:i/>
          <w:sz w:val="19"/>
        </w:rPr>
        <w:t xml:space="preserve"> </w:t>
      </w:r>
    </w:p>
    <w:p w:rsidR="004D6F0E" w:rsidRDefault="00490F21">
      <w:pPr>
        <w:ind w:left="11" w:right="2"/>
      </w:pPr>
      <w:r>
        <w:t>流動性風險的產生可歸因於多種因素，包括證券類型、出售限制及市況。</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某些證券的流動性欠佳，例如（</w:t>
      </w:r>
      <w:r>
        <w:rPr>
          <w:sz w:val="20"/>
        </w:rPr>
        <w:t>其中包括</w:t>
      </w:r>
      <w:r>
        <w:t>）低於投資級別的債務證券、小市值股票、新興市場發行人</w:t>
      </w:r>
      <w:r>
        <w:t>證券，</w:t>
      </w:r>
      <w:r>
        <w:rPr>
          <w:rFonts w:ascii="Arial" w:eastAsia="Arial" w:hAnsi="Arial" w:cs="Arial"/>
        </w:rPr>
        <w:t xml:space="preserve">144A </w:t>
      </w:r>
      <w:r>
        <w:t>發行證券以及發行量少、交易不頻繁或在規模相對較小或結算時間較長的市場上交易的證券。</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與出售流動性較高的證券相比，難以出售的證券通常需要更多</w:t>
      </w:r>
    </w:p>
    <w:p w:rsidR="004D6F0E" w:rsidRDefault="00490F21">
      <w:pPr>
        <w:ind w:left="11" w:right="2"/>
      </w:pPr>
      <w:r>
        <w:t>時間及更高成本，包括經紀及其他交易費用。</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於極端市況下，流動性風險可能會增加，例如（</w:t>
      </w:r>
      <w:r>
        <w:rPr>
          <w:sz w:val="20"/>
        </w:rPr>
        <w:t>其中包括</w:t>
      </w:r>
      <w:r>
        <w:t>）經濟、市場或政治事件，不利的投資者看法或特定發行人、行業或投</w:t>
      </w:r>
    </w:p>
    <w:p w:rsidR="004D6F0E" w:rsidRDefault="00490F21">
      <w:pPr>
        <w:ind w:left="11" w:right="2"/>
      </w:pPr>
      <w:r>
        <w:t>資類別的市場出現突然變化（可能並無任何預警</w:t>
      </w:r>
      <w:r>
        <w:rPr>
          <w:rFonts w:ascii="Arial" w:eastAsia="Arial" w:hAnsi="Arial" w:cs="Arial"/>
        </w:rPr>
        <w:t xml:space="preserve"> </w:t>
      </w:r>
      <w:r>
        <w:t>）。</w:t>
      </w:r>
      <w:r>
        <w:rPr>
          <w:rFonts w:ascii="Arial" w:eastAsia="Arial" w:hAnsi="Arial" w:cs="Arial"/>
          <w:sz w:val="18"/>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流動性風險及對特定資產類別的影響可能會如市場、交易及工</w:t>
      </w:r>
    </w:p>
    <w:p w:rsidR="004D6F0E" w:rsidRDefault="00490F21">
      <w:pPr>
        <w:ind w:left="11" w:right="2"/>
      </w:pPr>
      <w:r>
        <w:t>具的演變而隨時間發生無法預料的變化。</w:t>
      </w:r>
      <w:r>
        <w:rPr>
          <w:rFonts w:ascii="Arial" w:eastAsia="Arial" w:hAnsi="Arial" w:cs="Arial"/>
        </w:rPr>
        <w:t xml:space="preserve">  </w:t>
      </w:r>
    </w:p>
    <w:p w:rsidR="004D6F0E" w:rsidRDefault="00490F21">
      <w:pPr>
        <w:spacing w:after="2" w:line="259" w:lineRule="auto"/>
        <w:ind w:left="13" w:firstLine="0"/>
      </w:pP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i/>
        </w:rPr>
        <w:t xml:space="preserve"> </w:t>
      </w:r>
      <w:r>
        <w:rPr>
          <w:rFonts w:ascii="Arial" w:eastAsia="Arial" w:hAnsi="Arial" w:cs="Arial"/>
          <w:i/>
        </w:rPr>
        <w:tab/>
        <w:t xml:space="preserve"> </w:t>
      </w:r>
    </w:p>
    <w:p w:rsidR="004D6F0E" w:rsidRDefault="00490F21">
      <w:pPr>
        <w:pStyle w:val="Heading5"/>
        <w:spacing w:after="0"/>
        <w:ind w:left="3"/>
      </w:pPr>
      <w:r>
        <w:t>對本基金的影響</w:t>
      </w:r>
      <w:r>
        <w:rPr>
          <w:rFonts w:ascii="Arial" w:eastAsia="Arial" w:hAnsi="Arial" w:cs="Arial"/>
          <w:i/>
          <w:sz w:val="19"/>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於極端市況下，由於（</w:t>
      </w:r>
      <w:r>
        <w:rPr>
          <w:sz w:val="20"/>
        </w:rPr>
        <w:t>其中包括</w:t>
      </w:r>
      <w:r>
        <w:t>）缺乏自願買家，基金可能無法將持倉或持股平倉或可能以較高成本進行平倉。因此，本基</w:t>
      </w:r>
    </w:p>
    <w:p w:rsidR="004D6F0E" w:rsidRDefault="00490F21">
      <w:pPr>
        <w:ind w:left="11" w:right="2"/>
      </w:pPr>
      <w:r>
        <w:t>金或須接受較低的價格，或者根本無法出售投資。</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無法出售證券可能會對基金的價值產生不利影響，或阻礙基金利用新的投資機會。</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流動性風險亦可能影響基金於必要時期內應付贖回要求、籌集現金及／或支付所得款項的能力。</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大量的贖回要求亦可能引致流動性風險。為應付大量的贖回要求，本基金通常須首先出售流動性最高的證券，或</w:t>
      </w:r>
      <w:r>
        <w:t>以潛在的折讓價格出售流動性較低的證券。</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pStyle w:val="Heading5"/>
        <w:spacing w:after="0"/>
        <w:ind w:left="3"/>
      </w:pPr>
      <w:r>
        <w:t>流動性風險管理工具</w:t>
      </w:r>
      <w:r>
        <w:rPr>
          <w:rFonts w:ascii="Arial" w:eastAsia="Arial" w:hAnsi="Arial" w:cs="Arial"/>
          <w:i/>
          <w:sz w:val="19"/>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為減緩流動性風險，本傘子基金已實施流動性風險管理工具，以透過各種方式協助管理本基金的流動性，例如：</w:t>
      </w:r>
      <w:r>
        <w:rPr>
          <w:rFonts w:ascii="Arial" w:eastAsia="Arial" w:hAnsi="Arial" w:cs="Arial"/>
        </w:rPr>
        <w:t xml:space="preserve"> </w:t>
      </w:r>
    </w:p>
    <w:p w:rsidR="004D6F0E" w:rsidRDefault="00490F21">
      <w:pPr>
        <w:numPr>
          <w:ilvl w:val="0"/>
          <w:numId w:val="25"/>
        </w:numPr>
        <w:ind w:left="362" w:right="2" w:hanging="360"/>
      </w:pPr>
      <w:r>
        <w:t>贖回門檻</w:t>
      </w:r>
      <w:r>
        <w:rPr>
          <w:rFonts w:ascii="Arial" w:eastAsia="Arial" w:hAnsi="Arial" w:cs="Arial"/>
        </w:rPr>
        <w:t xml:space="preserve"> </w:t>
      </w:r>
    </w:p>
    <w:p w:rsidR="004D6F0E" w:rsidRDefault="00490F21">
      <w:pPr>
        <w:numPr>
          <w:ilvl w:val="0"/>
          <w:numId w:val="25"/>
        </w:numPr>
        <w:ind w:left="362" w:right="2" w:hanging="360"/>
      </w:pPr>
      <w:r>
        <w:t>波動定價</w:t>
      </w:r>
      <w:r>
        <w:rPr>
          <w:rFonts w:ascii="Arial" w:eastAsia="Arial" w:hAnsi="Arial" w:cs="Arial"/>
        </w:rPr>
        <w:t xml:space="preserve"> </w:t>
      </w:r>
    </w:p>
    <w:p w:rsidR="004D6F0E" w:rsidRDefault="00490F21">
      <w:pPr>
        <w:numPr>
          <w:ilvl w:val="0"/>
          <w:numId w:val="25"/>
        </w:numPr>
        <w:ind w:left="362" w:right="2" w:hanging="360"/>
      </w:pPr>
      <w:r>
        <w:t>為應付贖回要求之臨時借貸</w:t>
      </w:r>
      <w:r>
        <w:rPr>
          <w:rFonts w:ascii="Arial" w:eastAsia="Arial" w:hAnsi="Arial" w:cs="Arial"/>
        </w:rPr>
        <w:t xml:space="preserve"> </w:t>
      </w:r>
    </w:p>
    <w:p w:rsidR="004D6F0E" w:rsidRDefault="00490F21">
      <w:pPr>
        <w:numPr>
          <w:ilvl w:val="0"/>
          <w:numId w:val="25"/>
        </w:numPr>
        <w:spacing w:after="147"/>
        <w:ind w:left="362" w:right="2" w:hanging="360"/>
      </w:pPr>
      <w:r>
        <w:t>在若干情況下暫停贖回的能力</w:t>
      </w:r>
      <w:r>
        <w:rPr>
          <w:rFonts w:ascii="Arial" w:eastAsia="Arial" w:hAnsi="Arial" w:cs="Arial"/>
        </w:rPr>
        <w:t xml:space="preserve"> </w:t>
      </w:r>
    </w:p>
    <w:p w:rsidR="004D6F0E" w:rsidRDefault="00490F21">
      <w:pPr>
        <w:ind w:left="11" w:right="2"/>
      </w:pPr>
      <w:r>
        <w:t>股東應注意，於若干情況下，實施該等流動性風險管理工具可</w:t>
      </w:r>
    </w:p>
    <w:p w:rsidR="004D6F0E" w:rsidRDefault="00490F21">
      <w:pPr>
        <w:ind w:left="11" w:right="2"/>
      </w:pPr>
      <w:r>
        <w:t>能會影響其贖回權利或其股份的贖回價格。</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有關流動性風險管理工具的更多資料，請參閱認購章程內以下各部分：「如何贖回股份」、「資產淨值的釐定」及「借貸風險」。</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spacing w:after="135"/>
        <w:ind w:left="11" w:right="2"/>
      </w:pPr>
      <w:r>
        <w:t>市場風險。由於多種因素，許多證券的價格及收益率可能經常發生變化，有時會出現大幅波動，並可能下降。此等因素的例子包括：</w:t>
      </w:r>
      <w:r>
        <w:rPr>
          <w:rFonts w:ascii="Arial" w:eastAsia="Arial" w:hAnsi="Arial" w:cs="Arial"/>
        </w:rPr>
        <w:t xml:space="preserve"> </w:t>
      </w:r>
    </w:p>
    <w:p w:rsidR="004D6F0E" w:rsidRDefault="00490F21">
      <w:pPr>
        <w:numPr>
          <w:ilvl w:val="0"/>
          <w:numId w:val="25"/>
        </w:numPr>
        <w:ind w:left="362" w:right="2" w:hanging="360"/>
      </w:pPr>
      <w:r>
        <w:t>政治及經濟新聞；</w:t>
      </w:r>
      <w:r>
        <w:rPr>
          <w:rFonts w:ascii="Arial" w:eastAsia="Arial" w:hAnsi="Arial" w:cs="Arial"/>
        </w:rPr>
        <w:t xml:space="preserve"> </w:t>
      </w:r>
    </w:p>
    <w:p w:rsidR="004D6F0E" w:rsidRDefault="00490F21">
      <w:pPr>
        <w:numPr>
          <w:ilvl w:val="0"/>
          <w:numId w:val="25"/>
        </w:numPr>
        <w:ind w:left="362" w:right="2" w:hanging="360"/>
      </w:pPr>
      <w:r>
        <w:t>政府政策；</w:t>
      </w:r>
      <w:r>
        <w:rPr>
          <w:rFonts w:ascii="Arial" w:eastAsia="Arial" w:hAnsi="Arial" w:cs="Arial"/>
        </w:rPr>
        <w:t xml:space="preserve"> </w:t>
      </w:r>
    </w:p>
    <w:p w:rsidR="004D6F0E" w:rsidRDefault="00490F21">
      <w:pPr>
        <w:numPr>
          <w:ilvl w:val="0"/>
          <w:numId w:val="25"/>
        </w:numPr>
        <w:ind w:left="362" w:right="2" w:hanging="360"/>
      </w:pPr>
      <w:r>
        <w:t>技術及商業慣例的轉變；</w:t>
      </w:r>
      <w:r>
        <w:rPr>
          <w:rFonts w:ascii="Arial" w:eastAsia="Arial" w:hAnsi="Arial" w:cs="Arial"/>
        </w:rPr>
        <w:t xml:space="preserve"> </w:t>
      </w:r>
    </w:p>
    <w:p w:rsidR="004D6F0E" w:rsidRDefault="00490F21">
      <w:pPr>
        <w:numPr>
          <w:ilvl w:val="0"/>
          <w:numId w:val="25"/>
        </w:numPr>
        <w:ind w:left="362" w:right="2" w:hanging="360"/>
      </w:pPr>
      <w:r>
        <w:t>人口統計、文化及人口的變化；</w:t>
      </w:r>
      <w:r>
        <w:rPr>
          <w:rFonts w:ascii="Arial" w:eastAsia="Arial" w:hAnsi="Arial" w:cs="Arial"/>
        </w:rPr>
        <w:t xml:space="preserve"> </w:t>
      </w:r>
    </w:p>
    <w:p w:rsidR="004D6F0E" w:rsidRDefault="00490F21">
      <w:pPr>
        <w:numPr>
          <w:ilvl w:val="0"/>
          <w:numId w:val="25"/>
        </w:numPr>
        <w:ind w:left="362" w:right="2" w:hanging="360"/>
      </w:pPr>
      <w:r>
        <w:t>公共衛生危機（如大流行病及流行病）；</w:t>
      </w:r>
      <w:r>
        <w:rPr>
          <w:rFonts w:ascii="Arial" w:eastAsia="Arial" w:hAnsi="Arial" w:cs="Arial"/>
        </w:rPr>
        <w:t xml:space="preserve"> </w:t>
      </w:r>
    </w:p>
    <w:p w:rsidR="004D6F0E" w:rsidRDefault="00490F21">
      <w:pPr>
        <w:numPr>
          <w:ilvl w:val="0"/>
          <w:numId w:val="25"/>
        </w:numPr>
        <w:ind w:left="362" w:right="2" w:hanging="360"/>
      </w:pPr>
      <w:r>
        <w:t>自然或人為災害；</w:t>
      </w:r>
      <w:r>
        <w:rPr>
          <w:rFonts w:ascii="Arial" w:eastAsia="Arial" w:hAnsi="Arial" w:cs="Arial"/>
        </w:rPr>
        <w:t xml:space="preserve">  </w:t>
      </w:r>
    </w:p>
    <w:p w:rsidR="004D6F0E" w:rsidRDefault="00490F21">
      <w:pPr>
        <w:numPr>
          <w:ilvl w:val="0"/>
          <w:numId w:val="25"/>
        </w:numPr>
        <w:ind w:left="362" w:right="2" w:hanging="360"/>
      </w:pPr>
      <w:r>
        <w:t>天氣及氣候模式；</w:t>
      </w:r>
      <w:r>
        <w:rPr>
          <w:rFonts w:ascii="Arial" w:eastAsia="Arial" w:hAnsi="Arial" w:cs="Arial"/>
        </w:rPr>
        <w:t xml:space="preserve"> </w:t>
      </w:r>
    </w:p>
    <w:p w:rsidR="004D6F0E" w:rsidRDefault="00490F21">
      <w:pPr>
        <w:numPr>
          <w:ilvl w:val="0"/>
          <w:numId w:val="25"/>
        </w:numPr>
        <w:ind w:left="362" w:right="2" w:hanging="360"/>
      </w:pPr>
      <w:r>
        <w:t>科學或調查發現；及</w:t>
      </w:r>
      <w:r>
        <w:rPr>
          <w:rFonts w:ascii="Arial" w:eastAsia="Arial" w:hAnsi="Arial" w:cs="Arial"/>
        </w:rPr>
        <w:t xml:space="preserve"> </w:t>
      </w:r>
    </w:p>
    <w:p w:rsidR="004D6F0E" w:rsidRDefault="00490F21">
      <w:pPr>
        <w:numPr>
          <w:ilvl w:val="0"/>
          <w:numId w:val="25"/>
        </w:numPr>
        <w:spacing w:after="130"/>
        <w:ind w:left="362" w:right="2" w:hanging="360"/>
      </w:pPr>
      <w:r>
        <w:t>能源、商品及天然資源的成本及可得性。</w:t>
      </w:r>
      <w:r>
        <w:rPr>
          <w:rFonts w:ascii="Arial" w:eastAsia="Arial" w:hAnsi="Arial" w:cs="Arial"/>
        </w:rPr>
        <w:t xml:space="preserve"> </w:t>
      </w:r>
    </w:p>
    <w:p w:rsidR="004D6F0E" w:rsidRDefault="00490F21">
      <w:pPr>
        <w:spacing w:after="161"/>
        <w:ind w:left="11" w:right="2"/>
      </w:pPr>
      <w:r>
        <w:t>公眾對上述疾病或事件的恐懼及／或反應現時或未來可能會對本傘子基金的投資及資產淨值產生不利影響，並可能導致市場波動加劇。該等疾病或事件的發生及持續時間亦可能對特定國家或全球的經濟及金融市場產生不利影響。市場風險的影響可能是即時的或漸進，短期的或長期，或狹隘的或廣泛。</w:t>
      </w:r>
      <w:r>
        <w:rPr>
          <w:rFonts w:ascii="Arial" w:eastAsia="Arial" w:hAnsi="Arial" w:cs="Arial"/>
        </w:rPr>
        <w:t xml:space="preserve"> </w:t>
      </w:r>
    </w:p>
    <w:p w:rsidR="004D6F0E" w:rsidRDefault="00490F21">
      <w:pPr>
        <w:spacing w:after="162" w:line="273" w:lineRule="auto"/>
        <w:ind w:left="14" w:right="41"/>
        <w:jc w:val="both"/>
      </w:pPr>
      <w:r>
        <w:t>貨幣風險。基金的相關投資可以不同於該基金計價貨幣的一種或多種貨幣計價。意味著相關投資的貨幣變動可能嚴重影響該基金股份的資產淨值。以某特定貨幣計價的各基金的投資須承受該貨幣相對於其他一種或多種貨幣的價值將起變化的風險。影響貨幣價值的因素包括貿易平</w:t>
      </w:r>
      <w:r>
        <w:t>衡狀況、短期利率水平、以不同貨幣計價的類似資產之間的相對價值差別、長期投資及資本增值機會及政治事件等等。基金在以其本幣以外貨幣計價的資產的比重方面，並無受到限制。</w:t>
      </w:r>
      <w:r>
        <w:rPr>
          <w:rFonts w:ascii="Arial" w:eastAsia="Arial" w:hAnsi="Arial" w:cs="Arial"/>
        </w:rPr>
        <w:t xml:space="preserve"> </w:t>
      </w:r>
    </w:p>
    <w:p w:rsidR="004D6F0E" w:rsidRDefault="00490F21">
      <w:pPr>
        <w:spacing w:after="163"/>
        <w:ind w:left="11" w:right="2"/>
      </w:pPr>
      <w:r>
        <w:t>投資管理人將計及該等風險，以投資於一種或多種貨幣、多種貨幣期貨合約及多種貨幣期貨期權、多種遠期匯兌合約等方式（有時多種方法並用），進行對沖交易以降低此等風險。投資管理人並無責任進行該等貨幣對沖交易，並可全權酌情決定是否進行該等交易。吾等不能擔保該等貨幣對沖策略將會有效。此外，基金可透過使用貨幣期權和遠期合約等貨幣相關衍生工具，建立貨幣長短倉，尋</w:t>
      </w:r>
      <w:r>
        <w:t>求積極投機投資機會，惟須受此等基金投資目標和政策的限制。該等貨幣交易涉及重大風險，而貨幣交易市場則可能發生劇烈波動。</w:t>
      </w:r>
      <w:r>
        <w:rPr>
          <w:rFonts w:ascii="Arial" w:eastAsia="Arial" w:hAnsi="Arial" w:cs="Arial"/>
        </w:rPr>
        <w:t xml:space="preserve"> </w:t>
      </w:r>
    </w:p>
    <w:p w:rsidR="004D6F0E" w:rsidRDefault="00490F21">
      <w:pPr>
        <w:spacing w:after="160"/>
        <w:ind w:left="11" w:right="2"/>
      </w:pPr>
      <w:r>
        <w:t>此外，由於若干基金的股份以超過一種貨幣發售，該等基金及股份持有人會承受額外貨幣風險。例如，若基金在某交易日接受歐元認購時美元／歐元匯率發生不利變動，但存管人須於下一個交易日方可收到實際歐元認購款，基金或會因此承受風險。此外，在歐元贖回後及向贖回股東支付歐元贖回款前，基金可能蒙受美元兌歐元匯價下跌的風險。</w:t>
      </w:r>
      <w:r>
        <w:rPr>
          <w:rFonts w:ascii="Arial" w:eastAsia="Arial" w:hAnsi="Arial" w:cs="Arial"/>
        </w:rPr>
        <w:t xml:space="preserve"> </w:t>
      </w:r>
    </w:p>
    <w:p w:rsidR="004D6F0E" w:rsidRDefault="00490F21">
      <w:pPr>
        <w:spacing w:after="163"/>
        <w:ind w:left="11" w:right="2"/>
      </w:pPr>
      <w:r>
        <w:t>此外，當股份資產淨值按基金貨幣以外的貨幣報價時，其價值乃按照這些發行貨幣每一估值時間</w:t>
      </w:r>
      <w:r>
        <w:t>的現貨匯率換算。因此，股東於贖回以該等其他貨幣計價的股份投資時最終實現所得的總收益﹐將會直接正面或負面的受到該等其他貨幣與其基金貨幣間的匯率於認購日到贖回日期間所起變化的影響。所有涉及將認購及贖回金額換成基金貨幣及其他發售貨幣的開支，及將基金貨幣及其他發售貨幣換成認購及贖回金額的開支，均由有關基金承擔，並歸屬於該基金的股份。</w:t>
      </w:r>
      <w:r>
        <w:rPr>
          <w:rFonts w:ascii="Arial" w:eastAsia="Arial" w:hAnsi="Arial" w:cs="Arial"/>
        </w:rPr>
        <w:t xml:space="preserve"> </w:t>
      </w:r>
    </w:p>
    <w:p w:rsidR="004D6F0E" w:rsidRDefault="00490F21">
      <w:pPr>
        <w:spacing w:after="159"/>
        <w:ind w:left="11" w:right="2"/>
      </w:pPr>
      <w:r>
        <w:t>除基金的發售貨幣外，分銷商偶爾可能安排外匯融資，允許投資者採用其他貨幣認購及贖回股份。該等交易將在本傘子基金外執行，風險及費用由投資者自行承擔。使用此類方法的投資者可能因認購交收時間</w:t>
      </w:r>
      <w:r>
        <w:t>以及本傘子基金投資期限內的匯率變動而承擔外匯風險。</w:t>
      </w:r>
      <w:r>
        <w:rPr>
          <w:rFonts w:ascii="Arial" w:eastAsia="Arial" w:hAnsi="Arial" w:cs="Arial"/>
        </w:rPr>
        <w:t xml:space="preserve"> </w:t>
      </w:r>
    </w:p>
    <w:p w:rsidR="004D6F0E" w:rsidRDefault="00490F21">
      <w:pPr>
        <w:spacing w:after="145"/>
        <w:ind w:left="11" w:right="2"/>
      </w:pPr>
      <w:r>
        <w:t>貨幣對沖股份類別風險。發行貨幣對沖股份類別的各基金所使用的適用於特定對沖股份類別的確切對沖策略互不相同，如第</w:t>
      </w:r>
      <w:r>
        <w:t xml:space="preserve"> </w:t>
      </w:r>
      <w:r>
        <w:rPr>
          <w:rFonts w:ascii="Arial" w:eastAsia="Arial" w:hAnsi="Arial" w:cs="Arial"/>
        </w:rPr>
        <w:t xml:space="preserve">I </w:t>
      </w:r>
      <w:r>
        <w:t>部分所述。此等基金均用對沖策略來減緩基金基準貨幣資產淨值（</w:t>
      </w:r>
      <w:r>
        <w:rPr>
          <w:rFonts w:ascii="Arial" w:eastAsia="Arial" w:hAnsi="Arial" w:cs="Arial"/>
        </w:rPr>
        <w:t>NAV</w:t>
      </w:r>
      <w:r>
        <w:t>）和貨幣對沖股份類別用於計價的發行貨幣之間的貨幣風險，同時計及包括交易成本在內的各類實際考量因素。採用的對沖策略在設計上是爲了降低（但未必消除）基金基準貨幣和發售貨幣之間的貨幣風險。</w:t>
      </w:r>
      <w:r>
        <w:rPr>
          <w:rFonts w:ascii="Arial" w:eastAsia="Arial" w:hAnsi="Arial" w:cs="Arial"/>
        </w:rPr>
        <w:t xml:space="preserve"> </w:t>
      </w:r>
    </w:p>
    <w:p w:rsidR="004D6F0E" w:rsidRDefault="00490F21">
      <w:pPr>
        <w:spacing w:after="145"/>
        <w:ind w:left="11" w:right="2"/>
      </w:pPr>
      <w:r>
        <w:t>不論基金的基準貨幣價值相對與貨幣對沖股份類別的相關發售貨幣的匯率是上升還是下降，均可就該貨幣對沖股份類別訂立對沖合約，因此，採用這種對沖做法可極大地保護相關貨幣對沖股份類別的投資者，避免因基金基準貨幣價值相對與貨幣對沖股份類別的相關發售貨幣的匯率下降引起的損失，但同時也會妨礙投資者在基金基準貨幣相對與發售貨幣匯率上升時獲利。</w:t>
      </w:r>
      <w:r>
        <w:rPr>
          <w:rFonts w:ascii="Arial" w:eastAsia="Arial" w:hAnsi="Arial" w:cs="Arial"/>
        </w:rPr>
        <w:t xml:space="preserve"> </w:t>
      </w:r>
    </w:p>
    <w:p w:rsidR="004D6F0E" w:rsidRDefault="00490F21">
      <w:pPr>
        <w:spacing w:after="145"/>
        <w:ind w:left="11" w:right="2"/>
      </w:pPr>
      <w:r>
        <w:t>由於一項基金內各類股份的賠償責任並不分立，所以在某些罕見情況下，貨幣對沖股份類別的貨幣對沖交易可能引起賠償責任，並可能影響到相同基金其他股份類別的資產淨值。在這種情況下，可能會用基金</w:t>
      </w:r>
      <w:r>
        <w:t>其他股份類別的資產履行該貨幣對沖股份類別引起的賠償責任。</w:t>
      </w:r>
      <w:r>
        <w:rPr>
          <w:rFonts w:ascii="Arial" w:eastAsia="Arial" w:hAnsi="Arial" w:cs="Arial"/>
        </w:rPr>
        <w:t xml:space="preserve"> </w:t>
      </w:r>
    </w:p>
    <w:p w:rsidR="004D6F0E" w:rsidRDefault="00490F21">
      <w:pPr>
        <w:spacing w:after="146"/>
        <w:ind w:left="11" w:right="2"/>
      </w:pPr>
      <w:r>
        <w:t>部分存續期對沖股份類別風險。若干基金的股份類別將應用部分存續期對沖策略，以舒緩利率上升帶來的影響。部分存續期對沖策略旨在降低（但未必消除）部分存續期對沖股份類別基金整體的利率風險。</w:t>
      </w:r>
      <w:r>
        <w:rPr>
          <w:rFonts w:ascii="Arial" w:eastAsia="Arial" w:hAnsi="Arial" w:cs="Arial"/>
        </w:rPr>
        <w:t xml:space="preserve"> </w:t>
      </w:r>
    </w:p>
    <w:p w:rsidR="004D6F0E" w:rsidRDefault="00490F21">
      <w:pPr>
        <w:spacing w:after="146"/>
        <w:ind w:left="11" w:right="2"/>
      </w:pPr>
      <w:r>
        <w:t>股東應注意，投資於某基金的部分存續期對沖股份類別在利率可能上升的情況下，預計會跑贏相關基金的表現。相反，倘若利率維持穩定或下跌，部分存續期對沖股份類別可能跑輸整體基金表現。</w:t>
      </w:r>
      <w:r>
        <w:rPr>
          <w:rFonts w:ascii="Arial" w:eastAsia="Arial" w:hAnsi="Arial" w:cs="Arial"/>
        </w:rPr>
        <w:t xml:space="preserve"> </w:t>
      </w:r>
    </w:p>
    <w:p w:rsidR="004D6F0E" w:rsidRDefault="00490F21">
      <w:pPr>
        <w:spacing w:after="146"/>
        <w:ind w:left="11" w:right="2"/>
      </w:pPr>
      <w:r>
        <w:t>有關部分存續期對沖股份類別的對沖策略旨在降低利率上升帶來的影響，同時不會對信貸風險產生影響。</w:t>
      </w:r>
      <w:r>
        <w:t>然而，固定收益產品的存續期風險和信貸風險的相關係數可能呈現負值。因此，在某些情況下，對沖利率風險可能導致負面信貸風險增加。</w:t>
      </w:r>
      <w:r>
        <w:rPr>
          <w:rFonts w:ascii="Arial" w:eastAsia="Arial" w:hAnsi="Arial" w:cs="Arial"/>
        </w:rPr>
        <w:t xml:space="preserve"> </w:t>
      </w:r>
    </w:p>
    <w:p w:rsidR="004D6F0E" w:rsidRDefault="00490F21">
      <w:pPr>
        <w:spacing w:after="146"/>
        <w:ind w:left="11" w:right="2"/>
      </w:pPr>
      <w:r>
        <w:t>就用作存續期對沖目的的金融衍生工具而言，基金可能須轉交現金或國債予交易對手方作擔保。因此，部分存續期對沖股份類別可能較其他股份類別獲分配更多現金。現金結餘較多對表現造成的影響可能有利或有弊，並僅將影響有關部分存續期對沖股份類別。</w:t>
      </w:r>
      <w:r>
        <w:rPr>
          <w:rFonts w:ascii="Arial" w:eastAsia="Arial" w:hAnsi="Arial" w:cs="Arial"/>
        </w:rPr>
        <w:t xml:space="preserve"> </w:t>
      </w:r>
    </w:p>
    <w:p w:rsidR="004D6F0E" w:rsidRDefault="00490F21">
      <w:pPr>
        <w:spacing w:after="160"/>
        <w:ind w:left="11" w:right="2"/>
      </w:pPr>
      <w:r>
        <w:t>部分存續期對沖股份類別的股東亦應注意，投資管理人採用的存續期對沖程序可能只會對沖一部分存續期。此外，無法保證此等對沖策略會取得成功</w:t>
      </w:r>
      <w:r>
        <w:rPr>
          <w:sz w:val="18"/>
        </w:rPr>
        <w:t>。</w:t>
      </w:r>
      <w:r>
        <w:rPr>
          <w:rFonts w:ascii="Arial" w:eastAsia="Arial" w:hAnsi="Arial" w:cs="Arial"/>
          <w:sz w:val="18"/>
        </w:rPr>
        <w:t xml:space="preserve"> </w:t>
      </w:r>
    </w:p>
    <w:p w:rsidR="004D6F0E" w:rsidRDefault="00490F21">
      <w:pPr>
        <w:spacing w:after="100"/>
        <w:ind w:left="11" w:right="2"/>
      </w:pPr>
      <w:r>
        <w:t>借貸風險。基金可透</w:t>
      </w:r>
      <w:r>
        <w:t>過私人安排的交易向銀行或其他實體借款作臨時用途，包括用於贖回價值不超過基金總資產價值</w:t>
      </w:r>
      <w:r>
        <w:t xml:space="preserve"> </w:t>
      </w:r>
      <w:r>
        <w:rPr>
          <w:rFonts w:ascii="Arial" w:eastAsia="Arial" w:hAnsi="Arial" w:cs="Arial"/>
        </w:rPr>
        <w:t>10%</w:t>
      </w:r>
      <w:r>
        <w:t>的股份。借貸為基金創造融資機會，以支付上述有限的活動所需，從而避免基金資產在不利狀況下平倉。透過保留基金證券獲得的任何投資收入或收益或減省交易成本如其超過支付的利息及其他借貸成本，將令股份的每股淨收入或資產淨值比未借貸前更高。另一方面，倘所保留的證券收入或收益（如有）未能彌補借貸所付的利息或其他成本，則股份的每股淨收入及資產淨值會比未借貸前更低。</w:t>
      </w:r>
      <w:r>
        <w:rPr>
          <w:rFonts w:ascii="Arial" w:eastAsia="Arial" w:hAnsi="Arial" w:cs="Arial"/>
        </w:rPr>
        <w:t xml:space="preserve"> </w:t>
      </w:r>
    </w:p>
    <w:p w:rsidR="004D6F0E" w:rsidRDefault="00490F21">
      <w:pPr>
        <w:ind w:left="11" w:right="2"/>
      </w:pPr>
      <w:r>
        <w:t>基金證券貸款。基金可作出證券的有抵押貸款。貸出證券的風險與其他信貸一</w:t>
      </w:r>
      <w:r>
        <w:t>樣，包括在借方財務出現困難時可能喪失抵押物權益。此外，基金將承受借方違約時變現抵押物的收益將不足以補償所貸出證券的風險。於决定是否將證券借予特定借方時，投資管理人將考慮所有相關因素及情況，包括借方的信用。證券貸出後，借方可能須向基金支付任何證券收入。基金可投資任何現金抵押物在任何貨幣市場票據上，藉此賺取額外收入，或從交付同等抵押物的借方收取議定金額作為收入。基金可擁有收回貸出證券或相應證券所有權登記的權利，以行使投票權、認購權及股息權、利息或分派等所有權。基金可就一筆貸款支</w:t>
      </w:r>
    </w:p>
    <w:p w:rsidR="004D6F0E" w:rsidRDefault="00490F21">
      <w:pPr>
        <w:ind w:left="11" w:right="2"/>
      </w:pPr>
      <w:r>
        <w:t>付合理的經紀佣金、管理費及其他有關費用。</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以資本派息風險。就派息類別（包括支付管理會釐定派息率的類別、支付穩定的每單位派息率的類別及根據總收入支付派息率的股份類別）而言，基金可分派相等於有關派息類別應佔所有或超出淨收入的股息。因此，有關派息類別的股息可以基金的資本派付。派息可能來自未扣除費用及開支前的總收入、已實現及未實現的收益及有關派息類別應佔的資本。投資者應注意超過淨收入（扣除費用及開支後的總收入）的派息可能相當於退還投資者的初始投資本金，因此可能導致有關股份類別的每單位資產淨值減少及減少資本積累</w:t>
      </w:r>
      <w:r>
        <w:t>。從資本中撥付的股息於若干司法管轄區或會作為收入徵稅。有關特定股份類別派息政</w:t>
      </w:r>
    </w:p>
    <w:p w:rsidR="004D6F0E" w:rsidRDefault="00490F21">
      <w:pPr>
        <w:ind w:left="11" w:right="2"/>
      </w:pPr>
      <w:r>
        <w:t>策的詳情，請參閱第</w:t>
      </w:r>
      <w:r>
        <w:t xml:space="preserve"> </w:t>
      </w:r>
      <w:r>
        <w:rPr>
          <w:rFonts w:ascii="Arial" w:eastAsia="Arial" w:hAnsi="Arial" w:cs="Arial"/>
        </w:rPr>
        <w:t xml:space="preserve">I </w:t>
      </w:r>
      <w:r>
        <w:t>部分基金的相關基金詳情。</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概不保證將會派息。高派息率未必表示正面或高額回報。</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67"/>
        <w:ind w:left="11" w:right="2"/>
      </w:pPr>
      <w:r>
        <w:t>稅項風險。基金可能須繳納稅項，例如源自若干基金證券的入息或變現資本收益的稅項。在若干情況下雙重課稅條約可能存在，其目的在於減少或改進該等稅項的影響。而在其他情況下此等雙重課稅條約則不存在。例如，基金可能投資於美國發行人的股票。美國法團的股本證券的股息一般須繳納</w:t>
      </w:r>
      <w:r>
        <w:t xml:space="preserve"> </w:t>
      </w:r>
      <w:r>
        <w:rPr>
          <w:rFonts w:ascii="Arial" w:eastAsia="Arial" w:hAnsi="Arial" w:cs="Arial"/>
        </w:rPr>
        <w:t>30%</w:t>
      </w:r>
      <w:r>
        <w:t>的美國預扣稅。美國債務人的某些債務的利息付款同樣須繳</w:t>
      </w:r>
      <w:r>
        <w:t>納</w:t>
      </w:r>
      <w:r>
        <w:t xml:space="preserve"> </w:t>
      </w:r>
      <w:r>
        <w:rPr>
          <w:rFonts w:ascii="Arial" w:eastAsia="Arial" w:hAnsi="Arial" w:cs="Arial"/>
        </w:rPr>
        <w:t>30%</w:t>
      </w:r>
      <w:r>
        <w:t>的美國預扣稅。基金投資的非美國證券（包括美國預託證券、歐洲預託證券及環球預託證券）的分派可能須繳納相關證券發行人所在國家的預扣稅。一般而言，根據本傘子基金所屬國與居駐國之間的所得稅條約，該等稅項不予退還或減免。不能保證適用稅務法律及有關詮釋未來不會發生會不利影響股份資產淨值的變動或修訂。</w:t>
      </w:r>
      <w:r>
        <w:rPr>
          <w:rFonts w:ascii="Arial" w:eastAsia="Arial" w:hAnsi="Arial" w:cs="Arial"/>
        </w:rPr>
        <w:t xml:space="preserve"> </w:t>
      </w:r>
    </w:p>
    <w:p w:rsidR="004D6F0E" w:rsidRDefault="00490F21">
      <w:pPr>
        <w:spacing w:after="160"/>
        <w:ind w:left="11" w:right="2"/>
      </w:pPr>
      <w:r>
        <w:rPr>
          <w:rFonts w:ascii="Arial" w:eastAsia="Arial" w:hAnsi="Arial" w:cs="Arial"/>
          <w:b/>
        </w:rPr>
        <w:t xml:space="preserve">FATCA </w:t>
      </w:r>
      <w:r>
        <w:t>及若干預扣風險。《海外帳戶稅收遵從法案》（「</w:t>
      </w:r>
      <w:r>
        <w:rPr>
          <w:rFonts w:ascii="Arial" w:eastAsia="Arial" w:hAnsi="Arial" w:cs="Arial"/>
        </w:rPr>
        <w:t>FATCA</w:t>
      </w:r>
      <w:r>
        <w:t>」）於二零一零年頒佈成為美國法律，作為《二零一零年獎勵聘僱恢復就業法案》的一部分。該法案普遍要求美國境外金融機構（「外國金融機構」或「</w:t>
      </w:r>
      <w:r>
        <w:rPr>
          <w:rFonts w:ascii="Arial" w:eastAsia="Arial" w:hAnsi="Arial" w:cs="Arial"/>
        </w:rPr>
        <w:t>FFI</w:t>
      </w:r>
      <w:r>
        <w:t>」）</w:t>
      </w:r>
      <w:r>
        <w:t>每年向美國稅務部門申報「指定美國人士」直接或間接持有的「金融帳戶」的資料，否則須就若干源自美國的收入及或須就所得款項總額繳納預扣稅。</w:t>
      </w:r>
      <w:r>
        <w:rPr>
          <w:rFonts w:ascii="Arial" w:eastAsia="Arial" w:hAnsi="Arial" w:cs="Arial"/>
          <w:b/>
        </w:rPr>
        <w:t xml:space="preserve"> </w:t>
      </w:r>
    </w:p>
    <w:p w:rsidR="004D6F0E" w:rsidRDefault="00490F21">
      <w:pPr>
        <w:ind w:left="11" w:right="2"/>
      </w:pPr>
      <w:r>
        <w:t>為避免就若干實際及視作美國投資的若干付款（包括總收益付款）繳納</w:t>
      </w:r>
      <w:r>
        <w:t xml:space="preserve"> </w:t>
      </w:r>
      <w:r>
        <w:rPr>
          <w:rFonts w:ascii="Arial" w:eastAsia="Arial" w:hAnsi="Arial" w:cs="Arial"/>
        </w:rPr>
        <w:t>30%</w:t>
      </w:r>
      <w:r>
        <w:t>的美國預扣稅，本傘子基金及／或各基金一般將須及時向美國國稅局登記，並同意識別及匯報有關其若干直接及間接美國帳戶持有人（包括債務持有人及股權持有人）的資料。盧森堡已與美國簽訂</w:t>
      </w:r>
      <w:r>
        <w:t xml:space="preserve"> </w:t>
      </w:r>
      <w:r>
        <w:rPr>
          <w:rFonts w:ascii="Arial" w:eastAsia="Arial" w:hAnsi="Arial" w:cs="Arial"/>
        </w:rPr>
        <w:t>Model 1A</w:t>
      </w:r>
      <w:r>
        <w:t>（互惠型）政府間協議</w:t>
      </w:r>
      <w:r>
        <w:rPr>
          <w:rFonts w:ascii="Arial" w:eastAsia="Arial" w:hAnsi="Arial" w:cs="Arial"/>
        </w:rPr>
        <w:t xml:space="preserve"> </w:t>
      </w:r>
    </w:p>
    <w:p w:rsidR="004D6F0E" w:rsidRDefault="00490F21">
      <w:pPr>
        <w:spacing w:after="163"/>
        <w:ind w:left="11" w:right="2"/>
      </w:pPr>
      <w:r>
        <w:t>（「美國政府間協議」），以使前述預扣及申報規則生效。只要本傘子基金符合美國政府間協議及賦權法</w:t>
      </w:r>
      <w:r>
        <w:t>，投資管理人預期本傘子基金將毋須繳納有關美國預扣稅。</w:t>
      </w:r>
      <w:r>
        <w:rPr>
          <w:rFonts w:ascii="Arial" w:eastAsia="Arial" w:hAnsi="Arial" w:cs="Arial"/>
        </w:rPr>
        <w:t xml:space="preserve"> </w:t>
      </w:r>
    </w:p>
    <w:p w:rsidR="004D6F0E" w:rsidRDefault="00490F21">
      <w:pPr>
        <w:ind w:left="11" w:right="2"/>
      </w:pPr>
      <w:r>
        <w:t>本傘子基金的非美國投資者一般將須向本傘子基金（或在若干情況下，分銷商、中介人或該非美國投資者藉以進行投資的若干其他實體（各為「中介機構」））提供可確定其直接及間接美國所有權身份的資料。根據美國政府間協議，提供予本傘子基金的該等任何資料將與盧森堡財政部長或其委託人士（「盧森堡財政部長」）共享，除非有關美國所有權身份獲豁免遵守申報規則。盧森堡財政部長每年將自動向美國國稅局提供其所獲申報的資料。身為「外國金融機構」（定義見美國國內稅收法第</w:t>
      </w:r>
      <w:r>
        <w:t xml:space="preserve"> </w:t>
      </w:r>
      <w:r>
        <w:rPr>
          <w:rFonts w:ascii="Arial" w:eastAsia="Arial" w:hAnsi="Arial" w:cs="Arial"/>
        </w:rPr>
        <w:t>1471(d)(4</w:t>
      </w:r>
      <w:r>
        <w:rPr>
          <w:rFonts w:ascii="Arial" w:eastAsia="Arial" w:hAnsi="Arial" w:cs="Arial"/>
        </w:rPr>
        <w:t>)</w:t>
      </w:r>
      <w:r>
        <w:t>條）的非美國投資者一般亦將須及時向美國國稅局登記，並同意識別及匯報有關其若干直接及間接美國帳戶持有人（包括債務持有人及股權持有人）的資料。如非美國投資者未能向本傘子基金（或中介機構，如適用）提供有關資料或及時登記及同意識別及匯報有關帳戶持有人的資料（如適用），則可能須就其應佔本傘子基金的實際及視作美國投資所產生的任何有關付款繳納</w:t>
      </w:r>
      <w:r>
        <w:t xml:space="preserve"> </w:t>
      </w:r>
      <w:r>
        <w:rPr>
          <w:rFonts w:ascii="Arial" w:eastAsia="Arial" w:hAnsi="Arial" w:cs="Arial"/>
        </w:rPr>
        <w:t>30%</w:t>
      </w:r>
      <w:r>
        <w:t>預扣稅，並且管理公司可在適用法律及法規的規限下，就投資者的股份或贖回收益採取任何措施，以確保該預扣稅在經濟上乃由未能提供必要資料或遵守有關規定而引致預扣稅的有關投資者承擔，</w:t>
      </w:r>
      <w:r>
        <w:t>惟管理公司須真誠基於合理理由行事。股東應就有關規則對其投資於本傘子基金可能產生的影響諮詢其稅務顧問。</w:t>
      </w:r>
      <w:r>
        <w:rPr>
          <w:rFonts w:ascii="Arial" w:eastAsia="Arial" w:hAnsi="Arial" w:cs="Arial"/>
        </w:rPr>
        <w:t xml:space="preserve"> </w:t>
      </w:r>
    </w:p>
    <w:p w:rsidR="004D6F0E" w:rsidRDefault="004D6F0E">
      <w:pPr>
        <w:sectPr w:rsidR="004D6F0E">
          <w:headerReference w:type="even" r:id="rId303"/>
          <w:headerReference w:type="default" r:id="rId304"/>
          <w:footerReference w:type="even" r:id="rId305"/>
          <w:footerReference w:type="default" r:id="rId306"/>
          <w:headerReference w:type="first" r:id="rId307"/>
          <w:footerReference w:type="first" r:id="rId308"/>
          <w:pgSz w:w="12240" w:h="15840"/>
          <w:pgMar w:top="719" w:right="620" w:bottom="577" w:left="419" w:header="745" w:footer="402" w:gutter="0"/>
          <w:cols w:num="2" w:space="663"/>
          <w:titlePg/>
        </w:sectPr>
      </w:pPr>
    </w:p>
    <w:p w:rsidR="004D6F0E" w:rsidRDefault="00490F21">
      <w:pPr>
        <w:tabs>
          <w:tab w:val="right" w:pos="11136"/>
        </w:tabs>
        <w:ind w:left="0" w:firstLine="0"/>
      </w:pPr>
      <w:r>
        <w:t>非美國股東亦可能須就股份的實益擁有權及有關實益擁有人的</w:t>
      </w:r>
      <w:r>
        <w:tab/>
      </w:r>
      <w:r>
        <w:t>資者妥為支付有關其股份或贖回所得款項的任何預扣</w:t>
      </w:r>
    </w:p>
    <w:p w:rsidR="004D6F0E" w:rsidRDefault="00490F21">
      <w:pPr>
        <w:tabs>
          <w:tab w:val="center" w:pos="8522"/>
        </w:tabs>
        <w:ind w:left="0" w:firstLine="0"/>
      </w:pPr>
      <w:r>
        <w:t>非美國身份提供若干證明，以便免於進行美國資料報告及於贖</w:t>
      </w:r>
      <w:r>
        <w:tab/>
      </w:r>
      <w:r>
        <w:t>稅的行動及強制性贖回有關投資者的股份；及</w:t>
      </w:r>
      <w:r>
        <w:rPr>
          <w:rFonts w:ascii="Arial" w:eastAsia="Arial" w:hAnsi="Arial" w:cs="Arial"/>
        </w:rPr>
        <w:t xml:space="preserve"> </w:t>
      </w:r>
    </w:p>
    <w:p w:rsidR="004D6F0E" w:rsidRDefault="00490F21">
      <w:pPr>
        <w:ind w:left="11" w:right="2"/>
      </w:pPr>
      <w:r>
        <w:t>回股份時免於繳納預備的預扣稅。</w:t>
      </w:r>
      <w:r>
        <w:rPr>
          <w:rFonts w:ascii="Arial" w:eastAsia="Arial" w:hAnsi="Arial" w:cs="Arial"/>
        </w:rPr>
        <w:t xml:space="preserve"> </w:t>
      </w:r>
    </w:p>
    <w:p w:rsidR="004D6F0E" w:rsidRDefault="00490F21">
      <w:pPr>
        <w:spacing w:after="32"/>
        <w:ind w:left="2" w:right="2" w:firstLine="6312"/>
      </w:pPr>
      <w:r>
        <w:rPr>
          <w:rFonts w:ascii="Arial" w:eastAsia="Arial" w:hAnsi="Arial" w:cs="Arial"/>
        </w:rPr>
        <w:t xml:space="preserve">6. </w:t>
      </w:r>
      <w:r>
        <w:t>受該等任何行動或補償影響的投資者概不得就因本傘盧森堡政府或會與其他第三方國家訂立類似於美國政府間協議</w:t>
      </w:r>
      <w:r>
        <w:tab/>
      </w:r>
      <w:r>
        <w:t>子基金</w:t>
      </w:r>
      <w:r>
        <w:rPr>
          <w:rFonts w:ascii="Arial" w:eastAsia="Arial" w:hAnsi="Arial" w:cs="Arial"/>
        </w:rPr>
        <w:t>(</w:t>
      </w:r>
      <w:r>
        <w:t>或其代理</w:t>
      </w:r>
      <w:r>
        <w:rPr>
          <w:rFonts w:ascii="Arial" w:eastAsia="Arial" w:hAnsi="Arial" w:cs="Arial"/>
        </w:rPr>
        <w:t>)</w:t>
      </w:r>
      <w:r>
        <w:t>所採取的任何行動或追究的任何補的其他政府間協議（「未來政府間協議」），以向該等第三方國</w:t>
      </w:r>
      <w:r>
        <w:tab/>
      </w:r>
      <w:r>
        <w:t>償而引致的任何形式的損害或責任向本傘子基金（或家的財務機關（「外國財務機關」）推介類似申報制度。</w:t>
      </w:r>
      <w:r>
        <w:rPr>
          <w:rFonts w:ascii="Arial" w:eastAsia="Arial" w:hAnsi="Arial" w:cs="Arial"/>
        </w:rPr>
        <w:t xml:space="preserve"> </w:t>
      </w:r>
      <w:r>
        <w:rPr>
          <w:rFonts w:ascii="Arial" w:eastAsia="Arial" w:hAnsi="Arial" w:cs="Arial"/>
        </w:rPr>
        <w:tab/>
      </w:r>
      <w:r>
        <w:t>其代理）提出申索，以遵守</w:t>
      </w:r>
      <w:r>
        <w:t xml:space="preserve"> </w:t>
      </w:r>
      <w:r>
        <w:rPr>
          <w:rFonts w:ascii="Arial" w:eastAsia="Arial" w:hAnsi="Arial" w:cs="Arial"/>
        </w:rPr>
        <w:t>FATCA</w:t>
      </w:r>
      <w:r>
        <w:t>、任何美國政府間協議或任何未來政府間協議或任何相關法例及規例。</w:t>
      </w:r>
      <w:r>
        <w:rPr>
          <w:rFonts w:ascii="Arial" w:eastAsia="Arial" w:hAnsi="Arial" w:cs="Arial"/>
        </w:rPr>
        <w:t xml:space="preserve"> </w:t>
      </w:r>
    </w:p>
    <w:p w:rsidR="004D6F0E" w:rsidRDefault="00490F21">
      <w:pPr>
        <w:ind w:left="11" w:right="2"/>
      </w:pPr>
      <w:r>
        <w:t>投資者投資（或繼續投資）於本傘子基金，即被視作承認：</w:t>
      </w:r>
      <w:r>
        <w:rPr>
          <w:rFonts w:ascii="Arial" w:eastAsia="Arial" w:hAnsi="Arial" w:cs="Arial"/>
        </w:rPr>
        <w:t xml:space="preserve"> </w:t>
      </w:r>
    </w:p>
    <w:p w:rsidR="004D6F0E" w:rsidRDefault="00490F21">
      <w:pPr>
        <w:ind w:left="5913" w:right="2"/>
      </w:pPr>
      <w:r>
        <w:t>可持續性風險。可持續性風險指環境、社會或管治事件或狀況，</w:t>
      </w:r>
    </w:p>
    <w:p w:rsidR="004D6F0E" w:rsidRDefault="00490F21">
      <w:pPr>
        <w:numPr>
          <w:ilvl w:val="0"/>
          <w:numId w:val="26"/>
        </w:numPr>
        <w:ind w:right="2" w:hanging="314"/>
      </w:pPr>
      <w:r>
        <w:t>本傘子基金（或其代理或中介機構）或須向盧森堡財政</w:t>
      </w:r>
    </w:p>
    <w:p w:rsidR="004D6F0E" w:rsidRDefault="00490F21">
      <w:pPr>
        <w:spacing w:line="216" w:lineRule="auto"/>
        <w:ind w:left="720" w:right="2" w:firstLine="5184"/>
      </w:pPr>
      <w:r>
        <w:rPr>
          <w:sz w:val="18"/>
        </w:rPr>
        <w:t>倘若</w:t>
      </w:r>
      <w:r>
        <w:t>發生，其可能對子基金的投資價值造成潛在或實際的重大部長</w:t>
      </w:r>
      <w:r>
        <w:t>披露有關投資者的若干機密資料，包括但不限於</w:t>
      </w:r>
    </w:p>
    <w:p w:rsidR="004D6F0E" w:rsidRDefault="00490F21">
      <w:pPr>
        <w:spacing w:line="216" w:lineRule="auto"/>
        <w:ind w:left="720" w:right="2" w:firstLine="5184"/>
      </w:pPr>
      <w:r>
        <w:t>負面影響。可持續性風險可以是風險本身或是對其他風險產生投資者姓名、地址、稅務識別號（如有）、社會保障號</w:t>
      </w:r>
    </w:p>
    <w:p w:rsidR="004D6F0E" w:rsidRDefault="00490F21">
      <w:pPr>
        <w:ind w:left="5913" w:right="2"/>
      </w:pPr>
      <w:r>
        <w:t>影響及可能對市場風險、營運風險、流動性風險或對手方風險</w:t>
      </w:r>
    </w:p>
    <w:p w:rsidR="004D6F0E" w:rsidRDefault="00490F21">
      <w:pPr>
        <w:ind w:left="729" w:right="2"/>
      </w:pPr>
      <w:r>
        <w:t>（如有）及若干有關投資者投資的資料；</w:t>
      </w:r>
      <w:r>
        <w:rPr>
          <w:rFonts w:ascii="Arial" w:eastAsia="Arial" w:hAnsi="Arial" w:cs="Arial"/>
        </w:rPr>
        <w:t xml:space="preserve"> </w:t>
      </w:r>
    </w:p>
    <w:p w:rsidR="004D6F0E" w:rsidRDefault="00490F21">
      <w:pPr>
        <w:ind w:left="5913" w:right="2"/>
      </w:pPr>
      <w:r>
        <w:t>等造成重大影響的風險。可持續性風險或會對投資者的長期風</w:t>
      </w:r>
    </w:p>
    <w:p w:rsidR="004D6F0E" w:rsidRDefault="00490F21">
      <w:pPr>
        <w:numPr>
          <w:ilvl w:val="0"/>
          <w:numId w:val="26"/>
        </w:numPr>
        <w:ind w:right="2" w:hanging="314"/>
      </w:pPr>
      <w:r>
        <w:t>盧森堡財政部長或會向美國國稅局、盧森堡財政部長</w:t>
      </w:r>
    </w:p>
    <w:p w:rsidR="004D6F0E" w:rsidRDefault="00490F21">
      <w:pPr>
        <w:spacing w:line="216" w:lineRule="auto"/>
        <w:ind w:left="720" w:right="2" w:firstLine="5184"/>
      </w:pPr>
      <w:r>
        <w:t>險調整回報產生影響。對可持續性風險的評估乃屬複雜，並可及其他外國財務機關提供上文概述資料；</w:t>
      </w:r>
      <w:r>
        <w:rPr>
          <w:rFonts w:ascii="Arial" w:eastAsia="Arial" w:hAnsi="Arial" w:cs="Arial"/>
        </w:rPr>
        <w:t xml:space="preserve"> </w:t>
      </w:r>
    </w:p>
    <w:p w:rsidR="004D6F0E" w:rsidRDefault="00490F21">
      <w:pPr>
        <w:ind w:left="5913" w:right="2"/>
      </w:pPr>
      <w:r>
        <w:t>能基於難以獲取且不完整、估計、過時或在其他方面實質上不</w:t>
      </w:r>
    </w:p>
    <w:p w:rsidR="004D6F0E" w:rsidRDefault="00490F21">
      <w:pPr>
        <w:numPr>
          <w:ilvl w:val="0"/>
          <w:numId w:val="26"/>
        </w:numPr>
        <w:ind w:right="2" w:hanging="314"/>
      </w:pPr>
      <w:r>
        <w:t>本傘子基金（或其代理或中介機構）或會於向美國國稅</w:t>
      </w:r>
    </w:p>
    <w:p w:rsidR="004D6F0E" w:rsidRDefault="00490F21">
      <w:pPr>
        <w:spacing w:line="216" w:lineRule="auto"/>
        <w:ind w:left="720" w:right="2" w:firstLine="5184"/>
      </w:pPr>
      <w:r>
        <w:t>準確的環境、社會或管治資料。即使在被識別時，概不可保證此局、盧森堡財政部長及其他外國財務機關進行登記時</w:t>
      </w:r>
    </w:p>
    <w:p w:rsidR="004D6F0E" w:rsidRDefault="00490F21">
      <w:pPr>
        <w:spacing w:after="3" w:line="259" w:lineRule="auto"/>
        <w:ind w:left="5655" w:right="3074" w:hanging="10"/>
        <w:jc w:val="center"/>
      </w:pPr>
      <w:r>
        <w:t>等資料將被正確評估。</w:t>
      </w:r>
      <w:r>
        <w:rPr>
          <w:rFonts w:ascii="Arial" w:eastAsia="Arial" w:hAnsi="Arial" w:cs="Arial"/>
        </w:rPr>
        <w:t xml:space="preserve"> </w:t>
      </w:r>
    </w:p>
    <w:p w:rsidR="004D6F0E" w:rsidRDefault="00490F21">
      <w:pPr>
        <w:ind w:left="729" w:right="2"/>
      </w:pPr>
      <w:r>
        <w:t>及倘該等機關向本傘子基金（或直接向其代理）查詢其</w:t>
      </w:r>
    </w:p>
    <w:p w:rsidR="004D6F0E" w:rsidRDefault="00490F21">
      <w:pPr>
        <w:spacing w:line="216" w:lineRule="auto"/>
        <w:ind w:left="720" w:right="2141" w:firstLine="5184"/>
      </w:pPr>
      <w:r>
        <w:rPr>
          <w:rFonts w:ascii="Arial" w:eastAsia="Arial" w:hAnsi="Arial" w:cs="Arial"/>
        </w:rPr>
        <w:t xml:space="preserve"> </w:t>
      </w:r>
      <w:r>
        <w:t>他問題時向彼等披露若干機密資料；</w:t>
      </w:r>
      <w:r>
        <w:rPr>
          <w:rFonts w:ascii="Arial" w:eastAsia="Arial" w:hAnsi="Arial" w:cs="Arial"/>
        </w:rPr>
        <w:t xml:space="preserve"> </w:t>
      </w:r>
    </w:p>
    <w:p w:rsidR="004D6F0E" w:rsidRDefault="00490F21">
      <w:pPr>
        <w:ind w:left="5913" w:right="2"/>
      </w:pPr>
      <w:r>
        <w:t>發生可持續性風險可造成眾多後續影響，該等影響可因特定風</w:t>
      </w:r>
    </w:p>
    <w:p w:rsidR="004D6F0E" w:rsidRDefault="00490F21">
      <w:pPr>
        <w:numPr>
          <w:ilvl w:val="0"/>
          <w:numId w:val="26"/>
        </w:numPr>
        <w:ind w:right="2" w:hanging="314"/>
      </w:pPr>
      <w:r>
        <w:t>本傘子基金或中介機構或會要求投資者提供本傘子基</w:t>
      </w:r>
    </w:p>
    <w:p w:rsidR="004D6F0E" w:rsidRDefault="00490F21">
      <w:pPr>
        <w:ind w:left="5913" w:right="2"/>
      </w:pPr>
      <w:r>
        <w:t>險、地區或資產類別而異。一般而言，當某資產發生可持續性風</w:t>
      </w:r>
    </w:p>
    <w:p w:rsidR="004D6F0E" w:rsidRDefault="00490F21">
      <w:pPr>
        <w:ind w:left="729" w:right="2"/>
      </w:pPr>
      <w:r>
        <w:t>金或中介機構或須向盧森堡財政部長披露的額外資料</w:t>
      </w:r>
    </w:p>
    <w:p w:rsidR="004D6F0E" w:rsidRDefault="00490F21">
      <w:pPr>
        <w:ind w:left="5913" w:right="2"/>
      </w:pPr>
      <w:r>
        <w:t>險時，將對其價值造成負面影響及潛在損失，從而影響相關基</w:t>
      </w:r>
    </w:p>
    <w:p w:rsidR="004D6F0E" w:rsidRDefault="00490F21">
      <w:pPr>
        <w:ind w:left="729" w:right="2"/>
      </w:pPr>
      <w:r>
        <w:t>及／或文件；</w:t>
      </w:r>
      <w:r>
        <w:rPr>
          <w:rFonts w:ascii="Arial" w:eastAsia="Arial" w:hAnsi="Arial" w:cs="Arial"/>
        </w:rPr>
        <w:t xml:space="preserve"> </w:t>
      </w:r>
    </w:p>
    <w:p w:rsidR="004D6F0E" w:rsidRDefault="00490F21">
      <w:pPr>
        <w:spacing w:after="3" w:line="259" w:lineRule="auto"/>
        <w:ind w:left="5655" w:right="3645" w:hanging="10"/>
        <w:jc w:val="center"/>
      </w:pPr>
      <w:r>
        <w:t>金的資產淨值。</w:t>
      </w:r>
      <w:r>
        <w:rPr>
          <w:rFonts w:ascii="Arial" w:eastAsia="Arial" w:hAnsi="Arial" w:cs="Arial"/>
        </w:rPr>
        <w:t xml:space="preserve"> </w:t>
      </w:r>
    </w:p>
    <w:p w:rsidR="004D6F0E" w:rsidRDefault="00490F21">
      <w:pPr>
        <w:numPr>
          <w:ilvl w:val="0"/>
          <w:numId w:val="26"/>
        </w:numPr>
        <w:ind w:right="2" w:hanging="314"/>
      </w:pPr>
      <w:r>
        <w:t>倘投資者並未提供規定資料及／或文件及／或本身並</w:t>
      </w:r>
    </w:p>
    <w:p w:rsidR="004D6F0E" w:rsidRDefault="00490F21">
      <w:pPr>
        <w:spacing w:line="216" w:lineRule="auto"/>
        <w:ind w:left="720" w:right="1491" w:firstLine="5184"/>
      </w:pPr>
      <w:r>
        <w:rPr>
          <w:rFonts w:ascii="Arial" w:eastAsia="Arial" w:hAnsi="Arial" w:cs="Arial"/>
          <w:sz w:val="18"/>
        </w:rPr>
        <w:t xml:space="preserve"> </w:t>
      </w:r>
      <w:r>
        <w:t>未遵守適用規定，本傘子基金保留酌情採取任何行動及／或追究所有補償的權利，包括但不限於確保該投</w:t>
      </w:r>
    </w:p>
    <w:p w:rsidR="004D6F0E" w:rsidRDefault="004D6F0E">
      <w:pPr>
        <w:sectPr w:rsidR="004D6F0E">
          <w:type w:val="continuous"/>
          <w:pgSz w:w="12240" w:h="15840"/>
          <w:pgMar w:top="1440" w:right="672" w:bottom="1440" w:left="432" w:header="720" w:footer="720" w:gutter="0"/>
          <w:cols w:space="720"/>
        </w:sectPr>
      </w:pPr>
    </w:p>
    <w:p w:rsidR="004D6F0E" w:rsidRDefault="00490F21">
      <w:pPr>
        <w:ind w:left="8" w:right="13" w:hanging="10"/>
      </w:pPr>
      <w:r>
        <w:rPr>
          <w:sz w:val="18"/>
        </w:rPr>
        <w:t>基金風險。</w:t>
      </w: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8" w:right="13" w:hanging="10"/>
      </w:pPr>
      <w:r>
        <w:rPr>
          <w:sz w:val="18"/>
        </w:rPr>
        <w:t>下表顯示各基金的主要風險，但並非買</w:t>
      </w:r>
      <w:r>
        <w:rPr>
          <w:sz w:val="18"/>
        </w:rPr>
        <w:t>入及持有本傘子基金內各基</w:t>
      </w:r>
      <w:r>
        <w:rPr>
          <w:sz w:val="18"/>
        </w:rPr>
        <w:tab/>
      </w:r>
      <w:r>
        <w:rPr>
          <w:sz w:val="18"/>
        </w:rPr>
        <w:t>期會在某程度上仍適用於該基金，且可能不會列示適用於某隻基金金股份相關的的風險的完整說明。與各基金相關的一般風險資料見</w:t>
      </w:r>
      <w:r>
        <w:rPr>
          <w:sz w:val="18"/>
        </w:rPr>
        <w:tab/>
      </w:r>
      <w:r>
        <w:rPr>
          <w:sz w:val="18"/>
        </w:rPr>
        <w:t>內投資的各類風險。</w:t>
      </w:r>
      <w:r>
        <w:rPr>
          <w:rFonts w:ascii="Arial" w:eastAsia="Arial" w:hAnsi="Arial" w:cs="Arial"/>
          <w:sz w:val="18"/>
        </w:rPr>
        <w:t xml:space="preserve"> </w:t>
      </w:r>
    </w:p>
    <w:p w:rsidR="004D6F0E" w:rsidRDefault="00490F21">
      <w:pPr>
        <w:tabs>
          <w:tab w:val="center" w:pos="5904"/>
        </w:tabs>
        <w:ind w:left="-2" w:firstLine="0"/>
      </w:pPr>
      <w:r>
        <w:rPr>
          <w:sz w:val="18"/>
        </w:rPr>
        <w:t>上文「一般風險」。然而，並無指明屬於特定基金的風險在不同時</w:t>
      </w:r>
      <w:r>
        <w:rPr>
          <w:sz w:val="18"/>
        </w:rPr>
        <w:tab/>
      </w:r>
      <w:r>
        <w:rPr>
          <w:rFonts w:ascii="Arial" w:eastAsia="Arial" w:hAnsi="Arial" w:cs="Arial"/>
          <w:sz w:val="18"/>
        </w:rPr>
        <w:t xml:space="preserve"> </w:t>
      </w:r>
    </w:p>
    <w:p w:rsidR="004D6F0E" w:rsidRDefault="00490F21">
      <w:pPr>
        <w:spacing w:after="198"/>
        <w:ind w:left="5913" w:right="2"/>
      </w:pPr>
      <w:r>
        <w:t>以下頁次將詳細介紹各類風險因素。</w:t>
      </w:r>
      <w:r>
        <w:rPr>
          <w:rFonts w:ascii="Arial" w:eastAsia="Arial" w:hAnsi="Arial" w:cs="Arial"/>
          <w:sz w:val="18"/>
        </w:rPr>
        <w:t xml:space="preserve"> </w:t>
      </w:r>
    </w:p>
    <w:p w:rsidR="004D6F0E" w:rsidRDefault="00490F21">
      <w:pPr>
        <w:spacing w:after="34" w:line="259" w:lineRule="auto"/>
        <w:ind w:left="0" w:firstLine="0"/>
      </w:pPr>
      <w:r>
        <w:rPr>
          <w:rFonts w:ascii="Arial" w:eastAsia="Arial" w:hAnsi="Arial" w:cs="Arial"/>
          <w:sz w:val="18"/>
        </w:rPr>
        <w:t xml:space="preserve"> </w:t>
      </w:r>
    </w:p>
    <w:p w:rsidR="004D6F0E" w:rsidRDefault="00490F21">
      <w:pPr>
        <w:pStyle w:val="Heading4"/>
        <w:spacing w:after="20"/>
        <w:ind w:left="281"/>
      </w:pPr>
      <w:r>
        <w:t>多元資產／資產配置</w:t>
      </w:r>
      <w:r>
        <w:rPr>
          <w:rFonts w:ascii="Arial" w:eastAsia="Arial" w:hAnsi="Arial" w:cs="Arial"/>
        </w:rPr>
        <w:t xml:space="preserve"> </w:t>
      </w:r>
    </w:p>
    <w:p w:rsidR="004D6F0E" w:rsidRDefault="00490F21">
      <w:pPr>
        <w:spacing w:after="0" w:line="259" w:lineRule="auto"/>
        <w:ind w:left="271" w:firstLine="0"/>
      </w:pPr>
      <w:r>
        <w:rPr>
          <w:rFonts w:ascii="Arial" w:eastAsia="Arial" w:hAnsi="Arial" w:cs="Arial"/>
          <w:sz w:val="23"/>
        </w:rPr>
        <w:t xml:space="preserve"> </w:t>
      </w:r>
    </w:p>
    <w:p w:rsidR="004D6F0E" w:rsidRDefault="00490F21">
      <w:pPr>
        <w:spacing w:after="0" w:line="259" w:lineRule="auto"/>
        <w:ind w:left="271" w:firstLine="0"/>
      </w:pPr>
      <w:r>
        <w:rPr>
          <w:rFonts w:ascii="Arial" w:eastAsia="Arial" w:hAnsi="Arial" w:cs="Arial"/>
          <w:sz w:val="23"/>
        </w:rPr>
        <w:t xml:space="preserve"> </w:t>
      </w:r>
    </w:p>
    <w:tbl>
      <w:tblPr>
        <w:tblStyle w:val="TableGrid"/>
        <w:tblW w:w="4382" w:type="dxa"/>
        <w:tblInd w:w="504" w:type="dxa"/>
        <w:tblCellMar>
          <w:top w:w="30" w:type="dxa"/>
          <w:left w:w="115" w:type="dxa"/>
          <w:bottom w:w="0" w:type="dxa"/>
          <w:right w:w="115" w:type="dxa"/>
        </w:tblCellMar>
        <w:tblLook w:val="04A0" w:firstRow="1" w:lastRow="0" w:firstColumn="1" w:lastColumn="0" w:noHBand="0" w:noVBand="1"/>
      </w:tblPr>
      <w:tblGrid>
        <w:gridCol w:w="3480"/>
        <w:gridCol w:w="902"/>
      </w:tblGrid>
      <w:tr w:rsidR="004D6F0E">
        <w:trPr>
          <w:trHeight w:val="2443"/>
        </w:trPr>
        <w:tc>
          <w:tcPr>
            <w:tcW w:w="3480" w:type="dxa"/>
            <w:tcBorders>
              <w:top w:val="nil"/>
              <w:left w:val="nil"/>
              <w:bottom w:val="single" w:sz="4" w:space="0" w:color="000000"/>
              <w:right w:val="nil"/>
            </w:tcBorders>
            <w:vAlign w:val="center"/>
          </w:tcPr>
          <w:p w:rsidR="004D6F0E" w:rsidRDefault="00490F21">
            <w:pPr>
              <w:spacing w:after="0" w:line="259" w:lineRule="auto"/>
              <w:ind w:left="0" w:firstLine="0"/>
            </w:pPr>
            <w:r>
              <w:rPr>
                <w:rFonts w:ascii="Arial" w:eastAsia="Arial" w:hAnsi="Arial" w:cs="Arial"/>
                <w:b/>
                <w:sz w:val="16"/>
              </w:rPr>
              <w:t xml:space="preserve"> </w:t>
            </w:r>
          </w:p>
        </w:tc>
        <w:tc>
          <w:tcPr>
            <w:tcW w:w="902" w:type="dxa"/>
            <w:tcBorders>
              <w:top w:val="nil"/>
              <w:left w:val="nil"/>
              <w:bottom w:val="single" w:sz="4" w:space="0" w:color="000000"/>
              <w:right w:val="nil"/>
            </w:tcBorders>
            <w:shd w:val="clear" w:color="auto" w:fill="DDDDDD"/>
          </w:tcPr>
          <w:p w:rsidR="004D6F0E" w:rsidRDefault="00490F21">
            <w:pPr>
              <w:spacing w:after="0" w:line="259" w:lineRule="auto"/>
              <w:ind w:left="253" w:firstLine="0"/>
            </w:pPr>
            <w:r>
              <w:rPr>
                <w:rFonts w:ascii="Calibri" w:eastAsia="Calibri" w:hAnsi="Calibri" w:cs="Calibri"/>
                <w:noProof/>
                <w:sz w:val="22"/>
              </w:rPr>
              <mc:AlternateContent>
                <mc:Choice Requires="wpg">
                  <w:drawing>
                    <wp:inline distT="0" distB="0" distL="0" distR="0">
                      <wp:extent cx="103404" cy="840655"/>
                      <wp:effectExtent l="0" t="0" r="0" b="0"/>
                      <wp:docPr id="597768" name="Group 597768"/>
                      <wp:cNvGraphicFramePr/>
                      <a:graphic xmlns:a="http://schemas.openxmlformats.org/drawingml/2006/main">
                        <a:graphicData uri="http://schemas.microsoft.com/office/word/2010/wordprocessingGroup">
                          <wpg:wgp>
                            <wpg:cNvGrpSpPr/>
                            <wpg:grpSpPr>
                              <a:xfrm>
                                <a:off x="0" y="0"/>
                                <a:ext cx="103404" cy="840655"/>
                                <a:chOff x="0" y="0"/>
                                <a:chExt cx="103404" cy="840655"/>
                              </a:xfrm>
                            </wpg:grpSpPr>
                            <wps:wsp>
                              <wps:cNvPr id="48847" name="Rectangle 48847"/>
                              <wps:cNvSpPr/>
                              <wps:spPr>
                                <a:xfrm rot="-5399999">
                                  <a:off x="2298" y="707877"/>
                                  <a:ext cx="137908"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s:wsp>
                              <wps:cNvPr id="48848" name="Rectangle 48848"/>
                              <wps:cNvSpPr/>
                              <wps:spPr>
                                <a:xfrm rot="-5399999">
                                  <a:off x="-405386" y="197356"/>
                                  <a:ext cx="946578" cy="135804"/>
                                </a:xfrm>
                                <a:prstGeom prst="rect">
                                  <a:avLst/>
                                </a:prstGeom>
                                <a:ln>
                                  <a:noFill/>
                                </a:ln>
                              </wps:spPr>
                              <wps:txbx>
                                <w:txbxContent>
                                  <w:p w:rsidR="004D6F0E" w:rsidRDefault="00490F21">
                                    <w:pPr>
                                      <w:spacing w:after="160" w:line="259" w:lineRule="auto"/>
                                      <w:ind w:left="0" w:firstLine="0"/>
                                    </w:pPr>
                                    <w:r>
                                      <w:rPr>
                                        <w:sz w:val="16"/>
                                      </w:rPr>
                                      <w:t>全方位領航基金</w:t>
                                    </w:r>
                                  </w:p>
                                </w:txbxContent>
                              </wps:txbx>
                              <wps:bodyPr horzOverflow="overflow" vert="horz" lIns="0" tIns="0" rIns="0" bIns="0" rtlCol="0">
                                <a:noAutofit/>
                              </wps:bodyPr>
                            </wps:wsp>
                            <wps:wsp>
                              <wps:cNvPr id="48849" name="Rectangle 48849"/>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97768" o:spid="_x0000_s1410"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">
                      <v:rect id="Rectangle 48847" o:spid="_x0000_s1411" style="position:absolute;left:22;top:7079;width:1379;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v:rect id="Rectangle 48848" o:spid="_x0000_s1412" style="position:absolute;left:-4054;top:1974;width:946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" filled="f" stroked="f">
                        <v:textbox inset="0,0,0,0">
                          <w:txbxContent>
                            <w:p w:rsidR="004D6F0E" w:rsidRDefault="00490F21">
                              <w:pPr>
                                <w:spacing w:after="160" w:line="259" w:lineRule="auto"/>
                                <w:ind w:left="0" w:firstLine="0"/>
                              </w:pPr>
                              <w:r>
                                <w:rPr>
                                  <w:sz w:val="16"/>
                                </w:rPr>
                                <w:t>全方位領航基金</w:t>
                              </w:r>
                            </w:p>
                          </w:txbxContent>
                        </v:textbox>
                      </v:rect>
                      <v:rect id="Rectangle 48849" o:spid="_x0000_s1413"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r>
      <w:tr w:rsidR="004D6F0E">
        <w:trPr>
          <w:trHeight w:val="240"/>
        </w:trPr>
        <w:tc>
          <w:tcPr>
            <w:tcW w:w="348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投資策略風險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45" w:firstLine="0"/>
              <w:jc w:val="center"/>
            </w:pPr>
            <w:r>
              <w:rPr>
                <w:rFonts w:ascii="Arial" w:eastAsia="Arial" w:hAnsi="Arial" w:cs="Arial"/>
                <w:sz w:val="16"/>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國家風險</w:t>
            </w:r>
            <w:r>
              <w:rPr>
                <w:rFonts w:ascii="Arial" w:eastAsia="Arial" w:hAnsi="Arial" w:cs="Arial"/>
                <w:sz w:val="16"/>
              </w:rPr>
              <w:t>—</w:t>
            </w:r>
            <w:r>
              <w:rPr>
                <w:sz w:val="16"/>
              </w:rPr>
              <w:t>新興市場</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國家風險</w:t>
            </w:r>
            <w:r>
              <w:rPr>
                <w:rFonts w:ascii="Arial" w:eastAsia="Arial" w:hAnsi="Arial" w:cs="Arial"/>
                <w:sz w:val="16"/>
              </w:rPr>
              <w:t>—</w:t>
            </w:r>
            <w:r>
              <w:rPr>
                <w:sz w:val="16"/>
              </w:rPr>
              <w:t>中國</w:t>
            </w:r>
            <w:r>
              <w:rPr>
                <w:rFonts w:ascii="Arial" w:eastAsia="Arial" w:hAnsi="Arial" w:cs="Arial"/>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33"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基金投資集中風險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33" w:firstLine="0"/>
              <w:jc w:val="center"/>
            </w:pPr>
            <w:r>
              <w:rPr>
                <w:rFonts w:ascii="Arial" w:eastAsia="Arial" w:hAnsi="Arial" w:cs="Arial"/>
                <w:sz w:val="12"/>
              </w:rPr>
              <w:t xml:space="preserve"> </w:t>
            </w:r>
          </w:p>
        </w:tc>
      </w:tr>
      <w:tr w:rsidR="004D6F0E">
        <w:trPr>
          <w:trHeight w:val="235"/>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動態資產分配風險</w:t>
            </w:r>
            <w:r>
              <w:rPr>
                <w:rFonts w:ascii="Arial" w:eastAsia="Arial" w:hAnsi="Arial" w:cs="Arial"/>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33"/>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分配風險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70"/>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成交額風險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小市值公司風險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70"/>
        </w:trPr>
        <w:tc>
          <w:tcPr>
            <w:tcW w:w="3480"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pPr>
            <w:r>
              <w:rPr>
                <w:sz w:val="16"/>
              </w:rPr>
              <w:t>金融工具風險</w:t>
            </w:r>
            <w:r>
              <w:rPr>
                <w:rFonts w:ascii="Arial" w:eastAsia="Arial" w:hAnsi="Arial" w:cs="Arial"/>
                <w:sz w:val="16"/>
                <w:vertAlign w:val="subscript"/>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D6F0E">
            <w:pPr>
              <w:spacing w:after="160" w:line="259" w:lineRule="auto"/>
              <w:ind w:left="0" w:firstLine="0"/>
            </w:pPr>
          </w:p>
        </w:tc>
      </w:tr>
      <w:tr w:rsidR="004D6F0E">
        <w:trPr>
          <w:trHeight w:val="270"/>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衍生工具風險</w:t>
            </w:r>
            <w:r>
              <w:rPr>
                <w:rFonts w:ascii="Arial" w:eastAsia="Arial" w:hAnsi="Arial" w:cs="Arial"/>
                <w:b/>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71"/>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場外衍生工具對手方風險</w:t>
            </w:r>
            <w:r>
              <w:rPr>
                <w:rFonts w:ascii="Arial" w:eastAsia="Arial" w:hAnsi="Arial" w:cs="Arial"/>
                <w:b/>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70"/>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商品相關風險</w:t>
            </w:r>
            <w:r>
              <w:rPr>
                <w:rFonts w:ascii="Arial" w:eastAsia="Arial" w:hAnsi="Arial" w:cs="Arial"/>
                <w:b/>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71"/>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結構化工具風險</w:t>
            </w:r>
            <w:r>
              <w:rPr>
                <w:rFonts w:ascii="Arial" w:eastAsia="Arial" w:hAnsi="Arial" w:cs="Arial"/>
                <w:b/>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316"/>
        </w:trPr>
        <w:tc>
          <w:tcPr>
            <w:tcW w:w="348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股本證券風險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33" w:firstLine="0"/>
              <w:jc w:val="center"/>
            </w:pPr>
            <w:r>
              <w:rPr>
                <w:rFonts w:ascii="Arial" w:eastAsia="Arial" w:hAnsi="Arial" w:cs="Arial"/>
                <w:sz w:val="12"/>
              </w:rPr>
              <w:t xml:space="preserve"> </w:t>
            </w:r>
          </w:p>
        </w:tc>
      </w:tr>
      <w:tr w:rsidR="004D6F0E">
        <w:trPr>
          <w:trHeight w:val="270"/>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股本證券風險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70"/>
        </w:trPr>
        <w:tc>
          <w:tcPr>
            <w:tcW w:w="348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債務證券風險</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33" w:firstLine="0"/>
              <w:jc w:val="center"/>
            </w:pPr>
            <w:r>
              <w:rPr>
                <w:rFonts w:ascii="Arial" w:eastAsia="Arial" w:hAnsi="Arial" w:cs="Arial"/>
                <w:sz w:val="12"/>
              </w:rPr>
              <w:t xml:space="preserve"> </w:t>
            </w:r>
          </w:p>
        </w:tc>
      </w:tr>
      <w:tr w:rsidR="004D6F0E">
        <w:trPr>
          <w:trHeight w:val="270"/>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固定收益證券風險</w:t>
            </w:r>
            <w:r>
              <w:rPr>
                <w:rFonts w:ascii="Arial" w:eastAsia="Arial" w:hAnsi="Arial" w:cs="Arial"/>
                <w:sz w:val="16"/>
              </w:rPr>
              <w:t>—</w:t>
            </w:r>
            <w:r>
              <w:rPr>
                <w:sz w:val="16"/>
              </w:rPr>
              <w:t>一般</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固定收益證券風險</w:t>
            </w:r>
            <w:r>
              <w:rPr>
                <w:rFonts w:ascii="Arial" w:eastAsia="Arial" w:hAnsi="Arial" w:cs="Arial"/>
                <w:sz w:val="16"/>
              </w:rPr>
              <w:t>—</w:t>
            </w:r>
            <w:r>
              <w:rPr>
                <w:sz w:val="16"/>
              </w:rPr>
              <w:t>較低評級及無評級工具</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信用風險</w:t>
            </w:r>
            <w:r>
              <w:rPr>
                <w:rFonts w:ascii="Arial" w:eastAsia="Arial" w:hAnsi="Arial" w:cs="Arial"/>
                <w:sz w:val="16"/>
              </w:rPr>
              <w:t>—</w:t>
            </w:r>
            <w:r>
              <w:rPr>
                <w:sz w:val="16"/>
              </w:rPr>
              <w:t>國家債務</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tcPr>
          <w:p w:rsidR="004D6F0E" w:rsidRDefault="00490F21">
            <w:pPr>
              <w:spacing w:after="0" w:line="259" w:lineRule="auto"/>
              <w:ind w:left="0" w:firstLine="0"/>
            </w:pPr>
            <w:r>
              <w:rPr>
                <w:sz w:val="16"/>
              </w:rPr>
              <w:t>信用風險</w:t>
            </w:r>
            <w:r>
              <w:rPr>
                <w:rFonts w:ascii="Arial" w:eastAsia="Arial" w:hAnsi="Arial" w:cs="Arial"/>
                <w:sz w:val="16"/>
              </w:rPr>
              <w:t>—</w:t>
            </w:r>
            <w:r>
              <w:rPr>
                <w:sz w:val="16"/>
              </w:rPr>
              <w:t>公司債務</w:t>
            </w:r>
            <w:r>
              <w:rPr>
                <w:rFonts w:ascii="Arial" w:eastAsia="Arial" w:hAnsi="Arial" w:cs="Arial"/>
                <w:sz w:val="24"/>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jc w:val="center"/>
            </w:pPr>
            <w:r>
              <w:rPr>
                <w:rFonts w:ascii="Arial" w:eastAsia="Arial" w:hAnsi="Arial" w:cs="Arial"/>
                <w:sz w:val="12"/>
              </w:rPr>
              <w:t xml:space="preserve">● </w:t>
            </w:r>
          </w:p>
        </w:tc>
      </w:tr>
      <w:tr w:rsidR="004D6F0E">
        <w:trPr>
          <w:trHeight w:val="269"/>
        </w:trPr>
        <w:tc>
          <w:tcPr>
            <w:tcW w:w="348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證券借貸風險</w:t>
            </w:r>
            <w:r>
              <w:rPr>
                <w:rFonts w:ascii="Arial" w:eastAsia="Arial" w:hAnsi="Arial" w:cs="Arial"/>
                <w:b/>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0" w:firstLine="0"/>
            </w:pPr>
            <w:r>
              <w:rPr>
                <w:rFonts w:ascii="Arial" w:eastAsia="Arial" w:hAnsi="Arial" w:cs="Arial"/>
                <w:sz w:val="12"/>
              </w:rPr>
              <w:t xml:space="preserve"> </w:t>
            </w:r>
          </w:p>
        </w:tc>
      </w:tr>
      <w:tr w:rsidR="004D6F0E">
        <w:trPr>
          <w:trHeight w:val="268"/>
        </w:trPr>
        <w:tc>
          <w:tcPr>
            <w:tcW w:w="348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sz w:val="16"/>
              </w:rPr>
              <w:t>可持續性風險</w:t>
            </w:r>
            <w:r>
              <w:rPr>
                <w:rFonts w:ascii="Arial" w:eastAsia="Arial" w:hAnsi="Arial" w:cs="Arial"/>
                <w:b/>
                <w:sz w:val="16"/>
              </w:rPr>
              <w:t xml:space="preserve"> </w:t>
            </w:r>
          </w:p>
        </w:tc>
        <w:tc>
          <w:tcPr>
            <w:tcW w:w="902" w:type="dxa"/>
            <w:tcBorders>
              <w:top w:val="single" w:sz="4" w:space="0" w:color="000000"/>
              <w:left w:val="nil"/>
              <w:bottom w:val="single" w:sz="4" w:space="0" w:color="000000"/>
              <w:right w:val="nil"/>
            </w:tcBorders>
            <w:shd w:val="clear" w:color="auto" w:fill="DDDDDD"/>
          </w:tcPr>
          <w:p w:rsidR="004D6F0E" w:rsidRDefault="00490F21">
            <w:pPr>
              <w:spacing w:after="0" w:line="259" w:lineRule="auto"/>
              <w:ind w:left="120" w:firstLine="0"/>
              <w:jc w:val="center"/>
            </w:pPr>
            <w:r>
              <w:rPr>
                <w:rFonts w:ascii="Arial" w:eastAsia="Arial" w:hAnsi="Arial" w:cs="Arial"/>
                <w:sz w:val="12"/>
              </w:rPr>
              <w:t xml:space="preserve">● </w:t>
            </w:r>
          </w:p>
        </w:tc>
      </w:tr>
    </w:tbl>
    <w:p w:rsidR="004D6F0E" w:rsidRDefault="00490F21">
      <w:pPr>
        <w:spacing w:after="0" w:line="259" w:lineRule="auto"/>
        <w:ind w:left="271" w:firstLine="0"/>
      </w:pPr>
      <w:r>
        <w:rPr>
          <w:rFonts w:ascii="Arial" w:eastAsia="Arial" w:hAnsi="Arial" w:cs="Arial"/>
          <w:sz w:val="23"/>
        </w:rPr>
        <w:t xml:space="preserve"> </w:t>
      </w:r>
    </w:p>
    <w:p w:rsidR="004D6F0E" w:rsidRDefault="00490F21">
      <w:pPr>
        <w:spacing w:after="0" w:line="259" w:lineRule="auto"/>
        <w:ind w:left="271" w:firstLine="0"/>
      </w:pPr>
      <w:r>
        <w:rPr>
          <w:rFonts w:ascii="Arial" w:eastAsia="Arial" w:hAnsi="Arial" w:cs="Arial"/>
          <w:sz w:val="23"/>
        </w:rPr>
        <w:t xml:space="preserve"> </w:t>
      </w:r>
    </w:p>
    <w:p w:rsidR="004D6F0E" w:rsidRDefault="00490F21">
      <w:pPr>
        <w:spacing w:after="0" w:line="259" w:lineRule="auto"/>
        <w:ind w:left="271" w:firstLine="0"/>
      </w:pPr>
      <w:r>
        <w:rPr>
          <w:rFonts w:ascii="Arial" w:eastAsia="Arial" w:hAnsi="Arial" w:cs="Arial"/>
          <w:sz w:val="23"/>
        </w:rPr>
        <w:t xml:space="preserve"> </w:t>
      </w:r>
    </w:p>
    <w:p w:rsidR="004D6F0E" w:rsidRDefault="00490F21">
      <w:pPr>
        <w:spacing w:after="1435" w:line="259" w:lineRule="auto"/>
        <w:ind w:left="0" w:firstLine="0"/>
      </w:pPr>
      <w:r>
        <w:rPr>
          <w:rFonts w:ascii="Arial" w:eastAsia="Arial" w:hAnsi="Arial" w:cs="Arial"/>
          <w:sz w:val="23"/>
        </w:rPr>
        <w:t xml:space="preserve"> </w:t>
      </w:r>
    </w:p>
    <w:p w:rsidR="004D6F0E" w:rsidRDefault="00490F21">
      <w:pPr>
        <w:spacing w:after="0" w:line="259" w:lineRule="auto"/>
        <w:ind w:left="0" w:firstLine="0"/>
      </w:pPr>
      <w:r>
        <w:rPr>
          <w:rFonts w:ascii="Times New Roman" w:eastAsia="Times New Roman" w:hAnsi="Times New Roman" w:cs="Times New Roman"/>
        </w:rPr>
        <w:t xml:space="preserve"> </w:t>
      </w:r>
    </w:p>
    <w:p w:rsidR="004D6F0E" w:rsidRDefault="00490F21">
      <w:pPr>
        <w:spacing w:after="3" w:line="259" w:lineRule="auto"/>
        <w:ind w:right="4" w:hanging="10"/>
        <w:jc w:val="center"/>
      </w:pPr>
      <w:r>
        <w:rPr>
          <w:rFonts w:ascii="Times New Roman" w:eastAsia="Times New Roman" w:hAnsi="Times New Roman" w:cs="Times New Roman"/>
          <w:sz w:val="20"/>
        </w:rPr>
        <w:t xml:space="preserve">II-24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pStyle w:val="Heading3"/>
        <w:spacing w:after="6" w:line="257" w:lineRule="auto"/>
        <w:ind w:left="8"/>
      </w:pPr>
      <w:r>
        <w:rPr>
          <w:sz w:val="24"/>
        </w:rPr>
        <w:t>股票</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18"/>
        </w:rPr>
        <w:t xml:space="preserve"> </w:t>
      </w:r>
    </w:p>
    <w:tbl>
      <w:tblPr>
        <w:tblStyle w:val="TableGrid"/>
        <w:tblW w:w="3782" w:type="dxa"/>
        <w:tblInd w:w="0" w:type="dxa"/>
        <w:tblCellMar>
          <w:top w:w="28" w:type="dxa"/>
          <w:left w:w="0" w:type="dxa"/>
          <w:bottom w:w="0" w:type="dxa"/>
          <w:right w:w="115" w:type="dxa"/>
        </w:tblCellMar>
        <w:tblLook w:val="04A0" w:firstRow="1" w:lastRow="0" w:firstColumn="1" w:lastColumn="0" w:noHBand="0" w:noVBand="1"/>
      </w:tblPr>
      <w:tblGrid>
        <w:gridCol w:w="2356"/>
        <w:gridCol w:w="576"/>
        <w:gridCol w:w="850"/>
      </w:tblGrid>
      <w:tr w:rsidR="004D6F0E">
        <w:trPr>
          <w:trHeight w:val="2443"/>
        </w:trPr>
        <w:tc>
          <w:tcPr>
            <w:tcW w:w="2357" w:type="dxa"/>
            <w:tcBorders>
              <w:top w:val="nil"/>
              <w:left w:val="nil"/>
              <w:bottom w:val="single" w:sz="4" w:space="0" w:color="000000"/>
              <w:right w:val="nil"/>
            </w:tcBorders>
            <w:vAlign w:val="center"/>
          </w:tcPr>
          <w:p w:rsidR="004D6F0E" w:rsidRDefault="00490F21">
            <w:pPr>
              <w:spacing w:after="0" w:line="259" w:lineRule="auto"/>
              <w:ind w:left="115" w:firstLine="0"/>
            </w:pPr>
            <w:r>
              <w:rPr>
                <w:rFonts w:ascii="Arial" w:eastAsia="Arial" w:hAnsi="Arial" w:cs="Arial"/>
                <w:b/>
                <w:sz w:val="16"/>
              </w:rPr>
              <w:t xml:space="preserve"> </w:t>
            </w:r>
          </w:p>
        </w:tc>
        <w:tc>
          <w:tcPr>
            <w:tcW w:w="576" w:type="dxa"/>
            <w:tcBorders>
              <w:top w:val="nil"/>
              <w:left w:val="nil"/>
              <w:bottom w:val="single" w:sz="4" w:space="0" w:color="000000"/>
              <w:right w:val="nil"/>
            </w:tcBorders>
          </w:tcPr>
          <w:p w:rsidR="004D6F0E" w:rsidRDefault="00490F21">
            <w:pPr>
              <w:spacing w:after="0" w:line="259" w:lineRule="auto"/>
              <w:ind w:left="145" w:firstLine="0"/>
            </w:pPr>
            <w:r>
              <w:rPr>
                <w:rFonts w:ascii="Calibri" w:eastAsia="Calibri" w:hAnsi="Calibri" w:cs="Calibri"/>
                <w:noProof/>
                <w:sz w:val="22"/>
              </w:rPr>
              <mc:AlternateContent>
                <mc:Choice Requires="wpg">
                  <w:drawing>
                    <wp:inline distT="0" distB="0" distL="0" distR="0">
                      <wp:extent cx="103404" cy="840655"/>
                      <wp:effectExtent l="0" t="0" r="0" b="0"/>
                      <wp:docPr id="598731" name="Group 598731"/>
                      <wp:cNvGraphicFramePr/>
                      <a:graphic xmlns:a="http://schemas.openxmlformats.org/drawingml/2006/main">
                        <a:graphicData uri="http://schemas.microsoft.com/office/word/2010/wordprocessingGroup">
                          <wpg:wgp>
                            <wpg:cNvGrpSpPr/>
                            <wpg:grpSpPr>
                              <a:xfrm>
                                <a:off x="0" y="0"/>
                                <a:ext cx="103404" cy="840655"/>
                                <a:chOff x="0" y="0"/>
                                <a:chExt cx="103404" cy="840655"/>
                              </a:xfrm>
                            </wpg:grpSpPr>
                            <wps:wsp>
                              <wps:cNvPr id="49087" name="Rectangle 49087"/>
                              <wps:cNvSpPr/>
                              <wps:spPr>
                                <a:xfrm rot="-5399999">
                                  <a:off x="-473288" y="231562"/>
                                  <a:ext cx="1082382" cy="135804"/>
                                </a:xfrm>
                                <a:prstGeom prst="rect">
                                  <a:avLst/>
                                </a:prstGeom>
                                <a:ln>
                                  <a:noFill/>
                                </a:ln>
                              </wps:spPr>
                              <wps:txbx>
                                <w:txbxContent>
                                  <w:p w:rsidR="004D6F0E" w:rsidRDefault="00490F21">
                                    <w:pPr>
                                      <w:spacing w:after="160" w:line="259" w:lineRule="auto"/>
                                      <w:ind w:left="0" w:firstLine="0"/>
                                    </w:pPr>
                                    <w:r>
                                      <w:rPr>
                                        <w:sz w:val="16"/>
                                      </w:rPr>
                                      <w:t>環球股票策略基金</w:t>
                                    </w:r>
                                  </w:p>
                                </w:txbxContent>
                              </wps:txbx>
                              <wps:bodyPr horzOverflow="overflow" vert="horz" lIns="0" tIns="0" rIns="0" bIns="0" rtlCol="0">
                                <a:noAutofit/>
                              </wps:bodyPr>
                            </wps:wsp>
                            <wps:wsp>
                              <wps:cNvPr id="49088" name="Rectangle 49088"/>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598731" o:spid="_x0000_s1414"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">
                      <v:rect id="Rectangle 49087" o:spid="_x0000_s1415" style="position:absolute;left:-4733;top:231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環球股票策略基金</w:t>
                              </w:r>
                            </w:p>
                          </w:txbxContent>
                        </v:textbox>
                      </v:rect>
                      <v:rect id="Rectangle 49088" o:spid="_x0000_s1416"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850" w:type="dxa"/>
            <w:tcBorders>
              <w:top w:val="nil"/>
              <w:left w:val="nil"/>
              <w:bottom w:val="single" w:sz="4" w:space="0" w:color="000000"/>
              <w:right w:val="nil"/>
            </w:tcBorders>
            <w:shd w:val="clear" w:color="auto" w:fill="D9D9D9"/>
          </w:tcPr>
          <w:p w:rsidR="004D6F0E" w:rsidRDefault="00490F21">
            <w:pPr>
              <w:spacing w:after="0" w:line="259" w:lineRule="auto"/>
              <w:ind w:left="293" w:firstLine="0"/>
            </w:pPr>
            <w:r>
              <w:rPr>
                <w:rFonts w:ascii="Calibri" w:eastAsia="Calibri" w:hAnsi="Calibri" w:cs="Calibri"/>
                <w:noProof/>
                <w:sz w:val="22"/>
              </w:rPr>
              <mc:AlternateContent>
                <mc:Choice Requires="wpg">
                  <w:drawing>
                    <wp:inline distT="0" distB="0" distL="0" distR="0">
                      <wp:extent cx="143247" cy="854659"/>
                      <wp:effectExtent l="0" t="0" r="0" b="0"/>
                      <wp:docPr id="598735" name="Group 598735"/>
                      <wp:cNvGraphicFramePr/>
                      <a:graphic xmlns:a="http://schemas.openxmlformats.org/drawingml/2006/main">
                        <a:graphicData uri="http://schemas.microsoft.com/office/word/2010/wordprocessingGroup">
                          <wpg:wgp>
                            <wpg:cNvGrpSpPr/>
                            <wpg:grpSpPr>
                              <a:xfrm>
                                <a:off x="0" y="0"/>
                                <a:ext cx="143247" cy="854659"/>
                                <a:chOff x="0" y="0"/>
                                <a:chExt cx="143247" cy="854659"/>
                              </a:xfrm>
                            </wpg:grpSpPr>
                            <wps:wsp>
                              <wps:cNvPr id="49091" name="Rectangle 49091"/>
                              <wps:cNvSpPr/>
                              <wps:spPr>
                                <a:xfrm rot="-5399999">
                                  <a:off x="-444103" y="245567"/>
                                  <a:ext cx="1082382" cy="135804"/>
                                </a:xfrm>
                                <a:prstGeom prst="rect">
                                  <a:avLst/>
                                </a:prstGeom>
                                <a:ln>
                                  <a:noFill/>
                                </a:ln>
                              </wps:spPr>
                              <wps:txbx>
                                <w:txbxContent>
                                  <w:p w:rsidR="004D6F0E" w:rsidRDefault="00490F21">
                                    <w:pPr>
                                      <w:spacing w:after="160" w:line="259" w:lineRule="auto"/>
                                      <w:ind w:left="0" w:firstLine="0"/>
                                    </w:pPr>
                                    <w:r>
                                      <w:rPr>
                                        <w:sz w:val="16"/>
                                      </w:rPr>
                                      <w:t>新興市場增長基金</w:t>
                                    </w:r>
                                  </w:p>
                                </w:txbxContent>
                              </wps:txbx>
                              <wps:bodyPr horzOverflow="overflow" vert="horz" lIns="0" tIns="0" rIns="0" bIns="0" rtlCol="0">
                                <a:noAutofit/>
                              </wps:bodyPr>
                            </wps:wsp>
                            <wps:wsp>
                              <wps:cNvPr id="49092" name="Rectangle 49092"/>
                              <wps:cNvSpPr/>
                              <wps:spPr>
                                <a:xfrm rot="-5399999">
                                  <a:off x="67085" y="-81065"/>
                                  <a:ext cx="56348" cy="190519"/>
                                </a:xfrm>
                                <a:prstGeom prst="rect">
                                  <a:avLst/>
                                </a:prstGeom>
                                <a:ln>
                                  <a:noFill/>
                                </a:ln>
                              </wps:spPr>
                              <wps:txbx>
                                <w:txbxContent>
                                  <w:p w:rsidR="004D6F0E" w:rsidRDefault="00490F21">
                                    <w:pPr>
                                      <w:spacing w:after="160" w:line="259" w:lineRule="auto"/>
                                      <w:ind w:left="0" w:firstLine="0"/>
                                    </w:pPr>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id="Group 598735" o:spid="_x0000_s1417" style="width:11.3pt;height:67.3pt;mso-position-horizontal-relative:char;mso-position-vertical-relative:line" coordsize="1432,8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">
                      <v:rect id="Rectangle 49091" o:spid="_x0000_s1418" style="position:absolute;left:-4442;top:245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" filled="f" stroked="f">
                        <v:textbox inset="0,0,0,0">
                          <w:txbxContent>
                            <w:p w:rsidR="004D6F0E" w:rsidRDefault="00490F21">
                              <w:pPr>
                                <w:spacing w:after="160" w:line="259" w:lineRule="auto"/>
                                <w:ind w:left="0" w:firstLine="0"/>
                              </w:pPr>
                              <w:r>
                                <w:rPr>
                                  <w:sz w:val="16"/>
                                </w:rPr>
                                <w:t>新興市場增長基金</w:t>
                              </w:r>
                            </w:p>
                          </w:txbxContent>
                        </v:textbox>
                      </v:rect>
                      <v:rect id="Rectangle 49092" o:spid="_x0000_s1419" style="position:absolute;left:672;top:-811;width:562;height:1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24"/>
                                </w:rPr>
                                <w:t xml:space="preserve"> </w:t>
                              </w:r>
                            </w:p>
                          </w:txbxContent>
                        </v:textbox>
                      </v:rect>
                      <w10:anchorlock/>
                    </v:group>
                  </w:pict>
                </mc:Fallback>
              </mc:AlternateContent>
            </w:r>
          </w:p>
        </w:tc>
      </w:tr>
      <w:tr w:rsidR="004D6F0E">
        <w:trPr>
          <w:trHeight w:val="296"/>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投資策略風險</w:t>
            </w:r>
            <w:r>
              <w:rPr>
                <w:rFonts w:ascii="Arial" w:eastAsia="Arial" w:hAnsi="Arial" w:cs="Arial"/>
                <w:sz w:val="16"/>
              </w:rPr>
              <w:t xml:space="preserve"> </w:t>
            </w:r>
          </w:p>
        </w:tc>
        <w:tc>
          <w:tcPr>
            <w:tcW w:w="57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rFonts w:ascii="Arial" w:eastAsia="Arial" w:hAnsi="Arial" w:cs="Arial"/>
                <w:sz w:val="12"/>
              </w:rPr>
              <w:t xml:space="preserve"> </w:t>
            </w:r>
          </w:p>
        </w:tc>
      </w:tr>
      <w:tr w:rsidR="004D6F0E">
        <w:trPr>
          <w:trHeight w:val="270"/>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國家風險</w:t>
            </w:r>
            <w:r>
              <w:rPr>
                <w:rFonts w:ascii="Arial" w:eastAsia="Arial" w:hAnsi="Arial" w:cs="Arial"/>
                <w:sz w:val="16"/>
              </w:rPr>
              <w:t>—</w:t>
            </w:r>
            <w:r>
              <w:rPr>
                <w:sz w:val="16"/>
              </w:rPr>
              <w:t>新興市場</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國家風險</w:t>
            </w:r>
            <w:r>
              <w:rPr>
                <w:rFonts w:ascii="Arial" w:eastAsia="Arial" w:hAnsi="Arial" w:cs="Arial"/>
                <w:sz w:val="16"/>
              </w:rPr>
              <w:t>—</w:t>
            </w:r>
            <w:r>
              <w:rPr>
                <w:sz w:val="16"/>
              </w:rPr>
              <w:t>中國</w:t>
            </w:r>
            <w:r>
              <w:rPr>
                <w:rFonts w:ascii="Arial" w:eastAsia="Arial" w:hAnsi="Arial" w:cs="Arial"/>
                <w:sz w:val="16"/>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基金投資集中風險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動態資產分配風險</w:t>
            </w:r>
            <w:r>
              <w:rPr>
                <w:rFonts w:ascii="Arial" w:eastAsia="Arial" w:hAnsi="Arial" w:cs="Arial"/>
                <w:sz w:val="16"/>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33"/>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分配風險</w:t>
            </w:r>
            <w:r>
              <w:rPr>
                <w:rFonts w:ascii="Arial" w:eastAsia="Arial" w:hAnsi="Arial" w:cs="Arial"/>
                <w:sz w:val="16"/>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70"/>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成交額風險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小市值公司風險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71"/>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金融工具風險</w:t>
            </w:r>
            <w:r>
              <w:rPr>
                <w:rFonts w:ascii="Arial" w:eastAsia="Arial" w:hAnsi="Arial" w:cs="Arial"/>
                <w:sz w:val="16"/>
              </w:rPr>
              <w:t xml:space="preserve"> </w:t>
            </w:r>
          </w:p>
        </w:tc>
        <w:tc>
          <w:tcPr>
            <w:tcW w:w="57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70"/>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衍生工具風險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71"/>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場外衍生工具對手方風險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194" w:firstLine="0"/>
            </w:pPr>
            <w:r>
              <w:rPr>
                <w:rFonts w:ascii="Arial" w:eastAsia="Arial" w:hAnsi="Arial" w:cs="Arial"/>
                <w:sz w:val="12"/>
              </w:rPr>
              <w:t>●</w:t>
            </w:r>
            <w:r>
              <w:rPr>
                <w:rFonts w:ascii="Arial" w:eastAsia="Arial" w:hAnsi="Arial" w:cs="Arial"/>
                <w:sz w:val="16"/>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w:t>
            </w:r>
            <w:r>
              <w:rPr>
                <w:rFonts w:ascii="Arial" w:eastAsia="Arial" w:hAnsi="Arial" w:cs="Arial"/>
                <w:sz w:val="16"/>
              </w:rPr>
              <w:t xml:space="preserve"> </w:t>
            </w:r>
          </w:p>
        </w:tc>
      </w:tr>
      <w:tr w:rsidR="004D6F0E">
        <w:trPr>
          <w:trHeight w:val="271"/>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商品相關風險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6"/>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60" w:firstLine="0"/>
              <w:jc w:val="center"/>
            </w:pPr>
            <w:r>
              <w:rPr>
                <w:rFonts w:ascii="Arial" w:eastAsia="Arial" w:hAnsi="Arial" w:cs="Arial"/>
                <w:sz w:val="16"/>
              </w:rPr>
              <w:t xml:space="preserve"> </w:t>
            </w:r>
          </w:p>
        </w:tc>
      </w:tr>
      <w:tr w:rsidR="004D6F0E">
        <w:trPr>
          <w:trHeight w:val="271"/>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結構化工具風險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6"/>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60" w:firstLine="0"/>
              <w:jc w:val="center"/>
            </w:pPr>
            <w:r>
              <w:rPr>
                <w:rFonts w:ascii="Arial" w:eastAsia="Arial" w:hAnsi="Arial" w:cs="Arial"/>
                <w:sz w:val="16"/>
              </w:rPr>
              <w:t xml:space="preserve"> </w:t>
            </w:r>
          </w:p>
        </w:tc>
      </w:tr>
      <w:tr w:rsidR="004D6F0E">
        <w:trPr>
          <w:trHeight w:val="240"/>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股本證券風險</w:t>
            </w:r>
            <w:r>
              <w:rPr>
                <w:rFonts w:ascii="Arial" w:eastAsia="Arial" w:hAnsi="Arial" w:cs="Arial"/>
                <w:sz w:val="16"/>
              </w:rPr>
              <w:t xml:space="preserve"> </w:t>
            </w:r>
          </w:p>
        </w:tc>
        <w:tc>
          <w:tcPr>
            <w:tcW w:w="57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股本證券風險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40"/>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債務證券風險</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固定收益證券風險</w:t>
            </w:r>
            <w:r>
              <w:rPr>
                <w:rFonts w:ascii="Arial" w:eastAsia="Arial" w:hAnsi="Arial" w:cs="Arial"/>
                <w:sz w:val="16"/>
              </w:rPr>
              <w:t>—</w:t>
            </w:r>
            <w:r>
              <w:rPr>
                <w:sz w:val="16"/>
              </w:rPr>
              <w:t>一般</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427"/>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固定收益證券風險</w:t>
            </w:r>
            <w:r>
              <w:rPr>
                <w:rFonts w:ascii="Arial" w:eastAsia="Arial" w:hAnsi="Arial" w:cs="Arial"/>
                <w:sz w:val="16"/>
              </w:rPr>
              <w:t>—</w:t>
            </w:r>
            <w:r>
              <w:rPr>
                <w:sz w:val="16"/>
              </w:rPr>
              <w:t>較低評級及無評級工具</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vAlign w:val="center"/>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vAlign w:val="center"/>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信用風險</w:t>
            </w:r>
            <w:r>
              <w:rPr>
                <w:rFonts w:ascii="Arial" w:eastAsia="Arial" w:hAnsi="Arial" w:cs="Arial"/>
                <w:sz w:val="16"/>
              </w:rPr>
              <w:t>—</w:t>
            </w:r>
            <w:r>
              <w:rPr>
                <w:sz w:val="16"/>
              </w:rPr>
              <w:t>國家債務</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信用風險</w:t>
            </w:r>
            <w:r>
              <w:rPr>
                <w:rFonts w:ascii="Arial" w:eastAsia="Arial" w:hAnsi="Arial" w:cs="Arial"/>
                <w:sz w:val="16"/>
              </w:rPr>
              <w:t>—</w:t>
            </w:r>
            <w:r>
              <w:rPr>
                <w:sz w:val="16"/>
              </w:rPr>
              <w:t>公司債務</w:t>
            </w:r>
            <w:r>
              <w:rPr>
                <w:rFonts w:ascii="Arial" w:eastAsia="Arial" w:hAnsi="Arial" w:cs="Arial"/>
                <w:sz w:val="24"/>
              </w:rPr>
              <w:t xml:space="preserve"> </w:t>
            </w:r>
          </w:p>
        </w:tc>
        <w:tc>
          <w:tcPr>
            <w:tcW w:w="576" w:type="dxa"/>
            <w:tcBorders>
              <w:top w:val="single" w:sz="4" w:space="0" w:color="000000"/>
              <w:left w:val="nil"/>
              <w:bottom w:val="single" w:sz="4" w:space="0" w:color="000000"/>
              <w:right w:val="nil"/>
            </w:tcBorders>
          </w:tcPr>
          <w:p w:rsidR="004D6F0E" w:rsidRDefault="00490F21">
            <w:pPr>
              <w:spacing w:after="0" w:line="259" w:lineRule="auto"/>
              <w:ind w:left="230"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證券借貸風險</w:t>
            </w:r>
            <w:r>
              <w:rPr>
                <w:rFonts w:ascii="Arial" w:eastAsia="Arial" w:hAnsi="Arial" w:cs="Arial"/>
                <w:b/>
                <w:sz w:val="16"/>
              </w:rPr>
              <w:t xml:space="preserve"> </w:t>
            </w:r>
          </w:p>
        </w:tc>
        <w:tc>
          <w:tcPr>
            <w:tcW w:w="57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8"/>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可持續性風險</w:t>
            </w:r>
            <w:r>
              <w:rPr>
                <w:rFonts w:ascii="Arial" w:eastAsia="Arial" w:hAnsi="Arial" w:cs="Arial"/>
                <w:b/>
                <w:sz w:val="16"/>
              </w:rPr>
              <w:t xml:space="preserve"> </w:t>
            </w:r>
          </w:p>
        </w:tc>
        <w:tc>
          <w:tcPr>
            <w:tcW w:w="576"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94" w:firstLine="0"/>
            </w:pPr>
            <w:r>
              <w:rPr>
                <w:rFonts w:ascii="Arial" w:eastAsia="Arial" w:hAnsi="Arial" w:cs="Arial"/>
                <w:sz w:val="12"/>
              </w:rPr>
              <w:t xml:space="preserve">● </w:t>
            </w:r>
          </w:p>
        </w:tc>
        <w:tc>
          <w:tcPr>
            <w:tcW w:w="85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bl>
    <w:p w:rsidR="004D6F0E" w:rsidRDefault="00490F21">
      <w:pPr>
        <w:spacing w:after="0" w:line="259" w:lineRule="auto"/>
        <w:ind w:left="0" w:firstLine="0"/>
        <w:jc w:val="both"/>
      </w:pPr>
      <w:r>
        <w:rPr>
          <w:rFonts w:ascii="Arial" w:eastAsia="Arial" w:hAnsi="Arial" w:cs="Arial"/>
          <w:sz w:val="24"/>
        </w:rPr>
        <w:t xml:space="preserve"> </w:t>
      </w:r>
      <w:r>
        <w:rPr>
          <w:rFonts w:ascii="Arial" w:eastAsia="Arial" w:hAnsi="Arial" w:cs="Arial"/>
          <w:sz w:val="24"/>
        </w:rPr>
        <w:tab/>
        <w:t xml:space="preserve"> </w:t>
      </w:r>
    </w:p>
    <w:tbl>
      <w:tblPr>
        <w:tblStyle w:val="TableGrid"/>
        <w:tblW w:w="4500" w:type="dxa"/>
        <w:tblInd w:w="0" w:type="dxa"/>
        <w:tblCellMar>
          <w:top w:w="28" w:type="dxa"/>
          <w:left w:w="0" w:type="dxa"/>
          <w:bottom w:w="0" w:type="dxa"/>
          <w:right w:w="115" w:type="dxa"/>
        </w:tblCellMar>
        <w:tblLook w:val="04A0" w:firstRow="1" w:lastRow="0" w:firstColumn="1" w:lastColumn="0" w:noHBand="0" w:noVBand="1"/>
      </w:tblPr>
      <w:tblGrid>
        <w:gridCol w:w="2357"/>
        <w:gridCol w:w="595"/>
        <w:gridCol w:w="708"/>
        <w:gridCol w:w="840"/>
      </w:tblGrid>
      <w:tr w:rsidR="004D6F0E">
        <w:trPr>
          <w:trHeight w:val="2442"/>
        </w:trPr>
        <w:tc>
          <w:tcPr>
            <w:tcW w:w="2357" w:type="dxa"/>
            <w:tcBorders>
              <w:top w:val="nil"/>
              <w:left w:val="nil"/>
              <w:bottom w:val="single" w:sz="4" w:space="0" w:color="000000"/>
              <w:right w:val="nil"/>
            </w:tcBorders>
            <w:vAlign w:val="center"/>
          </w:tcPr>
          <w:p w:rsidR="004D6F0E" w:rsidRDefault="00490F21">
            <w:pPr>
              <w:spacing w:after="0" w:line="259" w:lineRule="auto"/>
              <w:ind w:left="115" w:firstLine="0"/>
            </w:pPr>
            <w:r>
              <w:rPr>
                <w:rFonts w:ascii="Arial" w:eastAsia="Arial" w:hAnsi="Arial" w:cs="Arial"/>
                <w:b/>
                <w:sz w:val="16"/>
              </w:rPr>
              <w:t xml:space="preserve"> </w:t>
            </w:r>
          </w:p>
        </w:tc>
        <w:tc>
          <w:tcPr>
            <w:tcW w:w="595" w:type="dxa"/>
            <w:tcBorders>
              <w:top w:val="nil"/>
              <w:left w:val="nil"/>
              <w:bottom w:val="single" w:sz="4" w:space="0" w:color="000000"/>
              <w:right w:val="nil"/>
            </w:tcBorders>
          </w:tcPr>
          <w:p w:rsidR="004D6F0E" w:rsidRDefault="00490F21">
            <w:pPr>
              <w:spacing w:after="0" w:line="259" w:lineRule="auto"/>
              <w:ind w:left="154" w:firstLine="0"/>
            </w:pPr>
            <w:r>
              <w:rPr>
                <w:rFonts w:ascii="Calibri" w:eastAsia="Calibri" w:hAnsi="Calibri" w:cs="Calibri"/>
                <w:noProof/>
                <w:sz w:val="22"/>
              </w:rPr>
              <mc:AlternateContent>
                <mc:Choice Requires="wpg">
                  <w:drawing>
                    <wp:inline distT="0" distB="0" distL="0" distR="0">
                      <wp:extent cx="103404" cy="1247556"/>
                      <wp:effectExtent l="0" t="0" r="0" b="0"/>
                      <wp:docPr id="600377" name="Group 600377"/>
                      <wp:cNvGraphicFramePr/>
                      <a:graphic xmlns:a="http://schemas.openxmlformats.org/drawingml/2006/main">
                        <a:graphicData uri="http://schemas.microsoft.com/office/word/2010/wordprocessingGroup">
                          <wpg:wgp>
                            <wpg:cNvGrpSpPr/>
                            <wpg:grpSpPr>
                              <a:xfrm>
                                <a:off x="0" y="0"/>
                                <a:ext cx="103404" cy="1247556"/>
                                <a:chOff x="0" y="0"/>
                                <a:chExt cx="103404" cy="1247556"/>
                              </a:xfrm>
                            </wpg:grpSpPr>
                            <wps:wsp>
                              <wps:cNvPr id="49411" name="Rectangle 49411"/>
                              <wps:cNvSpPr/>
                              <wps:spPr>
                                <a:xfrm rot="-5399999">
                                  <a:off x="-743877" y="367874"/>
                                  <a:ext cx="1623560" cy="135804"/>
                                </a:xfrm>
                                <a:prstGeom prst="rect">
                                  <a:avLst/>
                                </a:prstGeom>
                                <a:ln>
                                  <a:noFill/>
                                </a:ln>
                              </wps:spPr>
                              <wps:txbx>
                                <w:txbxContent>
                                  <w:p w:rsidR="004D6F0E" w:rsidRDefault="00490F21">
                                    <w:pPr>
                                      <w:spacing w:after="160" w:line="259" w:lineRule="auto"/>
                                      <w:ind w:left="0" w:firstLine="0"/>
                                    </w:pPr>
                                    <w:r>
                                      <w:rPr>
                                        <w:sz w:val="16"/>
                                      </w:rPr>
                                      <w:t>亞洲（日本以外）股票基金</w:t>
                                    </w:r>
                                  </w:p>
                                </w:txbxContent>
                              </wps:txbx>
                              <wps:bodyPr horzOverflow="overflow" vert="horz" lIns="0" tIns="0" rIns="0" bIns="0" rtlCol="0">
                                <a:noAutofit/>
                              </wps:bodyPr>
                            </wps:wsp>
                            <wps:wsp>
                              <wps:cNvPr id="49412" name="Rectangle 49412"/>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0377" o:spid="_x0000_s1420" style="width:8.15pt;height:98.25pt;mso-position-horizontal-relative:char;mso-position-vertical-relative:line" coordsize="1034,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">
                      <v:rect id="Rectangle 49411" o:spid="_x0000_s1421" style="position:absolute;left:-7439;top:3679;width:1623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亞洲（日本以外）股票基金</w:t>
                              </w:r>
                            </w:p>
                          </w:txbxContent>
                        </v:textbox>
                      </v:rect>
                      <v:rect id="Rectangle 49412" o:spid="_x0000_s1422"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708" w:type="dxa"/>
            <w:tcBorders>
              <w:top w:val="nil"/>
              <w:left w:val="nil"/>
              <w:bottom w:val="single" w:sz="4" w:space="0" w:color="000000"/>
              <w:right w:val="nil"/>
            </w:tcBorders>
            <w:shd w:val="clear" w:color="auto" w:fill="D9D9D9"/>
          </w:tcPr>
          <w:p w:rsidR="004D6F0E" w:rsidRDefault="00490F21">
            <w:pPr>
              <w:spacing w:after="0" w:line="259" w:lineRule="auto"/>
              <w:ind w:left="267" w:firstLine="0"/>
            </w:pPr>
            <w:r>
              <w:rPr>
                <w:rFonts w:ascii="Calibri" w:eastAsia="Calibri" w:hAnsi="Calibri" w:cs="Calibri"/>
                <w:noProof/>
                <w:sz w:val="22"/>
              </w:rPr>
              <mc:AlternateContent>
                <mc:Choice Requires="wpg">
                  <w:drawing>
                    <wp:inline distT="0" distB="0" distL="0" distR="0">
                      <wp:extent cx="103404" cy="840677"/>
                      <wp:effectExtent l="0" t="0" r="0" b="0"/>
                      <wp:docPr id="600409" name="Group 600409"/>
                      <wp:cNvGraphicFramePr/>
                      <a:graphic xmlns:a="http://schemas.openxmlformats.org/drawingml/2006/main">
                        <a:graphicData uri="http://schemas.microsoft.com/office/word/2010/wordprocessingGroup">
                          <wpg:wgp>
                            <wpg:cNvGrpSpPr/>
                            <wpg:grpSpPr>
                              <a:xfrm>
                                <a:off x="0" y="0"/>
                                <a:ext cx="103404" cy="840677"/>
                                <a:chOff x="0" y="0"/>
                                <a:chExt cx="103404" cy="840677"/>
                              </a:xfrm>
                            </wpg:grpSpPr>
                            <wps:wsp>
                              <wps:cNvPr id="49415" name="Rectangle 49415"/>
                              <wps:cNvSpPr/>
                              <wps:spPr>
                                <a:xfrm rot="-5399999">
                                  <a:off x="-473288" y="231584"/>
                                  <a:ext cx="1082382" cy="135804"/>
                                </a:xfrm>
                                <a:prstGeom prst="rect">
                                  <a:avLst/>
                                </a:prstGeom>
                                <a:ln>
                                  <a:noFill/>
                                </a:ln>
                              </wps:spPr>
                              <wps:txbx>
                                <w:txbxContent>
                                  <w:p w:rsidR="004D6F0E" w:rsidRDefault="00490F21">
                                    <w:pPr>
                                      <w:spacing w:after="160" w:line="259" w:lineRule="auto"/>
                                      <w:ind w:left="0" w:firstLine="0"/>
                                    </w:pPr>
                                    <w:r>
                                      <w:rPr>
                                        <w:sz w:val="16"/>
                                      </w:rPr>
                                      <w:t>日本策略價值基金</w:t>
                                    </w:r>
                                  </w:p>
                                </w:txbxContent>
                              </wps:txbx>
                              <wps:bodyPr horzOverflow="overflow" vert="horz" lIns="0" tIns="0" rIns="0" bIns="0" rtlCol="0">
                                <a:noAutofit/>
                              </wps:bodyPr>
                            </wps:wsp>
                            <wps:wsp>
                              <wps:cNvPr id="49416" name="Rectangle 49416"/>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0409" o:spid="_x0000_s1423"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">
                      <v:rect id="Rectangle 49415" o:spid="_x0000_s1424" style="position:absolute;left:-4733;top:231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" filled="f" stroked="f">
                        <v:textbox inset="0,0,0,0">
                          <w:txbxContent>
                            <w:p w:rsidR="004D6F0E" w:rsidRDefault="00490F21">
                              <w:pPr>
                                <w:spacing w:after="160" w:line="259" w:lineRule="auto"/>
                                <w:ind w:left="0" w:firstLine="0"/>
                              </w:pPr>
                              <w:r>
                                <w:rPr>
                                  <w:sz w:val="16"/>
                                </w:rPr>
                                <w:t>日本策略價值基金</w:t>
                              </w:r>
                            </w:p>
                          </w:txbxContent>
                        </v:textbox>
                      </v:rect>
                      <v:rect id="Rectangle 49416" o:spid="_x0000_s1425"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840" w:type="dxa"/>
            <w:tcBorders>
              <w:top w:val="nil"/>
              <w:left w:val="nil"/>
              <w:bottom w:val="single" w:sz="4" w:space="0" w:color="000000"/>
              <w:right w:val="nil"/>
            </w:tcBorders>
          </w:tcPr>
          <w:p w:rsidR="004D6F0E" w:rsidRDefault="00490F21">
            <w:pPr>
              <w:spacing w:after="0" w:line="259" w:lineRule="auto"/>
              <w:ind w:left="334" w:firstLine="0"/>
            </w:pPr>
            <w:r>
              <w:rPr>
                <w:rFonts w:ascii="Calibri" w:eastAsia="Calibri" w:hAnsi="Calibri" w:cs="Calibri"/>
                <w:noProof/>
                <w:sz w:val="22"/>
              </w:rPr>
              <mc:AlternateContent>
                <mc:Choice Requires="wpg">
                  <w:drawing>
                    <wp:inline distT="0" distB="0" distL="0" distR="0">
                      <wp:extent cx="103404" cy="1145447"/>
                      <wp:effectExtent l="0" t="0" r="0" b="0"/>
                      <wp:docPr id="600417" name="Group 600417"/>
                      <wp:cNvGraphicFramePr/>
                      <a:graphic xmlns:a="http://schemas.openxmlformats.org/drawingml/2006/main">
                        <a:graphicData uri="http://schemas.microsoft.com/office/word/2010/wordprocessingGroup">
                          <wpg:wgp>
                            <wpg:cNvGrpSpPr/>
                            <wpg:grpSpPr>
                              <a:xfrm>
                                <a:off x="0" y="0"/>
                                <a:ext cx="103404" cy="1145447"/>
                                <a:chOff x="0" y="0"/>
                                <a:chExt cx="103404" cy="1145447"/>
                              </a:xfrm>
                            </wpg:grpSpPr>
                            <wps:wsp>
                              <wps:cNvPr id="49417" name="Rectangle 49417"/>
                              <wps:cNvSpPr/>
                              <wps:spPr>
                                <a:xfrm rot="-5399999">
                                  <a:off x="-675975" y="333667"/>
                                  <a:ext cx="1487757" cy="135804"/>
                                </a:xfrm>
                                <a:prstGeom prst="rect">
                                  <a:avLst/>
                                </a:prstGeom>
                                <a:ln>
                                  <a:noFill/>
                                </a:ln>
                              </wps:spPr>
                              <wps:txbx>
                                <w:txbxContent>
                                  <w:p w:rsidR="004D6F0E" w:rsidRDefault="00490F21">
                                    <w:pPr>
                                      <w:spacing w:after="160" w:line="259" w:lineRule="auto"/>
                                      <w:ind w:left="0" w:firstLine="0"/>
                                    </w:pPr>
                                    <w:r>
                                      <w:rPr>
                                        <w:sz w:val="16"/>
                                      </w:rPr>
                                      <w:t>中國低波幅策略股票基金</w:t>
                                    </w:r>
                                  </w:p>
                                </w:txbxContent>
                              </wps:txbx>
                              <wps:bodyPr horzOverflow="overflow" vert="horz" lIns="0" tIns="0" rIns="0" bIns="0" rtlCol="0">
                                <a:noAutofit/>
                              </wps:bodyPr>
                            </wps:wsp>
                            <wps:wsp>
                              <wps:cNvPr id="49418" name="Rectangle 49418"/>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i/>
                                        <w:sz w:val="16"/>
                                      </w:rPr>
                                      <w:t xml:space="preserve"> </w:t>
                                    </w:r>
                                  </w:p>
                                </w:txbxContent>
                              </wps:txbx>
                              <wps:bodyPr horzOverflow="overflow" vert="horz" lIns="0" tIns="0" rIns="0" bIns="0" rtlCol="0">
                                <a:noAutofit/>
                              </wps:bodyPr>
                            </wps:wsp>
                          </wpg:wgp>
                        </a:graphicData>
                      </a:graphic>
                    </wp:inline>
                  </w:drawing>
                </mc:Choice>
                <mc:Fallback>
                  <w:pict>
                    <v:group id="Group 600417" o:spid="_x0000_s1426" style="width:8.15pt;height:90.2pt;mso-position-horizontal-relative:char;mso-position-vertical-relative:line" coordsize="1034,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">
                      <v:rect id="Rectangle 49417" o:spid="_x0000_s1427" style="position:absolute;left:-6760;top:3337;width:1487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中國低波幅策略股票基金</w:t>
                              </w:r>
                            </w:p>
                          </w:txbxContent>
                        </v:textbox>
                      </v:rect>
                      <v:rect id="Rectangle 49418" o:spid="_x0000_s1428"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" filled="f" stroked="f">
                        <v:textbox inset="0,0,0,0">
                          <w:txbxContent>
                            <w:p w:rsidR="004D6F0E" w:rsidRDefault="00490F21">
                              <w:pPr>
                                <w:spacing w:after="160" w:line="259" w:lineRule="auto"/>
                                <w:ind w:left="0" w:firstLine="0"/>
                              </w:pPr>
                              <w:r>
                                <w:rPr>
                                  <w:rFonts w:ascii="Arial" w:eastAsia="Arial" w:hAnsi="Arial" w:cs="Arial"/>
                                  <w:i/>
                                  <w:sz w:val="16"/>
                                </w:rPr>
                                <w:t xml:space="preserve"> </w:t>
                              </w:r>
                            </w:p>
                          </w:txbxContent>
                        </v:textbox>
                      </v:rect>
                      <w10:anchorlock/>
                    </v:group>
                  </w:pict>
                </mc:Fallback>
              </mc:AlternateContent>
            </w:r>
          </w:p>
        </w:tc>
      </w:tr>
      <w:tr w:rsidR="004D6F0E">
        <w:trPr>
          <w:trHeight w:val="269"/>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投資策略風險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rFonts w:ascii="Arial" w:eastAsia="Arial" w:hAnsi="Arial" w:cs="Arial"/>
                <w:sz w:val="12"/>
              </w:rPr>
              <w:t xml:space="preserve"> </w:t>
            </w:r>
          </w:p>
        </w:tc>
      </w:tr>
      <w:tr w:rsidR="004D6F0E">
        <w:trPr>
          <w:trHeight w:val="270"/>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國家風險</w:t>
            </w:r>
            <w:r>
              <w:rPr>
                <w:rFonts w:ascii="Arial" w:eastAsia="Arial" w:hAnsi="Arial" w:cs="Arial"/>
                <w:sz w:val="16"/>
              </w:rPr>
              <w:t>—</w:t>
            </w:r>
            <w:r>
              <w:rPr>
                <w:sz w:val="16"/>
              </w:rPr>
              <w:t>新興市場</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國家風險</w:t>
            </w:r>
            <w:r>
              <w:rPr>
                <w:rFonts w:ascii="Arial" w:eastAsia="Arial" w:hAnsi="Arial" w:cs="Arial"/>
                <w:sz w:val="16"/>
              </w:rPr>
              <w:t>—</w:t>
            </w:r>
            <w:r>
              <w:rPr>
                <w:sz w:val="16"/>
              </w:rPr>
              <w:t>中國</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基金投資集中風險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動態資產分配風險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33"/>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分配風險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70"/>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成交額風險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小市值公司風險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71"/>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金融工具風險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70"/>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衍生工具風險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71"/>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場外衍生工具對手方風險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04" w:firstLine="0"/>
            </w:pPr>
            <w:r>
              <w:rPr>
                <w:rFonts w:ascii="Arial" w:eastAsia="Arial" w:hAnsi="Arial" w:cs="Arial"/>
                <w:sz w:val="12"/>
              </w:rPr>
              <w:t>●</w:t>
            </w:r>
            <w:r>
              <w:rPr>
                <w:rFonts w:ascii="Arial" w:eastAsia="Arial" w:hAnsi="Arial" w:cs="Arial"/>
                <w:sz w:val="16"/>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w:t>
            </w:r>
            <w:r>
              <w:rPr>
                <w:rFonts w:ascii="Arial" w:eastAsia="Arial" w:hAnsi="Arial" w:cs="Arial"/>
                <w:sz w:val="16"/>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w:t>
            </w:r>
            <w:r>
              <w:rPr>
                <w:rFonts w:ascii="Arial" w:eastAsia="Arial" w:hAnsi="Arial" w:cs="Arial"/>
                <w:sz w:val="16"/>
              </w:rPr>
              <w:t xml:space="preserve"> </w:t>
            </w:r>
          </w:p>
        </w:tc>
      </w:tr>
      <w:tr w:rsidR="004D6F0E">
        <w:trPr>
          <w:trHeight w:val="271"/>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商品相關風險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45" w:firstLine="0"/>
              <w:jc w:val="center"/>
            </w:pPr>
            <w:r>
              <w:rPr>
                <w:rFonts w:ascii="Arial" w:eastAsia="Arial" w:hAnsi="Arial" w:cs="Arial"/>
                <w:sz w:val="16"/>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58" w:firstLine="0"/>
              <w:jc w:val="center"/>
            </w:pPr>
            <w:r>
              <w:rPr>
                <w:rFonts w:ascii="Arial" w:eastAsia="Arial" w:hAnsi="Arial" w:cs="Arial"/>
                <w:sz w:val="16"/>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60" w:firstLine="0"/>
              <w:jc w:val="center"/>
            </w:pPr>
            <w:r>
              <w:rPr>
                <w:rFonts w:ascii="Arial" w:eastAsia="Arial" w:hAnsi="Arial" w:cs="Arial"/>
                <w:sz w:val="16"/>
              </w:rPr>
              <w:t xml:space="preserve"> </w:t>
            </w:r>
          </w:p>
        </w:tc>
      </w:tr>
      <w:tr w:rsidR="004D6F0E">
        <w:trPr>
          <w:trHeight w:val="271"/>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結構化工具風險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45" w:firstLine="0"/>
              <w:jc w:val="center"/>
            </w:pPr>
            <w:r>
              <w:rPr>
                <w:rFonts w:ascii="Arial" w:eastAsia="Arial" w:hAnsi="Arial" w:cs="Arial"/>
                <w:sz w:val="16"/>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58" w:firstLine="0"/>
              <w:jc w:val="center"/>
            </w:pPr>
            <w:r>
              <w:rPr>
                <w:rFonts w:ascii="Arial" w:eastAsia="Arial" w:hAnsi="Arial" w:cs="Arial"/>
                <w:sz w:val="16"/>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60" w:firstLine="0"/>
              <w:jc w:val="center"/>
            </w:pPr>
            <w:r>
              <w:rPr>
                <w:rFonts w:ascii="Arial" w:eastAsia="Arial" w:hAnsi="Arial" w:cs="Arial"/>
                <w:sz w:val="16"/>
              </w:rPr>
              <w:t xml:space="preserve"> </w:t>
            </w:r>
          </w:p>
        </w:tc>
      </w:tr>
      <w:tr w:rsidR="004D6F0E">
        <w:trPr>
          <w:trHeight w:val="240"/>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股本證券風險</w:t>
            </w:r>
            <w:r>
              <w:rPr>
                <w:rFonts w:ascii="Arial" w:eastAsia="Arial" w:hAnsi="Arial" w:cs="Arial"/>
                <w:b/>
                <w:sz w:val="16"/>
              </w:rPr>
              <w:t xml:space="preserve"> </w:t>
            </w:r>
          </w:p>
        </w:tc>
        <w:tc>
          <w:tcPr>
            <w:tcW w:w="59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股本證券風險</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40"/>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債務證券風險</w:t>
            </w:r>
            <w:r>
              <w:rPr>
                <w:rFonts w:ascii="Arial" w:eastAsia="Arial" w:hAnsi="Arial" w:cs="Arial"/>
                <w:b/>
                <w:sz w:val="16"/>
              </w:rPr>
              <w:t xml:space="preserve"> </w:t>
            </w:r>
          </w:p>
        </w:tc>
        <w:tc>
          <w:tcPr>
            <w:tcW w:w="59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固定收益證券風險</w:t>
            </w:r>
            <w:r>
              <w:rPr>
                <w:rFonts w:ascii="Arial" w:eastAsia="Arial" w:hAnsi="Arial" w:cs="Arial"/>
                <w:sz w:val="16"/>
              </w:rPr>
              <w:t>—</w:t>
            </w:r>
            <w:r>
              <w:rPr>
                <w:sz w:val="16"/>
              </w:rPr>
              <w:t>一般</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427"/>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固定收益證券風險</w:t>
            </w:r>
            <w:r>
              <w:rPr>
                <w:rFonts w:ascii="Arial" w:eastAsia="Arial" w:hAnsi="Arial" w:cs="Arial"/>
                <w:sz w:val="16"/>
              </w:rPr>
              <w:t>—</w:t>
            </w:r>
            <w:r>
              <w:rPr>
                <w:sz w:val="16"/>
              </w:rPr>
              <w:t>較低評級及無評級工具</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vAlign w:val="center"/>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信用風險</w:t>
            </w:r>
            <w:r>
              <w:rPr>
                <w:rFonts w:ascii="Arial" w:eastAsia="Arial" w:hAnsi="Arial" w:cs="Arial"/>
                <w:sz w:val="16"/>
              </w:rPr>
              <w:t>—</w:t>
            </w:r>
            <w:r>
              <w:rPr>
                <w:sz w:val="16"/>
              </w:rPr>
              <w:t>國家債務</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tcPr>
          <w:p w:rsidR="004D6F0E" w:rsidRDefault="00490F21">
            <w:pPr>
              <w:spacing w:after="0" w:line="259" w:lineRule="auto"/>
              <w:ind w:left="115" w:firstLine="0"/>
            </w:pPr>
            <w:r>
              <w:rPr>
                <w:sz w:val="16"/>
              </w:rPr>
              <w:t>信用風險</w:t>
            </w:r>
            <w:r>
              <w:rPr>
                <w:rFonts w:ascii="Arial" w:eastAsia="Arial" w:hAnsi="Arial" w:cs="Arial"/>
                <w:sz w:val="16"/>
              </w:rPr>
              <w:t>—</w:t>
            </w:r>
            <w:r>
              <w:rPr>
                <w:sz w:val="16"/>
              </w:rPr>
              <w:t>公司債務</w:t>
            </w:r>
            <w:r>
              <w:rPr>
                <w:rFonts w:ascii="Arial" w:eastAsia="Arial" w:hAnsi="Arial" w:cs="Arial"/>
                <w:sz w:val="16"/>
              </w:rPr>
              <w:t xml:space="preserve"> </w:t>
            </w:r>
          </w:p>
        </w:tc>
        <w:tc>
          <w:tcPr>
            <w:tcW w:w="595" w:type="dxa"/>
            <w:tcBorders>
              <w:top w:val="single" w:sz="4" w:space="0" w:color="000000"/>
              <w:left w:val="nil"/>
              <w:bottom w:val="single" w:sz="4" w:space="0" w:color="000000"/>
              <w:right w:val="nil"/>
            </w:tcBorders>
          </w:tcPr>
          <w:p w:rsidR="004D6F0E" w:rsidRDefault="00490F21">
            <w:pPr>
              <w:spacing w:after="0" w:line="259" w:lineRule="auto"/>
              <w:ind w:left="240"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46"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tcPr>
          <w:p w:rsidR="004D6F0E" w:rsidRDefault="00490F21">
            <w:pPr>
              <w:spacing w:after="0" w:line="259" w:lineRule="auto"/>
              <w:ind w:left="149" w:firstLine="0"/>
              <w:jc w:val="center"/>
            </w:pPr>
            <w:r>
              <w:rPr>
                <w:rFonts w:ascii="Arial" w:eastAsia="Arial" w:hAnsi="Arial" w:cs="Arial"/>
                <w:sz w:val="12"/>
              </w:rPr>
              <w:t xml:space="preserve"> </w:t>
            </w:r>
          </w:p>
        </w:tc>
      </w:tr>
      <w:tr w:rsidR="004D6F0E">
        <w:trPr>
          <w:trHeight w:val="269"/>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證券借貸風險</w:t>
            </w:r>
            <w:r>
              <w:rPr>
                <w:rFonts w:ascii="Arial" w:eastAsia="Arial" w:hAnsi="Arial" w:cs="Arial"/>
                <w:b/>
                <w:sz w:val="16"/>
              </w:rPr>
              <w:t xml:space="preserve"> </w:t>
            </w:r>
          </w:p>
        </w:tc>
        <w:tc>
          <w:tcPr>
            <w:tcW w:w="59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r w:rsidR="004D6F0E">
        <w:trPr>
          <w:trHeight w:val="268"/>
        </w:trPr>
        <w:tc>
          <w:tcPr>
            <w:tcW w:w="2357"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5" w:firstLine="0"/>
            </w:pPr>
            <w:r>
              <w:rPr>
                <w:sz w:val="16"/>
              </w:rPr>
              <w:t>可持續性風險</w:t>
            </w:r>
            <w:r>
              <w:rPr>
                <w:rFonts w:ascii="Arial" w:eastAsia="Arial" w:hAnsi="Arial" w:cs="Arial"/>
                <w:b/>
                <w:sz w:val="16"/>
              </w:rPr>
              <w:t xml:space="preserve"> </w:t>
            </w:r>
          </w:p>
        </w:tc>
        <w:tc>
          <w:tcPr>
            <w:tcW w:w="59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04"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3" w:firstLine="0"/>
              <w:jc w:val="center"/>
            </w:pPr>
            <w:r>
              <w:rPr>
                <w:rFonts w:ascii="Arial" w:eastAsia="Arial" w:hAnsi="Arial" w:cs="Arial"/>
                <w:sz w:val="12"/>
              </w:rPr>
              <w:t xml:space="preserve">● </w:t>
            </w:r>
          </w:p>
        </w:tc>
        <w:tc>
          <w:tcPr>
            <w:tcW w:w="84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116" w:firstLine="0"/>
              <w:jc w:val="center"/>
            </w:pPr>
            <w:r>
              <w:rPr>
                <w:rFonts w:ascii="Arial" w:eastAsia="Arial" w:hAnsi="Arial" w:cs="Arial"/>
                <w:sz w:val="12"/>
              </w:rPr>
              <w:t xml:space="preserve">● </w:t>
            </w:r>
          </w:p>
        </w:tc>
      </w:tr>
    </w:tbl>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p>
    <w:p w:rsidR="004D6F0E" w:rsidRDefault="00490F21">
      <w:pPr>
        <w:spacing w:after="0" w:line="259" w:lineRule="auto"/>
        <w:ind w:left="0" w:firstLine="0"/>
        <w:jc w:val="both"/>
      </w:pPr>
      <w:r>
        <w:rPr>
          <w:rFonts w:ascii="Arial" w:eastAsia="Arial" w:hAnsi="Arial" w:cs="Arial"/>
          <w:sz w:val="24"/>
        </w:rPr>
        <w:t xml:space="preserve"> </w:t>
      </w:r>
      <w:r>
        <w:rPr>
          <w:rFonts w:ascii="Arial" w:eastAsia="Arial" w:hAnsi="Arial" w:cs="Arial"/>
          <w:sz w:val="24"/>
        </w:rPr>
        <w:tab/>
        <w:t xml:space="preserve"> </w:t>
      </w:r>
    </w:p>
    <w:p w:rsidR="004D6F0E" w:rsidRDefault="00490F21">
      <w:pPr>
        <w:pStyle w:val="Heading3"/>
        <w:spacing w:after="6" w:line="257" w:lineRule="auto"/>
        <w:ind w:left="370"/>
      </w:pPr>
      <w:r>
        <w:rPr>
          <w:sz w:val="24"/>
        </w:rPr>
        <w:t>固定收益</w:t>
      </w:r>
      <w:r>
        <w:rPr>
          <w:rFonts w:ascii="Arial" w:eastAsia="Arial" w:hAnsi="Arial" w:cs="Arial"/>
          <w:sz w:val="24"/>
        </w:rPr>
        <w:t xml:space="preserve"> </w:t>
      </w:r>
    </w:p>
    <w:tbl>
      <w:tblPr>
        <w:tblStyle w:val="TableGrid"/>
        <w:tblW w:w="7906" w:type="dxa"/>
        <w:tblInd w:w="0" w:type="dxa"/>
        <w:tblCellMar>
          <w:top w:w="27" w:type="dxa"/>
          <w:left w:w="106" w:type="dxa"/>
          <w:bottom w:w="0" w:type="dxa"/>
          <w:right w:w="105" w:type="dxa"/>
        </w:tblCellMar>
        <w:tblLook w:val="04A0" w:firstRow="1" w:lastRow="0" w:firstColumn="1" w:lastColumn="0" w:noHBand="0" w:noVBand="1"/>
      </w:tblPr>
      <w:tblGrid>
        <w:gridCol w:w="2929"/>
        <w:gridCol w:w="710"/>
        <w:gridCol w:w="715"/>
        <w:gridCol w:w="718"/>
        <w:gridCol w:w="708"/>
        <w:gridCol w:w="708"/>
        <w:gridCol w:w="744"/>
        <w:gridCol w:w="674"/>
      </w:tblGrid>
      <w:tr w:rsidR="004D6F0E">
        <w:trPr>
          <w:trHeight w:val="2443"/>
        </w:trPr>
        <w:tc>
          <w:tcPr>
            <w:tcW w:w="2928" w:type="dxa"/>
            <w:tcBorders>
              <w:top w:val="nil"/>
              <w:left w:val="nil"/>
              <w:bottom w:val="single" w:sz="4" w:space="0" w:color="000000"/>
              <w:right w:val="nil"/>
            </w:tcBorders>
          </w:tcPr>
          <w:p w:rsidR="004D6F0E" w:rsidRDefault="00490F21">
            <w:pPr>
              <w:spacing w:after="0" w:line="259" w:lineRule="auto"/>
              <w:ind w:left="2" w:firstLine="0"/>
            </w:pPr>
            <w:r>
              <w:rPr>
                <w:rFonts w:ascii="Arial" w:eastAsia="Arial" w:hAnsi="Arial" w:cs="Arial"/>
                <w:b/>
                <w:sz w:val="16"/>
              </w:rPr>
              <w:t xml:space="preserve"> </w:t>
            </w:r>
          </w:p>
        </w:tc>
        <w:tc>
          <w:tcPr>
            <w:tcW w:w="710" w:type="dxa"/>
            <w:tcBorders>
              <w:top w:val="nil"/>
              <w:left w:val="nil"/>
              <w:bottom w:val="single" w:sz="4" w:space="0" w:color="000000"/>
              <w:right w:val="nil"/>
            </w:tcBorders>
            <w:shd w:val="clear" w:color="auto" w:fill="D9D9D9"/>
            <w:vAlign w:val="bottom"/>
          </w:tcPr>
          <w:p w:rsidR="004D6F0E" w:rsidRDefault="00490F21">
            <w:pPr>
              <w:spacing w:after="0" w:line="259" w:lineRule="auto"/>
              <w:ind w:left="166" w:firstLine="0"/>
            </w:pPr>
            <w:r>
              <w:rPr>
                <w:rFonts w:ascii="Calibri" w:eastAsia="Calibri" w:hAnsi="Calibri" w:cs="Calibri"/>
                <w:noProof/>
                <w:sz w:val="22"/>
              </w:rPr>
              <mc:AlternateContent>
                <mc:Choice Requires="wpg">
                  <w:drawing>
                    <wp:inline distT="0" distB="0" distL="0" distR="0">
                      <wp:extent cx="103404" cy="637986"/>
                      <wp:effectExtent l="0" t="0" r="0" b="0"/>
                      <wp:docPr id="602062" name="Group 602062"/>
                      <wp:cNvGraphicFramePr/>
                      <a:graphic xmlns:a="http://schemas.openxmlformats.org/drawingml/2006/main">
                        <a:graphicData uri="http://schemas.microsoft.com/office/word/2010/wordprocessingGroup">
                          <wpg:wgp>
                            <wpg:cNvGrpSpPr/>
                            <wpg:grpSpPr>
                              <a:xfrm>
                                <a:off x="0" y="0"/>
                                <a:ext cx="103404" cy="637986"/>
                                <a:chOff x="0" y="0"/>
                                <a:chExt cx="103404" cy="637986"/>
                              </a:xfrm>
                            </wpg:grpSpPr>
                            <wps:wsp>
                              <wps:cNvPr id="49833" name="Rectangle 49833"/>
                              <wps:cNvSpPr/>
                              <wps:spPr>
                                <a:xfrm rot="-5399999">
                                  <a:off x="-338496" y="163685"/>
                                  <a:ext cx="812798" cy="135804"/>
                                </a:xfrm>
                                <a:prstGeom prst="rect">
                                  <a:avLst/>
                                </a:prstGeom>
                                <a:ln>
                                  <a:noFill/>
                                </a:ln>
                              </wps:spPr>
                              <wps:txbx>
                                <w:txbxContent>
                                  <w:p w:rsidR="004D6F0E" w:rsidRDefault="00490F21">
                                    <w:pPr>
                                      <w:spacing w:after="160" w:line="259" w:lineRule="auto"/>
                                      <w:ind w:left="0" w:firstLine="0"/>
                                    </w:pPr>
                                    <w:r>
                                      <w:rPr>
                                        <w:sz w:val="16"/>
                                      </w:rPr>
                                      <w:t>短期債券基金</w:t>
                                    </w:r>
                                  </w:p>
                                </w:txbxContent>
                              </wps:txbx>
                              <wps:bodyPr horzOverflow="overflow" vert="horz" lIns="0" tIns="0" rIns="0" bIns="0" rtlCol="0">
                                <a:noAutofit/>
                              </wps:bodyPr>
                            </wps:wsp>
                            <wps:wsp>
                              <wps:cNvPr id="49834" name="Rectangle 49834"/>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i/>
                                        <w:sz w:val="16"/>
                                      </w:rPr>
                                      <w:t xml:space="preserve"> </w:t>
                                    </w:r>
                                  </w:p>
                                </w:txbxContent>
                              </wps:txbx>
                              <wps:bodyPr horzOverflow="overflow" vert="horz" lIns="0" tIns="0" rIns="0" bIns="0" rtlCol="0">
                                <a:noAutofit/>
                              </wps:bodyPr>
                            </wps:wsp>
                          </wpg:wgp>
                        </a:graphicData>
                      </a:graphic>
                    </wp:inline>
                  </w:drawing>
                </mc:Choice>
                <mc:Fallback>
                  <w:pict>
                    <v:group id="Group 602062" o:spid="_x0000_s1429" style="width:8.15pt;height:50.25pt;mso-position-horizontal-relative:char;mso-position-vertical-relative:line" coordsize="1034,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">
                      <v:rect id="Rectangle 49833" o:spid="_x0000_s1430" style="position:absolute;left:-3385;top:163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" filled="f" stroked="f">
                        <v:textbox inset="0,0,0,0">
                          <w:txbxContent>
                            <w:p w:rsidR="004D6F0E" w:rsidRDefault="00490F21">
                              <w:pPr>
                                <w:spacing w:after="160" w:line="259" w:lineRule="auto"/>
                                <w:ind w:left="0" w:firstLine="0"/>
                              </w:pPr>
                              <w:r>
                                <w:rPr>
                                  <w:sz w:val="16"/>
                                </w:rPr>
                                <w:t>短期債券基金</w:t>
                              </w:r>
                            </w:p>
                          </w:txbxContent>
                        </v:textbox>
                      </v:rect>
                      <v:rect id="Rectangle 49834" o:spid="_x0000_s1431"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i/>
                                  <w:sz w:val="16"/>
                                </w:rPr>
                                <w:t xml:space="preserve"> </w:t>
                              </w:r>
                            </w:p>
                          </w:txbxContent>
                        </v:textbox>
                      </v:rect>
                      <w10:anchorlock/>
                    </v:group>
                  </w:pict>
                </mc:Fallback>
              </mc:AlternateContent>
            </w:r>
          </w:p>
        </w:tc>
        <w:tc>
          <w:tcPr>
            <w:tcW w:w="715" w:type="dxa"/>
            <w:tcBorders>
              <w:top w:val="nil"/>
              <w:left w:val="nil"/>
              <w:bottom w:val="single" w:sz="4" w:space="0" w:color="000000"/>
              <w:right w:val="nil"/>
            </w:tcBorders>
            <w:vAlign w:val="center"/>
          </w:tcPr>
          <w:p w:rsidR="004D6F0E" w:rsidRDefault="00490F21">
            <w:pPr>
              <w:spacing w:after="0" w:line="259" w:lineRule="auto"/>
              <w:ind w:left="166" w:firstLine="0"/>
            </w:pPr>
            <w:r>
              <w:rPr>
                <w:rFonts w:ascii="Calibri" w:eastAsia="Calibri" w:hAnsi="Calibri" w:cs="Calibri"/>
                <w:noProof/>
                <w:sz w:val="22"/>
              </w:rPr>
              <mc:AlternateContent>
                <mc:Choice Requires="wpg">
                  <w:drawing>
                    <wp:inline distT="0" distB="0" distL="0" distR="0">
                      <wp:extent cx="103404" cy="740079"/>
                      <wp:effectExtent l="0" t="0" r="0" b="0"/>
                      <wp:docPr id="602116" name="Group 602116"/>
                      <wp:cNvGraphicFramePr/>
                      <a:graphic xmlns:a="http://schemas.openxmlformats.org/drawingml/2006/main">
                        <a:graphicData uri="http://schemas.microsoft.com/office/word/2010/wordprocessingGroup">
                          <wpg:wgp>
                            <wpg:cNvGrpSpPr/>
                            <wpg:grpSpPr>
                              <a:xfrm>
                                <a:off x="0" y="0"/>
                                <a:ext cx="103404" cy="740079"/>
                                <a:chOff x="0" y="0"/>
                                <a:chExt cx="103404" cy="740079"/>
                              </a:xfrm>
                            </wpg:grpSpPr>
                            <wps:wsp>
                              <wps:cNvPr id="49835" name="Rectangle 49835"/>
                              <wps:cNvSpPr/>
                              <wps:spPr>
                                <a:xfrm rot="-5399999">
                                  <a:off x="-406399" y="197876"/>
                                  <a:ext cx="948602" cy="135804"/>
                                </a:xfrm>
                                <a:prstGeom prst="rect">
                                  <a:avLst/>
                                </a:prstGeom>
                                <a:ln>
                                  <a:noFill/>
                                </a:ln>
                              </wps:spPr>
                              <wps:txbx>
                                <w:txbxContent>
                                  <w:p w:rsidR="004D6F0E" w:rsidRDefault="00490F21">
                                    <w:pPr>
                                      <w:spacing w:after="160" w:line="259" w:lineRule="auto"/>
                                      <w:ind w:left="0" w:firstLine="0"/>
                                    </w:pPr>
                                    <w:r>
                                      <w:rPr>
                                        <w:sz w:val="16"/>
                                      </w:rPr>
                                      <w:t>環球高收益基金</w:t>
                                    </w:r>
                                  </w:p>
                                </w:txbxContent>
                              </wps:txbx>
                              <wps:bodyPr horzOverflow="overflow" vert="horz" lIns="0" tIns="0" rIns="0" bIns="0" rtlCol="0">
                                <a:noAutofit/>
                              </wps:bodyPr>
                            </wps:wsp>
                            <wps:wsp>
                              <wps:cNvPr id="49836" name="Rectangle 49836"/>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2116" o:spid="_x0000_s1432" style="width:8.15pt;height:58.25pt;mso-position-horizontal-relative:char;mso-position-vertical-relative:line" coordsize="1034,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">
                      <v:rect id="Rectangle 49835" o:spid="_x0000_s1433" style="position:absolute;left:-4064;top:1979;width:948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" filled="f" stroked="f">
                        <v:textbox inset="0,0,0,0">
                          <w:txbxContent>
                            <w:p w:rsidR="004D6F0E" w:rsidRDefault="00490F21">
                              <w:pPr>
                                <w:spacing w:after="160" w:line="259" w:lineRule="auto"/>
                                <w:ind w:left="0" w:firstLine="0"/>
                              </w:pPr>
                              <w:r>
                                <w:rPr>
                                  <w:sz w:val="16"/>
                                </w:rPr>
                                <w:t>環球高收益基金</w:t>
                              </w:r>
                            </w:p>
                          </w:txbxContent>
                        </v:textbox>
                      </v:rect>
                      <v:rect id="Rectangle 49836" o:spid="_x0000_s1434"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718" w:type="dxa"/>
            <w:tcBorders>
              <w:top w:val="nil"/>
              <w:left w:val="nil"/>
              <w:bottom w:val="single" w:sz="4" w:space="0" w:color="000000"/>
              <w:right w:val="nil"/>
            </w:tcBorders>
            <w:shd w:val="clear" w:color="auto" w:fill="D9D9D9"/>
            <w:vAlign w:val="bottom"/>
          </w:tcPr>
          <w:p w:rsidR="004D6F0E" w:rsidRDefault="00490F21">
            <w:pPr>
              <w:spacing w:after="0" w:line="259" w:lineRule="auto"/>
              <w:ind w:left="166" w:firstLine="0"/>
            </w:pPr>
            <w:r>
              <w:rPr>
                <w:rFonts w:ascii="Calibri" w:eastAsia="Calibri" w:hAnsi="Calibri" w:cs="Calibri"/>
                <w:noProof/>
                <w:sz w:val="22"/>
              </w:rPr>
              <mc:AlternateContent>
                <mc:Choice Requires="wpg">
                  <w:drawing>
                    <wp:inline distT="0" distB="0" distL="0" distR="0">
                      <wp:extent cx="103404" cy="637986"/>
                      <wp:effectExtent l="0" t="0" r="0" b="0"/>
                      <wp:docPr id="602155" name="Group 602155"/>
                      <wp:cNvGraphicFramePr/>
                      <a:graphic xmlns:a="http://schemas.openxmlformats.org/drawingml/2006/main">
                        <a:graphicData uri="http://schemas.microsoft.com/office/word/2010/wordprocessingGroup">
                          <wpg:wgp>
                            <wpg:cNvGrpSpPr/>
                            <wpg:grpSpPr>
                              <a:xfrm>
                                <a:off x="0" y="0"/>
                                <a:ext cx="103404" cy="637986"/>
                                <a:chOff x="0" y="0"/>
                                <a:chExt cx="103404" cy="637986"/>
                              </a:xfrm>
                            </wpg:grpSpPr>
                            <wps:wsp>
                              <wps:cNvPr id="49839" name="Rectangle 49839"/>
                              <wps:cNvSpPr/>
                              <wps:spPr>
                                <a:xfrm rot="-5399999">
                                  <a:off x="-338496" y="163685"/>
                                  <a:ext cx="812798" cy="135804"/>
                                </a:xfrm>
                                <a:prstGeom prst="rect">
                                  <a:avLst/>
                                </a:prstGeom>
                                <a:ln>
                                  <a:noFill/>
                                </a:ln>
                              </wps:spPr>
                              <wps:txbx>
                                <w:txbxContent>
                                  <w:p w:rsidR="004D6F0E" w:rsidRDefault="00490F21">
                                    <w:pPr>
                                      <w:spacing w:after="160" w:line="259" w:lineRule="auto"/>
                                      <w:ind w:left="0" w:firstLine="0"/>
                                    </w:pPr>
                                    <w:r>
                                      <w:rPr>
                                        <w:sz w:val="16"/>
                                      </w:rPr>
                                      <w:t>美元收益基金</w:t>
                                    </w:r>
                                  </w:p>
                                </w:txbxContent>
                              </wps:txbx>
                              <wps:bodyPr horzOverflow="overflow" vert="horz" lIns="0" tIns="0" rIns="0" bIns="0" rtlCol="0">
                                <a:noAutofit/>
                              </wps:bodyPr>
                            </wps:wsp>
                            <wps:wsp>
                              <wps:cNvPr id="49840" name="Rectangle 49840"/>
                              <wps:cNvSpPr/>
                              <wps:spPr>
                                <a:xfrm rot="-5399999">
                                  <a:off x="52376"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2155" o:spid="_x0000_s1435" style="width:8.15pt;height:50.25pt;mso-position-horizontal-relative:char;mso-position-vertical-relative:line" coordsize="1034,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">
                      <v:rect id="Rectangle 49839" o:spid="_x0000_s1436" style="position:absolute;left:-3385;top:163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" filled="f" stroked="f">
                        <v:textbox inset="0,0,0,0">
                          <w:txbxContent>
                            <w:p w:rsidR="004D6F0E" w:rsidRDefault="00490F21">
                              <w:pPr>
                                <w:spacing w:after="160" w:line="259" w:lineRule="auto"/>
                                <w:ind w:left="0" w:firstLine="0"/>
                              </w:pPr>
                              <w:r>
                                <w:rPr>
                                  <w:sz w:val="16"/>
                                </w:rPr>
                                <w:t>美元收益基金</w:t>
                              </w:r>
                            </w:p>
                          </w:txbxContent>
                        </v:textbox>
                      </v:rect>
                      <v:rect id="Rectangle 49840" o:spid="_x0000_s1437"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708" w:type="dxa"/>
            <w:tcBorders>
              <w:top w:val="nil"/>
              <w:left w:val="nil"/>
              <w:bottom w:val="single" w:sz="4" w:space="0" w:color="000000"/>
              <w:right w:val="nil"/>
            </w:tcBorders>
            <w:vAlign w:val="bottom"/>
          </w:tcPr>
          <w:p w:rsidR="004D6F0E" w:rsidRDefault="00490F21">
            <w:pPr>
              <w:spacing w:after="0" w:line="259" w:lineRule="auto"/>
              <w:ind w:left="162" w:firstLine="0"/>
            </w:pPr>
            <w:r>
              <w:rPr>
                <w:rFonts w:ascii="Calibri" w:eastAsia="Calibri" w:hAnsi="Calibri" w:cs="Calibri"/>
                <w:noProof/>
                <w:sz w:val="22"/>
              </w:rPr>
              <mc:AlternateContent>
                <mc:Choice Requires="wpg">
                  <w:drawing>
                    <wp:inline distT="0" distB="0" distL="0" distR="0">
                      <wp:extent cx="103405" cy="637970"/>
                      <wp:effectExtent l="0" t="0" r="0" b="0"/>
                      <wp:docPr id="602192" name="Group 602192"/>
                      <wp:cNvGraphicFramePr/>
                      <a:graphic xmlns:a="http://schemas.openxmlformats.org/drawingml/2006/main">
                        <a:graphicData uri="http://schemas.microsoft.com/office/word/2010/wordprocessingGroup">
                          <wpg:wgp>
                            <wpg:cNvGrpSpPr/>
                            <wpg:grpSpPr>
                              <a:xfrm>
                                <a:off x="0" y="0"/>
                                <a:ext cx="103405" cy="637970"/>
                                <a:chOff x="0" y="0"/>
                                <a:chExt cx="103405" cy="637970"/>
                              </a:xfrm>
                            </wpg:grpSpPr>
                            <wps:wsp>
                              <wps:cNvPr id="49841" name="Rectangle 49841"/>
                              <wps:cNvSpPr/>
                              <wps:spPr>
                                <a:xfrm rot="-5399999">
                                  <a:off x="-338496" y="163670"/>
                                  <a:ext cx="812798" cy="135804"/>
                                </a:xfrm>
                                <a:prstGeom prst="rect">
                                  <a:avLst/>
                                </a:prstGeom>
                                <a:ln>
                                  <a:noFill/>
                                </a:ln>
                              </wps:spPr>
                              <wps:txbx>
                                <w:txbxContent>
                                  <w:p w:rsidR="004D6F0E" w:rsidRDefault="00490F21">
                                    <w:pPr>
                                      <w:spacing w:after="160" w:line="259" w:lineRule="auto"/>
                                      <w:ind w:left="0" w:firstLine="0"/>
                                    </w:pPr>
                                    <w:r>
                                      <w:rPr>
                                        <w:sz w:val="16"/>
                                      </w:rPr>
                                      <w:t>歐洲收益基金</w:t>
                                    </w:r>
                                  </w:p>
                                </w:txbxContent>
                              </wps:txbx>
                              <wps:bodyPr horzOverflow="overflow" vert="horz" lIns="0" tIns="0" rIns="0" bIns="0" rtlCol="0">
                                <a:noAutofit/>
                              </wps:bodyPr>
                            </wps:wsp>
                            <wps:wsp>
                              <wps:cNvPr id="49842" name="Rectangle 49842"/>
                              <wps:cNvSpPr/>
                              <wps:spPr>
                                <a:xfrm rot="-5399999">
                                  <a:off x="52377"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2192" o:spid="_x0000_s1438" style="width:8.15pt;height:50.25pt;mso-position-horizontal-relative:char;mso-position-vertical-relative:line" coordsize="1034,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">
                      <v:rect id="Rectangle 49841" o:spid="_x0000_s1439" style="position:absolute;left:-3385;top:163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歐洲收益基金</w:t>
                              </w:r>
                            </w:p>
                          </w:txbxContent>
                        </v:textbox>
                      </v:rect>
                      <v:rect id="Rectangle 49842" o:spid="_x0000_s1440"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708" w:type="dxa"/>
            <w:tcBorders>
              <w:top w:val="nil"/>
              <w:left w:val="nil"/>
              <w:bottom w:val="single" w:sz="4" w:space="0" w:color="000000"/>
              <w:right w:val="nil"/>
            </w:tcBorders>
            <w:shd w:val="clear" w:color="auto" w:fill="D9D9D9"/>
          </w:tcPr>
          <w:p w:rsidR="004D6F0E" w:rsidRDefault="00490F21">
            <w:pPr>
              <w:spacing w:after="0" w:line="259" w:lineRule="auto"/>
              <w:ind w:left="164" w:firstLine="0"/>
            </w:pPr>
            <w:r>
              <w:rPr>
                <w:rFonts w:ascii="Calibri" w:eastAsia="Calibri" w:hAnsi="Calibri" w:cs="Calibri"/>
                <w:noProof/>
                <w:sz w:val="22"/>
              </w:rPr>
              <mc:AlternateContent>
                <mc:Choice Requires="wpg">
                  <w:drawing>
                    <wp:inline distT="0" distB="0" distL="0" distR="0">
                      <wp:extent cx="103405" cy="840678"/>
                      <wp:effectExtent l="0" t="0" r="0" b="0"/>
                      <wp:docPr id="602201" name="Group 602201"/>
                      <wp:cNvGraphicFramePr/>
                      <a:graphic xmlns:a="http://schemas.openxmlformats.org/drawingml/2006/main">
                        <a:graphicData uri="http://schemas.microsoft.com/office/word/2010/wordprocessingGroup">
                          <wpg:wgp>
                            <wpg:cNvGrpSpPr/>
                            <wpg:grpSpPr>
                              <a:xfrm>
                                <a:off x="0" y="0"/>
                                <a:ext cx="103405" cy="840678"/>
                                <a:chOff x="0" y="0"/>
                                <a:chExt cx="103405" cy="840678"/>
                              </a:xfrm>
                            </wpg:grpSpPr>
                            <wps:wsp>
                              <wps:cNvPr id="49845" name="Rectangle 49845"/>
                              <wps:cNvSpPr/>
                              <wps:spPr>
                                <a:xfrm rot="-5399999">
                                  <a:off x="-473288" y="231585"/>
                                  <a:ext cx="1082382" cy="135804"/>
                                </a:xfrm>
                                <a:prstGeom prst="rect">
                                  <a:avLst/>
                                </a:prstGeom>
                                <a:ln>
                                  <a:noFill/>
                                </a:ln>
                              </wps:spPr>
                              <wps:txbx>
                                <w:txbxContent>
                                  <w:p w:rsidR="004D6F0E" w:rsidRDefault="00490F21">
                                    <w:pPr>
                                      <w:spacing w:after="160" w:line="259" w:lineRule="auto"/>
                                      <w:ind w:left="0" w:firstLine="0"/>
                                    </w:pPr>
                                    <w:r>
                                      <w:rPr>
                                        <w:sz w:val="16"/>
                                      </w:rPr>
                                      <w:t>新興市場債券基金</w:t>
                                    </w:r>
                                  </w:p>
                                </w:txbxContent>
                              </wps:txbx>
                              <wps:bodyPr horzOverflow="overflow" vert="horz" lIns="0" tIns="0" rIns="0" bIns="0" rtlCol="0">
                                <a:noAutofit/>
                              </wps:bodyPr>
                            </wps:wsp>
                            <wps:wsp>
                              <wps:cNvPr id="49846" name="Rectangle 49846"/>
                              <wps:cNvSpPr/>
                              <wps:spPr>
                                <a:xfrm rot="-5399999">
                                  <a:off x="52377"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2201" o:spid="_x0000_s1441" style="width:8.15pt;height:66.2pt;mso-position-horizontal-relative:char;mso-position-vertical-relative:line" coordsize="1034,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">
                      <v:rect id="Rectangle 49845" o:spid="_x0000_s1442" style="position:absolute;left:-4733;top:2316;width:1082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" filled="f" stroked="f">
                        <v:textbox inset="0,0,0,0">
                          <w:txbxContent>
                            <w:p w:rsidR="004D6F0E" w:rsidRDefault="00490F21">
                              <w:pPr>
                                <w:spacing w:after="160" w:line="259" w:lineRule="auto"/>
                                <w:ind w:left="0" w:firstLine="0"/>
                              </w:pPr>
                              <w:r>
                                <w:rPr>
                                  <w:sz w:val="16"/>
                                </w:rPr>
                                <w:t>新興市場債券基金</w:t>
                              </w:r>
                            </w:p>
                          </w:txbxContent>
                        </v:textbox>
                      </v:rect>
                      <v:rect id="Rectangle 49846" o:spid="_x0000_s1443"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744" w:type="dxa"/>
            <w:tcBorders>
              <w:top w:val="nil"/>
              <w:left w:val="nil"/>
              <w:bottom w:val="single" w:sz="4" w:space="0" w:color="000000"/>
              <w:right w:val="nil"/>
            </w:tcBorders>
            <w:shd w:val="clear" w:color="auto" w:fill="FFFFFF"/>
            <w:vAlign w:val="bottom"/>
          </w:tcPr>
          <w:p w:rsidR="004D6F0E" w:rsidRDefault="00490F21">
            <w:pPr>
              <w:spacing w:after="0" w:line="259" w:lineRule="auto"/>
              <w:ind w:left="181" w:firstLine="0"/>
            </w:pPr>
            <w:r>
              <w:rPr>
                <w:rFonts w:ascii="Calibri" w:eastAsia="Calibri" w:hAnsi="Calibri" w:cs="Calibri"/>
                <w:noProof/>
                <w:sz w:val="22"/>
              </w:rPr>
              <mc:AlternateContent>
                <mc:Choice Requires="wpg">
                  <w:drawing>
                    <wp:inline distT="0" distB="0" distL="0" distR="0">
                      <wp:extent cx="103405" cy="637986"/>
                      <wp:effectExtent l="0" t="0" r="0" b="0"/>
                      <wp:docPr id="602213" name="Group 602213"/>
                      <wp:cNvGraphicFramePr/>
                      <a:graphic xmlns:a="http://schemas.openxmlformats.org/drawingml/2006/main">
                        <a:graphicData uri="http://schemas.microsoft.com/office/word/2010/wordprocessingGroup">
                          <wpg:wgp>
                            <wpg:cNvGrpSpPr/>
                            <wpg:grpSpPr>
                              <a:xfrm>
                                <a:off x="0" y="0"/>
                                <a:ext cx="103405" cy="637986"/>
                                <a:chOff x="0" y="0"/>
                                <a:chExt cx="103405" cy="637986"/>
                              </a:xfrm>
                            </wpg:grpSpPr>
                            <wps:wsp>
                              <wps:cNvPr id="49849" name="Rectangle 49849"/>
                              <wps:cNvSpPr/>
                              <wps:spPr>
                                <a:xfrm rot="-5399999">
                                  <a:off x="-338496" y="163685"/>
                                  <a:ext cx="812798" cy="135804"/>
                                </a:xfrm>
                                <a:prstGeom prst="rect">
                                  <a:avLst/>
                                </a:prstGeom>
                                <a:ln>
                                  <a:noFill/>
                                </a:ln>
                              </wps:spPr>
                              <wps:txbx>
                                <w:txbxContent>
                                  <w:p w:rsidR="004D6F0E" w:rsidRDefault="00490F21">
                                    <w:pPr>
                                      <w:spacing w:after="160" w:line="259" w:lineRule="auto"/>
                                      <w:ind w:left="0" w:firstLine="0"/>
                                    </w:pPr>
                                    <w:r>
                                      <w:rPr>
                                        <w:sz w:val="16"/>
                                      </w:rPr>
                                      <w:t>按揭收益基金</w:t>
                                    </w:r>
                                  </w:p>
                                </w:txbxContent>
                              </wps:txbx>
                              <wps:bodyPr horzOverflow="overflow" vert="horz" lIns="0" tIns="0" rIns="0" bIns="0" rtlCol="0">
                                <a:noAutofit/>
                              </wps:bodyPr>
                            </wps:wsp>
                            <wps:wsp>
                              <wps:cNvPr id="49850" name="Rectangle 49850"/>
                              <wps:cNvSpPr/>
                              <wps:spPr>
                                <a:xfrm rot="-5399999">
                                  <a:off x="52377"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2213" o:spid="_x0000_s1444" style="width:8.15pt;height:50.25pt;mso-position-horizontal-relative:char;mso-position-vertical-relative:line" coordsize="1034,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">
                      <v:rect id="Rectangle 49849" o:spid="_x0000_s1445" style="position:absolute;left:-3385;top:1637;width:8127;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" filled="f" stroked="f">
                        <v:textbox inset="0,0,0,0">
                          <w:txbxContent>
                            <w:p w:rsidR="004D6F0E" w:rsidRDefault="00490F21">
                              <w:pPr>
                                <w:spacing w:after="160" w:line="259" w:lineRule="auto"/>
                                <w:ind w:left="0" w:firstLine="0"/>
                              </w:pPr>
                              <w:r>
                                <w:rPr>
                                  <w:sz w:val="16"/>
                                </w:rPr>
                                <w:t>按揭收益基金</w:t>
                              </w:r>
                            </w:p>
                          </w:txbxContent>
                        </v:textbox>
                      </v:rect>
                      <v:rect id="Rectangle 49850" o:spid="_x0000_s1446" style="position:absolute;left:524;top:-543;width:376;height:127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c>
          <w:tcPr>
            <w:tcW w:w="674" w:type="dxa"/>
            <w:tcBorders>
              <w:top w:val="nil"/>
              <w:left w:val="nil"/>
              <w:bottom w:val="nil"/>
              <w:right w:val="nil"/>
            </w:tcBorders>
            <w:vAlign w:val="bottom"/>
          </w:tcPr>
          <w:p w:rsidR="004D6F0E" w:rsidRDefault="00490F21">
            <w:pPr>
              <w:spacing w:after="0" w:line="259" w:lineRule="auto"/>
              <w:ind w:left="169" w:firstLine="0"/>
            </w:pPr>
            <w:r>
              <w:rPr>
                <w:rFonts w:ascii="Calibri" w:eastAsia="Calibri" w:hAnsi="Calibri" w:cs="Calibri"/>
                <w:noProof/>
                <w:sz w:val="22"/>
              </w:rPr>
              <mc:AlternateContent>
                <mc:Choice Requires="wpg">
                  <w:drawing>
                    <wp:inline distT="0" distB="0" distL="0" distR="0">
                      <wp:extent cx="95976" cy="28386"/>
                      <wp:effectExtent l="0" t="0" r="0" b="0"/>
                      <wp:docPr id="602224" name="Group 602224"/>
                      <wp:cNvGraphicFramePr/>
                      <a:graphic xmlns:a="http://schemas.openxmlformats.org/drawingml/2006/main">
                        <a:graphicData uri="http://schemas.microsoft.com/office/word/2010/wordprocessingGroup">
                          <wpg:wgp>
                            <wpg:cNvGrpSpPr/>
                            <wpg:grpSpPr>
                              <a:xfrm>
                                <a:off x="0" y="0"/>
                                <a:ext cx="95976" cy="28386"/>
                                <a:chOff x="0" y="0"/>
                                <a:chExt cx="95976" cy="28386"/>
                              </a:xfrm>
                            </wpg:grpSpPr>
                            <wps:wsp>
                              <wps:cNvPr id="49853" name="Rectangle 49853"/>
                              <wps:cNvSpPr/>
                              <wps:spPr>
                                <a:xfrm rot="-5399999">
                                  <a:off x="44948" y="-54314"/>
                                  <a:ext cx="37753" cy="127647"/>
                                </a:xfrm>
                                <a:prstGeom prst="rect">
                                  <a:avLst/>
                                </a:prstGeom>
                                <a:ln>
                                  <a:noFill/>
                                </a:ln>
                              </wps:spPr>
                              <wps:txbx>
                                <w:txbxContent>
                                  <w:p w:rsidR="004D6F0E" w:rsidRDefault="00490F21">
                                    <w:pPr>
                                      <w:spacing w:after="160" w:line="259" w:lineRule="auto"/>
                                      <w:ind w:left="0" w:firstLine="0"/>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w:pict>
                    <v:group id="Group 602224" o:spid="_x0000_s1447" style="width:7.55pt;height:2.25pt;mso-position-horizontal-relative:char;mso-position-vertical-relative:line" coordsize="95976,28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">
                      <v:rect id="Rectangle 49853" o:spid="_x0000_s1448" style="position:absolute;left:44948;top:-54314;width:37753;height:12764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" filled="f" stroked="f">
                        <v:textbox inset="0,0,0,0">
                          <w:txbxContent>
                            <w:p w:rsidR="004D6F0E" w:rsidRDefault="00490F21">
                              <w:pPr>
                                <w:spacing w:after="160" w:line="259" w:lineRule="auto"/>
                                <w:ind w:left="0" w:firstLine="0"/>
                              </w:pPr>
                              <w:r>
                                <w:rPr>
                                  <w:rFonts w:ascii="Arial" w:eastAsia="Arial" w:hAnsi="Arial" w:cs="Arial"/>
                                  <w:sz w:val="16"/>
                                </w:rPr>
                                <w:t xml:space="preserve"> </w:t>
                              </w:r>
                            </w:p>
                          </w:txbxContent>
                        </v:textbox>
                      </v:rect>
                      <w10:anchorlock/>
                    </v:group>
                  </w:pict>
                </mc:Fallback>
              </mc:AlternateContent>
            </w:r>
          </w:p>
        </w:tc>
      </w:tr>
      <w:tr w:rsidR="004D6F0E">
        <w:trPr>
          <w:trHeight w:val="240"/>
        </w:trPr>
        <w:tc>
          <w:tcPr>
            <w:tcW w:w="292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sz w:val="16"/>
              </w:rPr>
              <w:t>投資策略風險</w:t>
            </w:r>
            <w:r>
              <w:rPr>
                <w:rFonts w:ascii="Arial" w:eastAsia="Arial" w:hAnsi="Arial" w:cs="Arial"/>
                <w:b/>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674" w:type="dxa"/>
            <w:tcBorders>
              <w:top w:val="nil"/>
              <w:left w:val="nil"/>
              <w:bottom w:val="nil"/>
              <w:right w:val="nil"/>
            </w:tcBorders>
            <w:shd w:val="clear" w:color="auto" w:fill="FFFFFF"/>
          </w:tcPr>
          <w:p w:rsidR="004D6F0E" w:rsidRDefault="00490F21">
            <w:pPr>
              <w:spacing w:after="0" w:line="259" w:lineRule="auto"/>
              <w:ind w:left="2" w:firstLine="0"/>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國家風險</w:t>
            </w:r>
            <w:r>
              <w:rPr>
                <w:rFonts w:ascii="Arial" w:eastAsia="Arial" w:hAnsi="Arial" w:cs="Arial"/>
                <w:sz w:val="16"/>
              </w:rPr>
              <w:t>—</w:t>
            </w:r>
            <w:r>
              <w:rPr>
                <w:sz w:val="16"/>
              </w:rPr>
              <w:t>新興市場</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nil"/>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國家風險</w:t>
            </w:r>
            <w:r>
              <w:rPr>
                <w:rFonts w:ascii="Arial" w:eastAsia="Arial" w:hAnsi="Arial" w:cs="Arial"/>
                <w:sz w:val="16"/>
              </w:rPr>
              <w:t>—</w:t>
            </w:r>
            <w:r>
              <w:rPr>
                <w:sz w:val="16"/>
              </w:rPr>
              <w:t>中國</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流動性風險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基金投資集中風險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35"/>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分配風險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成交額風險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小市值公司風險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single" w:sz="4" w:space="0" w:color="FFFFFF"/>
              <w:left w:val="nil"/>
              <w:bottom w:val="nil"/>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18"/>
        </w:trPr>
        <w:tc>
          <w:tcPr>
            <w:tcW w:w="292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sz w:val="16"/>
              </w:rPr>
              <w:t>金融工具風險</w:t>
            </w:r>
            <w:r>
              <w:rPr>
                <w:rFonts w:ascii="Arial" w:eastAsia="Arial" w:hAnsi="Arial" w:cs="Arial"/>
                <w:sz w:val="16"/>
                <w:vertAlign w:val="subscript"/>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D6F0E">
            <w:pPr>
              <w:spacing w:after="160" w:line="259" w:lineRule="auto"/>
              <w:ind w:left="0" w:firstLine="0"/>
            </w:pPr>
          </w:p>
        </w:tc>
        <w:tc>
          <w:tcPr>
            <w:tcW w:w="715" w:type="dxa"/>
            <w:tcBorders>
              <w:top w:val="single" w:sz="4" w:space="0" w:color="000000"/>
              <w:left w:val="nil"/>
              <w:bottom w:val="single" w:sz="4" w:space="0" w:color="000000"/>
              <w:right w:val="nil"/>
            </w:tcBorders>
            <w:shd w:val="clear" w:color="auto" w:fill="D9D9D9"/>
          </w:tcPr>
          <w:p w:rsidR="004D6F0E" w:rsidRDefault="004D6F0E">
            <w:pPr>
              <w:spacing w:after="160" w:line="259" w:lineRule="auto"/>
              <w:ind w:left="0" w:firstLine="0"/>
            </w:pPr>
          </w:p>
        </w:tc>
        <w:tc>
          <w:tcPr>
            <w:tcW w:w="718" w:type="dxa"/>
            <w:tcBorders>
              <w:top w:val="single" w:sz="4" w:space="0" w:color="000000"/>
              <w:left w:val="nil"/>
              <w:bottom w:val="single" w:sz="4" w:space="0" w:color="000000"/>
              <w:right w:val="nil"/>
            </w:tcBorders>
            <w:shd w:val="clear" w:color="auto" w:fill="D9D9D9"/>
          </w:tcPr>
          <w:p w:rsidR="004D6F0E" w:rsidRDefault="004D6F0E">
            <w:pPr>
              <w:spacing w:after="160" w:line="259" w:lineRule="auto"/>
              <w:ind w:left="0" w:firstLine="0"/>
            </w:pPr>
          </w:p>
        </w:tc>
        <w:tc>
          <w:tcPr>
            <w:tcW w:w="708" w:type="dxa"/>
            <w:tcBorders>
              <w:top w:val="single" w:sz="4" w:space="0" w:color="000000"/>
              <w:left w:val="nil"/>
              <w:bottom w:val="single" w:sz="4" w:space="0" w:color="000000"/>
              <w:right w:val="nil"/>
            </w:tcBorders>
            <w:shd w:val="clear" w:color="auto" w:fill="D9D9D9"/>
          </w:tcPr>
          <w:p w:rsidR="004D6F0E" w:rsidRDefault="004D6F0E">
            <w:pPr>
              <w:spacing w:after="160" w:line="259" w:lineRule="auto"/>
              <w:ind w:left="0" w:firstLine="0"/>
            </w:pPr>
          </w:p>
        </w:tc>
        <w:tc>
          <w:tcPr>
            <w:tcW w:w="708" w:type="dxa"/>
            <w:tcBorders>
              <w:top w:val="single" w:sz="4" w:space="0" w:color="000000"/>
              <w:left w:val="nil"/>
              <w:bottom w:val="single" w:sz="4" w:space="0" w:color="000000"/>
              <w:right w:val="nil"/>
            </w:tcBorders>
            <w:shd w:val="clear" w:color="auto" w:fill="D9D9D9"/>
          </w:tcPr>
          <w:p w:rsidR="004D6F0E" w:rsidRDefault="004D6F0E">
            <w:pPr>
              <w:spacing w:after="160" w:line="259" w:lineRule="auto"/>
              <w:ind w:left="0" w:firstLine="0"/>
            </w:pPr>
          </w:p>
        </w:tc>
        <w:tc>
          <w:tcPr>
            <w:tcW w:w="744" w:type="dxa"/>
            <w:tcBorders>
              <w:top w:val="single" w:sz="4" w:space="0" w:color="000000"/>
              <w:left w:val="nil"/>
              <w:bottom w:val="single" w:sz="4" w:space="0" w:color="000000"/>
              <w:right w:val="nil"/>
            </w:tcBorders>
            <w:shd w:val="clear" w:color="auto" w:fill="D9D9D9"/>
          </w:tcPr>
          <w:p w:rsidR="004D6F0E" w:rsidRDefault="004D6F0E">
            <w:pPr>
              <w:spacing w:after="160" w:line="259" w:lineRule="auto"/>
              <w:ind w:left="0" w:firstLine="0"/>
            </w:pPr>
          </w:p>
        </w:tc>
        <w:tc>
          <w:tcPr>
            <w:tcW w:w="674" w:type="dxa"/>
            <w:tcBorders>
              <w:top w:val="nil"/>
              <w:left w:val="nil"/>
              <w:bottom w:val="nil"/>
              <w:right w:val="nil"/>
            </w:tcBorders>
            <w:shd w:val="clear" w:color="auto" w:fill="FFFFFF"/>
          </w:tcPr>
          <w:p w:rsidR="004D6F0E" w:rsidRDefault="00490F21">
            <w:pPr>
              <w:spacing w:after="0" w:line="259" w:lineRule="auto"/>
              <w:ind w:left="2" w:firstLine="0"/>
            </w:pPr>
            <w:r>
              <w:rPr>
                <w:rFonts w:ascii="Arial" w:eastAsia="Arial" w:hAnsi="Arial" w:cs="Arial"/>
                <w:sz w:val="12"/>
              </w:rPr>
              <w:t xml:space="preserve"> </w:t>
            </w:r>
          </w:p>
        </w:tc>
      </w:tr>
      <w:tr w:rsidR="004D6F0E">
        <w:trPr>
          <w:trHeight w:val="271"/>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衍生工具風險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nil"/>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71"/>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場外衍生工具對手方風險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71"/>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商品相關風險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70"/>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結構化投資風險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40"/>
        </w:trPr>
        <w:tc>
          <w:tcPr>
            <w:tcW w:w="292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sz w:val="16"/>
              </w:rPr>
              <w:t>股本證券風險</w:t>
            </w:r>
            <w:r>
              <w:rPr>
                <w:rFonts w:ascii="Arial" w:eastAsia="Arial" w:hAnsi="Arial" w:cs="Arial"/>
                <w:b/>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single" w:sz="4" w:space="0" w:color="FFFFFF"/>
              <w:left w:val="nil"/>
              <w:bottom w:val="nil"/>
              <w:right w:val="nil"/>
            </w:tcBorders>
            <w:shd w:val="clear" w:color="auto" w:fill="FFFFFF"/>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70"/>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股本證券風險</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nil"/>
              <w:left w:val="nil"/>
              <w:bottom w:val="nil"/>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40"/>
        </w:trPr>
        <w:tc>
          <w:tcPr>
            <w:tcW w:w="292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sz w:val="16"/>
              </w:rPr>
              <w:t>債務證券風險</w:t>
            </w:r>
            <w:r>
              <w:rPr>
                <w:rFonts w:ascii="Arial" w:eastAsia="Arial" w:hAnsi="Arial" w:cs="Arial"/>
                <w:b/>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8"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1"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6"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674" w:type="dxa"/>
            <w:tcBorders>
              <w:top w:val="nil"/>
              <w:left w:val="nil"/>
              <w:bottom w:val="nil"/>
              <w:right w:val="nil"/>
            </w:tcBorders>
            <w:shd w:val="clear" w:color="auto" w:fill="FFFFFF"/>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固定收益證券風險</w:t>
            </w:r>
            <w:r>
              <w:rPr>
                <w:rFonts w:ascii="Arial" w:eastAsia="Arial" w:hAnsi="Arial" w:cs="Arial"/>
                <w:sz w:val="16"/>
              </w:rPr>
              <w:t>—</w:t>
            </w:r>
            <w:r>
              <w:rPr>
                <w:sz w:val="16"/>
              </w:rPr>
              <w:t>一般</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nil"/>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425"/>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固定收益證券風險</w:t>
            </w:r>
            <w:r>
              <w:rPr>
                <w:rFonts w:ascii="Arial" w:eastAsia="Arial" w:hAnsi="Arial" w:cs="Arial"/>
                <w:sz w:val="16"/>
              </w:rPr>
              <w:t>—</w:t>
            </w:r>
            <w:r>
              <w:rPr>
                <w:sz w:val="16"/>
              </w:rPr>
              <w:t>較低評級及無評級工具</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33"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信用風險</w:t>
            </w:r>
            <w:r>
              <w:rPr>
                <w:rFonts w:ascii="Arial" w:eastAsia="Arial" w:hAnsi="Arial" w:cs="Arial"/>
                <w:sz w:val="16"/>
              </w:rPr>
              <w:t>—</w:t>
            </w:r>
            <w:r>
              <w:rPr>
                <w:sz w:val="16"/>
              </w:rPr>
              <w:t>國家債務</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70"/>
        </w:trPr>
        <w:tc>
          <w:tcPr>
            <w:tcW w:w="2928" w:type="dxa"/>
            <w:tcBorders>
              <w:top w:val="single" w:sz="4" w:space="0" w:color="000000"/>
              <w:left w:val="nil"/>
              <w:bottom w:val="single" w:sz="4" w:space="0" w:color="000000"/>
              <w:right w:val="nil"/>
            </w:tcBorders>
          </w:tcPr>
          <w:p w:rsidR="004D6F0E" w:rsidRDefault="00490F21">
            <w:pPr>
              <w:spacing w:after="0" w:line="259" w:lineRule="auto"/>
              <w:ind w:left="2" w:firstLine="0"/>
            </w:pPr>
            <w:r>
              <w:rPr>
                <w:sz w:val="16"/>
              </w:rPr>
              <w:t>信用風險</w:t>
            </w:r>
            <w:r>
              <w:rPr>
                <w:rFonts w:ascii="Arial" w:eastAsia="Arial" w:hAnsi="Arial" w:cs="Arial"/>
                <w:sz w:val="16"/>
              </w:rPr>
              <w:t>—</w:t>
            </w:r>
            <w:r>
              <w:rPr>
                <w:sz w:val="16"/>
              </w:rPr>
              <w:t>公司債務</w:t>
            </w:r>
            <w:r>
              <w:rPr>
                <w:rFonts w:ascii="Arial" w:eastAsia="Arial" w:hAnsi="Arial" w:cs="Arial"/>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jc w:val="center"/>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tcPr>
          <w:p w:rsidR="004D6F0E" w:rsidRDefault="00490F21">
            <w:pPr>
              <w:spacing w:after="0" w:line="259" w:lineRule="auto"/>
              <w:ind w:left="0" w:right="5" w:firstLine="0"/>
              <w:jc w:val="center"/>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tcPr>
          <w:p w:rsidR="004D6F0E" w:rsidRDefault="00490F21">
            <w:pPr>
              <w:spacing w:after="0" w:line="259" w:lineRule="auto"/>
              <w:ind w:left="0" w:right="2" w:firstLine="0"/>
              <w:jc w:val="center"/>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right="7" w:firstLine="0"/>
              <w:jc w:val="center"/>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FFFFFF"/>
          </w:tcPr>
          <w:p w:rsidR="004D6F0E" w:rsidRDefault="00490F21">
            <w:pPr>
              <w:spacing w:after="0" w:line="259" w:lineRule="auto"/>
              <w:ind w:left="0" w:firstLine="0"/>
              <w:jc w:val="center"/>
            </w:pPr>
            <w:r>
              <w:rPr>
                <w:rFonts w:ascii="Arial" w:eastAsia="Arial" w:hAnsi="Arial" w:cs="Arial"/>
                <w:sz w:val="12"/>
              </w:rPr>
              <w:t xml:space="preserve">● </w:t>
            </w:r>
          </w:p>
        </w:tc>
        <w:tc>
          <w:tcPr>
            <w:tcW w:w="674" w:type="dxa"/>
            <w:tcBorders>
              <w:top w:val="single" w:sz="4" w:space="0" w:color="FFFFFF"/>
              <w:left w:val="nil"/>
              <w:bottom w:val="single" w:sz="4" w:space="0" w:color="FFFFFF"/>
              <w:right w:val="nil"/>
            </w:tcBorders>
          </w:tcPr>
          <w:p w:rsidR="004D6F0E" w:rsidRDefault="00490F21">
            <w:pPr>
              <w:spacing w:after="0" w:line="259" w:lineRule="auto"/>
              <w:ind w:left="31" w:firstLine="0"/>
              <w:jc w:val="center"/>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sz w:val="16"/>
              </w:rPr>
              <w:t>證券借貸風險</w:t>
            </w:r>
            <w:r>
              <w:rPr>
                <w:rFonts w:ascii="Arial" w:eastAsia="Arial" w:hAnsi="Arial" w:cs="Arial"/>
                <w:b/>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674" w:type="dxa"/>
            <w:tcBorders>
              <w:top w:val="single" w:sz="4" w:space="0" w:color="FFFFFF"/>
              <w:left w:val="nil"/>
              <w:bottom w:val="nil"/>
              <w:right w:val="nil"/>
            </w:tcBorders>
            <w:shd w:val="clear" w:color="auto" w:fill="FFFFFF"/>
          </w:tcPr>
          <w:p w:rsidR="004D6F0E" w:rsidRDefault="00490F21">
            <w:pPr>
              <w:spacing w:after="0" w:line="259" w:lineRule="auto"/>
              <w:ind w:left="2" w:firstLine="0"/>
            </w:pPr>
            <w:r>
              <w:rPr>
                <w:rFonts w:ascii="Arial" w:eastAsia="Arial" w:hAnsi="Arial" w:cs="Arial"/>
                <w:sz w:val="12"/>
              </w:rPr>
              <w:t xml:space="preserve"> </w:t>
            </w:r>
          </w:p>
        </w:tc>
      </w:tr>
      <w:tr w:rsidR="004D6F0E">
        <w:trPr>
          <w:trHeight w:val="269"/>
        </w:trPr>
        <w:tc>
          <w:tcPr>
            <w:tcW w:w="292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sz w:val="16"/>
              </w:rPr>
              <w:t>可持續性風險</w:t>
            </w:r>
            <w:r>
              <w:rPr>
                <w:rFonts w:ascii="Arial" w:eastAsia="Arial" w:hAnsi="Arial" w:cs="Arial"/>
                <w:b/>
                <w:sz w:val="16"/>
              </w:rPr>
              <w:t xml:space="preserve"> </w:t>
            </w:r>
          </w:p>
        </w:tc>
        <w:tc>
          <w:tcPr>
            <w:tcW w:w="710"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15"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1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708"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0" w:firstLine="0"/>
            </w:pPr>
            <w:r>
              <w:rPr>
                <w:rFonts w:ascii="Arial" w:eastAsia="Arial" w:hAnsi="Arial" w:cs="Arial"/>
                <w:sz w:val="12"/>
              </w:rPr>
              <w:t xml:space="preserve">● </w:t>
            </w:r>
          </w:p>
        </w:tc>
        <w:tc>
          <w:tcPr>
            <w:tcW w:w="744" w:type="dxa"/>
            <w:tcBorders>
              <w:top w:val="single" w:sz="4" w:space="0" w:color="000000"/>
              <w:left w:val="nil"/>
              <w:bottom w:val="single" w:sz="4" w:space="0" w:color="000000"/>
              <w:right w:val="nil"/>
            </w:tcBorders>
            <w:shd w:val="clear" w:color="auto" w:fill="D9D9D9"/>
          </w:tcPr>
          <w:p w:rsidR="004D6F0E" w:rsidRDefault="00490F21">
            <w:pPr>
              <w:spacing w:after="0" w:line="259" w:lineRule="auto"/>
              <w:ind w:left="2" w:firstLine="0"/>
            </w:pPr>
            <w:r>
              <w:rPr>
                <w:rFonts w:ascii="Arial" w:eastAsia="Arial" w:hAnsi="Arial" w:cs="Arial"/>
                <w:sz w:val="12"/>
              </w:rPr>
              <w:t xml:space="preserve">● </w:t>
            </w:r>
          </w:p>
        </w:tc>
        <w:tc>
          <w:tcPr>
            <w:tcW w:w="674" w:type="dxa"/>
            <w:tcBorders>
              <w:top w:val="nil"/>
              <w:left w:val="nil"/>
              <w:bottom w:val="nil"/>
              <w:right w:val="nil"/>
            </w:tcBorders>
            <w:shd w:val="clear" w:color="auto" w:fill="FFFFFF"/>
          </w:tcPr>
          <w:p w:rsidR="004D6F0E" w:rsidRDefault="00490F21">
            <w:pPr>
              <w:spacing w:after="0" w:line="259" w:lineRule="auto"/>
              <w:ind w:left="2" w:firstLine="0"/>
            </w:pPr>
            <w:r>
              <w:rPr>
                <w:rFonts w:ascii="Arial" w:eastAsia="Arial" w:hAnsi="Arial" w:cs="Arial"/>
                <w:sz w:val="12"/>
              </w:rPr>
              <w:t xml:space="preserve"> </w:t>
            </w:r>
          </w:p>
        </w:tc>
      </w:tr>
    </w:tbl>
    <w:p w:rsidR="004D6F0E" w:rsidRDefault="00490F21">
      <w:pPr>
        <w:spacing w:after="0" w:line="259" w:lineRule="auto"/>
        <w:ind w:left="0" w:firstLine="0"/>
      </w:pPr>
      <w:r>
        <w:rPr>
          <w:rFonts w:ascii="Arial" w:eastAsia="Arial" w:hAnsi="Arial" w:cs="Arial"/>
          <w:sz w:val="18"/>
        </w:rPr>
        <w:t xml:space="preserve"> </w:t>
      </w:r>
    </w:p>
    <w:p w:rsidR="004D6F0E" w:rsidRDefault="004D6F0E">
      <w:pPr>
        <w:sectPr w:rsidR="004D6F0E">
          <w:headerReference w:type="even" r:id="rId309"/>
          <w:headerReference w:type="default" r:id="rId310"/>
          <w:footerReference w:type="even" r:id="rId311"/>
          <w:footerReference w:type="default" r:id="rId312"/>
          <w:headerReference w:type="first" r:id="rId313"/>
          <w:footerReference w:type="first" r:id="rId314"/>
          <w:pgSz w:w="12240" w:h="15840"/>
          <w:pgMar w:top="982" w:right="720" w:bottom="402" w:left="432" w:header="719" w:footer="720" w:gutter="0"/>
          <w:cols w:space="720"/>
          <w:titlePg/>
        </w:sectPr>
      </w:pPr>
    </w:p>
    <w:p w:rsidR="004D6F0E" w:rsidRDefault="00490F21">
      <w:pPr>
        <w:ind w:left="11" w:right="2"/>
      </w:pPr>
      <w:r>
        <w:t>投資策略風險</w:t>
      </w:r>
      <w:r>
        <w:t>各基金的業務均涉及特別考慮因素及風險，包括下文討論的部分或全部的有關因素及風險。無法保證基金的投資目標將獲實現或將有任何資本回報，而投資結果可能每月、每季或每年相差懸殊。</w:t>
      </w:r>
    </w:p>
    <w:p w:rsidR="004D6F0E" w:rsidRDefault="00490F21">
      <w:pPr>
        <w:spacing w:after="164"/>
        <w:ind w:left="11" w:right="2"/>
      </w:pPr>
      <w:r>
        <w:t>基金內的投資並非代表完整的投資計劃。</w:t>
      </w:r>
      <w:r>
        <w:rPr>
          <w:rFonts w:ascii="Arial" w:eastAsia="Arial" w:hAnsi="Arial" w:cs="Arial"/>
        </w:rPr>
        <w:t xml:space="preserve"> </w:t>
      </w:r>
    </w:p>
    <w:p w:rsidR="004D6F0E" w:rsidRDefault="00490F21">
      <w:pPr>
        <w:spacing w:after="160"/>
        <w:ind w:left="11" w:right="2"/>
      </w:pPr>
      <w:r>
        <w:t>國家風險</w:t>
      </w:r>
      <w:r>
        <w:rPr>
          <w:rFonts w:ascii="Arial" w:eastAsia="Arial" w:hAnsi="Arial" w:cs="Arial"/>
          <w:b/>
        </w:rPr>
        <w:t>—</w:t>
      </w:r>
      <w:r>
        <w:t>新興市場。基金可獲允許投資於新興市場發行人的證券。因此，與只投資於發達國家發行人的股本證券的基金相比，有關基金的價格波動可能更劇烈，而流動性亦可能顯著降低。除投資於較成熟市場的發行人的證券通常所承擔的風險外，投資於新興市場發行人的證券需承擔其他重大風險，如</w:t>
      </w:r>
      <w:r>
        <w:rPr>
          <w:rFonts w:ascii="Arial" w:eastAsia="Arial" w:hAnsi="Arial" w:cs="Arial"/>
        </w:rPr>
        <w:t>(i)</w:t>
      </w:r>
      <w:r>
        <w:t>交易額低或沒有交易額，與較成熟資本市場相若發行人的證券相比，該類證券缺乏流動性及價格波動更大，</w:t>
      </w:r>
      <w:r>
        <w:rPr>
          <w:rFonts w:ascii="Arial" w:eastAsia="Arial" w:hAnsi="Arial" w:cs="Arial"/>
        </w:rPr>
        <w:t xml:space="preserve">(ii) </w:t>
      </w:r>
      <w:r>
        <w:t>國家政策的不確定性及社會、政治和經濟的不穩定，增加了資產徵用、稅款沒收、通脹高企或不利外交發展的可能性，</w:t>
      </w:r>
      <w:r>
        <w:rPr>
          <w:rFonts w:ascii="Arial" w:eastAsia="Arial" w:hAnsi="Arial" w:cs="Arial"/>
        </w:rPr>
        <w:t xml:space="preserve">(iii) </w:t>
      </w:r>
      <w:r>
        <w:t>可能出現的匯率波動，法律制度不同及存在或可能實施外匯管制，託管限制或適用於該類投資的其他法律或限制，</w:t>
      </w:r>
      <w:r>
        <w:rPr>
          <w:rFonts w:ascii="Arial" w:eastAsia="Arial" w:hAnsi="Arial" w:cs="Arial"/>
        </w:rPr>
        <w:t xml:space="preserve">(iv) </w:t>
      </w:r>
      <w:r>
        <w:t>可能限制基金投資機會的國家政策，例如限制投資於被視為對國家利益敏感的發行人或產業，及</w:t>
      </w:r>
      <w:r>
        <w:rPr>
          <w:rFonts w:ascii="Arial" w:eastAsia="Arial" w:hAnsi="Arial" w:cs="Arial"/>
        </w:rPr>
        <w:t xml:space="preserve">(v) </w:t>
      </w:r>
      <w:r>
        <w:t>缺乏規管私人及外國投資和私有財產的法律架構或此等法律架構相對處於初期發展階段。</w:t>
      </w:r>
      <w:r>
        <w:rPr>
          <w:rFonts w:ascii="Arial" w:eastAsia="Arial" w:hAnsi="Arial" w:cs="Arial"/>
        </w:rPr>
        <w:t xml:space="preserve"> </w:t>
      </w:r>
    </w:p>
    <w:p w:rsidR="004D6F0E" w:rsidRDefault="00490F21">
      <w:pPr>
        <w:spacing w:after="163"/>
        <w:ind w:left="11" w:right="2"/>
      </w:pPr>
      <w:r>
        <w:t>與投資於</w:t>
      </w:r>
      <w:r>
        <w:t>新興市場發行人有關的其他風險包括：有關證券發行人的公開信息不足；與較成熟市場不同並可能導致延遲或或許無法充分保障基金免於資產損失或失竊的結算方式；公司或產業可能國有化及徵收或沒收稅款；以及被徵收外國稅項。投資於新興市場證券一般的開支亦較高，原因是：貨幣兌換成本；某些新興市場經紀佣金較高；外國託管人存置證券的開支。</w:t>
      </w:r>
      <w:r>
        <w:rPr>
          <w:rFonts w:ascii="Arial" w:eastAsia="Arial" w:hAnsi="Arial" w:cs="Arial"/>
        </w:rPr>
        <w:t xml:space="preserve"> </w:t>
      </w:r>
    </w:p>
    <w:p w:rsidR="004D6F0E" w:rsidRDefault="00490F21">
      <w:pPr>
        <w:spacing w:after="163"/>
        <w:ind w:left="11" w:right="2"/>
      </w:pPr>
      <w:r>
        <w:t>新興市場發行人所遵循有關會計、核數及財務報告的標準和規定，可能與成熟市場的公司所遵循者有別。在若干新興市場國家，申報標準有很大的差異。因此，在成熟市場使用的傳統投資衡量工具，如市盈率等，在某些新</w:t>
      </w:r>
      <w:r>
        <w:t>興市場可能並不適用。</w:t>
      </w:r>
      <w:r>
        <w:rPr>
          <w:rFonts w:ascii="Arial" w:eastAsia="Arial" w:hAnsi="Arial" w:cs="Arial"/>
        </w:rPr>
        <w:t xml:space="preserve"> </w:t>
      </w:r>
    </w:p>
    <w:p w:rsidR="004D6F0E" w:rsidRDefault="00490F21">
      <w:pPr>
        <w:ind w:left="11" w:right="2"/>
      </w:pPr>
      <w:r>
        <w:t>除上述所有新興市場的常見風險外，投資俄羅斯亦存在特定風險。投資者應留意俄羅斯市場在證券結算、證券保管及資產登記（由於註冊處並非經常受到政府的有效監控）方面存在特定風險。俄羅斯證券並無實際存放於存管人或俄羅斯的地方代理。因此，存管人或俄羅斯地方代理不能視為履行傳統意義上的實際保管或託管職能。存管人的責任僅限於本身的疏忽或故意違約，及至其俄羅斯地方代理的疏忽及故意的不當行為，並不負責清盤、破產及任何註冊處疏忽及故意違約引致的損失。倘出現此等損失，本傘</w:t>
      </w:r>
    </w:p>
    <w:p w:rsidR="004D6F0E" w:rsidRDefault="00490F21">
      <w:pPr>
        <w:ind w:left="11" w:right="2"/>
      </w:pPr>
      <w:r>
        <w:t>子基金不得不對發行人及／或其指定註冊</w:t>
      </w:r>
      <w:r>
        <w:t>處行使相應權利。</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國家風險</w:t>
      </w:r>
      <w:r>
        <w:rPr>
          <w:rFonts w:ascii="Arial" w:eastAsia="Arial" w:hAnsi="Arial" w:cs="Arial"/>
          <w:b/>
        </w:rPr>
        <w:t>—</w:t>
      </w:r>
      <w:r>
        <w:t>中國。</w:t>
      </w:r>
      <w:r>
        <w:rPr>
          <w:rFonts w:ascii="Arial" w:eastAsia="Arial" w:hAnsi="Arial" w:cs="Arial"/>
          <w:b/>
        </w:rPr>
        <w:t xml:space="preserve"> </w:t>
      </w:r>
    </w:p>
    <w:p w:rsidR="004D6F0E" w:rsidRDefault="00490F21">
      <w:pPr>
        <w:ind w:left="11" w:right="2"/>
      </w:pPr>
      <w:r>
        <w:t>中國投資者的法律權利具有不確定性，政府干預屬常見且不可預測，來自中國境外的投資者受到持倉限制和報告要求限制（可能隨時更改而不另行通知），以及部分主要的交易和託管系統尚未經得驗證。在中國的投資亦須承受新興／前緣市場風險。在中國，無法確定法院會否保障基金對其可能購買之證券的權利，包括通過</w:t>
      </w:r>
      <w:r>
        <w:t xml:space="preserve"> </w:t>
      </w:r>
      <w:r>
        <w:rPr>
          <w:rFonts w:ascii="Arial" w:eastAsia="Arial" w:hAnsi="Arial" w:cs="Arial"/>
        </w:rPr>
        <w:t xml:space="preserve">QFI </w:t>
      </w:r>
      <w:r>
        <w:t>計劃、中華通（定義見下文）或其他法規未經測</w:t>
      </w:r>
    </w:p>
    <w:p w:rsidR="004D6F0E" w:rsidRDefault="00490F21">
      <w:pPr>
        <w:ind w:left="11" w:right="2"/>
      </w:pPr>
      <w:r>
        <w:t>試及可能發生變化的方法採取法律行動的權利。</w:t>
      </w:r>
      <w:r>
        <w:rPr>
          <w:rFonts w:ascii="Arial" w:eastAsia="Arial" w:hAnsi="Arial" w:cs="Arial"/>
          <w:b/>
          <w:i/>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04"/>
        <w:ind w:left="11" w:right="2"/>
      </w:pPr>
      <w:r>
        <w:t>中國資本市場的監管、法律和稅務框架可能不如已發展國家般完善，而法律、法規和稅務法</w:t>
      </w:r>
      <w:r>
        <w:t>例的變化可能影響基金在中國的投資。此外，公眾可獲得有關中國公司的資料可能較少及該等資料的可靠性可能較低，因為中國公司的會計標準在重大方面有別於在已發展國家成立的公司所適用者。因此，披露水平及透明度較低可能影響在中國的投資價值。</w:t>
      </w:r>
      <w:r>
        <w:rPr>
          <w:rFonts w:ascii="Arial" w:eastAsia="Arial" w:hAnsi="Arial" w:cs="Arial"/>
        </w:rPr>
        <w:t xml:space="preserve"> </w:t>
      </w:r>
    </w:p>
    <w:p w:rsidR="004D6F0E" w:rsidRDefault="00490F21">
      <w:pPr>
        <w:ind w:left="11" w:right="2"/>
      </w:pPr>
      <w:r>
        <w:t>在中國，政府對其貨幣，即人民幣（</w:t>
      </w:r>
      <w:r>
        <w:rPr>
          <w:rFonts w:ascii="Arial" w:eastAsia="Arial" w:hAnsi="Arial" w:cs="Arial"/>
        </w:rPr>
        <w:t>RMB</w:t>
      </w:r>
      <w:r>
        <w:t>）維持兩種形式。在岸人民幣（</w:t>
      </w:r>
      <w:r>
        <w:rPr>
          <w:rFonts w:ascii="Arial" w:eastAsia="Arial" w:hAnsi="Arial" w:cs="Arial"/>
        </w:rPr>
        <w:t>CNY</w:t>
      </w:r>
      <w:r>
        <w:t>）只在中國境內使用，不能自由兌換，並受外匯管制。離岸人民幣（</w:t>
      </w:r>
      <w:r>
        <w:rPr>
          <w:rFonts w:ascii="Arial" w:eastAsia="Arial" w:hAnsi="Arial" w:cs="Arial"/>
        </w:rPr>
        <w:t>CNH</w:t>
      </w:r>
      <w:r>
        <w:t>）在中國境外使用，可由任何人擁有，並可在中國境外自由交易，但仍然受到管制、限制和供應限制。目前，</w:t>
      </w:r>
      <w:r>
        <w:rPr>
          <w:rFonts w:ascii="Arial" w:eastAsia="Arial" w:hAnsi="Arial" w:cs="Arial"/>
        </w:rPr>
        <w:t>CNY</w:t>
      </w:r>
      <w:r>
        <w:t>與</w:t>
      </w:r>
      <w:r>
        <w:rPr>
          <w:rFonts w:ascii="Arial" w:eastAsia="Arial" w:hAnsi="Arial" w:cs="Arial"/>
        </w:rPr>
        <w:t>CNH</w:t>
      </w:r>
      <w:r>
        <w:t>之間的匯率基於市場供求，但仍有政府</w:t>
      </w:r>
      <w:r>
        <w:t>管理和控制的因素，同時政府亦有可能對</w:t>
      </w:r>
      <w:r>
        <w:rPr>
          <w:rFonts w:ascii="Arial" w:eastAsia="Arial" w:hAnsi="Arial" w:cs="Arial"/>
        </w:rPr>
        <w:t>CNY</w:t>
      </w:r>
      <w:r>
        <w:t>兌換</w:t>
      </w:r>
      <w:r>
        <w:rPr>
          <w:rFonts w:ascii="Arial" w:eastAsia="Arial" w:hAnsi="Arial" w:cs="Arial"/>
        </w:rPr>
        <w:t>CNH</w:t>
      </w:r>
      <w:r>
        <w:t>實施或修改限制。因此，基金在中國的投資受制於涉及另一層面的貨幣風險（</w:t>
      </w:r>
      <w:r>
        <w:rPr>
          <w:rFonts w:ascii="Arial" w:eastAsia="Arial" w:hAnsi="Arial" w:cs="Arial"/>
        </w:rPr>
        <w:t>CNH</w:t>
      </w:r>
      <w:r>
        <w:t>與</w:t>
      </w:r>
      <w:r>
        <w:rPr>
          <w:rFonts w:ascii="Arial" w:eastAsia="Arial" w:hAnsi="Arial" w:cs="Arial"/>
        </w:rPr>
        <w:t>CNY</w:t>
      </w:r>
      <w:r>
        <w:t>之間），該風險將受市場力量及政府政策和行動影響，並可能導致重大波動性及流動性風險。</w:t>
      </w:r>
      <w:r>
        <w:rPr>
          <w:sz w:val="20"/>
        </w:rPr>
        <w:t>中華通</w:t>
      </w:r>
      <w:r>
        <w:t>。基金可透過中華通直接或間接投資於合資格中國</w:t>
      </w:r>
      <w:r>
        <w:t xml:space="preserve"> </w:t>
      </w:r>
      <w:r>
        <w:rPr>
          <w:rFonts w:ascii="Arial" w:eastAsia="Arial" w:hAnsi="Arial" w:cs="Arial"/>
        </w:rPr>
        <w:t xml:space="preserve">A </w:t>
      </w:r>
      <w:r>
        <w:t>股（「中華通證券」），包括投資於與中華通證券掛鈎的金融工具及其他市場延拓產品。中華通乃由（其中包括）香港聯合交易所有限公司（「聯交所」）、上海證券交易所（「上交所」）、深圳證券交易所（「深交所」）（連同上交所，各稱「中華通市場」）、香港中央</w:t>
      </w:r>
      <w:r>
        <w:t>結算有限公司（「香港結算」）及中國證券登記結算有限責任公司（「中國結算」）建立的證券交易及結算掛鈎計劃，旨在實現中國內地與香港兩地投資者互相進入對方股票市場的目標。根據中華通，儘管滬港通及深港通的監管框架大體相似，惟彼此間獨立運作，而聯交所可能暫停交易，以確保公平、有序的市場。</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由於中華通相對較新及發展未臻完善，規管中華通及有關交易的規則可能有所變動，而可投資的證券及產品亦可能會出現波動。因此，於中華通進行的交易涉及流動性、交易對手及最佳執行等額外風險。此外，基金投資中華通證券的各種相關權利</w:t>
      </w:r>
    </w:p>
    <w:p w:rsidR="004D6F0E" w:rsidRDefault="00490F21">
      <w:pPr>
        <w:ind w:left="11" w:right="2"/>
      </w:pPr>
      <w:r>
        <w:t>仍未清晰</w:t>
      </w:r>
      <w:r>
        <w:t>界定，且可能與較成熟市場有所不同。</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基金可透過中華通提供的「北向交易」投資於中華通證券，惟須遵守不時頒佈的適用規則及規例。根據北向交易，投資者透過其香港經紀以及聯交所分別於上海（根據滬港通進行買賣）及深圳（根據深港通進行買賣）成立的證券交易服務公司，可通過向相關中華通市場下達指令買賣於各相關中華通市場上市的中華通證券。</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根據中華通，香港結算（亦為香港交易及結算所有限公司（「香港交易所」）的全資附屬公司）將負責為由香港市場參與者及投資者執行的交易進行結算及交收，並提供存管、代名人及其他相關服務。由香港結算操作的中央結算及交收系統（中央結算系統）中的經紀及託管戶口持有的中華通證券可能會受香港</w:t>
      </w:r>
    </w:p>
    <w:p w:rsidR="004D6F0E" w:rsidRDefault="00490F21">
      <w:pPr>
        <w:ind w:left="11" w:right="2"/>
      </w:pPr>
      <w:r>
        <w:t>結算／中央結算系統違約或破產的影響。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0"/>
        <w:ind w:left="11" w:right="2"/>
      </w:pPr>
      <w:r>
        <w:t>合資格使用北向交易進行買賣的中華通證券包括於上交所及深交所上市的若干股份，惟有關資格可能會出現變動並附帶多項條件。</w:t>
      </w:r>
      <w:r>
        <w:rPr>
          <w:rFonts w:ascii="Arial" w:eastAsia="Arial" w:hAnsi="Arial" w:cs="Arial"/>
        </w:rPr>
        <w:t xml:space="preserve"> </w:t>
      </w:r>
    </w:p>
    <w:p w:rsidR="004D6F0E" w:rsidRDefault="00490F21">
      <w:pPr>
        <w:ind w:left="11" w:right="2"/>
      </w:pPr>
      <w:r>
        <w:t>中華通證券的所有交易以人民幣進行，而人民幣未必為基金的基準貨幣。於中華通進行</w:t>
      </w:r>
      <w:r>
        <w:t>的交易受每日額度規限，每日額度限制透過北向交易執行的最高跨境交易淨買入價值，有關額度或會改變，並影響是否可以進行買入交易。</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中華通證券乃由中國結算持有。香港結算為中國結算的直接參與者，而投資者透過北向交易買入的中華通證券將以香港結算的名義記錄在香港結算於中國結算開立的代名人證券帳戶，而香港結算將為該等中華通證券的代名持有人；及將由中國結算的存管處持有，並以香港結算的名義登記在相關中華通市場的上市公司股東名冊。</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00"/>
        <w:ind w:left="11" w:right="2"/>
      </w:pPr>
      <w:r>
        <w:t>香港結算將於相關中央結算及交收系統（「中央結算系統」）結算參與者的中央結算系統股份戶口</w:t>
      </w:r>
      <w:r>
        <w:t>記錄該等中華通證券權益。香港結算將被視為代表結算參與者（與基金的託管人訂有直接或間接託管安排）持有該等證券的實益權益的合法擁有人。該等中華通證券將會記錄於香港結算在中國結算開立的代名人戶口，而北向投資者根據適用法律擁有該等證券的權利及權益。</w:t>
      </w:r>
      <w:r>
        <w:rPr>
          <w:rFonts w:ascii="Arial" w:eastAsia="Arial" w:hAnsi="Arial" w:cs="Arial"/>
        </w:rPr>
        <w:t xml:space="preserve"> </w:t>
      </w:r>
    </w:p>
    <w:p w:rsidR="004D6F0E" w:rsidRDefault="00490F21">
      <w:pPr>
        <w:spacing w:after="103"/>
        <w:ind w:left="11" w:right="2"/>
      </w:pPr>
      <w:r>
        <w:t>透過北向交易進行投資的基金將被確認為中華通證券的最終擁有人。基金可透過香港結算作為名義持有人行使其於中華通證券的權利，並對此等證券的投票權保留實質控制。香港結算作為代名人並不保證擁有透過其持有的中華通證券的所有權，故並無責任代表實益擁有人（如基金）強制執行所有權或與擁</w:t>
      </w:r>
      <w:r>
        <w:t>有權相關的其他權利。因此，作為實益擁有人透過北向交易進行投資之基金的確切性質及權利未完全界定，並須承受額外風險。</w:t>
      </w:r>
      <w:r>
        <w:rPr>
          <w:rFonts w:ascii="Arial" w:eastAsia="Arial" w:hAnsi="Arial" w:cs="Arial"/>
        </w:rPr>
        <w:t xml:space="preserve"> </w:t>
      </w:r>
    </w:p>
    <w:p w:rsidR="004D6F0E" w:rsidRDefault="00490F21">
      <w:pPr>
        <w:spacing w:after="100"/>
        <w:ind w:left="11" w:right="2"/>
      </w:pPr>
      <w:r>
        <w:t>由於適用法律並不承認香港結算與基金或存管人之間的任何直接法律關係，故倘基金因香港結算的表現或無力償債而蒙受損失，基金將不會對香港結算有任何直接法律追索權。若中國結算違約，香港結算的合約責任將限於協助參與者索償。基金試圖收回損失資產可能涉及重大延誤及開支，且未必會成功。</w:t>
      </w:r>
      <w:r>
        <w:rPr>
          <w:rFonts w:ascii="Arial" w:eastAsia="Arial" w:hAnsi="Arial" w:cs="Arial"/>
        </w:rPr>
        <w:t xml:space="preserve"> </w:t>
      </w:r>
    </w:p>
    <w:p w:rsidR="004D6F0E" w:rsidRDefault="00490F21">
      <w:pPr>
        <w:spacing w:after="104"/>
        <w:ind w:left="11" w:right="2"/>
      </w:pPr>
      <w:r>
        <w:t>部分中華通證券（主要為創新成長型企業的股份）於創業板買賣。創業板為深交所多層資本市場的一部分。投資於創業板可能附帶與在其他市</w:t>
      </w:r>
      <w:r>
        <w:t>場投資中華通證券不同的風險。</w:t>
      </w:r>
      <w:r>
        <w:rPr>
          <w:rFonts w:ascii="Arial" w:eastAsia="Arial" w:hAnsi="Arial" w:cs="Arial"/>
        </w:rPr>
        <w:t xml:space="preserve"> </w:t>
      </w:r>
    </w:p>
    <w:p w:rsidR="004D6F0E" w:rsidRDefault="00490F21">
      <w:pPr>
        <w:spacing w:after="101"/>
        <w:ind w:left="11" w:right="2"/>
      </w:pPr>
      <w:r>
        <w:rPr>
          <w:rFonts w:ascii="Arial" w:eastAsia="Arial" w:hAnsi="Arial" w:cs="Arial"/>
          <w:i/>
        </w:rPr>
        <w:t>QFI</w:t>
      </w:r>
      <w:r>
        <w:rPr>
          <w:sz w:val="20"/>
        </w:rPr>
        <w:t>計劃</w:t>
      </w:r>
      <w:r>
        <w:t>。基金可透過</w:t>
      </w:r>
      <w:r>
        <w:rPr>
          <w:rFonts w:ascii="Arial" w:eastAsia="Arial" w:hAnsi="Arial" w:cs="Arial"/>
        </w:rPr>
        <w:t>QFI</w:t>
      </w:r>
      <w:r>
        <w:t>計劃投資於中國內地證券。透過</w:t>
      </w:r>
      <w:r>
        <w:rPr>
          <w:rFonts w:ascii="Arial" w:eastAsia="Arial" w:hAnsi="Arial" w:cs="Arial"/>
        </w:rPr>
        <w:t>FII</w:t>
      </w:r>
      <w:r>
        <w:t>牌照投資涉及其本身的風險。基金作出相關投資或全面實施或落實其投資目標及策略的能力受中華人民共和國（「中國」）適用法律、規則及規例（包括投資及匯回本金及利潤的限制）的規限，該等法律、規則及規例可作變更，而該變更可能具有潛在追溯效力。若</w:t>
      </w:r>
      <w:r>
        <w:rPr>
          <w:rFonts w:ascii="Arial" w:eastAsia="Arial" w:hAnsi="Arial" w:cs="Arial"/>
        </w:rPr>
        <w:t>QFI</w:t>
      </w:r>
      <w:r>
        <w:t>資格的審批被撤銷／終止或以其他方式失效，該基金可能因而被禁止買賣相關證券及匯回該基金的資金，或如果任何主要營運商或相關方（包括</w:t>
      </w:r>
      <w:r>
        <w:rPr>
          <w:rFonts w:ascii="Arial" w:eastAsia="Arial" w:hAnsi="Arial" w:cs="Arial"/>
        </w:rPr>
        <w:t>QFI</w:t>
      </w:r>
      <w:r>
        <w:t>託管人／經紀）破產／違約及／或喪失履行其義務（包</w:t>
      </w:r>
      <w:r>
        <w:t>括執行或結算任何交易或轉移資金或證券）的資格，則基金可能蒙受重大損失。</w:t>
      </w:r>
      <w:r>
        <w:rPr>
          <w:rFonts w:ascii="Arial" w:eastAsia="Arial" w:hAnsi="Arial" w:cs="Arial"/>
        </w:rPr>
        <w:t xml:space="preserve"> </w:t>
      </w:r>
    </w:p>
    <w:p w:rsidR="004D6F0E" w:rsidRDefault="00490F21">
      <w:pPr>
        <w:spacing w:after="104"/>
        <w:ind w:left="11" w:right="2"/>
      </w:pPr>
      <w:r>
        <w:t>透過</w:t>
      </w:r>
      <w:r>
        <w:rPr>
          <w:rFonts w:ascii="Arial" w:eastAsia="Arial" w:hAnsi="Arial" w:cs="Arial"/>
        </w:rPr>
        <w:t>QFI</w:t>
      </w:r>
      <w:r>
        <w:t>計劃進行投資面臨資金匯出及流動性風險，這是由於市場受到國家外匯管理局（外管局）及中國人民銀行（人民銀行）的監管，而外管局及人民銀行可能會採取投資管理人控制範圍以外的行動。儘管相關的</w:t>
      </w:r>
      <w:r>
        <w:rPr>
          <w:rFonts w:ascii="Arial" w:eastAsia="Arial" w:hAnsi="Arial" w:cs="Arial"/>
        </w:rPr>
        <w:t>QFI</w:t>
      </w:r>
      <w:r>
        <w:t>規例已予修訂以放寬對</w:t>
      </w:r>
      <w:r>
        <w:rPr>
          <w:rFonts w:ascii="Arial" w:eastAsia="Arial" w:hAnsi="Arial" w:cs="Arial"/>
        </w:rPr>
        <w:t>QFI</w:t>
      </w:r>
      <w:r>
        <w:t>在岸投資及資金管理的若干監管限制（包括但不限於取消投資額度限制及簡化匯出投資所得款項的程序），但實際上，相關規例如何實施仍存在不確定性。另一方面，經修訂的</w:t>
      </w:r>
      <w:r>
        <w:rPr>
          <w:rFonts w:ascii="Arial" w:eastAsia="Arial" w:hAnsi="Arial" w:cs="Arial"/>
        </w:rPr>
        <w:t>QFI</w:t>
      </w:r>
      <w:r>
        <w:t>規例亦在資訊披露等方面強化對</w:t>
      </w:r>
      <w:r>
        <w:rPr>
          <w:rFonts w:ascii="Arial" w:eastAsia="Arial" w:hAnsi="Arial" w:cs="Arial"/>
        </w:rPr>
        <w:t>QFI</w:t>
      </w:r>
      <w:r>
        <w:t>的監督。具體而言，</w:t>
      </w:r>
      <w:r>
        <w:rPr>
          <w:rFonts w:ascii="Arial" w:eastAsia="Arial" w:hAnsi="Arial" w:cs="Arial"/>
        </w:rPr>
        <w:t>QF</w:t>
      </w:r>
      <w:r>
        <w:rPr>
          <w:rFonts w:ascii="Arial" w:eastAsia="Arial" w:hAnsi="Arial" w:cs="Arial"/>
        </w:rPr>
        <w:t>I</w:t>
      </w:r>
      <w:r>
        <w:t>被要求促使其相關客戶（例如透過</w:t>
      </w:r>
      <w:r>
        <w:rPr>
          <w:rFonts w:ascii="Arial" w:eastAsia="Arial" w:hAnsi="Arial" w:cs="Arial"/>
        </w:rPr>
        <w:t>QFI</w:t>
      </w:r>
      <w:r>
        <w:t>計劃投資於中國內地證券的基金）遵守中國利益披露規則，並代表該等相關客戶作出規定的披露。此外，中國證券監督管理委員會（中國證監會）亦要求</w:t>
      </w:r>
      <w:r>
        <w:rPr>
          <w:rFonts w:ascii="Arial" w:eastAsia="Arial" w:hAnsi="Arial" w:cs="Arial"/>
        </w:rPr>
        <w:t>QFI</w:t>
      </w:r>
      <w:r>
        <w:t>申報與進行境內投資相關的境外對沖持倉。所報告的資料可能包括基金資料（取適用者）。</w:t>
      </w:r>
      <w:r>
        <w:rPr>
          <w:rFonts w:ascii="Arial" w:eastAsia="Arial" w:hAnsi="Arial" w:cs="Arial"/>
        </w:rPr>
        <w:t xml:space="preserve"> </w:t>
      </w:r>
    </w:p>
    <w:p w:rsidR="004D6F0E" w:rsidRDefault="00490F21">
      <w:pPr>
        <w:spacing w:line="334" w:lineRule="auto"/>
        <w:ind w:left="11" w:right="2"/>
      </w:pPr>
      <w:r>
        <w:t>此外，強制執行行動的性質及未來監管變動無法預測。聯博香港有限公司（投資管理人的附屬公司）已經獲得</w:t>
      </w:r>
      <w:r>
        <w:t xml:space="preserve"> </w:t>
      </w:r>
      <w:r>
        <w:rPr>
          <w:rFonts w:ascii="Arial" w:eastAsia="Arial" w:hAnsi="Arial" w:cs="Arial"/>
        </w:rPr>
        <w:t xml:space="preserve">QFI </w:t>
      </w:r>
      <w:r>
        <w:t>資格。</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250"/>
        <w:ind w:left="2" w:right="2" w:firstLine="708"/>
      </w:pPr>
      <w:r>
        <w:rPr>
          <w:rFonts w:ascii="Arial" w:eastAsia="Arial" w:hAnsi="Arial" w:cs="Arial"/>
          <w:i/>
        </w:rPr>
        <w:t>CIBM</w:t>
      </w:r>
      <w:r>
        <w:rPr>
          <w:sz w:val="20"/>
        </w:rPr>
        <w:t>。</w:t>
      </w:r>
      <w:r>
        <w:t>基金可透過中國銀行間債券市場（「</w:t>
      </w:r>
      <w:r>
        <w:rPr>
          <w:rFonts w:ascii="Arial" w:eastAsia="Arial" w:hAnsi="Arial" w:cs="Arial"/>
        </w:rPr>
        <w:t>CIBM</w:t>
      </w:r>
      <w:r>
        <w:t>」）直接或間接投資債務工具。</w:t>
      </w:r>
      <w:r>
        <w:rPr>
          <w:rFonts w:ascii="Arial" w:eastAsia="Arial" w:hAnsi="Arial" w:cs="Arial"/>
        </w:rPr>
        <w:t xml:space="preserve">CIBM </w:t>
      </w:r>
      <w:r>
        <w:t>為中國兩個主要證券交易所以外的場外交易市場，按債券價值計算佔中國總交投量一般超過</w:t>
      </w:r>
      <w:r>
        <w:t xml:space="preserve"> </w:t>
      </w:r>
      <w:r>
        <w:rPr>
          <w:rFonts w:ascii="Arial" w:eastAsia="Arial" w:hAnsi="Arial" w:cs="Arial"/>
        </w:rPr>
        <w:t>90%</w:t>
      </w:r>
      <w:r>
        <w:t>。</w:t>
      </w:r>
      <w:r>
        <w:rPr>
          <w:rFonts w:ascii="Arial" w:eastAsia="Arial" w:hAnsi="Arial" w:cs="Arial"/>
        </w:rPr>
        <w:t xml:space="preserve">CIBM </w:t>
      </w:r>
      <w:r>
        <w:t>受人民銀行監管及監督。</w:t>
      </w:r>
      <w:r>
        <w:rPr>
          <w:rFonts w:ascii="Arial" w:eastAsia="Arial" w:hAnsi="Arial" w:cs="Arial"/>
        </w:rPr>
        <w:t xml:space="preserve"> </w:t>
      </w:r>
    </w:p>
    <w:p w:rsidR="004D6F0E" w:rsidRDefault="00490F21">
      <w:pPr>
        <w:spacing w:after="248" w:line="273" w:lineRule="auto"/>
        <w:ind w:left="14" w:right="177"/>
        <w:jc w:val="both"/>
      </w:pPr>
      <w:r>
        <w:t>於</w:t>
      </w:r>
      <w:r>
        <w:t xml:space="preserve"> </w:t>
      </w:r>
      <w:r>
        <w:rPr>
          <w:rFonts w:ascii="Arial" w:eastAsia="Arial" w:hAnsi="Arial" w:cs="Arial"/>
        </w:rPr>
        <w:t xml:space="preserve">CIBM </w:t>
      </w:r>
      <w:r>
        <w:t>進行交易須遵守人民銀行所頒佈的相關規則，包括但不限於公告</w:t>
      </w:r>
      <w:r>
        <w:rPr>
          <w:rFonts w:ascii="Arial" w:eastAsia="Arial" w:hAnsi="Arial" w:cs="Arial"/>
        </w:rPr>
        <w:t>(2016)</w:t>
      </w:r>
      <w:r>
        <w:t>第</w:t>
      </w:r>
      <w:r>
        <w:t xml:space="preserve"> </w:t>
      </w:r>
      <w:r>
        <w:rPr>
          <w:rFonts w:ascii="Arial" w:eastAsia="Arial" w:hAnsi="Arial" w:cs="Arial"/>
        </w:rPr>
        <w:t xml:space="preserve">3 </w:t>
      </w:r>
      <w:r>
        <w:t>號及其他上市、交易及營運的規則（「</w:t>
      </w:r>
      <w:r>
        <w:rPr>
          <w:rFonts w:ascii="Arial" w:eastAsia="Arial" w:hAnsi="Arial" w:cs="Arial"/>
        </w:rPr>
        <w:t xml:space="preserve">CIBM </w:t>
      </w:r>
      <w:r>
        <w:t>規則」）。基金根據</w:t>
      </w:r>
      <w:r>
        <w:t xml:space="preserve"> </w:t>
      </w:r>
      <w:r>
        <w:rPr>
          <w:rFonts w:ascii="Arial" w:eastAsia="Arial" w:hAnsi="Arial" w:cs="Arial"/>
        </w:rPr>
        <w:t xml:space="preserve">CIBM </w:t>
      </w:r>
      <w:r>
        <w:t>規則，例如：公告</w:t>
      </w:r>
      <w:r>
        <w:rPr>
          <w:rFonts w:ascii="Arial" w:eastAsia="Arial" w:hAnsi="Arial" w:cs="Arial"/>
        </w:rPr>
        <w:t xml:space="preserve">(2016) </w:t>
      </w:r>
      <w:r>
        <w:t>第</w:t>
      </w:r>
      <w:r>
        <w:t xml:space="preserve"> </w:t>
      </w:r>
      <w:r>
        <w:rPr>
          <w:rFonts w:ascii="Arial" w:eastAsia="Arial" w:hAnsi="Arial" w:cs="Arial"/>
        </w:rPr>
        <w:t xml:space="preserve">3 </w:t>
      </w:r>
      <w:r>
        <w:t>號（外資准入制度）或內地與香港債券市場互聯互通合作管理暫行辦法（</w:t>
      </w:r>
      <w:r>
        <w:rPr>
          <w:rFonts w:ascii="Arial" w:eastAsia="Arial" w:hAnsi="Arial" w:cs="Arial"/>
        </w:rPr>
        <w:t>[2017]</w:t>
      </w:r>
      <w:r>
        <w:t>第</w:t>
      </w:r>
      <w:r>
        <w:t xml:space="preserve"> </w:t>
      </w:r>
      <w:r>
        <w:rPr>
          <w:rFonts w:ascii="Arial" w:eastAsia="Arial" w:hAnsi="Arial" w:cs="Arial"/>
        </w:rPr>
        <w:t xml:space="preserve">1 </w:t>
      </w:r>
      <w:r>
        <w:t>號令）（債券通）獲准作為境外機構投資者投資</w:t>
      </w:r>
      <w:r>
        <w:t xml:space="preserve"> </w:t>
      </w:r>
      <w:r>
        <w:rPr>
          <w:rFonts w:ascii="Arial" w:eastAsia="Arial" w:hAnsi="Arial" w:cs="Arial"/>
        </w:rPr>
        <w:t>CIBM</w:t>
      </w:r>
      <w:r>
        <w:t>。</w:t>
      </w:r>
      <w:r>
        <w:rPr>
          <w:rFonts w:ascii="Arial" w:eastAsia="Arial" w:hAnsi="Arial" w:cs="Arial"/>
        </w:rPr>
        <w:t xml:space="preserve"> </w:t>
      </w:r>
    </w:p>
    <w:p w:rsidR="004D6F0E" w:rsidRDefault="00490F21">
      <w:pPr>
        <w:ind w:left="11" w:right="2"/>
      </w:pPr>
      <w:r>
        <w:t>於</w:t>
      </w:r>
      <w:r>
        <w:t xml:space="preserve"> </w:t>
      </w:r>
      <w:r>
        <w:rPr>
          <w:rFonts w:ascii="Arial" w:eastAsia="Arial" w:hAnsi="Arial" w:cs="Arial"/>
        </w:rPr>
        <w:t xml:space="preserve">CIBM </w:t>
      </w:r>
      <w:r>
        <w:t>買賣的主要債務工具包括政府債券、企業債券、債券回購交易、債券借貸、人民銀行票據及其他金融債務工具。</w:t>
      </w:r>
    </w:p>
    <w:p w:rsidR="004D6F0E" w:rsidRDefault="00490F21">
      <w:pPr>
        <w:ind w:left="11" w:right="2"/>
      </w:pPr>
      <w:r>
        <w:rPr>
          <w:rFonts w:ascii="Arial" w:eastAsia="Arial" w:hAnsi="Arial" w:cs="Arial"/>
        </w:rPr>
        <w:t xml:space="preserve">CIBM </w:t>
      </w:r>
      <w:r>
        <w:t>處於發展初期，因此市值及交投量可能低於較成熟市場。人民銀行負責（其中包括）制定</w:t>
      </w:r>
      <w:r>
        <w:t xml:space="preserve"> </w:t>
      </w:r>
      <w:r>
        <w:rPr>
          <w:rFonts w:ascii="Arial" w:eastAsia="Arial" w:hAnsi="Arial" w:cs="Arial"/>
        </w:rPr>
        <w:t xml:space="preserve">CIBM </w:t>
      </w:r>
      <w:r>
        <w:t>的掛牌、交易及運作規則，以及監督</w:t>
      </w:r>
      <w:r>
        <w:t xml:space="preserve"> </w:t>
      </w:r>
      <w:r>
        <w:rPr>
          <w:rFonts w:ascii="Arial" w:eastAsia="Arial" w:hAnsi="Arial" w:cs="Arial"/>
        </w:rPr>
        <w:t xml:space="preserve">CIBM </w:t>
      </w:r>
      <w:r>
        <w:t>的市場營運商。雖然目前</w:t>
      </w:r>
      <w:r>
        <w:t xml:space="preserve"> </w:t>
      </w:r>
      <w:r>
        <w:rPr>
          <w:rFonts w:ascii="Arial" w:eastAsia="Arial" w:hAnsi="Arial" w:cs="Arial"/>
        </w:rPr>
        <w:t xml:space="preserve">CIBM </w:t>
      </w:r>
      <w:r>
        <w:t>並無額度限制，但假如人民銀行頒佈有關限制，則日後從中國匯回資金可能受到限制。從中國匯回資金的任何未來限制可能影響基金應付贖回的能力。</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01"/>
        <w:ind w:left="11" w:right="2"/>
      </w:pPr>
      <w:r>
        <w:t>透過</w:t>
      </w:r>
      <w:r>
        <w:rPr>
          <w:rFonts w:ascii="Arial" w:eastAsia="Arial" w:hAnsi="Arial" w:cs="Arial"/>
        </w:rPr>
        <w:t>CIBM</w:t>
      </w:r>
      <w:r>
        <w:t>進行的交易涉及流動性風險。於</w:t>
      </w:r>
      <w:r>
        <w:rPr>
          <w:rFonts w:ascii="Arial" w:eastAsia="Arial" w:hAnsi="Arial" w:cs="Arial"/>
        </w:rPr>
        <w:t>CIBM</w:t>
      </w:r>
      <w:r>
        <w:t>買賣證券的買／賣價差可屬重大，且交投量低的證券</w:t>
      </w:r>
      <w:r>
        <w:t>或會大幅波動。基金於出售該等證券時可能產生重大交易及變現成本，甚至可能蒙受損失。</w:t>
      </w:r>
      <w:r>
        <w:rPr>
          <w:rFonts w:ascii="Arial" w:eastAsia="Arial" w:hAnsi="Arial" w:cs="Arial"/>
        </w:rPr>
        <w:t xml:space="preserve"> </w:t>
      </w:r>
    </w:p>
    <w:p w:rsidR="004D6F0E" w:rsidRDefault="00490F21">
      <w:pPr>
        <w:spacing w:after="105"/>
        <w:ind w:left="11" w:right="2"/>
      </w:pPr>
      <w:r>
        <w:t>雖然貨銀兩訖</w:t>
      </w:r>
      <w:r>
        <w:rPr>
          <w:rFonts w:ascii="Arial" w:eastAsia="Arial" w:hAnsi="Arial" w:cs="Arial"/>
        </w:rPr>
        <w:t>(DVP)</w:t>
      </w:r>
      <w:r>
        <w:t>交收乃中央國債登記結算有限責任公司</w:t>
      </w:r>
      <w:r>
        <w:t xml:space="preserve"> </w:t>
      </w:r>
      <w:r>
        <w:rPr>
          <w:rFonts w:ascii="Arial" w:eastAsia="Arial" w:hAnsi="Arial" w:cs="Arial"/>
        </w:rPr>
        <w:t>(CCDC)</w:t>
      </w:r>
      <w:r>
        <w:t>及銀行間市場清算所股份有限公司（上海清算所）就</w:t>
      </w:r>
      <w:r>
        <w:t xml:space="preserve"> </w:t>
      </w:r>
      <w:r>
        <w:rPr>
          <w:rFonts w:ascii="Arial" w:eastAsia="Arial" w:hAnsi="Arial" w:cs="Arial"/>
        </w:rPr>
        <w:t>CIBM</w:t>
      </w:r>
      <w:r>
        <w:t>的所有債券交易所採用的主要方法，但交收風險仍然存在。中國的</w:t>
      </w:r>
      <w:r>
        <w:rPr>
          <w:rFonts w:ascii="Arial" w:eastAsia="Arial" w:hAnsi="Arial" w:cs="Arial"/>
        </w:rPr>
        <w:t>DVP</w:t>
      </w:r>
      <w:r>
        <w:t>交收慣例可能有別於成熟市場的慣例。例如，有關交收並非即時進行，可能有數小時或更長時間的延誤。倘交易對手不履行其在交易下的責任或因</w:t>
      </w:r>
      <w:r>
        <w:rPr>
          <w:rFonts w:ascii="Arial" w:eastAsia="Arial" w:hAnsi="Arial" w:cs="Arial"/>
        </w:rPr>
        <w:t>CCDC</w:t>
      </w:r>
      <w:r>
        <w:t>或上海清算所而不履行責任，則基金可能蒙受損失。</w:t>
      </w:r>
      <w:r>
        <w:rPr>
          <w:rFonts w:ascii="Arial" w:eastAsia="Arial" w:hAnsi="Arial" w:cs="Arial"/>
        </w:rPr>
        <w:t xml:space="preserve"> </w:t>
      </w:r>
    </w:p>
    <w:p w:rsidR="004D6F0E" w:rsidRDefault="00490F21">
      <w:pPr>
        <w:spacing w:after="100"/>
        <w:ind w:left="11" w:right="2"/>
      </w:pPr>
      <w:r>
        <w:t>投資</w:t>
      </w:r>
      <w:r>
        <w:rPr>
          <w:rFonts w:ascii="Arial" w:eastAsia="Arial" w:hAnsi="Arial" w:cs="Arial"/>
        </w:rPr>
        <w:t>CIBM</w:t>
      </w:r>
      <w:r>
        <w:t>須承擔監管及稅務風險，因為</w:t>
      </w:r>
      <w:r>
        <w:rPr>
          <w:rFonts w:ascii="Arial" w:eastAsia="Arial" w:hAnsi="Arial" w:cs="Arial"/>
        </w:rPr>
        <w:t>CIBM</w:t>
      </w:r>
      <w:r>
        <w:t>相對較</w:t>
      </w:r>
      <w:r>
        <w:t>新及營運歷史短暫。由於適用的</w:t>
      </w:r>
      <w:r>
        <w:rPr>
          <w:rFonts w:ascii="Arial" w:eastAsia="Arial" w:hAnsi="Arial" w:cs="Arial"/>
        </w:rPr>
        <w:t>CIBM</w:t>
      </w:r>
      <w:r>
        <w:t>法律、規例及法律規定均同樣屬新，故可能出現變動（包括有關透過</w:t>
      </w:r>
      <w:r>
        <w:rPr>
          <w:rFonts w:ascii="Arial" w:eastAsia="Arial" w:hAnsi="Arial" w:cs="Arial"/>
        </w:rPr>
        <w:t>CIBM</w:t>
      </w:r>
      <w:r>
        <w:t>購買債券的稅務豁免），且其詮釋及執行涉及重大不確定性。現行中國法律、法規、政策及慣例的轉變（包括具潛在追溯力的變更）亦可能影響中國公司及其證券的交易。管限商業組織、破產及無力償債的中國法律為證券持有人所提供的保障可能遠低於較成熟國家的法律所提供。此等因素（個別或共同）可能對基金造成不利影響。</w:t>
      </w:r>
      <w:r>
        <w:rPr>
          <w:rFonts w:ascii="Arial" w:eastAsia="Arial" w:hAnsi="Arial" w:cs="Arial"/>
        </w:rPr>
        <w:t xml:space="preserve"> </w:t>
      </w:r>
    </w:p>
    <w:p w:rsidR="004D6F0E" w:rsidRDefault="00490F21">
      <w:pPr>
        <w:spacing w:after="105"/>
        <w:ind w:left="11" w:right="2"/>
      </w:pPr>
      <w:r>
        <w:t>基金可作為境外機構投資者（參見下文「外資准入制度」及「債券通」）投資於</w:t>
      </w:r>
      <w:r>
        <w:rPr>
          <w:rFonts w:ascii="Arial" w:eastAsia="Arial" w:hAnsi="Arial" w:cs="Arial"/>
        </w:rPr>
        <w:t>CIBM</w:t>
      </w:r>
      <w:r>
        <w:t>。雖然</w:t>
      </w:r>
      <w:r>
        <w:rPr>
          <w:rFonts w:ascii="Arial" w:eastAsia="Arial" w:hAnsi="Arial" w:cs="Arial"/>
        </w:rPr>
        <w:t>CIBM</w:t>
      </w:r>
      <w:r>
        <w:t>規則並無對此等任何一</w:t>
      </w:r>
      <w:r>
        <w:t>種方法設有額度限制，但基金的在岸結算代理人或註冊代理必須向人民銀行提交有關基金投資的相關資料及必須就任何重大變動的存檔進行更新。人民銀行將監督在岸結算代理人及本傘子基金的交易，以及倘不符合</w:t>
      </w:r>
      <w:r>
        <w:rPr>
          <w:rFonts w:ascii="Arial" w:eastAsia="Arial" w:hAnsi="Arial" w:cs="Arial"/>
        </w:rPr>
        <w:t>CIBM</w:t>
      </w:r>
      <w:r>
        <w:t>規則，人民銀行可能對本傘子基金及／或投資管理人採取行政行動，例如暫停交易及強制退出。</w:t>
      </w:r>
      <w:r>
        <w:rPr>
          <w:rFonts w:ascii="Arial" w:eastAsia="Arial" w:hAnsi="Arial" w:cs="Arial"/>
        </w:rPr>
        <w:t>CIBM</w:t>
      </w:r>
      <w:r>
        <w:t>證券可由在</w:t>
      </w:r>
      <w:r>
        <w:rPr>
          <w:rFonts w:ascii="Arial" w:eastAsia="Arial" w:hAnsi="Arial" w:cs="Arial"/>
        </w:rPr>
        <w:t>CIBM</w:t>
      </w:r>
      <w:r>
        <w:t>進行交易的實體直接或間接持有。</w:t>
      </w:r>
      <w:r>
        <w:rPr>
          <w:rFonts w:ascii="Arial" w:eastAsia="Arial" w:hAnsi="Arial" w:cs="Arial"/>
        </w:rPr>
        <w:t xml:space="preserve"> </w:t>
      </w:r>
    </w:p>
    <w:p w:rsidR="004D6F0E" w:rsidRDefault="00490F21">
      <w:pPr>
        <w:spacing w:after="103"/>
        <w:ind w:left="11" w:right="2"/>
      </w:pPr>
      <w:r>
        <w:t>最新監管發展方面，人民銀行、中國證監會及外管局於</w:t>
      </w:r>
      <w:r>
        <w:rPr>
          <w:rFonts w:ascii="Arial" w:eastAsia="Arial" w:hAnsi="Arial" w:cs="Arial"/>
        </w:rPr>
        <w:t>2020</w:t>
      </w:r>
      <w:r>
        <w:t>年</w:t>
      </w:r>
      <w:r>
        <w:rPr>
          <w:rFonts w:ascii="Arial" w:eastAsia="Arial" w:hAnsi="Arial" w:cs="Arial"/>
        </w:rPr>
        <w:t xml:space="preserve">9 </w:t>
      </w:r>
      <w:r>
        <w:t>月聯合發佈關於境外機構投資者投資中國債券市場的徵求意見稿，倘若該徵求意見稿正式頒佈，將會在准入備案、託管模式及</w:t>
      </w:r>
      <w:r>
        <w:t>境外投資者投資</w:t>
      </w:r>
      <w:r>
        <w:rPr>
          <w:rFonts w:ascii="Arial" w:eastAsia="Arial" w:hAnsi="Arial" w:cs="Arial"/>
        </w:rPr>
        <w:t>CIBM</w:t>
      </w:r>
      <w:r>
        <w:t>的其他方面帶來轉變。</w:t>
      </w:r>
      <w:r>
        <w:rPr>
          <w:rFonts w:ascii="Arial" w:eastAsia="Arial" w:hAnsi="Arial" w:cs="Arial"/>
        </w:rPr>
        <w:t xml:space="preserve"> </w:t>
      </w:r>
    </w:p>
    <w:p w:rsidR="004D6F0E" w:rsidRDefault="00490F21">
      <w:pPr>
        <w:ind w:left="2" w:right="2" w:firstLine="707"/>
      </w:pPr>
      <w:r>
        <w:rPr>
          <w:sz w:val="20"/>
        </w:rPr>
        <w:t>外資准入制度。</w:t>
      </w:r>
      <w:r>
        <w:t>根據這種方法，擬直接投資</w:t>
      </w:r>
      <w:r>
        <w:rPr>
          <w:rFonts w:ascii="Arial" w:eastAsia="Arial" w:hAnsi="Arial" w:cs="Arial"/>
        </w:rPr>
        <w:t>CIBM</w:t>
      </w:r>
      <w:r>
        <w:t>的境外機構投資者可透過在岸結算代理人行事，在岸結算代理人負責在相關機關作出相關存檔及開戶。帳戶一經開立，證券可通過雙邊協商或點擊成交進行交易。雙邊協商應用於所有銀行間產品並使用中國外匯交易中心暨全國銀行間同業拆借中心（</w:t>
      </w:r>
      <w:r>
        <w:rPr>
          <w:rFonts w:ascii="Arial" w:eastAsia="Arial" w:hAnsi="Arial" w:cs="Arial"/>
        </w:rPr>
        <w:t>CFETS</w:t>
      </w:r>
      <w:r>
        <w:t>，</w:t>
      </w:r>
      <w:r>
        <w:rPr>
          <w:rFonts w:ascii="Arial" w:eastAsia="Arial" w:hAnsi="Arial" w:cs="Arial"/>
        </w:rPr>
        <w:t xml:space="preserve">CIBM </w:t>
      </w:r>
      <w:r>
        <w:t>的統一交易平台）。點擊成交僅應用於現金債券及利率衍生工具。由第三方實體確保債券雙邊報價的做市商機制於</w:t>
      </w:r>
      <w:r>
        <w:rPr>
          <w:rFonts w:ascii="Arial" w:eastAsia="Arial" w:hAnsi="Arial" w:cs="Arial"/>
        </w:rPr>
        <w:t>2001</w:t>
      </w:r>
      <w:r>
        <w:t>年推出，可提供較低交易及結算成本。債券交易必須透過獨立磋商以雙邊買賣方式進行並逐宗交易完成。主要債券交易的買賣價及回購利率必須由交易雙方獨立確定。交易雙方一般發出交</w:t>
      </w:r>
      <w:r>
        <w:t>付債券及資金的指示，並準備於協定日期交付。視乎於</w:t>
      </w:r>
      <w:r>
        <w:rPr>
          <w:rFonts w:ascii="Arial" w:eastAsia="Arial" w:hAnsi="Arial" w:cs="Arial"/>
        </w:rPr>
        <w:t>CIBM</w:t>
      </w:r>
      <w:r>
        <w:t>買賣的債券類型，結算及交收機構將為</w:t>
      </w:r>
      <w:r>
        <w:rPr>
          <w:rFonts w:ascii="Arial" w:eastAsia="Arial" w:hAnsi="Arial" w:cs="Arial"/>
        </w:rPr>
        <w:t>CCDC</w:t>
      </w:r>
      <w:r>
        <w:t>或上海清算所。當透過外資准入制度進行交易時，</w:t>
      </w:r>
      <w:r>
        <w:rPr>
          <w:rFonts w:ascii="Arial" w:eastAsia="Arial" w:hAnsi="Arial" w:cs="Arial"/>
        </w:rPr>
        <w:t>CIBM</w:t>
      </w:r>
      <w:r>
        <w:t>證券將以基金名義由其於當地的其中一個戶口</w:t>
      </w:r>
    </w:p>
    <w:p w:rsidR="004D6F0E" w:rsidRDefault="00490F21">
      <w:pPr>
        <w:spacing w:after="114"/>
        <w:ind w:left="11" w:right="2"/>
      </w:pPr>
      <w:r>
        <w:t>（目前為</w:t>
      </w:r>
      <w:r>
        <w:rPr>
          <w:rFonts w:ascii="Arial" w:eastAsia="Arial" w:hAnsi="Arial" w:cs="Arial"/>
        </w:rPr>
        <w:t>CCDC</w:t>
      </w:r>
      <w:r>
        <w:t>或上海清算所）持有。</w:t>
      </w:r>
      <w:r>
        <w:rPr>
          <w:rFonts w:ascii="Arial" w:eastAsia="Arial" w:hAnsi="Arial" w:cs="Arial"/>
        </w:rPr>
        <w:t xml:space="preserve"> </w:t>
      </w:r>
    </w:p>
    <w:p w:rsidR="004D6F0E" w:rsidRDefault="00490F21">
      <w:pPr>
        <w:spacing w:after="7" w:line="273" w:lineRule="auto"/>
        <w:ind w:left="5" w:right="192" w:firstLine="483"/>
        <w:jc w:val="both"/>
      </w:pPr>
      <w:r>
        <w:rPr>
          <w:rFonts w:ascii="Arial" w:eastAsia="Arial" w:hAnsi="Arial" w:cs="Arial"/>
          <w:i/>
        </w:rPr>
        <w:t>CIBM</w:t>
      </w:r>
      <w:r>
        <w:rPr>
          <w:sz w:val="20"/>
        </w:rPr>
        <w:t>直接</w:t>
      </w:r>
      <w:r>
        <w:rPr>
          <w:rFonts w:ascii="Arial" w:eastAsia="Arial" w:hAnsi="Arial" w:cs="Arial"/>
          <w:i/>
        </w:rPr>
        <w:t>RFQ</w:t>
      </w:r>
      <w:r>
        <w:rPr>
          <w:sz w:val="20"/>
        </w:rPr>
        <w:t>交易。</w:t>
      </w:r>
      <w:r>
        <w:rPr>
          <w:rFonts w:ascii="Arial" w:eastAsia="Arial" w:hAnsi="Arial" w:cs="Arial"/>
        </w:rPr>
        <w:t xml:space="preserve"> 2020 </w:t>
      </w:r>
      <w:r>
        <w:t>年</w:t>
      </w:r>
      <w:r>
        <w:t xml:space="preserve"> </w:t>
      </w:r>
      <w:r>
        <w:rPr>
          <w:rFonts w:ascii="Arial" w:eastAsia="Arial" w:hAnsi="Arial" w:cs="Arial"/>
        </w:rPr>
        <w:t xml:space="preserve">9 </w:t>
      </w:r>
      <w:r>
        <w:t>月，</w:t>
      </w:r>
      <w:r>
        <w:rPr>
          <w:rFonts w:ascii="Arial" w:eastAsia="Arial" w:hAnsi="Arial" w:cs="Arial"/>
        </w:rPr>
        <w:t xml:space="preserve">CFETS </w:t>
      </w:r>
      <w:r>
        <w:t>推出</w:t>
      </w:r>
      <w:r>
        <w:t xml:space="preserve"> </w:t>
      </w:r>
      <w:r>
        <w:rPr>
          <w:rFonts w:ascii="Arial" w:eastAsia="Arial" w:hAnsi="Arial" w:cs="Arial"/>
        </w:rPr>
        <w:t xml:space="preserve">CIBM </w:t>
      </w:r>
      <w:r>
        <w:t>直接</w:t>
      </w:r>
      <w:r>
        <w:t xml:space="preserve"> </w:t>
      </w:r>
      <w:r>
        <w:rPr>
          <w:rFonts w:ascii="Arial" w:eastAsia="Arial" w:hAnsi="Arial" w:cs="Arial"/>
        </w:rPr>
        <w:t xml:space="preserve">RFQ </w:t>
      </w:r>
      <w:r>
        <w:t>交易服務。根據該服務，外資准入制度下的境外投資者可透過在</w:t>
      </w:r>
      <w:r>
        <w:t xml:space="preserve"> </w:t>
      </w:r>
      <w:r>
        <w:rPr>
          <w:rFonts w:ascii="Arial" w:eastAsia="Arial" w:hAnsi="Arial" w:cs="Arial"/>
        </w:rPr>
        <w:t xml:space="preserve">CFETS </w:t>
      </w:r>
      <w:r>
        <w:t>系統中請求報價</w:t>
      </w:r>
      <w:r>
        <w:rPr>
          <w:rFonts w:ascii="Arial" w:eastAsia="Arial" w:hAnsi="Arial" w:cs="Arial"/>
        </w:rPr>
        <w:t>(RFQ)</w:t>
      </w:r>
      <w:r>
        <w:t>及確認交易，與境內做市商招攬進行現貨債券交易。作為外資准入制度下的創新安排，</w:t>
      </w:r>
      <w:r>
        <w:t xml:space="preserve"> </w:t>
      </w:r>
      <w:r>
        <w:rPr>
          <w:rFonts w:ascii="Arial" w:eastAsia="Arial" w:hAnsi="Arial" w:cs="Arial"/>
        </w:rPr>
        <w:t xml:space="preserve">CIBM </w:t>
      </w:r>
      <w:r>
        <w:t>直接</w:t>
      </w:r>
      <w:r>
        <w:t xml:space="preserve"> </w:t>
      </w:r>
      <w:r>
        <w:rPr>
          <w:rFonts w:ascii="Arial" w:eastAsia="Arial" w:hAnsi="Arial" w:cs="Arial"/>
        </w:rPr>
        <w:t xml:space="preserve">RFQ </w:t>
      </w:r>
      <w:r>
        <w:t>交易或會進行進一步調整，並在具體實施時面臨不確定因素，若基金透過</w:t>
      </w:r>
      <w:r>
        <w:t xml:space="preserve"> </w:t>
      </w:r>
      <w:r>
        <w:rPr>
          <w:rFonts w:ascii="Arial" w:eastAsia="Arial" w:hAnsi="Arial" w:cs="Arial"/>
        </w:rPr>
        <w:t xml:space="preserve">CIBM </w:t>
      </w:r>
      <w:r>
        <w:t>直接</w:t>
      </w:r>
      <w:r>
        <w:t xml:space="preserve"> </w:t>
      </w:r>
      <w:r>
        <w:rPr>
          <w:rFonts w:ascii="Arial" w:eastAsia="Arial" w:hAnsi="Arial" w:cs="Arial"/>
        </w:rPr>
        <w:t xml:space="preserve">RFQ </w:t>
      </w:r>
      <w:r>
        <w:t>交易機制進行交易，則可能對基金投資造成不利影響。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根據外資准入制度，由於所有存檔、註冊及開戶手續必須經由第</w:t>
      </w:r>
    </w:p>
    <w:p w:rsidR="004D6F0E" w:rsidRDefault="00490F21">
      <w:pPr>
        <w:ind w:left="11" w:right="2"/>
      </w:pPr>
      <w:r>
        <w:t>三方進行，故基金可能面對交易對手及營運風險。</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04"/>
        <w:ind w:left="2" w:right="2" w:firstLine="707"/>
      </w:pPr>
      <w:r>
        <w:rPr>
          <w:sz w:val="20"/>
        </w:rPr>
        <w:t>債券通。</w:t>
      </w:r>
      <w:r>
        <w:t>於</w:t>
      </w:r>
      <w:r>
        <w:rPr>
          <w:rFonts w:ascii="Arial" w:eastAsia="Arial" w:hAnsi="Arial" w:cs="Arial"/>
        </w:rPr>
        <w:t>2017</w:t>
      </w:r>
      <w:r>
        <w:t>年，第二個北向交易債券通開放予境外投資者。債券通是內地與香港債券市場互聯互通合作管理暫行辦法（</w:t>
      </w:r>
      <w:r>
        <w:rPr>
          <w:rFonts w:ascii="Arial" w:eastAsia="Arial" w:hAnsi="Arial" w:cs="Arial"/>
        </w:rPr>
        <w:t>[2017]</w:t>
      </w:r>
      <w:r>
        <w:t>第</w:t>
      </w:r>
      <w:r>
        <w:rPr>
          <w:rFonts w:ascii="Arial" w:eastAsia="Arial" w:hAnsi="Arial" w:cs="Arial"/>
        </w:rPr>
        <w:t>1</w:t>
      </w:r>
      <w:r>
        <w:t>號令）所指的普遍名稱。債券</w:t>
      </w:r>
      <w:r>
        <w:t>通受中國內地當局管限，由</w:t>
      </w:r>
      <w:r>
        <w:rPr>
          <w:rFonts w:ascii="Arial" w:eastAsia="Arial" w:hAnsi="Arial" w:cs="Arial"/>
        </w:rPr>
        <w:t>CFETS</w:t>
      </w:r>
      <w:r>
        <w:t>、</w:t>
      </w:r>
      <w:r>
        <w:rPr>
          <w:rFonts w:ascii="Arial" w:eastAsia="Arial" w:hAnsi="Arial" w:cs="Arial"/>
        </w:rPr>
        <w:t>CCDC</w:t>
      </w:r>
      <w:r>
        <w:t>、上海清算所、香港交易所及債務工具中央結算系統（</w:t>
      </w:r>
      <w:r>
        <w:rPr>
          <w:rFonts w:ascii="Arial" w:eastAsia="Arial" w:hAnsi="Arial" w:cs="Arial"/>
        </w:rPr>
        <w:t>CMU</w:t>
      </w:r>
      <w:r>
        <w:t>）設立，令香港與中國內地之間實現債券市場互聯互通。合資格境外投資者買賣的所有債券將以</w:t>
      </w:r>
      <w:r>
        <w:rPr>
          <w:rFonts w:ascii="Arial" w:eastAsia="Arial" w:hAnsi="Arial" w:cs="Arial"/>
        </w:rPr>
        <w:t>CMU</w:t>
      </w:r>
      <w:r>
        <w:t>的名義登記，而</w:t>
      </w:r>
      <w:r>
        <w:rPr>
          <w:rFonts w:ascii="Arial" w:eastAsia="Arial" w:hAnsi="Arial" w:cs="Arial"/>
        </w:rPr>
        <w:t>CMU</w:t>
      </w:r>
      <w:r>
        <w:t>將作為代名人持有有關債券。</w:t>
      </w:r>
      <w:r>
        <w:rPr>
          <w:rFonts w:ascii="Arial" w:eastAsia="Arial" w:hAnsi="Arial" w:cs="Arial"/>
        </w:rPr>
        <w:t xml:space="preserve"> </w:t>
      </w:r>
    </w:p>
    <w:p w:rsidR="004D6F0E" w:rsidRDefault="00490F21">
      <w:pPr>
        <w:spacing w:line="273" w:lineRule="auto"/>
        <w:ind w:left="14" w:right="192"/>
        <w:jc w:val="both"/>
      </w:pPr>
      <w:r>
        <w:t>根據債券通，合資格境外投資者須委任</w:t>
      </w:r>
      <w:r>
        <w:t xml:space="preserve"> </w:t>
      </w:r>
      <w:r>
        <w:rPr>
          <w:rFonts w:ascii="Arial" w:eastAsia="Arial" w:hAnsi="Arial" w:cs="Arial"/>
        </w:rPr>
        <w:t xml:space="preserve">CFETS </w:t>
      </w:r>
      <w:r>
        <w:t>或獲人民銀行認可為註冊代理的其他機構向人民銀行申請註冊。獲香港金融管理局認可的離岸託管代理（目前為</w:t>
      </w:r>
      <w:r>
        <w:t xml:space="preserve"> </w:t>
      </w:r>
      <w:r>
        <w:rPr>
          <w:rFonts w:ascii="Arial" w:eastAsia="Arial" w:hAnsi="Arial" w:cs="Arial"/>
        </w:rPr>
        <w:t>CMU</w:t>
      </w:r>
      <w:r>
        <w:t>）必須於獲人民銀行認可的在岸託管代理（目前為</w:t>
      </w:r>
      <w:r>
        <w:t xml:space="preserve"> </w:t>
      </w:r>
      <w:r>
        <w:rPr>
          <w:rFonts w:ascii="Arial" w:eastAsia="Arial" w:hAnsi="Arial" w:cs="Arial"/>
        </w:rPr>
        <w:t xml:space="preserve">CCDC </w:t>
      </w:r>
      <w:r>
        <w:t>及上海清算所）開立綜合代名人帳戶。</w:t>
      </w:r>
      <w:r>
        <w:rPr>
          <w:rFonts w:ascii="Arial" w:eastAsia="Arial" w:hAnsi="Arial" w:cs="Arial"/>
        </w:rPr>
        <w:t xml:space="preserve"> </w:t>
      </w:r>
    </w:p>
    <w:p w:rsidR="004D6F0E" w:rsidRDefault="00490F21">
      <w:pPr>
        <w:ind w:left="2" w:right="2" w:firstLine="695"/>
      </w:pPr>
      <w:r>
        <w:rPr>
          <w:sz w:val="20"/>
        </w:rPr>
        <w:t>信貸評級機構。</w:t>
      </w:r>
      <w:r>
        <w:t>基金可投資於獲中國當地信貸評級機構給予信貸評級的證券。然而，該等評級機構所使用的評級準則及方法，可能與大部分具權威性的國際信貸評級機構所採用者不同。因此，有關評級制度未必可提供同等的標準與獲國際信貸評級機構評級的證券進行比較。</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2" w:right="2" w:firstLine="707"/>
      </w:pPr>
      <w:r>
        <w:rPr>
          <w:sz w:val="20"/>
        </w:rPr>
        <w:t>城投債。</w:t>
      </w:r>
      <w:r>
        <w:t>由地方政府融資平台（地方政府融資平台）發行的城投債風險包括營運機構面臨財政困難的風險。</w:t>
      </w:r>
      <w:r>
        <w:rPr>
          <w:sz w:val="20"/>
        </w:rPr>
        <w:t>中國稅務。</w:t>
      </w:r>
      <w:r>
        <w:t>投資中國內地證券須遵守額外稅務制度。例如，對在中國居民企業的若干投資可能須繳納預扣所得稅。儘管投資管理人擬營運基金以將中國稅務影響減至最低，並採取行動解決任何稅</w:t>
      </w:r>
      <w:r>
        <w:t>務影響（例如：因出售中國債券所產生的資本收益而繳納的所得稅），但中國政府仍可能認為基金須繳納中國企業所得稅。這將帶來各種影響，例如就利息、股息及資本收益繳納的稅項。</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基金投資集中風險。由於某些基金可投資的發行人、行業或領域或國家數目有限，因此可能較投資於更大或更廣泛證券的基金承受更大波動。倘基金所投資的證券價格出現重大不利變動，則有關集中投資的情況可能會令有關投資者蒙受與一般市場變動並不相稱的損失。基金所集中投資的發行人、行業或領域的市場或經濟因素可能會對基金的投資價值產生重大影響。</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162"/>
        <w:ind w:left="11" w:right="2"/>
      </w:pPr>
      <w:r>
        <w:t>動態資產分</w:t>
      </w:r>
      <w:r>
        <w:t>配風險。將投資資產配置到不同的環球資產類別可能在這些資產的表現劣於其他資產時對基金的表現產生重大影響。由於直接投資和衍生工具部位均可能定期重新平衡，以反映投資管理人對市場和經濟狀況的看法，因此將會有交易成本，有時這些成本可能很高。此外，某些資產配置決定可能不能達成理想的目的，這種風險可能使基金蒙受重大損失。</w:t>
      </w:r>
      <w:r>
        <w:rPr>
          <w:rFonts w:ascii="Arial" w:eastAsia="Arial" w:hAnsi="Arial" w:cs="Arial"/>
        </w:rPr>
        <w:t xml:space="preserve"> </w:t>
      </w:r>
    </w:p>
    <w:p w:rsidR="004D6F0E" w:rsidRDefault="00490F21">
      <w:pPr>
        <w:spacing w:after="160"/>
        <w:ind w:left="11" w:right="2"/>
      </w:pPr>
      <w:r>
        <w:t>分配風險。增長型及價值型公司之間作出投資分配時，倘該等投資中的一類公司表現較另一類公司為差，可能會對基金的資產淨值產生更重大的影響。此外，重新調整基金內投資的交易成本最終可能甚大。</w:t>
      </w:r>
      <w:r>
        <w:rPr>
          <w:rFonts w:ascii="Arial" w:eastAsia="Arial" w:hAnsi="Arial" w:cs="Arial"/>
        </w:rPr>
        <w:t xml:space="preserve"> </w:t>
      </w:r>
    </w:p>
    <w:p w:rsidR="004D6F0E" w:rsidRDefault="00490F21">
      <w:pPr>
        <w:spacing w:after="162"/>
        <w:ind w:left="11" w:right="2"/>
      </w:pPr>
      <w:r>
        <w:t>成交額風險。基金可被積極管理，在若干情況下，因應市況變動，基金的成交額可超過</w:t>
      </w:r>
      <w:r>
        <w:t xml:space="preserve"> </w:t>
      </w:r>
      <w:r>
        <w:rPr>
          <w:rFonts w:ascii="Arial" w:eastAsia="Arial" w:hAnsi="Arial" w:cs="Arial"/>
        </w:rPr>
        <w:t>100%</w:t>
      </w:r>
      <w:r>
        <w:t>。基金成交額上升會增加經紀佣金及其他開支，而該等費用須由基金及有關股份持有人承擔。高成交額亦可能會令龐大的短期淨資本收益實現，如作出派發，股東可能會被要求繳納稅項。</w:t>
      </w:r>
      <w:r>
        <w:rPr>
          <w:rFonts w:ascii="Arial" w:eastAsia="Arial" w:hAnsi="Arial" w:cs="Arial"/>
        </w:rPr>
        <w:t xml:space="preserve"> </w:t>
      </w:r>
    </w:p>
    <w:p w:rsidR="004D6F0E" w:rsidRDefault="00490F21">
      <w:pPr>
        <w:spacing w:after="160"/>
        <w:ind w:left="11" w:right="2"/>
      </w:pPr>
      <w:r>
        <w:t>此外，該基金可因基金可供購買的特定國家的投資者而錄得相對較高成交額。此情況</w:t>
      </w:r>
      <w:r>
        <w:t>可能會對該基金的表現及長期投資者的利益帶來負面影響。以過度投資操作的交易模式申購、贖回或轉換基金股份所造成的波動性，尤其涉及大額交易者，將妨礙基金的有效管理。尤其當基金無法預期究竟應該於資產保留多少比重的現金，以因應股東的資金流動性的需要時，有關基金在執行長期投資策略方面將出現困難。同時，以過度投資操作的交易模式申購、贖回或轉換基金股份將迫使基金維持一筆龐大的現金以因應短線交易活動。進一步而言，以過度投資操作的交易模式申購、贖回或轉換基金股份亦將迫使基金於不當的時機，出售基金的證券以籌足因應短線交易所需的現</w:t>
      </w:r>
      <w:r>
        <w:t>金。此外，倘一名或多名股東以過度投資操作的交易模式申購、贖回或轉換基金股份，會增加費用開支。例如：基金因短線交易而被迫將投資變換為現金時，可能會增加經紀費及稅務成本但又不能獲得任何投資利益。同樣地，短線交易操作模式所帶來的資產及投資波動性，亦可能會增加基金的行政費用。</w:t>
      </w:r>
      <w:r>
        <w:rPr>
          <w:rFonts w:ascii="Arial" w:eastAsia="Arial" w:hAnsi="Arial" w:cs="Arial"/>
        </w:rPr>
        <w:t xml:space="preserve"> </w:t>
      </w:r>
    </w:p>
    <w:p w:rsidR="004D6F0E" w:rsidRDefault="00490F21">
      <w:pPr>
        <w:spacing w:after="163"/>
        <w:ind w:left="11" w:right="2"/>
      </w:pPr>
      <w:r>
        <w:t>小市值公司風險。基金可投資於市值相對較小公司的證券。小市值公司的證券與市值較大、根基更穩固公司的證券比較，可能更易受突然或反覆的市場變動所影響，因為該等證券通常交投量較低及公司須承受更大的業務風險。此外，若干新興市場國家可能因一些主要投資者</w:t>
      </w:r>
      <w:r>
        <w:t>的行動而令波動擴大。例如，投資於該等市場的互惠基金的現金流量大幅增加或減少可對當地股價及基金的股份價格造成重大影響。</w:t>
      </w:r>
      <w:r>
        <w:rPr>
          <w:rFonts w:ascii="Arial" w:eastAsia="Arial" w:hAnsi="Arial" w:cs="Arial"/>
        </w:rPr>
        <w:t xml:space="preserve"> </w:t>
      </w:r>
    </w:p>
    <w:p w:rsidR="004D6F0E" w:rsidRDefault="00490F21">
      <w:pPr>
        <w:spacing w:after="162"/>
        <w:ind w:left="11" w:right="2"/>
      </w:pPr>
      <w:r>
        <w:t>金融工具風險</w:t>
      </w:r>
      <w:r>
        <w:rPr>
          <w:rFonts w:ascii="Arial" w:eastAsia="Arial" w:hAnsi="Arial" w:cs="Arial"/>
          <w:b/>
        </w:rPr>
        <w:t xml:space="preserve"> </w:t>
      </w:r>
    </w:p>
    <w:p w:rsidR="004D6F0E" w:rsidRDefault="00490F21">
      <w:pPr>
        <w:spacing w:after="162"/>
        <w:ind w:left="11" w:right="2"/>
      </w:pPr>
      <w:r>
        <w:t>衍生工具風險。基金可使用衍生工具，衍生工具是指價值取決於或源自基礎資產價值、參考利率或指數的金融合約。投資管理人有時會使用衍生工具作為某項策略的一部分以降低其他風險。不過，基金通常會使用衍生工具作為直接投資，以賺取收益、提高收益率及使基金更多元化。除對方信用風險等其他風險外，衍生工具涉及定價及估值困難風險，及衍生工具價值的變動可能與基礎資產、利率及指數並不完全相關的風險。</w:t>
      </w:r>
      <w:r>
        <w:rPr>
          <w:rFonts w:ascii="Arial" w:eastAsia="Arial" w:hAnsi="Arial" w:cs="Arial"/>
        </w:rPr>
        <w:t xml:space="preserve"> </w:t>
      </w:r>
    </w:p>
    <w:p w:rsidR="004D6F0E" w:rsidRDefault="00490F21">
      <w:pPr>
        <w:spacing w:after="172"/>
        <w:ind w:left="11" w:right="2"/>
      </w:pPr>
      <w:r>
        <w:t>雖然投資管理人等資深投資顧問善用衍生工具可能提升基金管理效率，減輕某些風險，並在不直接購買所屬資產的情況下增加某些市場的投資，惟與傳統投資工具相比，衍生工具涉及不同風險，有時這些風險或會更大。投資者在投資於基金前，應了解使用衍生工具所涉及的重要風險因素及事宜，下文乃就此作出一般性討論。</w:t>
      </w:r>
      <w:r>
        <w:rPr>
          <w:rFonts w:ascii="Arial" w:eastAsia="Arial" w:hAnsi="Arial" w:cs="Arial"/>
        </w:rPr>
        <w:t xml:space="preserve"> </w:t>
      </w:r>
    </w:p>
    <w:p w:rsidR="004D6F0E" w:rsidRDefault="00490F21">
      <w:pPr>
        <w:numPr>
          <w:ilvl w:val="0"/>
          <w:numId w:val="27"/>
        </w:numPr>
        <w:spacing w:after="172"/>
        <w:ind w:left="349" w:right="2" w:hanging="347"/>
      </w:pPr>
      <w:r>
        <w:rPr>
          <w:sz w:val="20"/>
        </w:rPr>
        <w:t>市場風險。</w:t>
      </w:r>
      <w:r>
        <w:t>為所有投資均會涉及的一般風險，即某一特定投資的價值按對基金不利的方式變動。</w:t>
      </w:r>
      <w:r>
        <w:rPr>
          <w:rFonts w:ascii="Arial" w:eastAsia="Arial" w:hAnsi="Arial" w:cs="Arial"/>
        </w:rPr>
        <w:t xml:space="preserve"> </w:t>
      </w:r>
    </w:p>
    <w:p w:rsidR="004D6F0E" w:rsidRDefault="00490F21">
      <w:pPr>
        <w:numPr>
          <w:ilvl w:val="0"/>
          <w:numId w:val="27"/>
        </w:numPr>
        <w:spacing w:after="175"/>
        <w:ind w:left="349" w:right="2" w:hanging="347"/>
      </w:pPr>
      <w:r>
        <w:rPr>
          <w:sz w:val="20"/>
        </w:rPr>
        <w:t>管理風險。</w:t>
      </w:r>
      <w:r>
        <w:t>衍生產品乃極度專門的工具，需要不同於股票及債券的投資技巧及風險分析。衍生工具交易是否成功，有賴於投資管理人是否有能力正確預</w:t>
      </w:r>
      <w:r>
        <w:t>測價格走勢、利率或匯率趨勢。倘價格、利率、或匯率的變動超出預期，基金可能不能達到預期交易利益或可能出現虧損，從而處於比並無運用該等策略前更差的狀況。由於不可能觀察衍生工具在所有可能市況下的表現，使用衍生工具不僅需要了解相關基礎工具，亦須了解衍生工具本身。特別是由於衍生工具的使用及其複雜性，投資管理人需要擁有用以監督所訂立的交易的控制措施、評估衍生產品給基金所帶來風險的能力、以及正確預測價格、利率或匯率走勢的能力。</w:t>
      </w:r>
      <w:r>
        <w:rPr>
          <w:rFonts w:ascii="Arial" w:eastAsia="Arial" w:hAnsi="Arial" w:cs="Arial"/>
        </w:rPr>
        <w:t xml:space="preserve"> </w:t>
      </w:r>
    </w:p>
    <w:p w:rsidR="004D6F0E" w:rsidRDefault="00490F21">
      <w:pPr>
        <w:numPr>
          <w:ilvl w:val="0"/>
          <w:numId w:val="27"/>
        </w:numPr>
        <w:spacing w:after="175"/>
        <w:ind w:left="349" w:right="2" w:hanging="347"/>
      </w:pPr>
      <w:r>
        <w:rPr>
          <w:sz w:val="20"/>
        </w:rPr>
        <w:t>信貸風險。</w:t>
      </w:r>
      <w:r>
        <w:t>該風險指衍生工具的另一方（通常稱「對手方」）未能遵守衍生工具合約條款而使基金承受虧</w:t>
      </w:r>
      <w:r>
        <w:t>損的風險。由於結算所（即各場內交易衍生工具的發行人或對手方）提供表現的保證，因此場內交易衍生工具的信貸風險一般低於私人議定衍生工具。結算所使用的每日付款系統爲該保證提供支持（即保證金要求），以降低整體信貸風險。對於私人議定衍生工具，並無類似的結算機構保證。因此，投資管理人於評估潛在信貸風險時將考慮各個私人議定衍生工具的對手方的信用。</w:t>
      </w:r>
      <w:r>
        <w:rPr>
          <w:rFonts w:ascii="Arial" w:eastAsia="Arial" w:hAnsi="Arial" w:cs="Arial"/>
        </w:rPr>
        <w:t xml:space="preserve"> </w:t>
      </w:r>
    </w:p>
    <w:p w:rsidR="004D6F0E" w:rsidRDefault="00490F21">
      <w:pPr>
        <w:numPr>
          <w:ilvl w:val="0"/>
          <w:numId w:val="27"/>
        </w:numPr>
        <w:spacing w:after="172" w:line="273" w:lineRule="auto"/>
        <w:ind w:left="349" w:right="2" w:hanging="347"/>
      </w:pPr>
      <w:r>
        <w:rPr>
          <w:sz w:val="20"/>
        </w:rPr>
        <w:t>流動性風險。</w:t>
      </w:r>
      <w:r>
        <w:t>當一個特定工具難於買賣時，即存在流動性風險。倘衍生工具交易規模極大或倘相關市場缺乏流動性（即存在許多私人議定衍生工具的情況下），可能無法以有利價格進行交易或平倉。</w:t>
      </w:r>
      <w:r>
        <w:rPr>
          <w:rFonts w:ascii="Arial" w:eastAsia="Arial" w:hAnsi="Arial" w:cs="Arial"/>
        </w:rPr>
        <w:t xml:space="preserve"> </w:t>
      </w:r>
    </w:p>
    <w:p w:rsidR="004D6F0E" w:rsidRDefault="00490F21">
      <w:pPr>
        <w:numPr>
          <w:ilvl w:val="0"/>
          <w:numId w:val="27"/>
        </w:numPr>
        <w:spacing w:after="175"/>
        <w:ind w:left="349" w:right="2" w:hanging="347"/>
      </w:pPr>
      <w:r>
        <w:rPr>
          <w:sz w:val="20"/>
        </w:rPr>
        <w:t>槓桿風險。</w:t>
      </w:r>
      <w:r>
        <w:t>由於認股權證、期權及許多衍生工具（視其利用的程度）均具有槓桿成份，所屬資產水平、利率或指數的價值或水平的不利變動導致的虧損會遠遠大於投資認股權證、期權或衍生工具本身的款額。倘進行掉期交易，即使雙方未進行過任何首次投資，虧損風險通常與名義本金額</w:t>
      </w:r>
      <w:r>
        <w:rPr>
          <w:sz w:val="20"/>
        </w:rPr>
        <w:t>相關。若干衍</w:t>
      </w:r>
      <w:r>
        <w:t>生工具不論首次投資規模的大小都有可能會無限虧損。</w:t>
      </w:r>
      <w:r>
        <w:rPr>
          <w:rFonts w:ascii="Arial" w:eastAsia="Arial" w:hAnsi="Arial" w:cs="Arial"/>
        </w:rPr>
        <w:t xml:space="preserve"> </w:t>
      </w:r>
    </w:p>
    <w:p w:rsidR="004D6F0E" w:rsidRDefault="00490F21">
      <w:pPr>
        <w:numPr>
          <w:ilvl w:val="0"/>
          <w:numId w:val="27"/>
        </w:numPr>
        <w:spacing w:after="162"/>
        <w:ind w:left="349" w:right="2" w:hanging="347"/>
      </w:pPr>
      <w:r>
        <w:rPr>
          <w:sz w:val="20"/>
        </w:rPr>
        <w:t>其他風險。</w:t>
      </w:r>
      <w:r>
        <w:t>使用衍生工具涉及的其他風險包括對衍生工具錯誤定價或不適當估值及未能將衍生工具與基礎資產、利率及指數完全吻合。許多衍生工具，尤其是私人議定衍生工具，均為複雜且經常被主觀地估值。不適當估</w:t>
      </w:r>
      <w:r>
        <w:t>值可導致支付予對手方的現金要求增加或相關基金的價值虧損。衍生工具的價值並非總是與其所加附的資產的價值、利率或指數完全或甚至大致上掛鉤。因此，基金使用衍生工具不一定可有效達到投資目標，有時甚至背道而馳。</w:t>
      </w:r>
      <w:r>
        <w:rPr>
          <w:rFonts w:ascii="Arial" w:eastAsia="Arial" w:hAnsi="Arial" w:cs="Arial"/>
        </w:rPr>
        <w:t xml:space="preserve"> </w:t>
      </w:r>
    </w:p>
    <w:p w:rsidR="004D6F0E" w:rsidRDefault="00490F21">
      <w:pPr>
        <w:ind w:left="11" w:right="2"/>
      </w:pPr>
      <w:r>
        <w:t>借出證券風險。如基金借出證券，其將承受有關借方的交易對手風險，以及交易對手提供的任何抵押品可能證實不足以</w:t>
      </w:r>
    </w:p>
    <w:p w:rsidR="004D6F0E" w:rsidRDefault="00490F21">
      <w:pPr>
        <w:ind w:left="11" w:right="2"/>
      </w:pPr>
      <w:r>
        <w:t>支付所招致的所有成本及債務的風險。</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回購／逆回購協議風險。如某基金使用回購及逆回購協議，其承擔交易對手不履行其責任等交易對手風險。若交易對手違約，且出售證券所得款項不足以彌補交易對手結欠的款項，或基金收取作為交易一部分的款項不足以彌補交易對手</w:t>
      </w:r>
    </w:p>
    <w:p w:rsidR="004D6F0E" w:rsidRDefault="00490F21">
      <w:pPr>
        <w:ind w:left="11" w:right="2"/>
      </w:pPr>
      <w:r>
        <w:t>應返還的證券，則基金將蒙受損失。</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場外衍生工具對手方風險。除上文討論的衍生工具一般風險外</w:t>
      </w:r>
    </w:p>
    <w:p w:rsidR="004D6F0E" w:rsidRDefault="00490F21">
      <w:pPr>
        <w:spacing w:after="174"/>
        <w:ind w:left="11" w:right="2"/>
      </w:pPr>
      <w:r>
        <w:t>，在場外市場交易的衍生工具可能涉及以下特殊風險。</w:t>
      </w:r>
      <w:r>
        <w:rPr>
          <w:rFonts w:ascii="Arial" w:eastAsia="Arial" w:hAnsi="Arial" w:cs="Arial"/>
        </w:rPr>
        <w:t xml:space="preserve"> </w:t>
      </w:r>
    </w:p>
    <w:p w:rsidR="004D6F0E" w:rsidRDefault="00490F21">
      <w:pPr>
        <w:numPr>
          <w:ilvl w:val="0"/>
          <w:numId w:val="27"/>
        </w:numPr>
        <w:spacing w:after="173"/>
        <w:ind w:left="349" w:right="2" w:hanging="347"/>
      </w:pPr>
      <w:r>
        <w:rPr>
          <w:sz w:val="20"/>
        </w:rPr>
        <w:t>缺乏監管監督；對手方違約。</w:t>
      </w:r>
      <w:r>
        <w:t>一般而言，政府對場外市場交易（貨幣、遠期、現期和期權合約、信用違約掉期、總回報掉期和某些貨幣期權通常在此類市場交易）的監管和監督不如對有組織的交易所交易。此外，場外市場交易也缺乏某些有組織的交易所為投資人提供的許多保障，如交易所結算公司營運保障。因此，任何在場外市場交易的基金都會有直接交易對手方在交易中不履行義務的風險，使基金蒙受損失。基金只會與其認為可靠的對手方交易，並且可能從某些對手方收取信用抵押品信用狀，以便減少這方面的風險。但是，無論本傘子基金可能採取何種手段降低對手方信用風險，仍無法保證對手方不會</w:t>
      </w:r>
      <w:r>
        <w:t>違約，也不能保證本傘子基金不會因此蒙受損失。</w:t>
      </w:r>
      <w:r>
        <w:rPr>
          <w:rFonts w:ascii="Arial" w:eastAsia="Arial" w:hAnsi="Arial" w:cs="Arial"/>
        </w:rPr>
        <w:t xml:space="preserve"> </w:t>
      </w:r>
    </w:p>
    <w:p w:rsidR="004D6F0E" w:rsidRDefault="00490F21">
      <w:pPr>
        <w:numPr>
          <w:ilvl w:val="0"/>
          <w:numId w:val="27"/>
        </w:numPr>
        <w:ind w:left="349" w:right="2" w:hanging="347"/>
      </w:pPr>
      <w:r>
        <w:rPr>
          <w:sz w:val="20"/>
        </w:rPr>
        <w:t>流動性；必須履約。</w:t>
      </w:r>
      <w:r>
        <w:t>本傘子基金交易對手方可能不時停止做市，或停止某些金融工具的報價。在這種情況下，本傘子基金可能無法如願進行貨幣、信用違約掉期或總回報掉期交易，或訂立未平倉對沖交易，這些均可能對基金表現有不利影響。此外，貨幣遠期、現期和期貨合約與交易所的金融工具不同，使投資顧問沒有機會透過相抵交易對沖本傘子基金的債務。因此，本傘子基金訂立遠期、現期或期貨合約後，可能被要求、也必須有能力償還合約債務。</w:t>
      </w:r>
      <w:r>
        <w:rPr>
          <w:rFonts w:ascii="Arial" w:eastAsia="Arial" w:hAnsi="Arial" w:cs="Arial"/>
          <w:i/>
        </w:rPr>
        <w:t xml:space="preserve"> </w:t>
      </w:r>
    </w:p>
    <w:p w:rsidR="004D6F0E" w:rsidRDefault="00490F21">
      <w:pPr>
        <w:numPr>
          <w:ilvl w:val="0"/>
          <w:numId w:val="27"/>
        </w:numPr>
        <w:ind w:left="349" w:right="2" w:hanging="347"/>
      </w:pPr>
      <w:r>
        <w:rPr>
          <w:sz w:val="20"/>
        </w:rPr>
        <w:t>必須建立對手方交易關係。</w:t>
      </w:r>
      <w:r>
        <w:t>誠如上文所述，參與場外市場交易者通常</w:t>
      </w:r>
      <w:r>
        <w:t>只會與其認為相當可靠的對手方交易，除非對手方提供按金、抵押、信用狀或其他信用工具。儘管本傘子基金和投資管理人相信本傘子基金將有能力建立多種對手方業務關係，使基金在場外市場和其他對手方市場交易（包括信用違約掉期、總回報掉期和其他掉期市場，視乎具體情況而定），但不能保證一定能夠做到。如果無法建立或維持這種關係，可能會增加本傘子基金的對手方信用風險，限制本傘子基金的運作，而且會迫使本傘子基金停止投資運作，或在期貨市場進行大量此等運作。此外，本傘子基金擬建立此類關係的對手方可能不遵守義務，不繼續提供原來答應給予本傘</w:t>
      </w:r>
      <w:r>
        <w:t>子基金的信用額，而且這些對手方可能單方面決定降低或終止此等信用額。</w:t>
      </w:r>
      <w:r>
        <w:rPr>
          <w:rFonts w:ascii="Arial" w:eastAsia="Arial" w:hAnsi="Arial" w:cs="Arial"/>
        </w:rPr>
        <w:t xml:space="preserve"> </w:t>
      </w:r>
    </w:p>
    <w:p w:rsidR="004D6F0E" w:rsidRDefault="00490F21">
      <w:pPr>
        <w:spacing w:after="0" w:line="259" w:lineRule="auto"/>
        <w:ind w:left="720" w:firstLine="0"/>
      </w:pPr>
      <w:r>
        <w:rPr>
          <w:rFonts w:ascii="Arial" w:eastAsia="Arial" w:hAnsi="Arial" w:cs="Arial"/>
        </w:rPr>
        <w:t xml:space="preserve"> </w:t>
      </w:r>
    </w:p>
    <w:p w:rsidR="004D6F0E" w:rsidRDefault="00490F21">
      <w:pPr>
        <w:spacing w:after="100"/>
        <w:ind w:left="11" w:right="2"/>
      </w:pPr>
      <w:r>
        <w:t>商品相關風險。投資於商品掛鈎衍生工具的基金可能面臨較投資於傳統證券更大的波動風險。商品掛鈎衍生工具的價值可能受整體市場變化、商品指數波動、利率變動或影響特定行業或商品的因素（如乾旱、洪水、天氣、家禽疾病、禁令、關稅及國際經濟、政治及監管因素）影響。</w:t>
      </w:r>
      <w:r>
        <w:rPr>
          <w:rFonts w:ascii="Arial" w:eastAsia="Arial" w:hAnsi="Arial" w:cs="Arial"/>
          <w:b/>
        </w:rPr>
        <w:t xml:space="preserve"> </w:t>
      </w:r>
    </w:p>
    <w:p w:rsidR="004D6F0E" w:rsidRDefault="00490F21">
      <w:pPr>
        <w:spacing w:after="103"/>
        <w:ind w:left="11" w:right="2"/>
      </w:pPr>
      <w:r>
        <w:t>結構化工具風險。結構化工具可能比傳統債務工具面臨更大的波動及市場風險。視乎特定結構化工具的結構，基準變動可能會被結構化工具放大，從而對結構化工具的價值產生更大及更強的影響。結構化工具與基</w:t>
      </w:r>
      <w:r>
        <w:t>準或所屬資產的價格可能不會同時或按相同方向變動。與複雜性較低的證券或工具或更傳統的債務證券相比，結構化工具的流動性可能較低，亦較難定價。該等投資的風險可以很大，可能波及全部本金。</w:t>
      </w:r>
      <w:r>
        <w:rPr>
          <w:rFonts w:ascii="Arial" w:eastAsia="Arial" w:hAnsi="Arial" w:cs="Arial"/>
          <w:b/>
        </w:rPr>
        <w:t xml:space="preserve"> </w:t>
      </w:r>
    </w:p>
    <w:p w:rsidR="004D6F0E" w:rsidRDefault="00490F21">
      <w:pPr>
        <w:spacing w:after="63"/>
        <w:ind w:left="11" w:right="2"/>
      </w:pPr>
      <w:r>
        <w:t>股本證券風險</w:t>
      </w:r>
      <w:r>
        <w:rPr>
          <w:rFonts w:ascii="Arial" w:eastAsia="Arial" w:hAnsi="Arial" w:cs="Arial"/>
        </w:rPr>
        <w:t xml:space="preserve"> </w:t>
      </w:r>
    </w:p>
    <w:p w:rsidR="004D6F0E" w:rsidRDefault="00490F21">
      <w:pPr>
        <w:spacing w:after="199"/>
        <w:ind w:left="11" w:right="2"/>
      </w:pPr>
      <w:r>
        <w:t>股本證券風險。為回應個別公司的活動及業績或由於一般市場及經濟狀況及匯率的變動，基金的相關股本證券的價值有時可能出現波動，間中或出現大幅波動。基金投資的價值短期或長期可能下跌。</w:t>
      </w:r>
      <w:r>
        <w:rPr>
          <w:rFonts w:ascii="Arial" w:eastAsia="Arial" w:hAnsi="Arial" w:cs="Arial"/>
          <w:b/>
        </w:rPr>
        <w:t xml:space="preserve"> </w:t>
      </w:r>
    </w:p>
    <w:p w:rsidR="004D6F0E" w:rsidRDefault="00490F21">
      <w:pPr>
        <w:spacing w:after="64"/>
        <w:ind w:left="11" w:right="2"/>
      </w:pPr>
      <w:r>
        <w:t>債務證券風險</w:t>
      </w:r>
      <w:r>
        <w:rPr>
          <w:rFonts w:ascii="Arial" w:eastAsia="Arial" w:hAnsi="Arial" w:cs="Arial"/>
        </w:rPr>
        <w:t xml:space="preserve"> </w:t>
      </w:r>
    </w:p>
    <w:p w:rsidR="004D6F0E" w:rsidRDefault="00490F21">
      <w:pPr>
        <w:spacing w:after="160"/>
        <w:ind w:left="11" w:right="2"/>
      </w:pPr>
      <w:r>
        <w:t>固定收益證券風險</w:t>
      </w:r>
      <w:r>
        <w:rPr>
          <w:rFonts w:ascii="Arial" w:eastAsia="Arial" w:hAnsi="Arial" w:cs="Arial"/>
          <w:b/>
        </w:rPr>
        <w:t>—</w:t>
      </w:r>
      <w:r>
        <w:t>一般。投資於固定收益證券的基金的資產淨值將隨着或因應利率及匯率波動及發行人的信貸質素的變動而變動。部分基金可能投資於高收益固定收益證券，而其中某些固定收益證券需受無法避免的貶值風險及資本虧損實現風險。此外，中等及較低評級證券及相若質素的無評級證券可能較較高評級固定收益證券承受更大的收益及市值波動風險</w:t>
      </w:r>
      <w:r>
        <w:t>。</w:t>
      </w:r>
      <w:r>
        <w:rPr>
          <w:rFonts w:ascii="Arial" w:eastAsia="Arial" w:hAnsi="Arial" w:cs="Arial"/>
          <w:b/>
          <w:i/>
        </w:rPr>
        <w:t xml:space="preserve"> </w:t>
      </w:r>
    </w:p>
    <w:p w:rsidR="004D6F0E" w:rsidRDefault="00490F21">
      <w:pPr>
        <w:spacing w:after="162"/>
        <w:ind w:left="11" w:right="2"/>
      </w:pPr>
      <w:r>
        <w:rPr>
          <w:rFonts w:ascii="Arial" w:eastAsia="Arial" w:hAnsi="Arial" w:cs="Arial"/>
          <w:i/>
        </w:rPr>
        <w:t xml:space="preserve"> </w:t>
      </w:r>
      <w:r>
        <w:rPr>
          <w:sz w:val="20"/>
        </w:rPr>
        <w:t>固定收益證券及利率。</w:t>
      </w:r>
      <w:r>
        <w:t>基金的股份價值將隨著投資價值而波動。基金投資固定收益證券的價值隨利率正常波動而變化。利率下跌期間固定收益證券的價值一般會上升，但如果利率下跌被視為經濟衰退的先兆，基金證券的價值可能與利率一同下跌。反之，利率上升期間固定收益證券的價值一般下跌。利率變動對較長到期及存續期固定收益證券的影響大於較短到期及存續期固定收益證券。</w:t>
      </w:r>
      <w:r>
        <w:rPr>
          <w:rFonts w:ascii="Arial" w:eastAsia="Arial" w:hAnsi="Arial" w:cs="Arial"/>
        </w:rPr>
        <w:t xml:space="preserve"> </w:t>
      </w:r>
    </w:p>
    <w:p w:rsidR="004D6F0E" w:rsidRDefault="00490F21">
      <w:pPr>
        <w:spacing w:after="164"/>
        <w:ind w:left="11" w:right="2"/>
      </w:pPr>
      <w:r>
        <w:rPr>
          <w:rFonts w:ascii="Arial" w:eastAsia="Arial" w:hAnsi="Arial" w:cs="Arial"/>
        </w:rPr>
        <w:t xml:space="preserve"> </w:t>
      </w:r>
      <w:r>
        <w:rPr>
          <w:sz w:val="20"/>
        </w:rPr>
        <w:t>固定收益證券及預付款。</w:t>
      </w:r>
      <w:r>
        <w:t>眾多固定收益證券，特別是以高利率發行的固定收益證券，列明發行人可提前還款。發行人通常在利率下降時行使該項權力。因此，持有可予催繳或預付證</w:t>
      </w:r>
      <w:r>
        <w:t>券的人，或許不能像持有其他固定收益證券在利率下降時充分受益於證券升值。再者，在此情形下，基金或會按當前收益率再投資償付款項，而有關收益或會低於已償付證券所支付的收益。預付款或會令基金從按溢價購買的證券蒙受虧損，而按面值支付的非預定預付款將導致基金蒙受相等於任何未攤銷溢價的虧損。</w:t>
      </w:r>
      <w:r>
        <w:rPr>
          <w:rFonts w:ascii="Arial" w:eastAsia="Arial" w:hAnsi="Arial" w:cs="Arial"/>
        </w:rPr>
        <w:t xml:space="preserve"> </w:t>
      </w:r>
    </w:p>
    <w:p w:rsidR="004D6F0E" w:rsidRDefault="00490F21">
      <w:pPr>
        <w:spacing w:after="163"/>
        <w:ind w:left="11" w:right="2"/>
      </w:pPr>
      <w:r>
        <w:rPr>
          <w:rFonts w:ascii="Arial" w:eastAsia="Arial" w:hAnsi="Arial" w:cs="Arial"/>
        </w:rPr>
        <w:t xml:space="preserve"> </w:t>
      </w:r>
      <w:r>
        <w:rPr>
          <w:sz w:val="20"/>
        </w:rPr>
        <w:t>評級機構。</w:t>
      </w:r>
      <w:r>
        <w:t>任何評級機構的日後行動或會不利影響固定收益證券的市值或流動性，而評級機構可隨時且在不更改其公佈的評級標準或方法的情況下，降低或取消其對任何證券類別所作出的任何評級。因任何不履行作為導致的任何有關變更或撤銷均可能對固定收</w:t>
      </w:r>
      <w:r>
        <w:t>益證券的流動性及價值產生不利影響。</w:t>
      </w:r>
      <w:r>
        <w:rPr>
          <w:rFonts w:ascii="Arial" w:eastAsia="Arial" w:hAnsi="Arial" w:cs="Arial"/>
        </w:rPr>
        <w:t xml:space="preserve"> </w:t>
      </w:r>
    </w:p>
    <w:p w:rsidR="004D6F0E" w:rsidRDefault="00490F21">
      <w:pPr>
        <w:spacing w:after="162"/>
        <w:ind w:left="11" w:right="2"/>
      </w:pPr>
      <w:r>
        <w:t>固定收益證券風險</w:t>
      </w:r>
      <w:r>
        <w:rPr>
          <w:rFonts w:ascii="Arial" w:eastAsia="Arial" w:hAnsi="Arial" w:cs="Arial"/>
          <w:b/>
        </w:rPr>
        <w:t>—</w:t>
      </w:r>
      <w:r>
        <w:t>較低評級及無評級工具。基金資產可全部或部分投資於低評級類別（即低於投資級別）或無評級（惟投資管理人釐定具相若質素）的高收益、高風險債務證券。評級低於投資級別的債務證券一般稱為「垃圾債券」，與較高評級證券相比，被視為須承受本金及利息損失的更大風險，且就發行人支付利息及償還本金的能力而言投機程度極高，其償付能力於經濟狀況持續惡化的期間或因利率持續上升的期間可能會降低。於經濟狀況轉差的期間，較低評級證券一般較高評級證券承受更大的市場風險。此外，較低評級證券可</w:t>
      </w:r>
      <w:r>
        <w:t>能較投資級別證券更易受實際或預計的不利經濟及競爭產業狀況所影響，但較低評級證券的市值較高評級證券而言更不易受利率波動的影響。較低評級證券市場的交投可能較優質證券市場更為疏落及淡靜，因此可能對該等證券的出售價格帶來不利影響。倘若干較低評級證券並無可作買賣的正規市場，投資管理人可能難以對相關證券及基金資產進行估值。此外，有關較低評級證券的不利傳聞及投資者對該等證券的了解（不論是否根據基本分析），均可能降低該等較低評級證券的市值及流動性。有關較低評級證券的交易費用可能高於投資級別證券，且在若干情況下幾乎無法獲取資</w:t>
      </w:r>
      <w:r>
        <w:t>料。</w:t>
      </w:r>
      <w:r>
        <w:rPr>
          <w:rFonts w:ascii="Arial" w:eastAsia="Arial" w:hAnsi="Arial" w:cs="Arial"/>
        </w:rPr>
        <w:t xml:space="preserve"> </w:t>
      </w:r>
    </w:p>
    <w:p w:rsidR="004D6F0E" w:rsidRDefault="00490F21">
      <w:pPr>
        <w:spacing w:after="160"/>
        <w:ind w:left="11" w:right="2"/>
      </w:pPr>
      <w:r>
        <w:t>由於較低評級證券的違約風險較高，投資管理人的研究及信用分析對基金管理於該等證券的投資而言是相應重要的一方面。在考慮為基金作出投資時，投資管理人將試圖識別財務狀況是否足以應付日後的負債或已改善，或預期日後會改善的高收益證券。投資管理人的分析集中於以利息或股息準備比率、資產覆蓋率、盈利前景及發行人的經驗及管理優勢等因素為基準，計算相對價值。</w:t>
      </w:r>
      <w:r>
        <w:rPr>
          <w:rFonts w:ascii="Arial" w:eastAsia="Arial" w:hAnsi="Arial" w:cs="Arial"/>
        </w:rPr>
        <w:t xml:space="preserve"> </w:t>
      </w:r>
    </w:p>
    <w:p w:rsidR="004D6F0E" w:rsidRDefault="00490F21">
      <w:pPr>
        <w:spacing w:after="163"/>
        <w:ind w:left="11" w:right="2"/>
      </w:pPr>
      <w:r>
        <w:t>如投資管理人相信未評級證券的發行人的財務狀況、或該證券本身條款所提供的保障，將基金的風險限制在與符合基金的目標及政策的評級證券所承受的相若風險，則基金將考慮投資於</w:t>
      </w:r>
      <w:r>
        <w:t>該等未評級證券。</w:t>
      </w:r>
      <w:r>
        <w:rPr>
          <w:rFonts w:ascii="Arial" w:eastAsia="Arial" w:hAnsi="Arial" w:cs="Arial"/>
        </w:rPr>
        <w:t xml:space="preserve"> </w:t>
      </w:r>
    </w:p>
    <w:p w:rsidR="004D6F0E" w:rsidRDefault="00490F21">
      <w:pPr>
        <w:spacing w:after="162"/>
        <w:ind w:left="11" w:right="2"/>
      </w:pPr>
      <w:r>
        <w:t>在致力達到基金的首要目標時，基金的證券會不可避免地在某段期間</w:t>
      </w:r>
      <w:r>
        <w:rPr>
          <w:rFonts w:ascii="Arial" w:eastAsia="Arial" w:hAnsi="Arial" w:cs="Arial"/>
        </w:rPr>
        <w:t>(</w:t>
      </w:r>
      <w:r>
        <w:t>如加息期間</w:t>
      </w:r>
      <w:r>
        <w:rPr>
          <w:rFonts w:ascii="Arial" w:eastAsia="Arial" w:hAnsi="Arial" w:cs="Arial"/>
        </w:rPr>
        <w:t>)</w:t>
      </w:r>
      <w:r>
        <w:t>出現減值及資本虧損實現。另外，在若干市況下，質素相若的中等及較低評級證券及無評級證券的收益及市值的波幅會較高級證券的波幅為大。當購入一隻證券後﹐</w:t>
      </w:r>
      <w:r>
        <w:t xml:space="preserve"> </w:t>
      </w:r>
      <w:r>
        <w:t>該等波動不會影響自該證券收取的現金收入，但會於基金的資產淨值中反映。</w:t>
      </w:r>
      <w:r>
        <w:rPr>
          <w:rFonts w:ascii="Arial" w:eastAsia="Arial" w:hAnsi="Arial" w:cs="Arial"/>
        </w:rPr>
        <w:t xml:space="preserve"> </w:t>
      </w:r>
    </w:p>
    <w:p w:rsidR="004D6F0E" w:rsidRDefault="00490F21">
      <w:pPr>
        <w:spacing w:after="166"/>
        <w:ind w:left="11" w:right="2"/>
      </w:pPr>
      <w:r>
        <w:rPr>
          <w:sz w:val="20"/>
        </w:rPr>
        <w:t>受壓證券。</w:t>
      </w:r>
      <w:r>
        <w:t>如有關證券的發行人違約或極有可能違約，若干證券或會受壓。有關證券的信貸評級一般為</w:t>
      </w:r>
      <w:r>
        <w:t xml:space="preserve"> </w:t>
      </w:r>
      <w:r>
        <w:rPr>
          <w:rFonts w:ascii="Arial" w:eastAsia="Arial" w:hAnsi="Arial" w:cs="Arial"/>
        </w:rPr>
        <w:t xml:space="preserve">CC </w:t>
      </w:r>
      <w:r>
        <w:t>或以下。證券發行人或會因多個因素而面臨違約風險，包括財政狀況疲弱、經營業績欠佳、重大資本需求、現金流量</w:t>
      </w:r>
      <w:r>
        <w:t>或資產淨值呈現負值及市場或競爭狀況變動，從而導致發行人業務承受不利影響，以及其他因素。當投資管理人相信有關證券的市場估值低於其公平值時，基金可投資於受壓證券。如風險提高，受壓證券一般有較大可能性提供較高回報。由於法律及市場存在不穩定變數，受壓證券或會難以估值，而成功投資於處於重大業務及財務困境的公司所需的財政及法律分析的複雜程度甚高。因此，無法保證投資於有關證券將產生回報，足以彌補股東所承擔風險及使股東免於承受損失。受壓證券亦或會受有關發行人重組、破產以及債權人及股東權利的法律影響，而有關法律或會因不同司法</w:t>
      </w:r>
      <w:r>
        <w:t>權區而差異很大，從而導致投資者及放款人執行強制性索償時出現不穩定性及延誤追償投資。</w:t>
      </w:r>
      <w:r>
        <w:rPr>
          <w:rFonts w:ascii="Arial" w:eastAsia="Arial" w:hAnsi="Arial" w:cs="Arial"/>
        </w:rPr>
        <w:t xml:space="preserve"> </w:t>
      </w:r>
    </w:p>
    <w:p w:rsidR="004D6F0E" w:rsidRDefault="00490F21">
      <w:pPr>
        <w:spacing w:after="162"/>
        <w:ind w:left="11" w:right="2"/>
      </w:pPr>
      <w:r>
        <w:t>信用風險</w:t>
      </w:r>
      <w:r>
        <w:rPr>
          <w:rFonts w:ascii="Arial" w:eastAsia="Arial" w:hAnsi="Arial" w:cs="Arial"/>
          <w:b/>
        </w:rPr>
        <w:t>—</w:t>
      </w:r>
      <w:r>
        <w:t>國家債務。透過投資政府機構的債務，基金直接或間接受到各國政治、社會及經濟變化的影響。特定國家的政治變革可能影響相關政府及時償付或履行償債責任的意願。有關國家的經濟狀況</w:t>
      </w:r>
      <w:r>
        <w:rPr>
          <w:rFonts w:ascii="Arial" w:eastAsia="Arial" w:hAnsi="Arial" w:cs="Arial"/>
        </w:rPr>
        <w:t>(</w:t>
      </w:r>
      <w:r>
        <w:t>主要由通貨膨脹率、外債水平及國內生產總值等指標反映</w:t>
      </w:r>
      <w:r>
        <w:rPr>
          <w:rFonts w:ascii="Arial" w:eastAsia="Arial" w:hAnsi="Arial" w:cs="Arial"/>
        </w:rPr>
        <w:t>)</w:t>
      </w:r>
      <w:r>
        <w:t>亦會影響該國政府的償付能力。</w:t>
      </w:r>
      <w:r>
        <w:rPr>
          <w:rFonts w:ascii="Arial" w:eastAsia="Arial" w:hAnsi="Arial" w:cs="Arial"/>
        </w:rPr>
        <w:t xml:space="preserve"> </w:t>
      </w:r>
    </w:p>
    <w:p w:rsidR="004D6F0E" w:rsidRDefault="00490F21">
      <w:pPr>
        <w:spacing w:after="163"/>
        <w:ind w:left="11" w:right="2"/>
      </w:pPr>
      <w:r>
        <w:t>政府及時償還其債務的能力可能會受到發行人收支差額（包括出口表現及其獲取國際信貸及投資的機會）的嚴重影響。倘個別國家收到以基金貨幣以外的貨幣計價的出口款項，則該國以基金貨幣償還債務的能力或會受到不利影響。倘某個國家出現貿易赤字，該國則需依靠外國政府、超國家機構或私人商業銀行的持續貸款、外國政府的援助款項及外資流入。吾等無法肯定個別國家能否獲取該等外來資助，而外來資金的撤出或會對該國償還其債務的能力產生不利影響。此外，償還債務的成本亦會受到環球利率變動的影響，因為該等債務的利率大都會按環球利率定期調整。</w:t>
      </w:r>
      <w:r>
        <w:rPr>
          <w:rFonts w:ascii="Arial" w:eastAsia="Arial" w:hAnsi="Arial" w:cs="Arial"/>
        </w:rPr>
        <w:t xml:space="preserve"> </w:t>
      </w:r>
    </w:p>
    <w:p w:rsidR="004D6F0E" w:rsidRDefault="00490F21">
      <w:pPr>
        <w:spacing w:after="163"/>
        <w:ind w:left="11" w:right="2"/>
      </w:pPr>
      <w:r>
        <w:t>基金</w:t>
      </w:r>
      <w:r>
        <w:t>可能投資於政府機構及超國家機構的債務，而有關債務可能只有一個有限制的二手市場，甚至並無市場。二手市場流動性減低可能會對市場價格和基金在需要滿足其流動性要求時或因應具體經濟事件﹙如發行人的信用下降﹚而出售特定金融工具的能力產生不利影響。該等債務的二手市場流動性減低還可能使基金更難為其基金估值而獲得準確的市場報價。眾多國家債務通常會有市場報價，但僅可從有限的交易商手中獲取，且不一定代表該等交易商的實盤價或實際售價。</w:t>
      </w:r>
      <w:r>
        <w:rPr>
          <w:rFonts w:ascii="Arial" w:eastAsia="Arial" w:hAnsi="Arial" w:cs="Arial"/>
        </w:rPr>
        <w:t xml:space="preserve"> </w:t>
      </w:r>
    </w:p>
    <w:p w:rsidR="004D6F0E" w:rsidRDefault="00490F21">
      <w:pPr>
        <w:spacing w:after="160"/>
        <w:ind w:left="11" w:right="2"/>
      </w:pPr>
      <w:r>
        <w:t>倘債務人拖欠基金持有的若干國家債務，基金或會擁有有限的法律追索權。例如在某些情況下，就政府機構</w:t>
      </w:r>
      <w:r>
        <w:t>拖欠若干債務的行為尋求補償的訴訟，必須在違約方的法庭審理，這一點與私人債務有所不同。因此，法律追索權或遭嚴重削弱。破產、延期償還及其他適用於國家債務發行人的類似法律，可能與適用於私人債務發行人的法律存在重大差異。例如政治前提，換言之國家債務發行人履行債務條款的意願，對此亦具有重要影響。此外，倘出現違反商業銀行貸款協議的情況，不能保證商業銀行債務持有人不會爭奪給予外國政府所發行證券持有人的付款。</w:t>
      </w:r>
      <w:r>
        <w:rPr>
          <w:rFonts w:ascii="Arial" w:eastAsia="Arial" w:hAnsi="Arial" w:cs="Arial"/>
        </w:rPr>
        <w:t xml:space="preserve"> </w:t>
      </w:r>
    </w:p>
    <w:p w:rsidR="004D6F0E" w:rsidRDefault="00490F21">
      <w:pPr>
        <w:spacing w:after="162"/>
        <w:ind w:left="11" w:right="2"/>
      </w:pPr>
      <w:r>
        <w:t>此外，基金投資於超國家機構債務須承受額外風險，即一個或多個成員政府或會未能向特定超國家機構按規定作出資本出資，致</w:t>
      </w:r>
      <w:r>
        <w:t>使該超國家機構可能無法對基金履行其所承擔債務的責任。</w:t>
      </w:r>
      <w:r>
        <w:rPr>
          <w:rFonts w:ascii="Arial" w:eastAsia="Arial" w:hAnsi="Arial" w:cs="Arial"/>
        </w:rPr>
        <w:t xml:space="preserve"> </w:t>
      </w:r>
    </w:p>
    <w:p w:rsidR="004D6F0E" w:rsidRDefault="00490F21">
      <w:pPr>
        <w:spacing w:after="165"/>
        <w:ind w:left="11" w:right="2"/>
      </w:pPr>
      <w:r>
        <w:t>信用風險</w:t>
      </w:r>
      <w:r>
        <w:rPr>
          <w:rFonts w:ascii="Arial" w:eastAsia="Arial" w:hAnsi="Arial" w:cs="Arial"/>
          <w:b/>
        </w:rPr>
        <w:t>—</w:t>
      </w:r>
      <w:r>
        <w:t>公司債務。透過投資於公司及其他實體發行的債務，基金將承受個別發行人不履行此等債務的付款或其他責任的風險。此外，發行人的財務狀況可能發生不利變化，從而導致國際認可統計評級機構給予發行人及其債務的信貸評級被調低，甚至被調低於投資級別之下。財務狀況變壞或信貸評級下降或會導致發行人的債務價格波動加劇，並對其流動性造成負面影響，令此類債務更難以售出。</w:t>
      </w:r>
      <w:r>
        <w:rPr>
          <w:rFonts w:ascii="Arial" w:eastAsia="Arial" w:hAnsi="Arial" w:cs="Arial"/>
        </w:rPr>
        <w:t xml:space="preserve"> </w:t>
      </w:r>
    </w:p>
    <w:p w:rsidR="004D6F0E" w:rsidRDefault="00490F21">
      <w:pPr>
        <w:spacing w:after="248" w:line="273" w:lineRule="auto"/>
        <w:ind w:left="14" w:right="142"/>
        <w:jc w:val="both"/>
      </w:pPr>
      <w:r>
        <w:rPr>
          <w:rFonts w:ascii="Arial" w:eastAsia="Arial" w:hAnsi="Arial" w:cs="Arial"/>
          <w:b/>
        </w:rPr>
        <w:t xml:space="preserve">CDO </w:t>
      </w:r>
      <w:r>
        <w:t>投資的一般風險。一個基金持有的任何</w:t>
      </w:r>
      <w:r>
        <w:t xml:space="preserve"> </w:t>
      </w:r>
      <w:r>
        <w:rPr>
          <w:rFonts w:ascii="Arial" w:eastAsia="Arial" w:hAnsi="Arial" w:cs="Arial"/>
        </w:rPr>
        <w:t xml:space="preserve">CDO </w:t>
      </w:r>
      <w:r>
        <w:t>的價值波動通常取決於（其中包括）該</w:t>
      </w:r>
      <w:r>
        <w:t xml:space="preserve"> </w:t>
      </w:r>
      <w:r>
        <w:rPr>
          <w:rFonts w:ascii="Arial" w:eastAsia="Arial" w:hAnsi="Arial" w:cs="Arial"/>
        </w:rPr>
        <w:t xml:space="preserve">CDO </w:t>
      </w:r>
      <w:r>
        <w:t>的相關資產組合（「</w:t>
      </w:r>
      <w:r>
        <w:rPr>
          <w:rFonts w:ascii="Arial" w:eastAsia="Arial" w:hAnsi="Arial" w:cs="Arial"/>
        </w:rPr>
        <w:t xml:space="preserve">CDO </w:t>
      </w:r>
      <w:r>
        <w:t>抵押品」）之債務人或發行人的財務狀況、一般經濟狀況、部分金融市場情況、政治事件、任何特定行業的發展或趨勢以及現行利率的變動。因此，</w:t>
      </w:r>
      <w:r>
        <w:rPr>
          <w:rFonts w:ascii="Arial" w:eastAsia="Arial" w:hAnsi="Arial" w:cs="Arial"/>
        </w:rPr>
        <w:t xml:space="preserve">CDO </w:t>
      </w:r>
      <w:r>
        <w:t>持有人必須僅依賴於</w:t>
      </w:r>
      <w:r>
        <w:t xml:space="preserve"> </w:t>
      </w:r>
      <w:r>
        <w:rPr>
          <w:rFonts w:ascii="Arial" w:eastAsia="Arial" w:hAnsi="Arial" w:cs="Arial"/>
        </w:rPr>
        <w:t xml:space="preserve">CDO </w:t>
      </w:r>
      <w:r>
        <w:t>抵押品的分配或其所得款項，以用於支付有關的</w:t>
      </w:r>
      <w:r>
        <w:t xml:space="preserve"> </w:t>
      </w:r>
      <w:r>
        <w:rPr>
          <w:rFonts w:ascii="Arial" w:eastAsia="Arial" w:hAnsi="Arial" w:cs="Arial"/>
        </w:rPr>
        <w:t xml:space="preserve">CDO </w:t>
      </w:r>
      <w:r>
        <w:t>抵押品。</w:t>
      </w:r>
      <w:r>
        <w:t xml:space="preserve"> </w:t>
      </w:r>
      <w:r>
        <w:rPr>
          <w:rFonts w:ascii="Arial" w:eastAsia="Arial" w:hAnsi="Arial" w:cs="Arial"/>
        </w:rPr>
        <w:t xml:space="preserve">CDO </w:t>
      </w:r>
      <w:r>
        <w:t>抵押品可包括高收益債券、貸款、</w:t>
      </w:r>
      <w:r>
        <w:rPr>
          <w:rFonts w:ascii="Arial" w:eastAsia="Arial" w:hAnsi="Arial" w:cs="Arial"/>
        </w:rPr>
        <w:t xml:space="preserve">ABS </w:t>
      </w:r>
      <w:r>
        <w:t>及通常低於投資級別評級（或等同信貸質素）的其他工具。較低評級的高收益證券及低於投資級別的貸款反映出發行人財務狀況或一般經濟狀況或兩者均出現不利變動的可能性更大，進而損害</w:t>
      </w:r>
      <w:r>
        <w:t>相關發行人或債務人支付本金或利息的能力。此外，部分</w:t>
      </w:r>
      <w:r>
        <w:t xml:space="preserve"> </w:t>
      </w:r>
      <w:r>
        <w:rPr>
          <w:rFonts w:ascii="Arial" w:eastAsia="Arial" w:hAnsi="Arial" w:cs="Arial"/>
        </w:rPr>
        <w:t>CDO</w:t>
      </w:r>
      <w:r>
        <w:t>（尤其是</w:t>
      </w:r>
      <w:r>
        <w:t xml:space="preserve"> </w:t>
      </w:r>
      <w:r>
        <w:rPr>
          <w:rFonts w:ascii="Arial" w:eastAsia="Arial" w:hAnsi="Arial" w:cs="Arial"/>
        </w:rPr>
        <w:t xml:space="preserve">CDO </w:t>
      </w:r>
      <w:r>
        <w:t>股本證券）缺乏成熟的流通性二級市場，則可能對該等</w:t>
      </w:r>
      <w:r>
        <w:t xml:space="preserve"> </w:t>
      </w:r>
      <w:r>
        <w:rPr>
          <w:rFonts w:ascii="Arial" w:eastAsia="Arial" w:hAnsi="Arial" w:cs="Arial"/>
        </w:rPr>
        <w:t xml:space="preserve">CDO </w:t>
      </w:r>
      <w:r>
        <w:t>的市場價值產生不利影響，且多數情況下難以以市場價或接近市場價處置該等</w:t>
      </w:r>
      <w:r>
        <w:t xml:space="preserve"> </w:t>
      </w:r>
      <w:r>
        <w:rPr>
          <w:rFonts w:ascii="Arial" w:eastAsia="Arial" w:hAnsi="Arial" w:cs="Arial"/>
        </w:rPr>
        <w:t>CDO</w:t>
      </w:r>
      <w:r>
        <w:t>。</w:t>
      </w:r>
      <w:r>
        <w:rPr>
          <w:rFonts w:ascii="Arial" w:eastAsia="Arial" w:hAnsi="Arial" w:cs="Arial"/>
          <w:b/>
        </w:rPr>
        <w:t xml:space="preserve"> </w:t>
      </w:r>
    </w:p>
    <w:p w:rsidR="004D6F0E" w:rsidRDefault="00490F21">
      <w:pPr>
        <w:spacing w:after="248"/>
        <w:ind w:left="11" w:right="2"/>
      </w:pPr>
      <w:r>
        <w:rPr>
          <w:sz w:val="20"/>
        </w:rPr>
        <w:t>評級機構。</w:t>
      </w:r>
      <w:r>
        <w:t>任何評級機構的日後行動或會不利影響</w:t>
      </w:r>
      <w:r>
        <w:t xml:space="preserve"> </w:t>
      </w:r>
      <w:r>
        <w:rPr>
          <w:rFonts w:ascii="Arial" w:eastAsia="Arial" w:hAnsi="Arial" w:cs="Arial"/>
        </w:rPr>
        <w:t xml:space="preserve">CDO </w:t>
      </w:r>
      <w:r>
        <w:t>的市值或流動性，而評級機構可隨時且在不更改其公佈的評級標準或方法的情況下，降低或取消其對任何</w:t>
      </w:r>
      <w:r>
        <w:t xml:space="preserve"> </w:t>
      </w:r>
      <w:r>
        <w:rPr>
          <w:rFonts w:ascii="Arial" w:eastAsia="Arial" w:hAnsi="Arial" w:cs="Arial"/>
        </w:rPr>
        <w:t xml:space="preserve">CDO </w:t>
      </w:r>
      <w:r>
        <w:t>證券類別所作出的任何評級。因任何不履行作為導致的任何有關評級變更或撤銷均可能對</w:t>
      </w:r>
      <w:r>
        <w:t xml:space="preserve"> </w:t>
      </w:r>
      <w:r>
        <w:rPr>
          <w:rFonts w:ascii="Arial" w:eastAsia="Arial" w:hAnsi="Arial" w:cs="Arial"/>
        </w:rPr>
        <w:t xml:space="preserve">CDO </w:t>
      </w:r>
      <w:r>
        <w:t>證券的流動性及價值產生不利影響。</w:t>
      </w:r>
      <w:r>
        <w:rPr>
          <w:rFonts w:ascii="Arial" w:eastAsia="Arial" w:hAnsi="Arial" w:cs="Arial"/>
        </w:rPr>
        <w:t xml:space="preserve"> </w:t>
      </w:r>
    </w:p>
    <w:p w:rsidR="004D6F0E" w:rsidRDefault="00490F21">
      <w:pPr>
        <w:spacing w:after="157"/>
        <w:ind w:left="11" w:right="2"/>
      </w:pPr>
      <w:r>
        <w:rPr>
          <w:sz w:val="20"/>
        </w:rPr>
        <w:t>有關</w:t>
      </w:r>
      <w:r>
        <w:rPr>
          <w:rFonts w:ascii="Arial" w:eastAsia="Arial" w:hAnsi="Arial" w:cs="Arial"/>
          <w:i/>
        </w:rPr>
        <w:t>CDO</w:t>
      </w:r>
      <w:r>
        <w:rPr>
          <w:sz w:val="20"/>
        </w:rPr>
        <w:t>市場的</w:t>
      </w:r>
      <w:r>
        <w:rPr>
          <w:sz w:val="20"/>
        </w:rPr>
        <w:t>法規之影響。</w:t>
      </w:r>
      <w:r>
        <w:t>美國聯邦政府或任何美國監管機構（或其他非美國機構或監管機構）為應對經濟狀況或其他目的所採取的立法或監管行為，或會對</w:t>
      </w:r>
      <w:r>
        <w:t xml:space="preserve"> </w:t>
      </w:r>
      <w:r>
        <w:rPr>
          <w:rFonts w:ascii="Arial" w:eastAsia="Arial" w:hAnsi="Arial" w:cs="Arial"/>
        </w:rPr>
        <w:t xml:space="preserve">CDO </w:t>
      </w:r>
      <w:r>
        <w:t>的流動性及價值有不利影響。</w:t>
      </w:r>
      <w:r>
        <w:rPr>
          <w:rFonts w:ascii="Arial" w:eastAsia="Arial" w:hAnsi="Arial" w:cs="Arial"/>
        </w:rPr>
        <w:t xml:space="preserve"> </w:t>
      </w:r>
    </w:p>
    <w:p w:rsidR="004D6F0E" w:rsidRDefault="00490F21">
      <w:pPr>
        <w:spacing w:after="0" w:line="259" w:lineRule="auto"/>
        <w:ind w:left="373" w:firstLine="0"/>
      </w:pPr>
      <w:r>
        <w:rPr>
          <w:rFonts w:ascii="Arial" w:eastAsia="Arial" w:hAnsi="Arial" w:cs="Arial"/>
        </w:rPr>
        <w:t xml:space="preserve"> </w:t>
      </w:r>
    </w:p>
    <w:p w:rsidR="004D6F0E" w:rsidRDefault="004D6F0E">
      <w:pPr>
        <w:sectPr w:rsidR="004D6F0E">
          <w:type w:val="continuous"/>
          <w:pgSz w:w="12240" w:h="15840"/>
          <w:pgMar w:top="1257" w:right="542" w:bottom="1570" w:left="432" w:header="720" w:footer="720" w:gutter="0"/>
          <w:cols w:num="2" w:space="677"/>
        </w:sectPr>
      </w:pPr>
    </w:p>
    <w:p w:rsidR="004D6F0E" w:rsidRDefault="00490F21">
      <w:pPr>
        <w:spacing w:after="0" w:line="259" w:lineRule="auto"/>
        <w:ind w:left="0" w:firstLine="0"/>
        <w:jc w:val="both"/>
      </w:pPr>
      <w:r>
        <w:rPr>
          <w:rFonts w:ascii="SimSun" w:eastAsia="SimSun" w:hAnsi="SimSun" w:cs="SimSun"/>
          <w:sz w:val="20"/>
        </w:rPr>
        <w:t xml:space="preserve"> </w:t>
      </w:r>
    </w:p>
    <w:p w:rsidR="004D6F0E" w:rsidRDefault="004D6F0E">
      <w:pPr>
        <w:sectPr w:rsidR="004D6F0E">
          <w:type w:val="continuous"/>
          <w:pgSz w:w="12240" w:h="15840"/>
          <w:pgMar w:top="986" w:right="11708" w:bottom="1129" w:left="432" w:header="720" w:footer="720" w:gutter="0"/>
          <w:cols w:space="720"/>
        </w:sectPr>
      </w:pPr>
    </w:p>
    <w:p w:rsidR="004D6F0E" w:rsidRDefault="00490F21">
      <w:pPr>
        <w:spacing w:after="0" w:line="259" w:lineRule="auto"/>
        <w:ind w:left="0" w:firstLine="0"/>
        <w:jc w:val="both"/>
      </w:pPr>
      <w:r>
        <w:rPr>
          <w:rFonts w:ascii="Arial" w:eastAsia="Arial" w:hAnsi="Arial" w:cs="Arial"/>
          <w:sz w:val="20"/>
        </w:rPr>
        <w:t xml:space="preserve"> </w:t>
      </w:r>
    </w:p>
    <w:p w:rsidR="004D6F0E" w:rsidRDefault="004D6F0E">
      <w:pPr>
        <w:sectPr w:rsidR="004D6F0E">
          <w:type w:val="continuous"/>
          <w:pgSz w:w="12240" w:h="15840"/>
          <w:pgMar w:top="986" w:right="675" w:bottom="1129" w:left="11520" w:header="720" w:footer="720" w:gutter="0"/>
          <w:cols w:space="720"/>
        </w:sectPr>
      </w:pPr>
    </w:p>
    <w:p w:rsidR="004D6F0E" w:rsidRDefault="00490F21">
      <w:pPr>
        <w:pStyle w:val="Heading4"/>
        <w:spacing w:after="184"/>
        <w:ind w:left="14"/>
      </w:pPr>
      <w:r>
        <w:t>股東大會及致股東的報告</w:t>
      </w:r>
      <w:r>
        <w:rPr>
          <w:rFonts w:ascii="Arial" w:eastAsia="Arial" w:hAnsi="Arial" w:cs="Arial"/>
        </w:rPr>
        <w:t xml:space="preserve"> </w:t>
      </w:r>
    </w:p>
    <w:p w:rsidR="004D6F0E" w:rsidRDefault="00490F21">
      <w:pPr>
        <w:spacing w:after="63"/>
        <w:ind w:left="11" w:right="2"/>
      </w:pPr>
      <w:r>
        <w:t>股東資料</w:t>
      </w:r>
      <w:r>
        <w:rPr>
          <w:rFonts w:ascii="Arial" w:eastAsia="Arial" w:hAnsi="Arial" w:cs="Arial"/>
          <w:b/>
        </w:rPr>
        <w:t xml:space="preserve"> </w:t>
      </w:r>
    </w:p>
    <w:p w:rsidR="004D6F0E" w:rsidRDefault="00490F21">
      <w:pPr>
        <w:spacing w:after="99"/>
        <w:ind w:left="11" w:right="2"/>
      </w:pPr>
      <w:r>
        <w:t>經審核年度報告及未經審核中期報告將予公佈，並在管理公司及存管人的辦事處供股東免費查閱。上述年度報告及中期報告的電子版可在下列網站查閱：</w:t>
      </w:r>
      <w:hyperlink r:id="rId315">
        <w:r>
          <w:rPr>
            <w:rFonts w:ascii="Arial" w:eastAsia="Arial" w:hAnsi="Arial" w:cs="Arial"/>
            <w:color w:val="0000FF"/>
            <w:u w:val="single" w:color="0000FF"/>
          </w:rPr>
          <w:t>www.alliancebernstein.com</w:t>
        </w:r>
      </w:hyperlink>
      <w:hyperlink r:id="rId316">
        <w:r>
          <w:t>。</w:t>
        </w:r>
      </w:hyperlink>
      <w:r>
        <w:t>各基金的帳目將以有關的基金貨幣記錄，而本傘子基金的合併帳目將以美元記錄。擬就本傘子基金任何基金或管理公司公佈的任何</w:t>
      </w:r>
      <w:r>
        <w:t>其他財務資料，包括任何基金任何類別股份的每日</w:t>
      </w:r>
      <w:r>
        <w:rPr>
          <w:sz w:val="20"/>
        </w:rPr>
        <w:t>資產淨值</w:t>
      </w:r>
      <w:r>
        <w:t>及有關估值的任何暫停，將於管理公司及存管人的辦事處供股東免費查閱。所有給予股東的通告將於盧森堡的報章刊發，以及管理公司可不時釐定的國家普遍發行的其他報章及（如有必要）</w:t>
      </w:r>
      <w:r>
        <w:rPr>
          <w:rFonts w:ascii="Arial" w:eastAsia="Arial" w:hAnsi="Arial" w:cs="Arial"/>
        </w:rPr>
        <w:t xml:space="preserve">RESA </w:t>
      </w:r>
      <w:r>
        <w:t>刊發。此外，股份的資產淨值乃按第</w:t>
      </w:r>
      <w:r>
        <w:t xml:space="preserve"> </w:t>
      </w:r>
      <w:r>
        <w:rPr>
          <w:rFonts w:ascii="Arial" w:eastAsia="Arial" w:hAnsi="Arial" w:cs="Arial"/>
        </w:rPr>
        <w:t xml:space="preserve">I </w:t>
      </w:r>
      <w:r>
        <w:t>部分中的規定就各基金公佈。管理公司提醒投資者注意，任何投資者若僅在其本人並以其自身名義在本傘子基金股東名冊登記的前提下，方可全面行使其直接針對本傘子基金的投資者權利。若投資者透過中介人以其自身名義，但代表投資者投資於本傘子基金，則投資者未必一直能</w:t>
      </w:r>
      <w:r>
        <w:t>夠直接行使針對本傘子基金的若干股東權利。建議投資者就其權利徵詢意見。</w:t>
      </w:r>
      <w:r>
        <w:rPr>
          <w:rFonts w:ascii="Arial" w:eastAsia="Arial" w:hAnsi="Arial" w:cs="Arial"/>
        </w:rPr>
        <w:t xml:space="preserve"> </w:t>
      </w:r>
    </w:p>
    <w:p w:rsidR="004D6F0E" w:rsidRDefault="00490F21">
      <w:pPr>
        <w:spacing w:after="63"/>
        <w:ind w:left="11" w:right="2"/>
      </w:pPr>
      <w:r>
        <w:t>股東大會</w:t>
      </w:r>
      <w:r>
        <w:rPr>
          <w:rFonts w:ascii="Arial" w:eastAsia="Arial" w:hAnsi="Arial" w:cs="Arial"/>
          <w:b/>
        </w:rPr>
        <w:t xml:space="preserve"> </w:t>
      </w:r>
    </w:p>
    <w:p w:rsidR="004D6F0E" w:rsidRDefault="00490F21">
      <w:pPr>
        <w:ind w:left="11" w:right="2"/>
      </w:pPr>
      <w:r>
        <w:t>管理條例並無對股東大會作出規定，而本傘子基金亦無意召開任何此類會議。</w:t>
      </w:r>
      <w:r>
        <w:rPr>
          <w:rFonts w:ascii="Arial" w:eastAsia="Arial" w:hAnsi="Arial" w:cs="Arial"/>
        </w:rPr>
        <w:t xml:space="preserve"> </w:t>
      </w:r>
      <w:r>
        <w:br w:type="page"/>
      </w:r>
    </w:p>
    <w:p w:rsidR="004D6F0E" w:rsidRDefault="00490F21">
      <w:pPr>
        <w:pStyle w:val="Heading4"/>
        <w:spacing w:after="204"/>
        <w:ind w:left="14"/>
      </w:pPr>
      <w:r>
        <w:t>管理與行政</w:t>
      </w:r>
      <w:r>
        <w:rPr>
          <w:rFonts w:ascii="Arial" w:eastAsia="Arial" w:hAnsi="Arial" w:cs="Arial"/>
        </w:rPr>
        <w:t xml:space="preserve"> </w:t>
      </w:r>
    </w:p>
    <w:p w:rsidR="004D6F0E" w:rsidRDefault="00490F21">
      <w:pPr>
        <w:spacing w:after="68"/>
        <w:ind w:left="11" w:right="2"/>
      </w:pPr>
      <w:r>
        <w:t>投資管理</w:t>
      </w:r>
      <w:r>
        <w:rPr>
          <w:rFonts w:ascii="Arial" w:eastAsia="Arial" w:hAnsi="Arial" w:cs="Arial"/>
        </w:rPr>
        <w:t xml:space="preserve"> </w:t>
      </w:r>
    </w:p>
    <w:p w:rsidR="004D6F0E" w:rsidRDefault="00490F21">
      <w:pPr>
        <w:spacing w:after="102" w:line="273" w:lineRule="auto"/>
        <w:ind w:left="14" w:right="189"/>
        <w:jc w:val="both"/>
      </w:pPr>
      <w:r>
        <w:rPr>
          <w:rFonts w:ascii="Arial" w:eastAsia="Arial" w:hAnsi="Arial" w:cs="Arial"/>
        </w:rPr>
        <w:t>AllianceBernstein L.P.</w:t>
      </w:r>
      <w:r>
        <w:t>（特拉華州一間有限合夥公司，其主要辦事處位於</w:t>
      </w:r>
      <w:r>
        <w:t xml:space="preserve"> </w:t>
      </w:r>
      <w:r>
        <w:rPr>
          <w:rFonts w:ascii="Arial" w:eastAsia="Arial" w:hAnsi="Arial" w:cs="Arial"/>
        </w:rPr>
        <w:t>501 Commerce Street, Nashville TN 37203, U.S.A.</w:t>
      </w:r>
      <w:r>
        <w:t>，為一家透過廣泛投資為機構及個人提供多元化服務的頂尖環球投資管理人）根據一份投資管理協議的條款被委任為本傘子基金的投資管理人。投資管理協議可由管理公司代表本傘子基金，或由投資管理人向另一方發出事先六十日的書面通知而終止。投資管理人的一般夥伴</w:t>
      </w:r>
      <w:r>
        <w:t xml:space="preserve"> </w:t>
      </w:r>
      <w:r>
        <w:rPr>
          <w:rFonts w:ascii="Arial" w:eastAsia="Arial" w:hAnsi="Arial" w:cs="Arial"/>
        </w:rPr>
        <w:t xml:space="preserve">AllianceBernstein Corporation </w:t>
      </w:r>
      <w:r>
        <w:t>乃</w:t>
      </w:r>
      <w:r>
        <w:t xml:space="preserve"> </w:t>
      </w:r>
      <w:r>
        <w:rPr>
          <w:rFonts w:ascii="Arial" w:eastAsia="Arial" w:hAnsi="Arial" w:cs="Arial"/>
        </w:rPr>
        <w:t xml:space="preserve">AXA Financial, Inc. </w:t>
      </w:r>
      <w:r>
        <w:t>的間接全資附屬公司，而</w:t>
      </w:r>
      <w:r>
        <w:t xml:space="preserve"> </w:t>
      </w:r>
      <w:r>
        <w:rPr>
          <w:rFonts w:ascii="Arial" w:eastAsia="Arial" w:hAnsi="Arial" w:cs="Arial"/>
        </w:rPr>
        <w:t>AXA Financial, Inc.</w:t>
      </w:r>
      <w:r>
        <w:t>為法國公司</w:t>
      </w:r>
      <w:r>
        <w:t xml:space="preserve"> </w:t>
      </w:r>
      <w:r>
        <w:rPr>
          <w:rFonts w:ascii="Arial" w:eastAsia="Arial" w:hAnsi="Arial" w:cs="Arial"/>
        </w:rPr>
        <w:t xml:space="preserve">AXA </w:t>
      </w:r>
      <w:r>
        <w:t>的全資附屬公司。</w:t>
      </w:r>
      <w:r>
        <w:rPr>
          <w:rFonts w:ascii="Arial" w:eastAsia="Arial" w:hAnsi="Arial" w:cs="Arial"/>
        </w:rPr>
        <w:t xml:space="preserve"> </w:t>
      </w:r>
    </w:p>
    <w:p w:rsidR="004D6F0E" w:rsidRDefault="00490F21">
      <w:pPr>
        <w:spacing w:after="102"/>
        <w:ind w:left="11" w:right="2"/>
      </w:pPr>
      <w:r>
        <w:t>投資管理人根據美國一九四零年投資顧問法（經修訂）於美國證券交易委</w:t>
      </w:r>
      <w:r>
        <w:t>員會（「</w:t>
      </w:r>
      <w:r>
        <w:rPr>
          <w:rFonts w:ascii="Arial" w:eastAsia="Arial" w:hAnsi="Arial" w:cs="Arial"/>
        </w:rPr>
        <w:t>SEC</w:t>
      </w:r>
      <w:r>
        <w:t>」）註冊為投資顧問。有關投資管理人的其他資訊，請參閱</w:t>
      </w:r>
      <w:r>
        <w:t xml:space="preserve"> </w:t>
      </w:r>
      <w:r>
        <w:rPr>
          <w:rFonts w:ascii="Arial" w:eastAsia="Arial" w:hAnsi="Arial" w:cs="Arial"/>
        </w:rPr>
        <w:t xml:space="preserve">SEC </w:t>
      </w:r>
      <w:r>
        <w:t>網站</w:t>
      </w:r>
      <w:r>
        <w:rPr>
          <w:rFonts w:ascii="Arial" w:eastAsia="Arial" w:hAnsi="Arial" w:cs="Arial"/>
        </w:rPr>
        <w:t>(www.adviserinfo.sec.gov)</w:t>
      </w:r>
      <w:r>
        <w:t>。於</w:t>
      </w:r>
      <w:r>
        <w:t xml:space="preserve"> </w:t>
      </w:r>
      <w:r>
        <w:rPr>
          <w:rFonts w:ascii="Arial" w:eastAsia="Arial" w:hAnsi="Arial" w:cs="Arial"/>
        </w:rPr>
        <w:t xml:space="preserve">SEC </w:t>
      </w:r>
      <w:r>
        <w:t>或任何美國州立證券機構註冊概不表示具備一定水平的技能或已接受培訓。</w:t>
      </w:r>
      <w:r>
        <w:rPr>
          <w:rFonts w:ascii="Arial" w:eastAsia="Arial" w:hAnsi="Arial" w:cs="Arial"/>
        </w:rPr>
        <w:t xml:space="preserve"> </w:t>
      </w:r>
    </w:p>
    <w:p w:rsidR="004D6F0E" w:rsidRDefault="00490F21">
      <w:pPr>
        <w:ind w:left="11" w:right="2"/>
      </w:pPr>
      <w:r>
        <w:t>在為本傘子基金提供全權委託投資管理服務時，投資管理人可將部分投資管理服務再轉授予其一間或多間全資擁有附屬公司（「聯屬副投資管理人」）。聯屬副投資管理人可於投資管理人負責及監督下，全權作出投資決策，並為其所提供服務的基金購買及出售證券及資產。所有聯屬副投資管理人均已獲得授權、登記或批准，於監督部門的</w:t>
      </w:r>
      <w:r>
        <w:t>審慎監察下提供投資管理服務。</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參與本傘子基金管理的聯屬副投資管理人包括：</w:t>
      </w:r>
      <w:r>
        <w:rPr>
          <w:rFonts w:ascii="Arial" w:eastAsia="Arial" w:hAnsi="Arial" w:cs="Arial"/>
        </w:rPr>
        <w:t xml:space="preserve"> </w:t>
      </w:r>
    </w:p>
    <w:p w:rsidR="004D6F0E" w:rsidRDefault="00490F21">
      <w:pPr>
        <w:spacing w:after="16" w:line="259" w:lineRule="auto"/>
        <w:ind w:left="0" w:firstLine="0"/>
      </w:pPr>
      <w:r>
        <w:rPr>
          <w:rFonts w:ascii="Arial" w:eastAsia="Arial" w:hAnsi="Arial" w:cs="Arial"/>
          <w:sz w:val="18"/>
        </w:rPr>
        <w:t xml:space="preserve"> </w:t>
      </w:r>
    </w:p>
    <w:p w:rsidR="004D6F0E" w:rsidRDefault="00490F21">
      <w:pPr>
        <w:numPr>
          <w:ilvl w:val="0"/>
          <w:numId w:val="28"/>
        </w:numPr>
        <w:spacing w:after="13" w:line="259" w:lineRule="auto"/>
        <w:ind w:hanging="360"/>
      </w:pPr>
      <w:r>
        <w:rPr>
          <w:rFonts w:ascii="Arial" w:eastAsia="Arial" w:hAnsi="Arial" w:cs="Arial"/>
          <w:b/>
        </w:rPr>
        <w:t xml:space="preserve">AllianceBernstein Limited </w:t>
      </w:r>
      <w:r>
        <w:t>，主要辦事處位於</w:t>
      </w:r>
      <w:r>
        <w:t xml:space="preserve"> </w:t>
      </w:r>
      <w:r>
        <w:rPr>
          <w:rFonts w:ascii="Arial" w:eastAsia="Arial" w:hAnsi="Arial" w:cs="Arial"/>
        </w:rPr>
        <w:t xml:space="preserve">60 </w:t>
      </w:r>
    </w:p>
    <w:p w:rsidR="004D6F0E" w:rsidRDefault="00490F21">
      <w:pPr>
        <w:spacing w:line="250" w:lineRule="auto"/>
        <w:ind w:left="730" w:hanging="10"/>
      </w:pPr>
      <w:r>
        <w:rPr>
          <w:rFonts w:ascii="Arial" w:eastAsia="Arial" w:hAnsi="Arial" w:cs="Arial"/>
        </w:rPr>
        <w:t xml:space="preserve">London Wall, London, EC2M 5SJ, United Kingdom </w:t>
      </w:r>
    </w:p>
    <w:p w:rsidR="004D6F0E" w:rsidRDefault="00490F21">
      <w:pPr>
        <w:spacing w:after="12" w:line="259" w:lineRule="auto"/>
        <w:ind w:left="720" w:firstLine="0"/>
      </w:pPr>
      <w:r>
        <w:rPr>
          <w:rFonts w:ascii="Arial" w:eastAsia="Arial" w:hAnsi="Arial" w:cs="Arial"/>
        </w:rPr>
        <w:t xml:space="preserve"> </w:t>
      </w:r>
    </w:p>
    <w:p w:rsidR="004D6F0E" w:rsidRDefault="00490F21">
      <w:pPr>
        <w:numPr>
          <w:ilvl w:val="0"/>
          <w:numId w:val="28"/>
        </w:numPr>
        <w:ind w:hanging="360"/>
      </w:pPr>
      <w:r>
        <w:t>聯博香港有限公司，主要辦事處位於香港鰂魚涌華蘭路</w:t>
      </w:r>
    </w:p>
    <w:p w:rsidR="004D6F0E" w:rsidRDefault="00490F21">
      <w:pPr>
        <w:spacing w:after="25"/>
        <w:ind w:left="722" w:right="2"/>
      </w:pPr>
      <w:r>
        <w:rPr>
          <w:rFonts w:ascii="Arial" w:eastAsia="Arial" w:hAnsi="Arial" w:cs="Arial"/>
        </w:rPr>
        <w:t xml:space="preserve">18 </w:t>
      </w:r>
      <w:r>
        <w:t>號太古坊港島東中心</w:t>
      </w:r>
      <w:r>
        <w:t xml:space="preserve"> </w:t>
      </w:r>
      <w:r>
        <w:rPr>
          <w:rFonts w:ascii="Arial" w:eastAsia="Arial" w:hAnsi="Arial" w:cs="Arial"/>
        </w:rPr>
        <w:t xml:space="preserve">39 </w:t>
      </w:r>
      <w:r>
        <w:t>樓</w:t>
      </w:r>
      <w:r>
        <w:rPr>
          <w:rFonts w:ascii="Arial" w:eastAsia="Arial" w:hAnsi="Arial" w:cs="Arial"/>
        </w:rPr>
        <w:t xml:space="preserve"> </w:t>
      </w:r>
    </w:p>
    <w:p w:rsidR="004D6F0E" w:rsidRDefault="00490F21">
      <w:pPr>
        <w:spacing w:after="26" w:line="259" w:lineRule="auto"/>
        <w:ind w:left="0" w:firstLine="0"/>
      </w:pPr>
      <w:r>
        <w:rPr>
          <w:rFonts w:ascii="Arial" w:eastAsia="Arial" w:hAnsi="Arial" w:cs="Arial"/>
        </w:rPr>
        <w:t xml:space="preserve"> </w:t>
      </w:r>
    </w:p>
    <w:p w:rsidR="004D6F0E" w:rsidRDefault="00490F21">
      <w:pPr>
        <w:numPr>
          <w:ilvl w:val="0"/>
          <w:numId w:val="28"/>
        </w:numPr>
        <w:spacing w:after="13" w:line="259" w:lineRule="auto"/>
        <w:ind w:hanging="360"/>
      </w:pPr>
      <w:r>
        <w:rPr>
          <w:rFonts w:ascii="Arial" w:eastAsia="Arial" w:hAnsi="Arial" w:cs="Arial"/>
          <w:b/>
        </w:rPr>
        <w:t>AllianceBernstein (Singapore) Ltd.</w:t>
      </w:r>
      <w:r>
        <w:t>，主要辦事處位於</w:t>
      </w:r>
    </w:p>
    <w:p w:rsidR="004D6F0E" w:rsidRDefault="00490F21">
      <w:pPr>
        <w:spacing w:line="250" w:lineRule="auto"/>
        <w:ind w:left="723" w:hanging="10"/>
      </w:pPr>
      <w:r>
        <w:rPr>
          <w:rFonts w:ascii="Arial" w:eastAsia="Arial" w:hAnsi="Arial" w:cs="Arial"/>
        </w:rPr>
        <w:t xml:space="preserve">One Raffles Quay, #27-11 South Tower.Singapore </w:t>
      </w:r>
    </w:p>
    <w:p w:rsidR="004D6F0E" w:rsidRDefault="00490F21">
      <w:pPr>
        <w:spacing w:line="250" w:lineRule="auto"/>
        <w:ind w:left="723" w:hanging="10"/>
      </w:pPr>
      <w:r>
        <w:rPr>
          <w:rFonts w:ascii="Arial" w:eastAsia="Arial" w:hAnsi="Arial" w:cs="Arial"/>
        </w:rPr>
        <w:t xml:space="preserve">048583 </w:t>
      </w:r>
    </w:p>
    <w:p w:rsidR="004D6F0E" w:rsidRDefault="00490F21">
      <w:pPr>
        <w:spacing w:after="23" w:line="259" w:lineRule="auto"/>
        <w:ind w:left="720" w:firstLine="0"/>
      </w:pPr>
      <w:r>
        <w:rPr>
          <w:rFonts w:ascii="Arial" w:eastAsia="Arial" w:hAnsi="Arial" w:cs="Arial"/>
        </w:rPr>
        <w:t xml:space="preserve"> </w:t>
      </w:r>
    </w:p>
    <w:p w:rsidR="004D6F0E" w:rsidRDefault="00490F21">
      <w:pPr>
        <w:numPr>
          <w:ilvl w:val="0"/>
          <w:numId w:val="28"/>
        </w:numPr>
        <w:spacing w:after="13" w:line="259" w:lineRule="auto"/>
        <w:ind w:hanging="360"/>
      </w:pPr>
      <w:r>
        <w:rPr>
          <w:rFonts w:ascii="Arial" w:eastAsia="Arial" w:hAnsi="Arial" w:cs="Arial"/>
          <w:b/>
        </w:rPr>
        <w:t xml:space="preserve">AllianceBernstein (Japan) Ltd. </w:t>
      </w:r>
      <w:r>
        <w:t>，主要辦事處位於</w:t>
      </w:r>
    </w:p>
    <w:p w:rsidR="004D6F0E" w:rsidRDefault="00490F21">
      <w:pPr>
        <w:spacing w:line="250" w:lineRule="auto"/>
        <w:ind w:left="730" w:hanging="10"/>
      </w:pPr>
      <w:r>
        <w:rPr>
          <w:rFonts w:ascii="Arial" w:eastAsia="Arial" w:hAnsi="Arial" w:cs="Arial"/>
        </w:rPr>
        <w:t xml:space="preserve">Hibiya Park Front Building 14F, 2-1-6 Uchisaiwaicho, </w:t>
      </w:r>
    </w:p>
    <w:p w:rsidR="004D6F0E" w:rsidRDefault="00490F21">
      <w:pPr>
        <w:spacing w:line="250" w:lineRule="auto"/>
        <w:ind w:left="730" w:hanging="10"/>
      </w:pPr>
      <w:r>
        <w:rPr>
          <w:rFonts w:ascii="Arial" w:eastAsia="Arial" w:hAnsi="Arial" w:cs="Arial"/>
        </w:rPr>
        <w:t xml:space="preserve">Chiyoda-ku, 14th Floor, Tokyo 100-001, Japan </w:t>
      </w:r>
    </w:p>
    <w:p w:rsidR="004D6F0E" w:rsidRDefault="00490F21">
      <w:pPr>
        <w:spacing w:after="11" w:line="259" w:lineRule="auto"/>
        <w:ind w:left="720" w:firstLine="0"/>
      </w:pPr>
      <w:r>
        <w:rPr>
          <w:rFonts w:ascii="Arial" w:eastAsia="Arial" w:hAnsi="Arial" w:cs="Arial"/>
        </w:rPr>
        <w:t xml:space="preserve"> </w:t>
      </w:r>
    </w:p>
    <w:p w:rsidR="004D6F0E" w:rsidRDefault="00490F21">
      <w:pPr>
        <w:numPr>
          <w:ilvl w:val="0"/>
          <w:numId w:val="28"/>
        </w:numPr>
        <w:spacing w:after="13" w:line="259" w:lineRule="auto"/>
        <w:ind w:hanging="360"/>
      </w:pPr>
      <w:r>
        <w:rPr>
          <w:rFonts w:ascii="Arial" w:eastAsia="Arial" w:hAnsi="Arial" w:cs="Arial"/>
          <w:b/>
        </w:rPr>
        <w:t>AllianceBernstein Australia Limited</w:t>
      </w:r>
      <w:r>
        <w:t>，</w:t>
      </w:r>
      <w:r>
        <w:rPr>
          <w:rFonts w:ascii="Arial" w:eastAsia="Arial" w:hAnsi="Arial" w:cs="Arial"/>
        </w:rPr>
        <w:t xml:space="preserve">Aurora Place, </w:t>
      </w:r>
    </w:p>
    <w:p w:rsidR="004D6F0E" w:rsidRDefault="00490F21">
      <w:pPr>
        <w:spacing w:line="250" w:lineRule="auto"/>
        <w:ind w:left="730" w:hanging="10"/>
      </w:pPr>
      <w:r>
        <w:rPr>
          <w:rFonts w:ascii="Arial" w:eastAsia="Arial" w:hAnsi="Arial" w:cs="Arial"/>
        </w:rPr>
        <w:t>Level</w:t>
      </w:r>
      <w:r>
        <w:rPr>
          <w:rFonts w:ascii="Arial" w:eastAsia="Arial" w:hAnsi="Arial" w:cs="Arial"/>
        </w:rPr>
        <w:t xml:space="preserve"> 32F, 88 Phillip Street, Sydney, New South Wales, </w:t>
      </w:r>
    </w:p>
    <w:p w:rsidR="004D6F0E" w:rsidRDefault="00490F21">
      <w:pPr>
        <w:spacing w:line="250" w:lineRule="auto"/>
        <w:ind w:left="730" w:hanging="10"/>
      </w:pPr>
      <w:r>
        <w:rPr>
          <w:rFonts w:ascii="Arial" w:eastAsia="Arial" w:hAnsi="Arial" w:cs="Arial"/>
        </w:rPr>
        <w:t xml:space="preserve">2000, Australia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4" w:line="273" w:lineRule="auto"/>
        <w:ind w:left="14" w:right="182"/>
        <w:jc w:val="both"/>
      </w:pPr>
      <w:r>
        <w:t>有關參與本傘子基金管理的聯屬副投資管理人的進一步詳情，包括本傘</w:t>
      </w:r>
      <w:r>
        <w:t xml:space="preserve"> </w:t>
      </w:r>
      <w:r>
        <w:t>子</w:t>
      </w:r>
      <w:r>
        <w:t xml:space="preserve"> </w:t>
      </w:r>
      <w:r>
        <w:t>基</w:t>
      </w:r>
      <w:r>
        <w:t xml:space="preserve"> </w:t>
      </w:r>
      <w:r>
        <w:t>金</w:t>
      </w:r>
      <w:r>
        <w:t xml:space="preserve"> </w:t>
      </w:r>
      <w:r>
        <w:t>下</w:t>
      </w:r>
      <w:r>
        <w:t xml:space="preserve"> </w:t>
      </w:r>
      <w:r>
        <w:t>的</w:t>
      </w:r>
      <w:r>
        <w:t xml:space="preserve"> </w:t>
      </w:r>
      <w:r>
        <w:t>基</w:t>
      </w:r>
      <w:r>
        <w:t xml:space="preserve"> </w:t>
      </w:r>
      <w:r>
        <w:t>金</w:t>
      </w:r>
      <w:r>
        <w:t xml:space="preserve"> </w:t>
      </w:r>
      <w:r>
        <w:t>的</w:t>
      </w:r>
      <w:r>
        <w:t xml:space="preserve"> </w:t>
      </w:r>
      <w:r>
        <w:t>範</w:t>
      </w:r>
      <w:r>
        <w:t xml:space="preserve"> </w:t>
      </w:r>
      <w:r>
        <w:t>圍</w:t>
      </w:r>
      <w:r>
        <w:t xml:space="preserve"> </w:t>
      </w:r>
      <w:r>
        <w:t>可</w:t>
      </w:r>
      <w:r>
        <w:t xml:space="preserve"> </w:t>
      </w:r>
      <w:r>
        <w:t>於</w:t>
      </w:r>
      <w:r>
        <w:rPr>
          <w:rFonts w:ascii="Arial" w:eastAsia="Arial" w:hAnsi="Arial" w:cs="Arial"/>
        </w:rPr>
        <w:t xml:space="preserve">  </w:t>
      </w:r>
      <w:hyperlink r:id="rId317">
        <w:r>
          <w:rPr>
            <w:rFonts w:ascii="Arial" w:eastAsia="Arial" w:hAnsi="Arial" w:cs="Arial"/>
            <w:color w:val="0000FF"/>
            <w:u w:val="single" w:color="0000FF"/>
          </w:rPr>
          <w:t>www.alliancebernstein.com/go/Sub-Inv-Manager-Affiliates</w:t>
        </w:r>
      </w:hyperlink>
      <w:hyperlink r:id="rId318">
        <w:r>
          <w:rPr>
            <w:rFonts w:ascii="Arial" w:eastAsia="Arial" w:hAnsi="Arial" w:cs="Arial"/>
            <w:b/>
            <w:color w:val="0000FF"/>
          </w:rPr>
          <w:t xml:space="preserve"> </w:t>
        </w:r>
      </w:hyperlink>
      <w:r>
        <w:t>查閱。</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87"/>
        <w:ind w:left="11" w:right="2"/>
      </w:pPr>
      <w:r>
        <w:t>投資管理人及聯屬副投資管理人</w:t>
      </w:r>
      <w:r>
        <w:rPr>
          <w:rFonts w:ascii="Arial" w:eastAsia="Arial" w:hAnsi="Arial" w:cs="Arial"/>
        </w:rPr>
        <w:t>(i)</w:t>
      </w:r>
      <w:r>
        <w:t>於管理公司的監督下；</w:t>
      </w:r>
      <w:r>
        <w:rPr>
          <w:rFonts w:ascii="Arial" w:eastAsia="Arial" w:hAnsi="Arial" w:cs="Arial"/>
        </w:rPr>
        <w:t>(ii)</w:t>
      </w:r>
      <w:r>
        <w:t>根據從管理公司收到的指示及管理公司不時設定的投資配置準則，以及</w:t>
      </w:r>
      <w:r>
        <w:rPr>
          <w:rFonts w:ascii="Arial" w:eastAsia="Arial" w:hAnsi="Arial" w:cs="Arial"/>
        </w:rPr>
        <w:t>(iii)</w:t>
      </w:r>
      <w:r>
        <w:t>遵守相關基金的既定投資目標及限制，提供投資管理服務。管理公司</w:t>
      </w:r>
      <w:r>
        <w:rPr>
          <w:rFonts w:ascii="Arial" w:eastAsia="Arial" w:hAnsi="Arial" w:cs="Arial"/>
        </w:rPr>
        <w:t xml:space="preserve"> </w:t>
      </w:r>
    </w:p>
    <w:p w:rsidR="004D6F0E" w:rsidRDefault="00490F21">
      <w:pPr>
        <w:spacing w:after="11" w:line="278" w:lineRule="auto"/>
        <w:ind w:left="-3" w:right="233" w:firstLine="3"/>
        <w:jc w:val="both"/>
      </w:pPr>
      <w:r>
        <w:rPr>
          <w:rFonts w:ascii="Arial" w:eastAsia="Arial" w:hAnsi="Arial" w:cs="Arial"/>
        </w:rPr>
        <w:t>AllianceBernstein (Luxembourg) S.à r.l.</w:t>
      </w:r>
      <w:r>
        <w:t>（前稱為</w:t>
      </w:r>
      <w:r>
        <w:t xml:space="preserve"> </w:t>
      </w:r>
      <w:r>
        <w:rPr>
          <w:rFonts w:ascii="Arial" w:eastAsia="Arial" w:hAnsi="Arial" w:cs="Arial"/>
        </w:rPr>
        <w:t>AllianceB ernstein (Luxembourg) S.A.</w:t>
      </w:r>
      <w:r>
        <w:t>，其主要股東為投資管理人的全資附屬公司</w:t>
      </w:r>
      <w:r>
        <w:t xml:space="preserve"> </w:t>
      </w:r>
      <w:r>
        <w:rPr>
          <w:rFonts w:ascii="Arial" w:eastAsia="Arial" w:hAnsi="Arial" w:cs="Arial"/>
        </w:rPr>
        <w:t>AllianceBernstein Holdings Limited</w:t>
      </w:r>
      <w:r>
        <w:t>）乃遵照盧森堡大公國法律按照一九九零年七月三十一日簽發，並於一九九零年十一月九日</w:t>
      </w:r>
      <w:r>
        <w:t xml:space="preserve"> </w:t>
      </w:r>
      <w:r>
        <w:rPr>
          <w:rFonts w:ascii="Arial" w:eastAsia="Arial" w:hAnsi="Arial" w:cs="Arial"/>
          <w:i/>
        </w:rPr>
        <w:t xml:space="preserve">Mémorial </w:t>
      </w:r>
      <w:r>
        <w:t>刊發的一</w:t>
      </w:r>
      <w:r>
        <w:t>份公證契據成立的</w:t>
      </w:r>
      <w:r>
        <w:rPr>
          <w:sz w:val="20"/>
        </w:rPr>
        <w:t>股份有限公司</w:t>
      </w:r>
      <w:r>
        <w:t>。該公司無限期存續，其註冊及主要辦事處位於</w:t>
      </w:r>
      <w:r>
        <w:t xml:space="preserve"> </w:t>
      </w:r>
      <w:r>
        <w:rPr>
          <w:rFonts w:ascii="Arial" w:eastAsia="Arial" w:hAnsi="Arial" w:cs="Arial"/>
        </w:rPr>
        <w:t>2-4,rue Eugène Ruppert, L-2453, Luxembourg</w:t>
      </w:r>
      <w:r>
        <w:t>。自二零一一年四月十一日起，</w:t>
      </w:r>
      <w:r>
        <w:rPr>
          <w:rFonts w:ascii="Arial" w:eastAsia="Arial" w:hAnsi="Arial" w:cs="Arial"/>
        </w:rPr>
        <w:t>AllianceBernstein (Luxembourg) S.A.</w:t>
      </w:r>
      <w:r>
        <w:t>的公司形式已由</w:t>
      </w:r>
      <w:r>
        <w:t xml:space="preserve"> </w:t>
      </w:r>
      <w:r>
        <w:rPr>
          <w:rFonts w:ascii="Arial" w:eastAsia="Arial" w:hAnsi="Arial" w:cs="Arial"/>
        </w:rPr>
        <w:t xml:space="preserve">“société anonyme” </w:t>
      </w:r>
      <w:r>
        <w:t>（股份有限公司）改為</w:t>
      </w:r>
      <w:r>
        <w:t xml:space="preserve"> </w:t>
      </w:r>
      <w:r>
        <w:rPr>
          <w:rFonts w:ascii="Arial" w:eastAsia="Arial" w:hAnsi="Arial" w:cs="Arial"/>
        </w:rPr>
        <w:t>“société à responsabilité limitée”</w:t>
      </w:r>
      <w:r>
        <w:t>（私人有限公司）。因此，其名稱由</w:t>
      </w:r>
      <w:r>
        <w:t xml:space="preserve"> </w:t>
      </w:r>
      <w:r>
        <w:rPr>
          <w:rFonts w:ascii="Arial" w:eastAsia="Arial" w:hAnsi="Arial" w:cs="Arial"/>
        </w:rPr>
        <w:t>AllianceBernstein (Luxembourg) S.A.</w:t>
      </w:r>
      <w:r>
        <w:t>改為</w:t>
      </w:r>
      <w:r>
        <w:t xml:space="preserve"> </w:t>
      </w:r>
      <w:r>
        <w:rPr>
          <w:rFonts w:ascii="Arial" w:eastAsia="Arial" w:hAnsi="Arial" w:cs="Arial"/>
        </w:rPr>
        <w:t xml:space="preserve">AllianceBernstein </w:t>
      </w:r>
    </w:p>
    <w:p w:rsidR="004D6F0E" w:rsidRDefault="00490F21">
      <w:pPr>
        <w:spacing w:after="116" w:line="250" w:lineRule="auto"/>
        <w:ind w:left="23" w:hanging="10"/>
      </w:pPr>
      <w:r>
        <w:rPr>
          <w:rFonts w:ascii="Arial" w:eastAsia="Arial" w:hAnsi="Arial" w:cs="Arial"/>
        </w:rPr>
        <w:t>(Luxembourg) S.à r.l.</w:t>
      </w:r>
      <w:r>
        <w:t>。</w:t>
      </w:r>
      <w:r>
        <w:rPr>
          <w:rFonts w:ascii="Arial" w:eastAsia="Arial" w:hAnsi="Arial" w:cs="Arial"/>
          <w:b/>
        </w:rPr>
        <w:t xml:space="preserve"> </w:t>
      </w:r>
    </w:p>
    <w:p w:rsidR="004D6F0E" w:rsidRDefault="00490F21">
      <w:pPr>
        <w:spacing w:after="102" w:line="273" w:lineRule="auto"/>
        <w:ind w:left="14" w:right="202"/>
        <w:jc w:val="both"/>
      </w:pPr>
      <w:r>
        <w:t>該公司構成相同法律實體，並將繼續在盧森堡金融監管局</w:t>
      </w:r>
      <w:r>
        <w:t xml:space="preserve"> </w:t>
      </w:r>
      <w:r>
        <w:rPr>
          <w:rFonts w:ascii="Arial" w:eastAsia="Arial" w:hAnsi="Arial" w:cs="Arial"/>
          <w:i/>
        </w:rPr>
        <w:t xml:space="preserve">Commission de Surveillance du Secteur Financier </w:t>
      </w:r>
      <w:r>
        <w:t>的監管下以</w:t>
      </w:r>
      <w:r>
        <w:t xml:space="preserve"> </w:t>
      </w:r>
      <w:r>
        <w:rPr>
          <w:rFonts w:ascii="Arial" w:eastAsia="Arial" w:hAnsi="Arial" w:cs="Arial"/>
        </w:rPr>
        <w:t xml:space="preserve">UCITS </w:t>
      </w:r>
      <w:r>
        <w:t>合規管理公司經營。其註冊章程於二零一九年二月一日最後一次修訂。該公司已於盧森堡商業公司註冊處登記，登記號碼為</w:t>
      </w:r>
      <w:r>
        <w:rPr>
          <w:rFonts w:ascii="Arial" w:eastAsia="Arial" w:hAnsi="Arial" w:cs="Arial"/>
        </w:rPr>
        <w:t xml:space="preserve"> B 34.405</w:t>
      </w:r>
      <w:r>
        <w:t>。管理公司的已發行資本為</w:t>
      </w:r>
      <w:r>
        <w:rPr>
          <w:rFonts w:ascii="Arial" w:eastAsia="Arial" w:hAnsi="Arial" w:cs="Arial"/>
        </w:rPr>
        <w:t xml:space="preserve"> 16,300,000 </w:t>
      </w:r>
      <w:r>
        <w:t>歐元</w:t>
      </w:r>
      <w:r>
        <w:t>，分為</w:t>
      </w:r>
      <w:r>
        <w:t xml:space="preserve"> </w:t>
      </w:r>
      <w:r>
        <w:rPr>
          <w:rFonts w:ascii="Arial" w:eastAsia="Arial" w:hAnsi="Arial" w:cs="Arial"/>
        </w:rPr>
        <w:t xml:space="preserve">163,000 </w:t>
      </w:r>
      <w:r>
        <w:t>股的無面值登記股份，所有股份均已繳足。管理公司是</w:t>
      </w:r>
      <w:r>
        <w:rPr>
          <w:rFonts w:ascii="Arial" w:eastAsia="Arial" w:hAnsi="Arial" w:cs="Arial"/>
        </w:rPr>
        <w:t>(i)</w:t>
      </w:r>
      <w:r>
        <w:t>獲《二零一零年法律》第十五章授權的管理公司及</w:t>
      </w:r>
      <w:r>
        <w:rPr>
          <w:rFonts w:ascii="Arial" w:eastAsia="Arial" w:hAnsi="Arial" w:cs="Arial"/>
        </w:rPr>
        <w:t xml:space="preserve">(ii) </w:t>
      </w:r>
      <w:r>
        <w:t>獲《二零一三年七月十二日法律》第二章授權的盧森堡替代投資基金管理人，出任替代投資基金管理人。</w:t>
      </w:r>
      <w:r>
        <w:rPr>
          <w:rFonts w:ascii="Arial" w:eastAsia="Arial" w:hAnsi="Arial" w:cs="Arial"/>
        </w:rPr>
        <w:t xml:space="preserve"> </w:t>
      </w:r>
    </w:p>
    <w:p w:rsidR="004D6F0E" w:rsidRDefault="00490F21">
      <w:pPr>
        <w:spacing w:after="100"/>
        <w:ind w:left="11" w:right="2"/>
      </w:pPr>
      <w:r>
        <w:t>管理公司的目標為代表各自的股東創建及管理集體投資企業。管理公司會代表股東進行本傘子基金的行政及管理事務，包括購買、出售、認購及轉換證券，並可行使有關本傘子基金資產的所有權利。</w:t>
      </w:r>
      <w:r>
        <w:rPr>
          <w:rFonts w:ascii="Arial" w:eastAsia="Arial" w:hAnsi="Arial" w:cs="Arial"/>
        </w:rPr>
        <w:t xml:space="preserve"> </w:t>
      </w:r>
    </w:p>
    <w:p w:rsidR="004D6F0E" w:rsidRDefault="00490F21">
      <w:pPr>
        <w:spacing w:after="103"/>
        <w:ind w:left="11" w:right="2"/>
      </w:pPr>
      <w:r>
        <w:t>管理公司亦可能獲委任作為其他投資基金的管理公司，有關名單可按要求在本傘子基金及管理公司的註冊辦事處索取。薪</w:t>
      </w:r>
      <w:r>
        <w:t>酬政策。管理公司已就員工類別制定薪酬政策，包括高級管理層、承擔風險人員、控制職能人員，以及收取的薪酬總額可歸入與高級管理層及承擔風險人員（其專業活動對管理公司或本傘子基金的風險取向有重大影響）相同薪酬等級的任何僱員，有關政策：</w:t>
      </w:r>
      <w:r>
        <w:rPr>
          <w:rFonts w:ascii="Arial" w:eastAsia="Arial" w:hAnsi="Arial" w:cs="Arial"/>
        </w:rPr>
        <w:t xml:space="preserve"> </w:t>
      </w:r>
    </w:p>
    <w:p w:rsidR="004D6F0E" w:rsidRDefault="00490F21">
      <w:pPr>
        <w:numPr>
          <w:ilvl w:val="0"/>
          <w:numId w:val="29"/>
        </w:numPr>
        <w:spacing w:after="105"/>
        <w:ind w:left="11" w:right="2"/>
      </w:pPr>
      <w:r>
        <w:t>符合及推動穩健有效的風險管理，並不鼓勵採取與本傘子基金的風險取向或與其管理條例不一致的風險行動；</w:t>
      </w:r>
      <w:r>
        <w:rPr>
          <w:rFonts w:ascii="Arial" w:eastAsia="Arial" w:hAnsi="Arial" w:cs="Arial"/>
        </w:rPr>
        <w:t xml:space="preserve"> </w:t>
      </w:r>
    </w:p>
    <w:p w:rsidR="004D6F0E" w:rsidRDefault="00490F21">
      <w:pPr>
        <w:numPr>
          <w:ilvl w:val="0"/>
          <w:numId w:val="29"/>
        </w:numPr>
        <w:spacing w:after="105"/>
        <w:ind w:left="11" w:right="2"/>
      </w:pPr>
      <w:r>
        <w:t>符合管理公司及本傘子基金的業務策略及客觀價值，以及管理公司、本傘子基金及本傘子基金股東的利益，並包含避免利益衝突的措施；</w:t>
      </w:r>
      <w:r>
        <w:rPr>
          <w:rFonts w:ascii="Arial" w:eastAsia="Arial" w:hAnsi="Arial" w:cs="Arial"/>
        </w:rPr>
        <w:t xml:space="preserve"> </w:t>
      </w:r>
    </w:p>
    <w:p w:rsidR="004D6F0E" w:rsidRDefault="00490F21">
      <w:pPr>
        <w:numPr>
          <w:ilvl w:val="0"/>
          <w:numId w:val="29"/>
        </w:numPr>
        <w:spacing w:after="103"/>
        <w:ind w:left="11" w:right="2"/>
      </w:pPr>
      <w:r>
        <w:t>載有與向本傘子基金股東建議的持股期相符並以多年框架制定的表</w:t>
      </w:r>
      <w:r>
        <w:t>現評估，以確保評估過程根據本傘子基金的較長期表現及其投資風險進行，且以表現為基礎的薪酬部分的實際付款會於同一期間攤分；及</w:t>
      </w:r>
      <w:r>
        <w:rPr>
          <w:rFonts w:ascii="Arial" w:eastAsia="Arial" w:hAnsi="Arial" w:cs="Arial"/>
        </w:rPr>
        <w:t xml:space="preserve"> </w:t>
      </w:r>
    </w:p>
    <w:p w:rsidR="004D6F0E" w:rsidRDefault="00490F21">
      <w:pPr>
        <w:numPr>
          <w:ilvl w:val="0"/>
          <w:numId w:val="29"/>
        </w:numPr>
        <w:spacing w:after="102"/>
        <w:ind w:left="11" w:right="2"/>
      </w:pPr>
      <w:r>
        <w:t>薪酬總額的固定及可變部分取得適當平衡，固定部分佔薪酬總額足夠高的比例，以容許就可變薪酬部分實行充分靈活的政策，包括不支付可變薪酬部分的可能。</w:t>
      </w:r>
      <w:r>
        <w:rPr>
          <w:rFonts w:ascii="Arial" w:eastAsia="Arial" w:hAnsi="Arial" w:cs="Arial"/>
        </w:rPr>
        <w:t xml:space="preserve"> </w:t>
      </w:r>
    </w:p>
    <w:p w:rsidR="004D6F0E" w:rsidRDefault="00490F21">
      <w:pPr>
        <w:ind w:left="11" w:right="2"/>
      </w:pPr>
      <w:r>
        <w:t>特別是，根據已制定的薪酬政策，概無管理公司的僱員根據本傘子基金的投資表現而獲支付薪酬。此外，僱員的可變薪酬乃根據職能</w:t>
      </w:r>
    </w:p>
    <w:p w:rsidR="004D6F0E" w:rsidRDefault="004D6F0E">
      <w:pPr>
        <w:sectPr w:rsidR="004D6F0E">
          <w:type w:val="continuous"/>
          <w:pgSz w:w="12240" w:h="15840"/>
          <w:pgMar w:top="990" w:right="516" w:bottom="1129" w:left="432" w:header="720" w:footer="720" w:gutter="0"/>
          <w:cols w:num="2" w:space="720" w:equalWidth="0">
            <w:col w:w="5446" w:space="684"/>
            <w:col w:w="5162"/>
          </w:cols>
        </w:sectPr>
      </w:pPr>
    </w:p>
    <w:p w:rsidR="004D6F0E" w:rsidRDefault="00490F21">
      <w:pPr>
        <w:ind w:left="11" w:right="2"/>
      </w:pPr>
      <w:r>
        <w:t>特定目標及公司整體表現準則而定，通常不會超過薪酬總額的</w:t>
      </w:r>
    </w:p>
    <w:p w:rsidR="004D6F0E" w:rsidRDefault="00490F21">
      <w:pPr>
        <w:spacing w:after="123" w:line="250" w:lineRule="auto"/>
        <w:ind w:left="23" w:hanging="10"/>
      </w:pPr>
      <w:r>
        <w:rPr>
          <w:rFonts w:ascii="Arial" w:eastAsia="Arial" w:hAnsi="Arial" w:cs="Arial"/>
        </w:rPr>
        <w:t>40%</w:t>
      </w:r>
      <w:r>
        <w:t>。</w:t>
      </w:r>
      <w:r>
        <w:rPr>
          <w:rFonts w:ascii="Arial" w:eastAsia="Arial" w:hAnsi="Arial" w:cs="Arial"/>
        </w:rPr>
        <w:t xml:space="preserve"> </w:t>
      </w:r>
    </w:p>
    <w:p w:rsidR="004D6F0E" w:rsidRDefault="00490F21">
      <w:pPr>
        <w:spacing w:after="102"/>
        <w:ind w:left="11" w:right="2"/>
      </w:pPr>
      <w:r>
        <w:t>根據</w:t>
      </w:r>
      <w:r>
        <w:t xml:space="preserve"> </w:t>
      </w:r>
      <w:r>
        <w:rPr>
          <w:rFonts w:ascii="Arial" w:eastAsia="Arial" w:hAnsi="Arial" w:cs="Arial"/>
        </w:rPr>
        <w:t xml:space="preserve">UCITS </w:t>
      </w:r>
      <w:r>
        <w:t>指令及</w:t>
      </w:r>
      <w:r>
        <w:t xml:space="preserve"> </w:t>
      </w:r>
      <w:r>
        <w:rPr>
          <w:rFonts w:ascii="Arial" w:eastAsia="Arial" w:hAnsi="Arial" w:cs="Arial"/>
        </w:rPr>
        <w:t xml:space="preserve">AIFMD </w:t>
      </w:r>
      <w:r>
        <w:t>有關穩健薪酬政策的歐洲證券和市場管理局指引，管理公司並無成立與在聯博集團層面成立的薪酬委員會分開運作的薪酬委員會。</w:t>
      </w:r>
      <w:r>
        <w:rPr>
          <w:rFonts w:ascii="Arial" w:eastAsia="Arial" w:hAnsi="Arial" w:cs="Arial"/>
        </w:rPr>
        <w:t xml:space="preserve"> </w:t>
      </w:r>
    </w:p>
    <w:p w:rsidR="004D6F0E" w:rsidRDefault="00490F21">
      <w:pPr>
        <w:spacing w:after="102" w:line="273" w:lineRule="auto"/>
        <w:ind w:left="14" w:right="149"/>
        <w:jc w:val="both"/>
      </w:pPr>
      <w:r>
        <w:t>管理公司的最新薪酬政策（包括但不限於如何計算薪酬及福利的說</w:t>
      </w:r>
      <w:r>
        <w:t xml:space="preserve"> </w:t>
      </w:r>
      <w:r>
        <w:t>明</w:t>
      </w:r>
      <w:r>
        <w:t xml:space="preserve"> </w:t>
      </w:r>
      <w:r>
        <w:t>、</w:t>
      </w:r>
      <w:r>
        <w:t xml:space="preserve"> </w:t>
      </w:r>
      <w:r>
        <w:t>負</w:t>
      </w:r>
      <w:r>
        <w:t xml:space="preserve"> </w:t>
      </w:r>
      <w:r>
        <w:t>責</w:t>
      </w:r>
      <w:r>
        <w:t xml:space="preserve"> </w:t>
      </w:r>
      <w:r>
        <w:t>給</w:t>
      </w:r>
      <w:r>
        <w:t xml:space="preserve"> </w:t>
      </w:r>
      <w:r>
        <w:t>予</w:t>
      </w:r>
      <w:r>
        <w:t xml:space="preserve"> </w:t>
      </w:r>
      <w:r>
        <w:t>薪</w:t>
      </w:r>
      <w:r>
        <w:t xml:space="preserve"> </w:t>
      </w:r>
      <w:r>
        <w:t>酬</w:t>
      </w:r>
      <w:r>
        <w:t xml:space="preserve"> </w:t>
      </w:r>
      <w:r>
        <w:t>及</w:t>
      </w:r>
      <w:r>
        <w:t xml:space="preserve"> </w:t>
      </w:r>
      <w:r>
        <w:t>福</w:t>
      </w:r>
      <w:r>
        <w:t xml:space="preserve"> </w:t>
      </w:r>
      <w:r>
        <w:t>利</w:t>
      </w:r>
      <w:r>
        <w:t xml:space="preserve"> </w:t>
      </w:r>
      <w:r>
        <w:t>人</w:t>
      </w:r>
      <w:r>
        <w:t xml:space="preserve"> </w:t>
      </w:r>
      <w:r>
        <w:t>士</w:t>
      </w:r>
      <w:r>
        <w:t xml:space="preserve"> </w:t>
      </w:r>
      <w:r>
        <w:t>的</w:t>
      </w:r>
      <w:r>
        <w:t xml:space="preserve"> </w:t>
      </w:r>
      <w:r>
        <w:t>身</w:t>
      </w:r>
      <w:r>
        <w:t xml:space="preserve"> </w:t>
      </w:r>
      <w:r>
        <w:t>份</w:t>
      </w:r>
      <w:r>
        <w:t xml:space="preserve"> </w:t>
      </w:r>
      <w:r>
        <w:t>）</w:t>
      </w:r>
      <w:r>
        <w:t xml:space="preserve"> </w:t>
      </w:r>
      <w:r>
        <w:t>可</w:t>
      </w:r>
      <w:r>
        <w:t xml:space="preserve"> </w:t>
      </w:r>
      <w:r>
        <w:t>於</w:t>
      </w:r>
      <w:r>
        <w:t xml:space="preserve"> </w:t>
      </w:r>
      <w:hyperlink r:id="rId319">
        <w:r>
          <w:rPr>
            <w:rFonts w:ascii="Arial" w:eastAsia="Arial" w:hAnsi="Arial" w:cs="Arial"/>
            <w:color w:val="0000FF"/>
            <w:u w:val="single" w:color="0000FF"/>
          </w:rPr>
          <w:t>w</w:t>
        </w:r>
        <w:r>
          <w:rPr>
            <w:rFonts w:ascii="Arial" w:eastAsia="Arial" w:hAnsi="Arial" w:cs="Arial"/>
            <w:color w:val="0000FF"/>
            <w:u w:val="single" w:color="0000FF"/>
          </w:rPr>
          <w:t>ww.alliancebernstein.com/go/renumeration_policy</w:t>
        </w:r>
      </w:hyperlink>
      <w:r>
        <w:rPr>
          <w:rFonts w:ascii="Arial" w:eastAsia="Arial" w:hAnsi="Arial" w:cs="Arial"/>
          <w:color w:val="0000FF"/>
          <w:u w:val="single" w:color="0000FF"/>
        </w:rPr>
        <w:t xml:space="preserve"> </w:t>
      </w:r>
      <w:hyperlink r:id="rId320">
        <w:r>
          <w:t>查</w:t>
        </w:r>
      </w:hyperlink>
      <w:r>
        <w:t>閱，亦可在管理公司的註冊辦事處免費索取有關文本。</w:t>
      </w:r>
      <w:r>
        <w:rPr>
          <w:rFonts w:ascii="Arial" w:eastAsia="Arial" w:hAnsi="Arial" w:cs="Arial"/>
        </w:rPr>
        <w:t xml:space="preserve"> </w:t>
      </w:r>
    </w:p>
    <w:p w:rsidR="004D6F0E" w:rsidRDefault="00490F21">
      <w:pPr>
        <w:spacing w:after="115"/>
        <w:ind w:left="11" w:right="2"/>
      </w:pPr>
      <w:r>
        <w:t>管理公司的管理人為：</w:t>
      </w:r>
      <w:r>
        <w:rPr>
          <w:rFonts w:ascii="Arial" w:eastAsia="Arial" w:hAnsi="Arial" w:cs="Arial"/>
        </w:rPr>
        <w:t xml:space="preserve"> </w:t>
      </w:r>
    </w:p>
    <w:p w:rsidR="004D6F0E" w:rsidRDefault="00490F21">
      <w:pPr>
        <w:spacing w:after="11" w:line="278" w:lineRule="auto"/>
        <w:ind w:left="-3" w:right="149" w:firstLine="3"/>
        <w:jc w:val="both"/>
      </w:pPr>
      <w:r>
        <w:rPr>
          <w:rFonts w:ascii="Arial" w:eastAsia="Arial" w:hAnsi="Arial" w:cs="Arial"/>
          <w:b/>
        </w:rPr>
        <w:t>Silvio D. Cruz</w:t>
      </w:r>
      <w:r>
        <w:t>，</w:t>
      </w:r>
      <w:r>
        <w:rPr>
          <w:rFonts w:ascii="Arial" w:eastAsia="Arial" w:hAnsi="Arial" w:cs="Arial"/>
        </w:rPr>
        <w:t>AllianceBernstein (Luxembourg) S.à r.l.</w:t>
      </w:r>
      <w:r>
        <w:t>董事總經理，及</w:t>
      </w:r>
      <w:r>
        <w:t xml:space="preserve"> </w:t>
      </w:r>
      <w:r>
        <w:rPr>
          <w:rFonts w:ascii="Arial" w:eastAsia="Arial" w:hAnsi="Arial" w:cs="Arial"/>
        </w:rPr>
        <w:t xml:space="preserve">AllianceBernstein Limited </w:t>
      </w:r>
      <w:r>
        <w:t>的高級副總裁兼董事總經理，地址為﹕</w:t>
      </w:r>
      <w:r>
        <w:rPr>
          <w:rFonts w:ascii="Arial" w:eastAsia="Arial" w:hAnsi="Arial" w:cs="Arial"/>
        </w:rPr>
        <w:t>60 London Wall, London, EC2M 5SJ, United Kingdom</w:t>
      </w:r>
      <w:r>
        <w:t>；</w:t>
      </w:r>
      <w:r>
        <w:rPr>
          <w:rFonts w:ascii="Arial" w:eastAsia="Arial" w:hAnsi="Arial" w:cs="Arial"/>
        </w:rPr>
        <w:t xml:space="preserve"> </w:t>
      </w:r>
      <w:r>
        <w:rPr>
          <w:rFonts w:ascii="Arial" w:eastAsia="Arial" w:hAnsi="Arial" w:cs="Arial"/>
          <w:b/>
        </w:rPr>
        <w:t>Bertrand Reimmel</w:t>
      </w:r>
      <w:r>
        <w:t>，</w:t>
      </w:r>
      <w:r>
        <w:rPr>
          <w:rFonts w:ascii="Arial" w:eastAsia="Arial" w:hAnsi="Arial" w:cs="Arial"/>
          <w:b/>
        </w:rPr>
        <w:t xml:space="preserve"> </w:t>
      </w:r>
      <w:r>
        <w:rPr>
          <w:rFonts w:ascii="Arial" w:eastAsia="Arial" w:hAnsi="Arial" w:cs="Arial"/>
        </w:rPr>
        <w:t xml:space="preserve">AllianceBernstein (Luxembourg) S.à.r.l. </w:t>
      </w:r>
      <w:r>
        <w:t>董事總經理兼高級副總裁，地址為：</w:t>
      </w:r>
      <w:r>
        <w:rPr>
          <w:rFonts w:ascii="Arial" w:eastAsia="Arial" w:hAnsi="Arial" w:cs="Arial"/>
        </w:rPr>
        <w:t>2-4, rue Eugène Ruppert L-</w:t>
      </w:r>
    </w:p>
    <w:p w:rsidR="004D6F0E" w:rsidRDefault="00490F21">
      <w:pPr>
        <w:spacing w:after="126" w:line="250" w:lineRule="auto"/>
        <w:ind w:left="22" w:hanging="10"/>
      </w:pPr>
      <w:r>
        <w:rPr>
          <w:rFonts w:ascii="Arial" w:eastAsia="Arial" w:hAnsi="Arial" w:cs="Arial"/>
        </w:rPr>
        <w:t>2453, Luxembourg</w:t>
      </w:r>
      <w:r>
        <w:t>；</w:t>
      </w:r>
      <w:r>
        <w:rPr>
          <w:rFonts w:ascii="Arial" w:eastAsia="Arial" w:hAnsi="Arial" w:cs="Arial"/>
        </w:rPr>
        <w:t xml:space="preserve"> </w:t>
      </w:r>
    </w:p>
    <w:p w:rsidR="004D6F0E" w:rsidRDefault="00490F21">
      <w:pPr>
        <w:spacing w:after="33" w:line="250" w:lineRule="auto"/>
        <w:ind w:left="22" w:hanging="10"/>
      </w:pPr>
      <w:r>
        <w:rPr>
          <w:rFonts w:ascii="Arial" w:eastAsia="Arial" w:hAnsi="Arial" w:cs="Arial"/>
          <w:b/>
        </w:rPr>
        <w:t>Steven M. Eisenberg</w:t>
      </w:r>
      <w:r>
        <w:t>，</w:t>
      </w:r>
      <w:r>
        <w:rPr>
          <w:rFonts w:ascii="Arial" w:eastAsia="Arial" w:hAnsi="Arial" w:cs="Arial"/>
        </w:rPr>
        <w:t xml:space="preserve">AllianceBernstein L.P. </w:t>
      </w:r>
      <w:r>
        <w:t>高級副總裁兼營運總監，地址為</w:t>
      </w:r>
      <w:r>
        <w:t xml:space="preserve"> </w:t>
      </w:r>
      <w:r>
        <w:rPr>
          <w:rFonts w:ascii="Arial" w:eastAsia="Arial" w:hAnsi="Arial" w:cs="Arial"/>
        </w:rPr>
        <w:t xml:space="preserve">1345 Avenue of the Americas, New York, New </w:t>
      </w:r>
    </w:p>
    <w:p w:rsidR="004D6F0E" w:rsidRDefault="00490F21">
      <w:pPr>
        <w:spacing w:after="121" w:line="250" w:lineRule="auto"/>
        <w:ind w:left="22" w:hanging="10"/>
      </w:pPr>
      <w:r>
        <w:rPr>
          <w:rFonts w:ascii="Arial" w:eastAsia="Arial" w:hAnsi="Arial" w:cs="Arial"/>
        </w:rPr>
        <w:t>York 10105, U.S.A.</w:t>
      </w:r>
      <w:r>
        <w:t>；</w:t>
      </w:r>
      <w:r>
        <w:rPr>
          <w:rFonts w:ascii="Arial" w:eastAsia="Arial" w:hAnsi="Arial" w:cs="Arial"/>
        </w:rPr>
        <w:t xml:space="preserve"> </w:t>
      </w:r>
    </w:p>
    <w:p w:rsidR="004D6F0E" w:rsidRDefault="00490F21">
      <w:pPr>
        <w:ind w:left="11" w:right="2"/>
      </w:pPr>
      <w:r>
        <w:rPr>
          <w:rFonts w:ascii="Arial" w:eastAsia="Arial" w:hAnsi="Arial" w:cs="Arial"/>
          <w:b/>
        </w:rPr>
        <w:t>Eileen Koo</w:t>
      </w:r>
      <w:r>
        <w:t>，高級副總裁兼合規總監（亞洲區（日本除</w:t>
      </w:r>
    </w:p>
    <w:p w:rsidR="004D6F0E" w:rsidRDefault="00490F21">
      <w:pPr>
        <w:spacing w:after="104"/>
        <w:ind w:left="11" w:right="2"/>
      </w:pPr>
      <w:r>
        <w:t>外）），聯博香港有限公司，地址為香港鰂魚涌華蘭路</w:t>
      </w:r>
      <w:r>
        <w:t xml:space="preserve"> </w:t>
      </w:r>
      <w:r>
        <w:rPr>
          <w:rFonts w:ascii="Arial" w:eastAsia="Arial" w:hAnsi="Arial" w:cs="Arial"/>
        </w:rPr>
        <w:t xml:space="preserve">18 </w:t>
      </w:r>
      <w:r>
        <w:t>號太古坊港島東中心；及</w:t>
      </w:r>
      <w:r>
        <w:rPr>
          <w:rFonts w:ascii="Arial" w:eastAsia="Arial" w:hAnsi="Arial" w:cs="Arial"/>
        </w:rPr>
        <w:t xml:space="preserve"> </w:t>
      </w:r>
    </w:p>
    <w:p w:rsidR="004D6F0E" w:rsidRDefault="00490F21">
      <w:pPr>
        <w:spacing w:after="13" w:line="259" w:lineRule="auto"/>
        <w:ind w:left="8" w:hanging="10"/>
      </w:pPr>
      <w:r>
        <w:rPr>
          <w:rFonts w:ascii="Arial" w:eastAsia="Arial" w:hAnsi="Arial" w:cs="Arial"/>
          <w:b/>
        </w:rPr>
        <w:t>John Schiavetta</w:t>
      </w:r>
      <w:r>
        <w:t>，高級副總裁兼風險總監，</w:t>
      </w:r>
    </w:p>
    <w:p w:rsidR="004D6F0E" w:rsidRDefault="00490F21">
      <w:pPr>
        <w:spacing w:after="36" w:line="250" w:lineRule="auto"/>
        <w:ind w:left="23" w:hanging="10"/>
      </w:pPr>
      <w:r>
        <w:rPr>
          <w:rFonts w:ascii="Arial" w:eastAsia="Arial" w:hAnsi="Arial" w:cs="Arial"/>
        </w:rPr>
        <w:t>AllianceBernstein L.P.</w:t>
      </w:r>
      <w:r>
        <w:t>，地址為</w:t>
      </w:r>
      <w:r>
        <w:t xml:space="preserve"> </w:t>
      </w:r>
      <w:r>
        <w:rPr>
          <w:rFonts w:ascii="Arial" w:eastAsia="Arial" w:hAnsi="Arial" w:cs="Arial"/>
        </w:rPr>
        <w:t xml:space="preserve">501 Commerce Street, </w:t>
      </w:r>
    </w:p>
    <w:p w:rsidR="004D6F0E" w:rsidRDefault="00490F21">
      <w:pPr>
        <w:spacing w:after="108" w:line="250" w:lineRule="auto"/>
        <w:ind w:left="23" w:hanging="10"/>
      </w:pPr>
      <w:r>
        <w:rPr>
          <w:rFonts w:ascii="Arial" w:eastAsia="Arial" w:hAnsi="Arial" w:cs="Arial"/>
        </w:rPr>
        <w:t>Nashville, TN 37203 USA</w:t>
      </w:r>
      <w:r>
        <w:t>。</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spacing w:after="114"/>
        <w:ind w:left="11" w:right="2"/>
      </w:pPr>
      <w:r>
        <w:t>行政管理人</w:t>
      </w:r>
      <w:r>
        <w:rPr>
          <w:rFonts w:ascii="Arial" w:eastAsia="Arial" w:hAnsi="Arial" w:cs="Arial"/>
        </w:rPr>
        <w:t xml:space="preserve"> </w:t>
      </w:r>
    </w:p>
    <w:p w:rsidR="004D6F0E" w:rsidRDefault="00490F21">
      <w:pPr>
        <w:spacing w:after="99"/>
        <w:ind w:left="11" w:right="2"/>
      </w:pPr>
      <w:r>
        <w:rPr>
          <w:rFonts w:ascii="Arial" w:eastAsia="Arial" w:hAnsi="Arial" w:cs="Arial"/>
        </w:rPr>
        <w:t>Brown Brothers Harriman (Luxembourg) S.C.A.</w:t>
      </w:r>
      <w:r>
        <w:t>已根據行政管理協議的條款獲委任為本傘子基金的行政管理人。根據盧森堡法律，該公司以此身份負責本傘子基金的一般行政管理，如計算股份的資產淨值及保存會計記錄，同時亦擔任本傘子基金的付款代理人。行政管理人或管理公司任何一方可隨時向另一方發出九十日書面通知而終止行政管理人委任。</w:t>
      </w:r>
      <w:r>
        <w:rPr>
          <w:rFonts w:ascii="Arial" w:eastAsia="Arial" w:hAnsi="Arial" w:cs="Arial"/>
          <w:sz w:val="18"/>
        </w:rPr>
        <w:t xml:space="preserve"> </w:t>
      </w:r>
    </w:p>
    <w:p w:rsidR="004D6F0E" w:rsidRDefault="00490F21">
      <w:pPr>
        <w:spacing w:after="114"/>
        <w:ind w:left="11" w:right="2"/>
      </w:pPr>
      <w:r>
        <w:t>存管人</w:t>
      </w:r>
      <w:r>
        <w:rPr>
          <w:rFonts w:ascii="Arial" w:eastAsia="Arial" w:hAnsi="Arial" w:cs="Arial"/>
          <w:b/>
        </w:rPr>
        <w:t xml:space="preserve"> </w:t>
      </w:r>
    </w:p>
    <w:p w:rsidR="004D6F0E" w:rsidRDefault="00490F21">
      <w:pPr>
        <w:spacing w:after="107"/>
        <w:ind w:left="11" w:right="2"/>
      </w:pPr>
      <w:r>
        <w:rPr>
          <w:rFonts w:ascii="Arial" w:eastAsia="Arial" w:hAnsi="Arial" w:cs="Arial"/>
        </w:rPr>
        <w:t xml:space="preserve">Brown Brothers Harriman (Luxembourg) </w:t>
      </w:r>
      <w:r>
        <w:rPr>
          <w:rFonts w:ascii="Arial" w:eastAsia="Arial" w:hAnsi="Arial" w:cs="Arial"/>
        </w:rPr>
        <w:t>S.C.A.</w:t>
      </w:r>
      <w:r>
        <w:t>（「存管人」）已獲委任為本傘子基金的存管人，負責</w:t>
      </w:r>
      <w:r>
        <w:rPr>
          <w:rFonts w:ascii="Arial" w:eastAsia="Arial" w:hAnsi="Arial" w:cs="Arial"/>
        </w:rPr>
        <w:t>(i)</w:t>
      </w:r>
      <w:r>
        <w:t>保管本傘子基金的資產；</w:t>
      </w:r>
      <w:r>
        <w:rPr>
          <w:rFonts w:ascii="Arial" w:eastAsia="Arial" w:hAnsi="Arial" w:cs="Arial"/>
        </w:rPr>
        <w:t xml:space="preserve">(ii) </w:t>
      </w:r>
      <w:r>
        <w:t>現金監管；</w:t>
      </w:r>
      <w:r>
        <w:rPr>
          <w:rFonts w:ascii="Arial" w:eastAsia="Arial" w:hAnsi="Arial" w:cs="Arial"/>
        </w:rPr>
        <w:t>(iii)</w:t>
      </w:r>
      <w:r>
        <w:t>監督職能；及</w:t>
      </w:r>
      <w:r>
        <w:rPr>
          <w:rFonts w:ascii="Arial" w:eastAsia="Arial" w:hAnsi="Arial" w:cs="Arial"/>
        </w:rPr>
        <w:t>(iv)</w:t>
      </w:r>
      <w:r>
        <w:t>不時協定及反映於存管人協議的其他服務。</w:t>
      </w:r>
      <w:r>
        <w:rPr>
          <w:rFonts w:ascii="Arial" w:eastAsia="Arial" w:hAnsi="Arial" w:cs="Arial"/>
        </w:rPr>
        <w:t xml:space="preserve"> </w:t>
      </w:r>
    </w:p>
    <w:p w:rsidR="004D6F0E" w:rsidRDefault="00490F21">
      <w:pPr>
        <w:ind w:left="11" w:right="2"/>
      </w:pPr>
      <w:r>
        <w:t>存管人為在盧森堡成立的信貸機構，其註冊辦事處位於</w:t>
      </w:r>
      <w:r>
        <w:t xml:space="preserve"> </w:t>
      </w:r>
      <w:r>
        <w:rPr>
          <w:rFonts w:ascii="Arial" w:eastAsia="Arial" w:hAnsi="Arial" w:cs="Arial"/>
        </w:rPr>
        <w:t>80, route d’Esch, L-1470 Luxembourg</w:t>
      </w:r>
      <w:r>
        <w:t>，於盧森堡商業及公司註冊處登記</w:t>
      </w:r>
      <w:r>
        <w:rPr>
          <w:rFonts w:ascii="Arial" w:eastAsia="Arial" w:hAnsi="Arial" w:cs="Arial"/>
        </w:rPr>
        <w:t xml:space="preserve">  </w:t>
      </w:r>
    </w:p>
    <w:p w:rsidR="004D6F0E" w:rsidRDefault="00490F21">
      <w:pPr>
        <w:spacing w:after="100"/>
        <w:ind w:left="11" w:right="2"/>
      </w:pPr>
      <w:r>
        <w:t>（編號：</w:t>
      </w:r>
      <w:r>
        <w:rPr>
          <w:rFonts w:ascii="Arial" w:eastAsia="Arial" w:hAnsi="Arial" w:cs="Arial"/>
        </w:rPr>
        <w:t>B29923</w:t>
      </w:r>
      <w:r>
        <w:t>）。其根據一九九三年四月五日盧森堡法律（經修訂）有關金融服務業的條款獲發牌從事銀行業務。</w:t>
      </w:r>
      <w:r>
        <w:rPr>
          <w:rFonts w:ascii="Arial" w:eastAsia="Arial" w:hAnsi="Arial" w:cs="Arial"/>
        </w:rPr>
        <w:t xml:space="preserve"> </w:t>
      </w:r>
    </w:p>
    <w:p w:rsidR="004D6F0E" w:rsidRDefault="00490F21">
      <w:pPr>
        <w:spacing w:after="98"/>
        <w:ind w:left="11" w:right="2"/>
      </w:pPr>
      <w:r>
        <w:t>存管人的職責。存管人獲委託保管本傘子基金的資產。就可以託管持有的</w:t>
      </w:r>
      <w:r>
        <w:t>金融工具而言，可直接由存管人或在適用法律及法規容許的情況下透過可提供原則上與存管人本身相同的擔保的第三方託管人／副託管人（即如屬盧森堡機構，則須為一九九三年四月五日有關金融業的法律所界定的信貸機構，或如屬外國機構，則須符合被視為相等於歐盟法例的審慎監管規則的金融機構）持有。存管人亦確保本傘子基金的現金流量獲妥善監察，特別是所收取的認購款項及本傘子基金的所有現金均以下列名義記存入現金帳戶：</w:t>
      </w:r>
      <w:r>
        <w:rPr>
          <w:rFonts w:ascii="Arial" w:eastAsia="Arial" w:hAnsi="Arial" w:cs="Arial"/>
        </w:rPr>
        <w:t xml:space="preserve">(i) </w:t>
      </w:r>
      <w:r>
        <w:t>本傘子基金；</w:t>
      </w:r>
      <w:r>
        <w:rPr>
          <w:rFonts w:ascii="Arial" w:eastAsia="Arial" w:hAnsi="Arial" w:cs="Arial"/>
        </w:rPr>
        <w:t>(ii)</w:t>
      </w:r>
      <w:r>
        <w:t>代表本傘子基金的管理公司；或</w:t>
      </w:r>
      <w:r>
        <w:rPr>
          <w:rFonts w:ascii="Arial" w:eastAsia="Arial" w:hAnsi="Arial" w:cs="Arial"/>
        </w:rPr>
        <w:t>(iii)</w:t>
      </w:r>
      <w:r>
        <w:t>代表本傘子基金的存管人。</w:t>
      </w:r>
      <w:r>
        <w:rPr>
          <w:rFonts w:ascii="Arial" w:eastAsia="Arial" w:hAnsi="Arial" w:cs="Arial"/>
        </w:rPr>
        <w:t xml:space="preserve"> </w:t>
      </w:r>
    </w:p>
    <w:p w:rsidR="004D6F0E" w:rsidRDefault="00490F21">
      <w:pPr>
        <w:spacing w:after="107"/>
        <w:ind w:left="11" w:right="2"/>
      </w:pPr>
      <w:r>
        <w:t>此外，存管人亦須確保：</w:t>
      </w:r>
      <w:r>
        <w:rPr>
          <w:rFonts w:ascii="Arial" w:eastAsia="Arial" w:hAnsi="Arial" w:cs="Arial"/>
        </w:rPr>
        <w:t xml:space="preserve"> </w:t>
      </w:r>
    </w:p>
    <w:p w:rsidR="004D6F0E" w:rsidRDefault="00490F21">
      <w:pPr>
        <w:numPr>
          <w:ilvl w:val="0"/>
          <w:numId w:val="30"/>
        </w:numPr>
        <w:spacing w:after="103"/>
        <w:ind w:right="2" w:hanging="567"/>
      </w:pPr>
      <w:r>
        <w:t>出售、發行、回購、贖回及註銷本傘子基金的股份乃根據盧森堡法律及管理條例進行；</w:t>
      </w:r>
      <w:r>
        <w:rPr>
          <w:rFonts w:ascii="Arial" w:eastAsia="Arial" w:hAnsi="Arial" w:cs="Arial"/>
        </w:rPr>
        <w:t xml:space="preserve"> </w:t>
      </w:r>
    </w:p>
    <w:p w:rsidR="004D6F0E" w:rsidRDefault="00490F21">
      <w:pPr>
        <w:numPr>
          <w:ilvl w:val="0"/>
          <w:numId w:val="30"/>
        </w:numPr>
        <w:spacing w:after="102"/>
        <w:ind w:right="2" w:hanging="567"/>
      </w:pPr>
      <w:r>
        <w:t>本傘子基金股份的價值乃根據盧森堡法律及管理條例計算；</w:t>
      </w:r>
      <w:r>
        <w:rPr>
          <w:rFonts w:ascii="Arial" w:eastAsia="Arial" w:hAnsi="Arial" w:cs="Arial"/>
        </w:rPr>
        <w:t xml:space="preserve"> </w:t>
      </w:r>
    </w:p>
    <w:p w:rsidR="004D6F0E" w:rsidRDefault="00490F21">
      <w:pPr>
        <w:numPr>
          <w:ilvl w:val="0"/>
          <w:numId w:val="30"/>
        </w:numPr>
        <w:spacing w:after="103"/>
        <w:ind w:right="2" w:hanging="567"/>
      </w:pPr>
      <w:r>
        <w:t>執行本傘子基金及代表本傘子基金的管理公司的指示，惟違反盧森堡法律或管理條例者則除外；</w:t>
      </w:r>
      <w:r>
        <w:rPr>
          <w:rFonts w:ascii="Arial" w:eastAsia="Arial" w:hAnsi="Arial" w:cs="Arial"/>
        </w:rPr>
        <w:t xml:space="preserve"> </w:t>
      </w:r>
    </w:p>
    <w:p w:rsidR="004D6F0E" w:rsidRDefault="00490F21">
      <w:pPr>
        <w:numPr>
          <w:ilvl w:val="0"/>
          <w:numId w:val="30"/>
        </w:numPr>
        <w:spacing w:after="104"/>
        <w:ind w:right="2" w:hanging="567"/>
      </w:pPr>
      <w:r>
        <w:t>於進行涉及本傘子基金資產的交易時，任何代價乃於正常時限內匯入本傘子基金；</w:t>
      </w:r>
      <w:r>
        <w:rPr>
          <w:rFonts w:ascii="Arial" w:eastAsia="Arial" w:hAnsi="Arial" w:cs="Arial"/>
        </w:rPr>
        <w:t xml:space="preserve"> </w:t>
      </w:r>
    </w:p>
    <w:p w:rsidR="004D6F0E" w:rsidRDefault="00490F21">
      <w:pPr>
        <w:numPr>
          <w:ilvl w:val="0"/>
          <w:numId w:val="30"/>
        </w:numPr>
        <w:spacing w:after="101"/>
        <w:ind w:right="2" w:hanging="567"/>
      </w:pPr>
      <w:r>
        <w:t>本傘子基金的收入乃根據盧森堡法律及管理條例應用。</w:t>
      </w:r>
      <w:r>
        <w:rPr>
          <w:rFonts w:ascii="Arial" w:eastAsia="Arial" w:hAnsi="Arial" w:cs="Arial"/>
        </w:rPr>
        <w:t xml:space="preserve"> </w:t>
      </w:r>
    </w:p>
    <w:p w:rsidR="004D6F0E" w:rsidRDefault="00490F21">
      <w:pPr>
        <w:spacing w:after="107"/>
        <w:ind w:left="11" w:right="2"/>
      </w:pPr>
      <w:r>
        <w:t>存管人定期向本傘子基金及其管理公司提供有關本傘子基金所有資產的完整清單。</w:t>
      </w:r>
      <w:r>
        <w:rPr>
          <w:rFonts w:ascii="Arial" w:eastAsia="Arial" w:hAnsi="Arial" w:cs="Arial"/>
        </w:rPr>
        <w:t xml:space="preserve"> </w:t>
      </w:r>
    </w:p>
    <w:p w:rsidR="004D6F0E" w:rsidRDefault="00490F21">
      <w:pPr>
        <w:ind w:left="11" w:right="2"/>
      </w:pPr>
      <w:r>
        <w:t>轉授職能。根據《二零一零年法律》第</w:t>
      </w:r>
      <w:r>
        <w:t xml:space="preserve"> </w:t>
      </w:r>
      <w:r>
        <w:rPr>
          <w:rFonts w:ascii="Arial" w:eastAsia="Arial" w:hAnsi="Arial" w:cs="Arial"/>
        </w:rPr>
        <w:t xml:space="preserve">34bis </w:t>
      </w:r>
      <w:r>
        <w:t>條及存管人</w:t>
      </w:r>
      <w:r>
        <w:t>協議的條文，在若干條件的規限下及為更有效履行職責，存管人可將其《二零一零年法律》第</w:t>
      </w:r>
      <w:r>
        <w:t xml:space="preserve"> </w:t>
      </w:r>
      <w:r>
        <w:rPr>
          <w:rFonts w:ascii="Arial" w:eastAsia="Arial" w:hAnsi="Arial" w:cs="Arial"/>
        </w:rPr>
        <w:t>34(3)</w:t>
      </w:r>
      <w:r>
        <w:t>條所載的對本傘子基金資產（包括但不限於以託管持有的資產，如資產不能以託管持有，則為該等資產的擁有權核證以及該等資產的保存記錄）的部分或全部保管職責轉授予存管人不時委任的一名或多名第三方代表</w:t>
      </w:r>
      <w:r>
        <w:rPr>
          <w:rFonts w:ascii="Arial" w:eastAsia="Arial" w:hAnsi="Arial" w:cs="Arial"/>
        </w:rPr>
        <w:t xml:space="preserve">  </w:t>
      </w:r>
    </w:p>
    <w:p w:rsidR="004D6F0E" w:rsidRDefault="00490F21">
      <w:pPr>
        <w:spacing w:after="104"/>
        <w:ind w:left="11" w:right="2"/>
      </w:pPr>
      <w:r>
        <w:t>（「代理人」）。</w:t>
      </w:r>
      <w:r>
        <w:rPr>
          <w:rFonts w:ascii="Arial" w:eastAsia="Arial" w:hAnsi="Arial" w:cs="Arial"/>
        </w:rPr>
        <w:t xml:space="preserve"> </w:t>
      </w:r>
    </w:p>
    <w:p w:rsidR="004D6F0E" w:rsidRDefault="00490F21">
      <w:pPr>
        <w:ind w:left="11" w:right="2"/>
      </w:pPr>
      <w:r>
        <w:t>就代理人而言，存管人已制定專為在各市場挑選最高質素的第三方供應商而設的程序。存管人須謹慎盡職選擇及委任每名代理人，以確保每名代理人已經及保持所需的專業知識及能力。存管人亦須定期評估代理人有否履行適用的法律</w:t>
      </w:r>
      <w:r>
        <w:t>及監管規定，並須持續監察每名代理人，以確保代理人繼續適當履行其責任。</w:t>
      </w:r>
    </w:p>
    <w:p w:rsidR="004D6F0E" w:rsidRDefault="00490F21">
      <w:pPr>
        <w:spacing w:after="49" w:line="327" w:lineRule="auto"/>
        <w:ind w:left="11" w:right="2"/>
      </w:pPr>
      <w:r>
        <w:t>存管人所委任的任何代理人的費用須由本傘子基金支付。存管人的責任不會因其將保管的全部或部分本傘子基金資產委託予該等代理人而受到影響。</w:t>
      </w:r>
      <w:r>
        <w:rPr>
          <w:rFonts w:ascii="Arial" w:eastAsia="Arial" w:hAnsi="Arial" w:cs="Arial"/>
        </w:rPr>
        <w:t xml:space="preserve"> </w:t>
      </w:r>
    </w:p>
    <w:p w:rsidR="004D6F0E" w:rsidRDefault="00490F21">
      <w:pPr>
        <w:spacing w:after="102"/>
        <w:ind w:left="11" w:right="2"/>
      </w:pPr>
      <w:r>
        <w:t>如遺失以託管持有的金融工具，存管人須在沒有不當延遲的情況下向本傘子基金退還相同類型的金融工具或相應款項，惟如有關遺失由非存管人所能合理控制的外界事件所引致及其後果在一切合理努力下仍不能避免者則除外。</w:t>
      </w:r>
      <w:r>
        <w:rPr>
          <w:rFonts w:ascii="Arial" w:eastAsia="Arial" w:hAnsi="Arial" w:cs="Arial"/>
        </w:rPr>
        <w:t xml:space="preserve"> </w:t>
      </w:r>
    </w:p>
    <w:p w:rsidR="004D6F0E" w:rsidRDefault="00490F21">
      <w:pPr>
        <w:spacing w:after="98"/>
        <w:ind w:left="11" w:right="2"/>
      </w:pPr>
      <w:r>
        <w:t>利益衝突。在履行其職責時，存管人須誠實、公平、專業、獨立及純粹以本傘子基金及本傘子基金股東的利益行事。存管</w:t>
      </w:r>
      <w:r>
        <w:t>人維持要求其符合適用法律及法規的全面及詳盡企業政策及程序。</w:t>
      </w:r>
      <w:r>
        <w:rPr>
          <w:rFonts w:ascii="Arial" w:eastAsia="Arial" w:hAnsi="Arial" w:cs="Arial"/>
        </w:rPr>
        <w:t xml:space="preserve"> </w:t>
      </w:r>
    </w:p>
    <w:p w:rsidR="004D6F0E" w:rsidRDefault="00490F21">
      <w:pPr>
        <w:spacing w:after="98"/>
        <w:ind w:left="11" w:right="2"/>
      </w:pPr>
      <w:r>
        <w:t>存管人設有規管利益衝突管理的政策及程序。該等政策及程序處理透過向本傘子基金提供服務而可能產生的利益衝突。存管人的政策規定，所有涉及內部或外界各方的重大利益衝突須即時披露、上報至高級管理層、登記、實施緩解及／或預防措施（如適用）。如利益衝突無可避免，存管人須維持及進行有效的組織及行政安排，以採取一切合理步驟妥善</w:t>
      </w:r>
      <w:r>
        <w:rPr>
          <w:rFonts w:ascii="Arial" w:eastAsia="Arial" w:hAnsi="Arial" w:cs="Arial"/>
        </w:rPr>
        <w:t>(i)</w:t>
      </w:r>
      <w:r>
        <w:t>向本傘子基金及股東披露利益衝突；</w:t>
      </w:r>
      <w:r>
        <w:rPr>
          <w:rFonts w:ascii="Arial" w:eastAsia="Arial" w:hAnsi="Arial" w:cs="Arial"/>
        </w:rPr>
        <w:t>(ii)</w:t>
      </w:r>
      <w:r>
        <w:t>管理及監察有關衝突。</w:t>
      </w:r>
      <w:r>
        <w:rPr>
          <w:rFonts w:ascii="Arial" w:eastAsia="Arial" w:hAnsi="Arial" w:cs="Arial"/>
        </w:rPr>
        <w:t xml:space="preserve"> </w:t>
      </w:r>
    </w:p>
    <w:p w:rsidR="004D6F0E" w:rsidRDefault="00490F21">
      <w:pPr>
        <w:spacing w:after="100"/>
        <w:ind w:left="11" w:right="2"/>
      </w:pPr>
      <w:r>
        <w:t>存管人確保僱員了解、熟練及知悉利益衝突政策及程序，而有關職責及責任已予劃分以防止出現利益衝突事宜。利益衝突政策及程序的遵守情況由管理會（作為存管人的普通合夥人）及存管人的認可管理層以及存管人的合規、內部審核及風險管理職能人員監督及監察。</w:t>
      </w:r>
      <w:r>
        <w:rPr>
          <w:rFonts w:ascii="Arial" w:eastAsia="Arial" w:hAnsi="Arial" w:cs="Arial"/>
        </w:rPr>
        <w:t xml:space="preserve"> </w:t>
      </w:r>
    </w:p>
    <w:p w:rsidR="004D6F0E" w:rsidRDefault="00490F21">
      <w:pPr>
        <w:spacing w:after="102"/>
        <w:ind w:left="11" w:right="2"/>
      </w:pPr>
      <w:r>
        <w:t>存管人須採取一切合理步驟識別及緩解潛在的利益衝突。這包括實施適用於其業務規模、複雜性及性質的利益衝突政策。此政策識別引起或可能引起利益衝突的情況，並包括跟進的程序及將採取的措施以管理利益衝突。利益衝突登記冊由存管人保存及監察。</w:t>
      </w:r>
      <w:r>
        <w:rPr>
          <w:rFonts w:ascii="Arial" w:eastAsia="Arial" w:hAnsi="Arial" w:cs="Arial"/>
        </w:rPr>
        <w:t xml:space="preserve"> </w:t>
      </w:r>
    </w:p>
    <w:p w:rsidR="004D6F0E" w:rsidRDefault="00490F21">
      <w:pPr>
        <w:spacing w:after="100"/>
        <w:ind w:left="11" w:right="2"/>
      </w:pPr>
      <w:r>
        <w:t>然而，潛在的利益衝突可能不時因存管人及／或</w:t>
      </w:r>
      <w:r>
        <w:t>其聯屬公司向本傘子基金、管理公司及／或其他各方提供其他服務而引起。存管人的聯屬公司亦可獲委任為存管人的第三方代表。存管人與其聯屬公司之間所識別的潛在利益衝突可主要包括欺詐（未有向主管機構匯報違規事項以避免破壞聲譽）、法律追溯風險（不願意或避免對存管人採取法律行動）、選擇偏倚（存管人的選擇並非根據質素及價格作出）、無力償債風險（較低水平的資產分割或不太注意存管人償付能力）或單一集團風險（集團內部投資）。</w:t>
      </w:r>
      <w:r>
        <w:rPr>
          <w:rFonts w:ascii="Arial" w:eastAsia="Arial" w:hAnsi="Arial" w:cs="Arial"/>
        </w:rPr>
        <w:t xml:space="preserve"> </w:t>
      </w:r>
    </w:p>
    <w:p w:rsidR="004D6F0E" w:rsidRDefault="00490F21">
      <w:pPr>
        <w:spacing w:after="98"/>
        <w:ind w:left="11" w:right="2"/>
      </w:pPr>
      <w:r>
        <w:t>存管人（或其任何聯屬公司）可能在其業務過程中與本傘子基金及／或存管人（或其任何聯屬公司）負責的其他基金有</w:t>
      </w:r>
      <w:r>
        <w:t>利益衝突或潛在利益衝突。舉例來說，存管人及／或其聯屬公司可能擔任其他基金的存管人、託管人及／或行政管理人。根據存管人與本傘子基金訂立的行政管理協議的條款，存管人亦擔任行政管理人。存管人已實行適當劃分存管人及行政管理服務的活動，包括上報過程及規管工作。此外，存管職能在層級及功能上與行政管理服務業務單位分開處理。</w:t>
      </w:r>
      <w:r>
        <w:rPr>
          <w:rFonts w:ascii="Arial" w:eastAsia="Arial" w:hAnsi="Arial" w:cs="Arial"/>
        </w:rPr>
        <w:t xml:space="preserve"> </w:t>
      </w:r>
    </w:p>
    <w:p w:rsidR="004D6F0E" w:rsidRDefault="00490F21">
      <w:pPr>
        <w:spacing w:after="100"/>
        <w:ind w:left="11" w:right="2"/>
      </w:pPr>
      <w:r>
        <w:t>如在保管轉授關係期間，代理人與存管人訂立或建立獨立商業及／或業務關係，則可能會出現潛在的利益衝突風險。在進行業務時，存管人與代理人之間可能會出現利益衝突。如代理人須與存管人建立群組連結，存管人承諾識</w:t>
      </w:r>
      <w:r>
        <w:t>別該連結所引起的潛在利益衝突（如有），並採取一切合理步驟緩解該等利益衝突。存管人預期不會因向任何代理人轉授職能而產生任何特定利益衝突。如有任何該等利益衝突，存管人將通知本傘子基金及管理公司。</w:t>
      </w:r>
      <w:r>
        <w:rPr>
          <w:rFonts w:ascii="Arial" w:eastAsia="Arial" w:hAnsi="Arial" w:cs="Arial"/>
        </w:rPr>
        <w:t xml:space="preserve"> </w:t>
      </w:r>
    </w:p>
    <w:p w:rsidR="004D6F0E" w:rsidRDefault="00490F21">
      <w:pPr>
        <w:spacing w:after="103"/>
        <w:ind w:left="11" w:right="2"/>
      </w:pPr>
      <w:r>
        <w:t>如有與存管人有關的任何其他潛在利益衝突，均已根據存管人的政策及程序識別、緩解及處理。</w:t>
      </w:r>
      <w:r>
        <w:rPr>
          <w:rFonts w:ascii="Arial" w:eastAsia="Arial" w:hAnsi="Arial" w:cs="Arial"/>
        </w:rPr>
        <w:t xml:space="preserve"> </w:t>
      </w:r>
    </w:p>
    <w:p w:rsidR="004D6F0E" w:rsidRDefault="00490F21">
      <w:pPr>
        <w:spacing w:after="98"/>
        <w:ind w:left="11" w:right="2"/>
      </w:pPr>
      <w:r>
        <w:t>如出現利益衝突或潛在利益衝突，存管人將顧及其對本傘子基金的責任以及公平對待本傘子基金及其代表的其他基金，並在切實可行的情況下使任何交易按照根據客觀的既定標準制訂的條款進行以及符合本傘子基金及本傘子基金股東的唯一利益。資料。有關已轉</w:t>
      </w:r>
      <w:r>
        <w:t>授的保管職能的資料及代理人名單可在</w:t>
      </w:r>
      <w:r>
        <w:t xml:space="preserve"> </w:t>
      </w:r>
      <w:hyperlink r:id="rId321">
        <w:r>
          <w:rPr>
            <w:rFonts w:ascii="Arial" w:eastAsia="Arial" w:hAnsi="Arial" w:cs="Arial"/>
            <w:color w:val="0000FF"/>
            <w:u w:val="single" w:color="0000FF"/>
          </w:rPr>
          <w:t xml:space="preserve">https:// </w:t>
        </w:r>
      </w:hyperlink>
      <w:hyperlink r:id="rId322">
        <w:r>
          <w:rPr>
            <w:rFonts w:ascii="Arial" w:eastAsia="Arial" w:hAnsi="Arial" w:cs="Arial"/>
            <w:color w:val="0000FF"/>
            <w:u w:val="single" w:color="0000FF"/>
          </w:rPr>
          <w:t>www.b</w:t>
        </w:r>
        <w:r>
          <w:rPr>
            <w:rFonts w:ascii="Arial" w:eastAsia="Arial" w:hAnsi="Arial" w:cs="Arial"/>
            <w:color w:val="0000FF"/>
            <w:u w:val="single" w:color="0000FF"/>
          </w:rPr>
          <w:t xml:space="preserve">bh.com/en-us/investor-services/custody-and-fund-serv </w:t>
        </w:r>
      </w:hyperlink>
      <w:hyperlink r:id="rId323">
        <w:r>
          <w:rPr>
            <w:rFonts w:ascii="Arial" w:eastAsia="Arial" w:hAnsi="Arial" w:cs="Arial"/>
            <w:color w:val="0000FF"/>
            <w:u w:val="single" w:color="0000FF"/>
          </w:rPr>
          <w:t>ices/depositary-and-trustee</w:t>
        </w:r>
      </w:hyperlink>
      <w:r>
        <w:rPr>
          <w:rFonts w:ascii="Arial" w:eastAsia="Arial" w:hAnsi="Arial" w:cs="Arial"/>
          <w:color w:val="0000FF"/>
          <w:u w:val="single" w:color="0000FF"/>
        </w:rPr>
        <w:t xml:space="preserve"> </w:t>
      </w:r>
      <w:hyperlink r:id="rId324">
        <w:r>
          <w:t>查</w:t>
        </w:r>
      </w:hyperlink>
      <w:r>
        <w:t>閱。此名單可能不時更新，並可藉書面要求向存管人索取。</w:t>
      </w:r>
      <w:r>
        <w:rPr>
          <w:rFonts w:ascii="Arial" w:eastAsia="Arial" w:hAnsi="Arial" w:cs="Arial"/>
        </w:rPr>
        <w:t xml:space="preserve"> </w:t>
      </w:r>
    </w:p>
    <w:p w:rsidR="004D6F0E" w:rsidRDefault="00490F21">
      <w:pPr>
        <w:spacing w:after="104"/>
        <w:ind w:left="11" w:right="2"/>
      </w:pPr>
      <w:r>
        <w:t>有關存管人職責、可能出現的利益衝突、存管人轉授的任何保管職能及因該轉授而可能出現的任何利益衝突之說明的最新資料可藉書面要求向存管人免費索取。</w:t>
      </w:r>
      <w:r>
        <w:rPr>
          <w:rFonts w:ascii="Arial" w:eastAsia="Arial" w:hAnsi="Arial" w:cs="Arial"/>
          <w:b/>
        </w:rPr>
        <w:t xml:space="preserve"> </w:t>
      </w:r>
    </w:p>
    <w:p w:rsidR="004D6F0E" w:rsidRDefault="00490F21">
      <w:pPr>
        <w:ind w:left="11" w:right="2"/>
      </w:pPr>
      <w:r>
        <w:t>雜項。存管人或管理公司可於發出九十</w:t>
      </w:r>
      <w:r>
        <w:rPr>
          <w:rFonts w:ascii="Arial" w:eastAsia="Arial" w:hAnsi="Arial" w:cs="Arial"/>
        </w:rPr>
        <w:t>(90)</w:t>
      </w:r>
      <w:r>
        <w:t>個曆日的書面通知</w:t>
      </w:r>
      <w:r>
        <w:rPr>
          <w:rFonts w:ascii="Arial" w:eastAsia="Arial" w:hAnsi="Arial" w:cs="Arial"/>
        </w:rPr>
        <w:t xml:space="preserve">   </w:t>
      </w:r>
    </w:p>
    <w:p w:rsidR="004D6F0E" w:rsidRDefault="00490F21">
      <w:pPr>
        <w:ind w:left="11" w:right="2"/>
      </w:pPr>
      <w:r>
        <w:t>（如屬存管人協議的若干違反情況（包括任何一方無力償債）則可提早）後隨時終止存管人協議，惟存管人協議不得於替代存管人被委任前終止。</w:t>
      </w:r>
      <w:r>
        <w:rPr>
          <w:rFonts w:ascii="Arial" w:eastAsia="Arial" w:hAnsi="Arial" w:cs="Arial"/>
        </w:rPr>
        <w:t xml:space="preserve"> </w:t>
      </w:r>
    </w:p>
    <w:p w:rsidR="004D6F0E" w:rsidRDefault="00490F21">
      <w:pPr>
        <w:spacing w:after="421" w:line="259" w:lineRule="auto"/>
        <w:ind w:left="13" w:firstLine="0"/>
      </w:pPr>
      <w:r>
        <w:rPr>
          <w:rFonts w:ascii="Arial" w:eastAsia="Arial" w:hAnsi="Arial" w:cs="Arial"/>
          <w:sz w:val="2"/>
        </w:rPr>
        <w:t xml:space="preserve"> </w:t>
      </w:r>
      <w:r>
        <w:rPr>
          <w:rFonts w:ascii="Arial" w:eastAsia="Arial" w:hAnsi="Arial" w:cs="Arial"/>
          <w:sz w:val="2"/>
        </w:rPr>
        <w:tab/>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59"/>
        <w:ind w:left="11" w:right="2"/>
      </w:pPr>
      <w:r>
        <w:t>註冊處及過戶代理</w:t>
      </w:r>
      <w:r>
        <w:rPr>
          <w:rFonts w:ascii="Arial" w:eastAsia="Arial" w:hAnsi="Arial" w:cs="Arial"/>
        </w:rPr>
        <w:t xml:space="preserve"> </w:t>
      </w:r>
    </w:p>
    <w:p w:rsidR="004D6F0E" w:rsidRDefault="00490F21">
      <w:pPr>
        <w:spacing w:after="93"/>
        <w:ind w:left="11" w:right="2"/>
      </w:pPr>
      <w:r>
        <w:t>管理公司屬下的</w:t>
      </w:r>
      <w:r>
        <w:t xml:space="preserve"> </w:t>
      </w:r>
      <w:r>
        <w:rPr>
          <w:rFonts w:ascii="Arial" w:eastAsia="Arial" w:hAnsi="Arial" w:cs="Arial"/>
        </w:rPr>
        <w:t xml:space="preserve">AllianceBernstein Investor Services </w:t>
      </w:r>
      <w:r>
        <w:t>為本傘子基金的註冊處及過戶代理。過戶代理以此身份負責處理本傘子基金股份的發行、贖回、轉換及轉讓事宜。</w:t>
      </w:r>
      <w:r>
        <w:rPr>
          <w:rFonts w:ascii="Arial" w:eastAsia="Arial" w:hAnsi="Arial" w:cs="Arial"/>
        </w:rPr>
        <w:t xml:space="preserve"> </w:t>
      </w:r>
    </w:p>
    <w:p w:rsidR="004D6F0E" w:rsidRDefault="00490F21">
      <w:pPr>
        <w:spacing w:after="55"/>
        <w:ind w:left="11" w:right="2"/>
      </w:pPr>
      <w:r>
        <w:t>分銷商</w:t>
      </w:r>
      <w:r>
        <w:rPr>
          <w:rFonts w:ascii="Arial" w:eastAsia="Arial" w:hAnsi="Arial" w:cs="Arial"/>
        </w:rPr>
        <w:t xml:space="preserve"> </w:t>
      </w:r>
    </w:p>
    <w:p w:rsidR="004D6F0E" w:rsidRDefault="00490F21">
      <w:pPr>
        <w:spacing w:after="91"/>
        <w:ind w:left="11" w:right="2"/>
      </w:pPr>
      <w:r>
        <w:t>根據分銷協議，</w:t>
      </w:r>
      <w:r>
        <w:rPr>
          <w:rFonts w:ascii="Arial" w:eastAsia="Arial" w:hAnsi="Arial" w:cs="Arial"/>
        </w:rPr>
        <w:t>AllianceBernstein Investments</w:t>
      </w:r>
      <w:r>
        <w:t>（管理公司旗下的一個單位）會盡最大努力以股份分銷商的身份行事。分銷協議均無限期，可由有關協議的任一方發出六十日通知而終止。分銷商已與交易商簽訂合約，以在美國境外分銷股份。</w:t>
      </w:r>
      <w:r>
        <w:rPr>
          <w:rFonts w:ascii="Arial" w:eastAsia="Arial" w:hAnsi="Arial" w:cs="Arial"/>
        </w:rPr>
        <w:t xml:space="preserve"> </w:t>
      </w:r>
    </w:p>
    <w:p w:rsidR="004D6F0E" w:rsidRDefault="00490F21">
      <w:pPr>
        <w:spacing w:after="97"/>
        <w:ind w:left="11" w:right="2"/>
      </w:pPr>
      <w:r>
        <w:t>核數師</w:t>
      </w:r>
      <w:r>
        <w:rPr>
          <w:rFonts w:ascii="Arial" w:eastAsia="Arial" w:hAnsi="Arial" w:cs="Arial"/>
        </w:rPr>
        <w:t xml:space="preserve"> </w:t>
      </w:r>
    </w:p>
    <w:p w:rsidR="004D6F0E" w:rsidRDefault="00490F21">
      <w:pPr>
        <w:spacing w:after="108" w:line="250" w:lineRule="auto"/>
        <w:ind w:hanging="10"/>
      </w:pPr>
      <w:r>
        <w:t>管理公司已委任獨立執業會計師</w:t>
      </w:r>
      <w:r>
        <w:rPr>
          <w:rFonts w:ascii="Arial" w:eastAsia="Arial" w:hAnsi="Arial" w:cs="Arial"/>
        </w:rPr>
        <w:t>Ernst &amp; Young S.A.</w:t>
      </w:r>
      <w:r>
        <w:t>（地址為</w:t>
      </w:r>
      <w:r>
        <w:rPr>
          <w:rFonts w:ascii="Arial" w:eastAsia="Arial" w:hAnsi="Arial" w:cs="Arial"/>
        </w:rPr>
        <w:t>35E, avenue John F. Kennedy, L-1855 Luxembourg</w:t>
      </w:r>
      <w:r>
        <w:t>）擔任本傘子基金的獨立核數師。</w:t>
      </w:r>
      <w:r>
        <w:rPr>
          <w:rFonts w:ascii="Arial" w:eastAsia="Arial" w:hAnsi="Arial" w:cs="Arial"/>
        </w:rPr>
        <w:t xml:space="preserve">Ernst &amp; Young </w:t>
      </w:r>
      <w:r>
        <w:t>將按照《二零一零年法律》的規定對本傘子基金資產履行有關職責。</w:t>
      </w:r>
      <w:r>
        <w:rPr>
          <w:rFonts w:ascii="Arial" w:eastAsia="Arial" w:hAnsi="Arial" w:cs="Arial"/>
        </w:rPr>
        <w:t xml:space="preserve"> </w:t>
      </w:r>
    </w:p>
    <w:p w:rsidR="004D6F0E" w:rsidRDefault="00490F21">
      <w:pPr>
        <w:spacing w:after="93"/>
        <w:ind w:left="11" w:right="2"/>
      </w:pPr>
      <w:r>
        <w:t>合格境外投資者</w:t>
      </w:r>
      <w:r>
        <w:rPr>
          <w:rFonts w:ascii="Arial" w:eastAsia="Arial" w:hAnsi="Arial" w:cs="Arial"/>
          <w:b/>
        </w:rPr>
        <w:t xml:space="preserve"> </w:t>
      </w:r>
    </w:p>
    <w:p w:rsidR="004D6F0E" w:rsidRDefault="00490F21">
      <w:pPr>
        <w:spacing w:after="24" w:line="273" w:lineRule="auto"/>
        <w:ind w:left="14" w:right="41"/>
        <w:jc w:val="both"/>
      </w:pPr>
      <w:r>
        <w:t>根據中國的現行</w:t>
      </w:r>
      <w:r>
        <w:t xml:space="preserve"> </w:t>
      </w:r>
      <w:r>
        <w:rPr>
          <w:rFonts w:ascii="Arial" w:eastAsia="Arial" w:hAnsi="Arial" w:cs="Arial"/>
        </w:rPr>
        <w:t xml:space="preserve">QFI </w:t>
      </w:r>
      <w:r>
        <w:t>規例，有意直接投資中國國內證券市場的境外投資者可申請成為合格境外投資者（「</w:t>
      </w:r>
      <w:r>
        <w:rPr>
          <w:rFonts w:ascii="Arial" w:eastAsia="Arial" w:hAnsi="Arial" w:cs="Arial"/>
        </w:rPr>
        <w:t>QFI</w:t>
      </w:r>
      <w:r>
        <w:t>」）。管理公司或聯屬公司（「</w:t>
      </w:r>
      <w:r>
        <w:rPr>
          <w:rFonts w:ascii="Arial" w:eastAsia="Arial" w:hAnsi="Arial" w:cs="Arial"/>
        </w:rPr>
        <w:t xml:space="preserve">QFI </w:t>
      </w:r>
      <w:r>
        <w:t>持有人」）可取得</w:t>
      </w:r>
      <w:r>
        <w:t xml:space="preserve"> </w:t>
      </w:r>
      <w:r>
        <w:rPr>
          <w:rFonts w:ascii="Arial" w:eastAsia="Arial" w:hAnsi="Arial" w:cs="Arial"/>
        </w:rPr>
        <w:t xml:space="preserve">QFI </w:t>
      </w:r>
      <w:r>
        <w:t>資格以投資中國內地證券。</w:t>
      </w:r>
      <w:r>
        <w:rPr>
          <w:rFonts w:ascii="Arial" w:eastAsia="Arial" w:hAnsi="Arial" w:cs="Arial"/>
        </w:rPr>
        <w:t xml:space="preserve"> QFI </w:t>
      </w:r>
      <w:r>
        <w:t>機制受中國內地機關（即中國證監會、外匯管理局及人民銀行</w:t>
      </w:r>
    </w:p>
    <w:p w:rsidR="004D6F0E" w:rsidRDefault="00490F21">
      <w:pPr>
        <w:ind w:left="11" w:right="2"/>
      </w:pPr>
      <w:r>
        <w:t>」）頒佈的規則及規例監管。該等規則及規例可不時修訂，並包括</w:t>
      </w:r>
    </w:p>
    <w:p w:rsidR="004D6F0E" w:rsidRDefault="00490F21">
      <w:pPr>
        <w:spacing w:after="92"/>
        <w:ind w:left="11" w:right="2"/>
      </w:pPr>
      <w:r>
        <w:t>（但不限於）：</w:t>
      </w:r>
      <w:r>
        <w:rPr>
          <w:rFonts w:ascii="Arial" w:eastAsia="Arial" w:hAnsi="Arial" w:cs="Arial"/>
        </w:rPr>
        <w:t xml:space="preserve"> </w:t>
      </w:r>
    </w:p>
    <w:p w:rsidR="004D6F0E" w:rsidRDefault="00490F21">
      <w:pPr>
        <w:numPr>
          <w:ilvl w:val="0"/>
          <w:numId w:val="31"/>
        </w:numPr>
        <w:ind w:left="484" w:right="2" w:hanging="482"/>
      </w:pPr>
      <w:r>
        <w:t>由中國證監會、人民銀行及外匯管理局於二零二零年九月二十五日頒佈並自二零二零年十一月一日起生效的《合格境外機構投資者和人民幣合格境外機構投資者境內證券期貨投資管理辦法</w:t>
      </w:r>
    </w:p>
    <w:p w:rsidR="004D6F0E" w:rsidRDefault="00490F21">
      <w:pPr>
        <w:ind w:left="11" w:right="2"/>
      </w:pPr>
      <w:r>
        <w:t>》；</w:t>
      </w:r>
      <w:r>
        <w:rPr>
          <w:rFonts w:ascii="Arial" w:eastAsia="Arial" w:hAnsi="Arial" w:cs="Arial"/>
        </w:rPr>
        <w:t xml:space="preserve"> </w:t>
      </w:r>
    </w:p>
    <w:p w:rsidR="004D6F0E" w:rsidRDefault="00490F21">
      <w:pPr>
        <w:numPr>
          <w:ilvl w:val="0"/>
          <w:numId w:val="31"/>
        </w:numPr>
        <w:ind w:left="484" w:right="2" w:hanging="482"/>
      </w:pPr>
      <w:r>
        <w:t>由中國證監會、人民銀行及外匯</w:t>
      </w:r>
      <w:r>
        <w:t>管理局於二零二零年九月二十五日頒佈並自二零二零年十一月一日起生效的關於實施《合格境外機構投資者和人民幣合格境外機構投資者境內證券期貨投資管理辦法》有關問題的規定；</w:t>
      </w:r>
      <w:r>
        <w:rPr>
          <w:rFonts w:ascii="Arial" w:eastAsia="Arial" w:hAnsi="Arial" w:cs="Arial"/>
        </w:rPr>
        <w:t xml:space="preserve"> </w:t>
      </w:r>
    </w:p>
    <w:p w:rsidR="004D6F0E" w:rsidRDefault="00490F21">
      <w:pPr>
        <w:numPr>
          <w:ilvl w:val="0"/>
          <w:numId w:val="31"/>
        </w:numPr>
        <w:ind w:left="484" w:right="2" w:hanging="482"/>
      </w:pPr>
      <w:r>
        <w:t>由人民銀行及外匯管理局於二零二零年五月七日頒佈並自二零二零年六月六日起生效的</w:t>
      </w:r>
      <w:r>
        <w:rPr>
          <w:sz w:val="16"/>
        </w:rPr>
        <w:t>《</w:t>
      </w:r>
      <w:r>
        <w:t>境外機構投資者境內證券期貨投資資金管理規定》；及</w:t>
      </w:r>
      <w:r>
        <w:rPr>
          <w:rFonts w:ascii="Arial" w:eastAsia="Arial" w:hAnsi="Arial" w:cs="Arial"/>
        </w:rPr>
        <w:t xml:space="preserve"> </w:t>
      </w:r>
    </w:p>
    <w:p w:rsidR="004D6F0E" w:rsidRDefault="00490F21">
      <w:pPr>
        <w:numPr>
          <w:ilvl w:val="0"/>
          <w:numId w:val="31"/>
        </w:numPr>
        <w:spacing w:after="92"/>
        <w:ind w:left="484" w:right="2" w:hanging="482"/>
      </w:pPr>
      <w:r>
        <w:t>由相關部門頒佈的任何其他適用規例。</w:t>
      </w:r>
      <w:r>
        <w:rPr>
          <w:rFonts w:ascii="Arial" w:eastAsia="Arial" w:hAnsi="Arial" w:cs="Arial"/>
        </w:rPr>
        <w:t xml:space="preserve"> </w:t>
      </w:r>
    </w:p>
    <w:p w:rsidR="004D6F0E" w:rsidRDefault="00490F21">
      <w:pPr>
        <w:spacing w:after="49"/>
        <w:ind w:left="11" w:right="2"/>
      </w:pPr>
      <w:r>
        <w:t>共同管理資產</w:t>
      </w:r>
      <w:r>
        <w:rPr>
          <w:rFonts w:ascii="Arial" w:eastAsia="Arial" w:hAnsi="Arial" w:cs="Arial"/>
        </w:rPr>
        <w:t xml:space="preserve"> </w:t>
      </w:r>
    </w:p>
    <w:p w:rsidR="004D6F0E" w:rsidRDefault="00490F21">
      <w:pPr>
        <w:spacing w:after="102"/>
        <w:ind w:left="11" w:right="2"/>
      </w:pPr>
      <w:r>
        <w:t>為進行有效管理，在基金的投資政策許可的情況下，管理公司可選擇在本傘子基金內或以外共同管理若干基金的資產。在此情況下，不同基金或策略的資產將以共同管理方式管理。共同管理的資產稱為「匯集資產」。該等匯集安排屬行政措施，旨在降低經營及其他開支，並不會改變股東的法律權利及責任。各匯集資產不構成獨立的實體，不能由投資者直接投資。每一共同管理基金或策略仍然擁有其具體資產。倘超過一項基金或策略的資產分為一組匯集資產，則各參與基金或策略應佔的資產將首先參照最初按分配予該組的資產釐定，而在加入或撤出資產時各參與基金或策略的應</w:t>
      </w:r>
      <w:r>
        <w:t>佔資產將相應變更。各參與基金或策略應佔共同管理資產的權利適用於相關匯集資產的各項投資。代表共同管理基金或策略作出的額外投資須按照各自的權益比例分配予相關基金或策略。同樣，出售的資產須按各參與基金或策略應佔的資產徵取。</w:t>
      </w:r>
      <w:r>
        <w:rPr>
          <w:rFonts w:ascii="Arial" w:eastAsia="Arial" w:hAnsi="Arial" w:cs="Arial"/>
        </w:rPr>
        <w:t xml:space="preserve"> </w:t>
      </w:r>
    </w:p>
    <w:p w:rsidR="004D6F0E" w:rsidRDefault="00490F21">
      <w:pPr>
        <w:ind w:left="11" w:right="2"/>
      </w:pPr>
      <w:r>
        <w:t>匯集安排的稅務影響已於盧森堡進行檢討。預期實施本認購章程所述的匯集安排將不會產生任何重大盧森堡稅務。位於其他司法管轄區的證券若按本認購章程所述匯集可能會有稅務影響的風險</w:t>
      </w:r>
    </w:p>
    <w:p w:rsidR="004D6F0E" w:rsidRDefault="00490F21">
      <w:pPr>
        <w:ind w:left="11" w:right="2"/>
      </w:pPr>
      <w:r>
        <w:t>，惟任何由此而起的附加稅項預期不會很重大。</w:t>
      </w:r>
      <w:r>
        <w:rPr>
          <w:rFonts w:ascii="Arial" w:eastAsia="Arial" w:hAnsi="Arial" w:cs="Arial"/>
        </w:rPr>
        <w:t xml:space="preserve"> </w:t>
      </w:r>
    </w:p>
    <w:p w:rsidR="004D6F0E" w:rsidRDefault="00490F21">
      <w:pPr>
        <w:spacing w:after="0" w:line="259" w:lineRule="auto"/>
        <w:ind w:left="1" w:firstLine="0"/>
      </w:pPr>
      <w:r>
        <w:rPr>
          <w:rFonts w:ascii="Arial" w:eastAsia="Arial" w:hAnsi="Arial" w:cs="Arial"/>
          <w:sz w:val="2"/>
        </w:rPr>
        <w:t xml:space="preserve"> </w:t>
      </w:r>
    </w:p>
    <w:p w:rsidR="004D6F0E" w:rsidRDefault="00490F21">
      <w:pPr>
        <w:pStyle w:val="Heading3"/>
        <w:spacing w:after="188" w:line="257" w:lineRule="auto"/>
        <w:ind w:left="8"/>
      </w:pPr>
      <w:r>
        <w:rPr>
          <w:sz w:val="24"/>
        </w:rPr>
        <w:t>附加資料</w:t>
      </w:r>
      <w:r>
        <w:rPr>
          <w:rFonts w:ascii="Arial" w:eastAsia="Arial" w:hAnsi="Arial" w:cs="Arial"/>
          <w:sz w:val="24"/>
        </w:rPr>
        <w:t xml:space="preserve"> </w:t>
      </w:r>
    </w:p>
    <w:p w:rsidR="004D6F0E" w:rsidRDefault="00490F21">
      <w:pPr>
        <w:spacing w:after="101"/>
        <w:ind w:left="11" w:right="2"/>
      </w:pPr>
      <w:r>
        <w:t>管理條例</w:t>
      </w:r>
      <w:r>
        <w:rPr>
          <w:rFonts w:ascii="Arial" w:eastAsia="Arial" w:hAnsi="Arial" w:cs="Arial"/>
          <w:b/>
        </w:rPr>
        <w:t xml:space="preserve"> </w:t>
      </w:r>
    </w:p>
    <w:p w:rsidR="004D6F0E" w:rsidRDefault="00490F21">
      <w:pPr>
        <w:spacing w:after="8" w:line="273" w:lineRule="auto"/>
        <w:ind w:left="14" w:right="41"/>
        <w:jc w:val="both"/>
      </w:pPr>
      <w:r>
        <w:t>本傘子基金由管理公司根據管理條例管理。本傘子基金</w:t>
      </w:r>
      <w:r>
        <w:t>的最初管理條例於一九九一年八月二十一日訂立，在同年九月二十六日</w:t>
      </w:r>
      <w:r>
        <w:t xml:space="preserve"> </w:t>
      </w:r>
      <w:r>
        <w:rPr>
          <w:rFonts w:ascii="Arial" w:eastAsia="Arial" w:hAnsi="Arial" w:cs="Arial"/>
          <w:i/>
        </w:rPr>
        <w:t xml:space="preserve">Mémorial </w:t>
      </w:r>
      <w:r>
        <w:t>上刊載。本傘子基金的最初設立名稱為「環球增長動力基金（</w:t>
      </w:r>
      <w:r>
        <w:rPr>
          <w:rFonts w:ascii="Arial" w:eastAsia="Arial" w:hAnsi="Arial" w:cs="Arial"/>
        </w:rPr>
        <w:t>Alliance Global Growth Trends Portfolio</w:t>
      </w:r>
      <w:r>
        <w:t>）」。其後，管理條例被修訂，本傘子基金於一九九二年七月二十二日採用新名稱「</w:t>
      </w:r>
      <w:r>
        <w:t xml:space="preserve"> </w:t>
      </w:r>
      <w:r>
        <w:rPr>
          <w:rFonts w:ascii="Arial" w:eastAsia="Arial" w:hAnsi="Arial" w:cs="Arial"/>
        </w:rPr>
        <w:t>Alliance Global Investments</w:t>
      </w:r>
      <w:r>
        <w:t>」及傘形架構。其後管理條例被修訂</w:t>
      </w:r>
      <w:r>
        <w:t xml:space="preserve"> </w:t>
      </w:r>
      <w:r>
        <w:t>﹐將本傘子基金名稱改為「</w:t>
      </w:r>
      <w:r>
        <w:rPr>
          <w:rFonts w:ascii="Arial" w:eastAsia="Arial" w:hAnsi="Arial" w:cs="Arial"/>
        </w:rPr>
        <w:t xml:space="preserve">ACM </w:t>
      </w:r>
      <w:r>
        <w:t>環球投資」﹐此修訂於一九九七年一月一日生效，並於二零零六年七月三十一日成為「</w:t>
      </w:r>
      <w:r>
        <w:t xml:space="preserve"> </w:t>
      </w:r>
      <w:r>
        <w:rPr>
          <w:rFonts w:ascii="Arial" w:eastAsia="Arial" w:hAnsi="Arial" w:cs="Arial"/>
        </w:rPr>
        <w:t>ACMBernstein</w:t>
      </w:r>
      <w:r>
        <w:t>」。此後，管理條例經過很多不同部分的修訂。管理條例於二零一六年二月五日修訂，本傘子基金於當時易名為「</w:t>
      </w:r>
      <w:r>
        <w:t xml:space="preserve"> </w:t>
      </w:r>
      <w:r>
        <w:rPr>
          <w:rFonts w:ascii="Arial" w:eastAsia="Arial" w:hAnsi="Arial" w:cs="Arial"/>
        </w:rPr>
        <w:t>AB FCP I</w:t>
      </w:r>
      <w:r>
        <w:t>」。管理條例已於二零二一年七月五日最新修訂，此項修訂已以公告形式公佈於</w:t>
      </w:r>
      <w:r>
        <w:t xml:space="preserve"> </w:t>
      </w:r>
      <w:r>
        <w:rPr>
          <w:rFonts w:ascii="Arial" w:eastAsia="Arial" w:hAnsi="Arial" w:cs="Arial"/>
        </w:rPr>
        <w:t>RESA</w:t>
      </w:r>
      <w:r>
        <w:t>，告知該文件已存檔於盧森堡商業公司註冊處（</w:t>
      </w:r>
      <w:r>
        <w:rPr>
          <w:rFonts w:ascii="Arial" w:eastAsia="Arial" w:hAnsi="Arial" w:cs="Arial"/>
          <w:i/>
        </w:rPr>
        <w:t>Registre de Commerce et des Sociétés</w:t>
      </w:r>
      <w:r>
        <w:t>）。管理條例可由管理公司不時修訂，但須徵得存管人批准。管理條例的修訂本存置於盧森堡商業公司註冊處，該等修訂本將於在</w:t>
      </w:r>
    </w:p>
    <w:p w:rsidR="004D6F0E" w:rsidRDefault="00490F21">
      <w:pPr>
        <w:spacing w:after="110"/>
        <w:ind w:left="11" w:right="2"/>
      </w:pPr>
      <w:r>
        <w:rPr>
          <w:rFonts w:ascii="Arial" w:eastAsia="Arial" w:hAnsi="Arial" w:cs="Arial"/>
          <w:b/>
          <w:i/>
        </w:rPr>
        <w:t xml:space="preserve">Mémorial </w:t>
      </w:r>
      <w:r>
        <w:t>就上述存置事項刊發公告當日起生效。</w:t>
      </w:r>
      <w:r>
        <w:rPr>
          <w:rFonts w:ascii="Arial" w:eastAsia="Arial" w:hAnsi="Arial" w:cs="Arial"/>
          <w:b/>
        </w:rPr>
        <w:t xml:space="preserve"> </w:t>
      </w:r>
    </w:p>
    <w:p w:rsidR="004D6F0E" w:rsidRDefault="00490F21">
      <w:pPr>
        <w:spacing w:after="63"/>
        <w:ind w:left="11" w:right="2"/>
      </w:pPr>
      <w:r>
        <w:t>適用法律及司法管轄權</w:t>
      </w:r>
      <w:r>
        <w:rPr>
          <w:rFonts w:ascii="Arial" w:eastAsia="Arial" w:hAnsi="Arial" w:cs="Arial"/>
        </w:rPr>
        <w:t xml:space="preserve"> </w:t>
      </w:r>
    </w:p>
    <w:p w:rsidR="004D6F0E" w:rsidRDefault="00490F21">
      <w:pPr>
        <w:spacing w:after="46"/>
        <w:ind w:left="11" w:right="2"/>
      </w:pPr>
      <w:r>
        <w:t>管理</w:t>
      </w:r>
      <w:r>
        <w:t>條例受盧森堡大公國法律規管。股東與管理公司及存管人之間產生的任何爭議須受盧森堡地區法院的司法管轄權管轄。儘管上文有此規定，管理公司與存管人及本傘子基金可就投資者於居住國家提出的申索，以及就股東於其居住國家認購及回購相關股份事宜﹐受本傘子基金股份發售及出售國家法院的司法管轄權及該等國家的法律管轄。股東對管理公司或存管人提出的申索於引致有關申索事件發生日期五年後失效。</w:t>
      </w:r>
      <w:r>
        <w:rPr>
          <w:rFonts w:ascii="Arial" w:eastAsia="Arial" w:hAnsi="Arial" w:cs="Arial"/>
          <w:sz w:val="24"/>
        </w:rPr>
        <w:t xml:space="preserve"> </w:t>
      </w:r>
    </w:p>
    <w:p w:rsidR="004D6F0E" w:rsidRDefault="00490F21">
      <w:pPr>
        <w:spacing w:after="102"/>
        <w:ind w:left="11" w:right="2"/>
      </w:pPr>
      <w:r>
        <w:t>管理條例</w:t>
      </w:r>
      <w:r>
        <w:rPr>
          <w:rFonts w:ascii="Arial" w:eastAsia="Arial" w:hAnsi="Arial" w:cs="Arial"/>
        </w:rPr>
        <w:t>(</w:t>
      </w:r>
      <w:r>
        <w:t>合併形式</w:t>
      </w:r>
      <w:r>
        <w:rPr>
          <w:rFonts w:ascii="Arial" w:eastAsia="Arial" w:hAnsi="Arial" w:cs="Arial"/>
        </w:rPr>
        <w:t>)</w:t>
      </w:r>
      <w:r>
        <w:t>存置於盧森堡商業公司註冊處，副本可供投資者查閱及索取。</w:t>
      </w:r>
      <w:r>
        <w:rPr>
          <w:rFonts w:ascii="Arial" w:eastAsia="Arial" w:hAnsi="Arial" w:cs="Arial"/>
        </w:rPr>
        <w:t xml:space="preserve"> </w:t>
      </w:r>
    </w:p>
    <w:p w:rsidR="004D6F0E" w:rsidRDefault="00490F21">
      <w:pPr>
        <w:spacing w:after="100"/>
        <w:ind w:left="11" w:right="2"/>
      </w:pPr>
      <w:r>
        <w:t>股東購買股份，即表示其批准並完全接受管理條例將規管股東、管理公司</w:t>
      </w:r>
      <w:r>
        <w:t>與存管人之間的關係。管理條例針對管理公司有關本傘子基金及基金的營運設有若干的限制及規限。該等限制及規限載於附錄</w:t>
      </w:r>
      <w:r>
        <w:t xml:space="preserve"> </w:t>
      </w:r>
      <w:r>
        <w:rPr>
          <w:rFonts w:ascii="Arial" w:eastAsia="Arial" w:hAnsi="Arial" w:cs="Arial"/>
        </w:rPr>
        <w:t>A</w:t>
      </w:r>
      <w:r>
        <w:t>。除附錄</w:t>
      </w:r>
      <w:r>
        <w:t xml:space="preserve"> </w:t>
      </w:r>
      <w:r>
        <w:rPr>
          <w:rFonts w:ascii="Arial" w:eastAsia="Arial" w:hAnsi="Arial" w:cs="Arial"/>
        </w:rPr>
        <w:t xml:space="preserve">A </w:t>
      </w:r>
      <w:r>
        <w:t>載列的限制外，管理公司可不時為協調或本著股東利益而施加進一步投資限制，以符合本傘子基金旗下各個基金股份的出售所在各國的法律及規例。</w:t>
      </w:r>
      <w:r>
        <w:rPr>
          <w:rFonts w:ascii="Arial" w:eastAsia="Arial" w:hAnsi="Arial" w:cs="Arial"/>
        </w:rPr>
        <w:t xml:space="preserve"> </w:t>
      </w:r>
    </w:p>
    <w:p w:rsidR="004D6F0E" w:rsidRDefault="00490F21">
      <w:pPr>
        <w:spacing w:after="107"/>
        <w:ind w:left="11" w:right="2"/>
      </w:pPr>
      <w:r>
        <w:t>投資者合適性</w:t>
      </w:r>
      <w:r>
        <w:rPr>
          <w:rFonts w:ascii="Arial" w:eastAsia="Arial" w:hAnsi="Arial" w:cs="Arial"/>
          <w:b/>
        </w:rPr>
        <w:t xml:space="preserve"> </w:t>
      </w:r>
    </w:p>
    <w:p w:rsidR="004D6F0E" w:rsidRDefault="00490F21">
      <w:pPr>
        <w:spacing w:after="45" w:line="273" w:lineRule="auto"/>
        <w:ind w:left="14" w:right="41"/>
        <w:jc w:val="both"/>
      </w:pPr>
      <w:r>
        <w:t>投資者應參考第</w:t>
      </w:r>
      <w:r>
        <w:t xml:space="preserve"> </w:t>
      </w:r>
      <w:r>
        <w:rPr>
          <w:rFonts w:ascii="Arial" w:eastAsia="Arial" w:hAnsi="Arial" w:cs="Arial"/>
        </w:rPr>
        <w:t xml:space="preserve">I </w:t>
      </w:r>
      <w:r>
        <w:t>部分中彼等有意投資的基金的「典型投資者的資料」一節，以了解基金是否適合該投資者的投資目標。不當作現金等價物或識別為短期的聯博基金被指為適合在第</w:t>
      </w:r>
      <w:r>
        <w:t xml:space="preserve"> </w:t>
      </w:r>
      <w:r>
        <w:rPr>
          <w:rFonts w:ascii="Arial" w:eastAsia="Arial" w:hAnsi="Arial" w:cs="Arial"/>
        </w:rPr>
        <w:t xml:space="preserve">I </w:t>
      </w:r>
      <w:r>
        <w:t>部分的相關基金中尋求中長期投資期限的投資者。特定投資者對本身及基金的合適投資期限的觀點可能因多項因素而異，包括基金的擬定用途（是否作為獨立策略或作為更大資產分配策略的一部分）、該投資者所投資的相關股份、適用於該投資者所投資基金的風險及一般市況，以及對該投資者而言獨特的情況。投資者應就基金股份是否適合其投資目標諮詢其獨立財務顧問。獨立財務顧問可與個別投資者合作，依</w:t>
      </w:r>
      <w:r>
        <w:t>據計及該投資者的獨特因素的更全面方法評估合適性，包括其財政狀況、生活環境及目標以及其他因素。</w:t>
      </w:r>
      <w:r>
        <w:rPr>
          <w:rFonts w:ascii="Arial" w:eastAsia="Arial" w:hAnsi="Arial" w:cs="Arial"/>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61"/>
        <w:ind w:left="11" w:right="2"/>
      </w:pPr>
      <w:r>
        <w:t>費用及開支</w:t>
      </w:r>
      <w:r>
        <w:rPr>
          <w:rFonts w:ascii="Arial" w:eastAsia="Arial" w:hAnsi="Arial" w:cs="Arial"/>
        </w:rPr>
        <w:t xml:space="preserve"> </w:t>
      </w:r>
    </w:p>
    <w:p w:rsidR="004D6F0E" w:rsidRDefault="00490F21">
      <w:pPr>
        <w:spacing w:after="105"/>
        <w:ind w:left="11" w:right="2"/>
      </w:pPr>
      <w:r>
        <w:t>除銷售費及投資者購買股份可能產生的或有遞延銷售費外，本傘子基金及各基金亦須承擔持續經營費用及開支。分銷費作為相關基金的開支列支。</w:t>
      </w:r>
      <w:r>
        <w:rPr>
          <w:rFonts w:ascii="Arial" w:eastAsia="Arial" w:hAnsi="Arial" w:cs="Arial"/>
        </w:rPr>
        <w:t xml:space="preserve"> </w:t>
      </w:r>
    </w:p>
    <w:p w:rsidR="004D6F0E" w:rsidRDefault="00490F21">
      <w:pPr>
        <w:spacing w:after="101"/>
        <w:ind w:left="11" w:right="2"/>
      </w:pPr>
      <w:r>
        <w:t>管理費。管理公司有權就各基金收取管理費，如第</w:t>
      </w:r>
      <w:r>
        <w:t xml:space="preserve"> </w:t>
      </w:r>
      <w:r>
        <w:rPr>
          <w:rFonts w:ascii="Arial" w:eastAsia="Arial" w:hAnsi="Arial" w:cs="Arial"/>
        </w:rPr>
        <w:t xml:space="preserve">I </w:t>
      </w:r>
      <w:r>
        <w:t>部分「摘要資料」所述，管理費乃根據股份的日均</w:t>
      </w:r>
      <w:r>
        <w:rPr>
          <w:sz w:val="20"/>
        </w:rPr>
        <w:t>資產淨值</w:t>
      </w:r>
      <w:r>
        <w:t>按年率逐日計算並每月支付。</w:t>
      </w:r>
      <w:r>
        <w:rPr>
          <w:rFonts w:ascii="Arial" w:eastAsia="Arial" w:hAnsi="Arial" w:cs="Arial"/>
        </w:rPr>
        <w:t xml:space="preserve"> </w:t>
      </w:r>
    </w:p>
    <w:p w:rsidR="004D6F0E" w:rsidRDefault="00490F21">
      <w:pPr>
        <w:spacing w:after="100"/>
        <w:ind w:left="11" w:right="2"/>
      </w:pPr>
      <w:r>
        <w:t>投資管理人有權就基金自基金所支付予管理公司的管理費中收取投資管理費，投資管理費乃根據該基金內股份的日均資產淨值按年率每日計算並每月支付。</w:t>
      </w:r>
      <w:r>
        <w:rPr>
          <w:rFonts w:ascii="Arial" w:eastAsia="Arial" w:hAnsi="Arial" w:cs="Arial"/>
        </w:rPr>
        <w:t>S</w:t>
      </w:r>
      <w:r>
        <w:t>、</w:t>
      </w:r>
      <w:r>
        <w:rPr>
          <w:rFonts w:ascii="Arial" w:eastAsia="Arial" w:hAnsi="Arial" w:cs="Arial"/>
        </w:rPr>
        <w:t>SP</w:t>
      </w:r>
      <w:r>
        <w:t>、</w:t>
      </w:r>
      <w:r>
        <w:rPr>
          <w:rFonts w:ascii="Arial" w:eastAsia="Arial" w:hAnsi="Arial" w:cs="Arial"/>
        </w:rPr>
        <w:t xml:space="preserve">SK </w:t>
      </w:r>
      <w:r>
        <w:t>及</w:t>
      </w:r>
      <w:r>
        <w:t xml:space="preserve"> </w:t>
      </w:r>
      <w:r>
        <w:rPr>
          <w:rFonts w:ascii="Arial" w:eastAsia="Arial" w:hAnsi="Arial" w:cs="Arial"/>
        </w:rPr>
        <w:t xml:space="preserve">S2 </w:t>
      </w:r>
      <w:r>
        <w:t>類股份留給已與管理公司訂立協議並被另行徵收投資管理費的機構投資者。就若干股份類別而言，管理費亦可能包括支付予分銷商或其他金融中介機構及服務供應商，以支付股東服務及其他行政開支。倘投資管理人擔任一項基金的投資管理人不滿一整個月，則該基金當月應付的管理費按投資管理人根據投資管理協議履行職責的日數佔全月的比例計算。</w:t>
      </w:r>
      <w:r>
        <w:rPr>
          <w:rFonts w:ascii="Arial" w:eastAsia="Arial" w:hAnsi="Arial" w:cs="Arial"/>
        </w:rPr>
        <w:t xml:space="preserve"> </w:t>
      </w:r>
    </w:p>
    <w:p w:rsidR="004D6F0E" w:rsidRDefault="00490F21">
      <w:pPr>
        <w:spacing w:after="103"/>
        <w:ind w:left="11" w:right="2"/>
      </w:pPr>
      <w:r>
        <w:t>管理公司或投資管理人或其聯營公司可不</w:t>
      </w:r>
      <w:r>
        <w:t>時就銷售基金中的股份而從其實體本身的資源向分銷商、交易商或其他相關實體作出現金付款。該等付款可包括直接或間接補償該等公司就市場推廣、教育及培訓以及其他支援活動的成本款額。釐定該等付款金額時所考慮的各項因素包括各公司的聯博基金銷售額、資產及贖回率，以及該等公司是否願意並有能力派出財務顧問提供教育及市場推廣支援。在若干情況下，該等公司可能將聯博基金納入優先選用的名單內。此舉旨在使與現時及有意投資者作互動交流的財務顧問更了解聯博基金，從而向投資者提供更適當的聯博基金及投資者服務資料及建議。</w:t>
      </w:r>
      <w:r>
        <w:rPr>
          <w:rFonts w:ascii="Arial" w:eastAsia="Arial" w:hAnsi="Arial" w:cs="Arial"/>
        </w:rPr>
        <w:t xml:space="preserve"> </w:t>
      </w:r>
    </w:p>
    <w:p w:rsidR="004D6F0E" w:rsidRDefault="00490F21">
      <w:pPr>
        <w:spacing w:after="100"/>
        <w:ind w:left="11" w:right="2"/>
      </w:pPr>
      <w:r>
        <w:t>倘一種基金的保薦人支</w:t>
      </w:r>
      <w:r>
        <w:t>付的分銷支援款項高於其他基金，則財務顧問及其公司或會傾向推薦該基金系列多於推薦其他基金。同樣，倘財務顧問或其公司就某類別股份所得的分銷支援高於其他類別，則推薦該類別股份的動力較強。</w:t>
      </w:r>
      <w:r>
        <w:rPr>
          <w:rFonts w:ascii="Arial" w:eastAsia="Arial" w:hAnsi="Arial" w:cs="Arial"/>
        </w:rPr>
        <w:t xml:space="preserve"> </w:t>
      </w:r>
    </w:p>
    <w:p w:rsidR="004D6F0E" w:rsidRDefault="00490F21">
      <w:pPr>
        <w:spacing w:after="110"/>
        <w:ind w:left="11" w:right="2"/>
      </w:pPr>
      <w:r>
        <w:t>考慮投資聯博基金的投資者應諮詢其財務顧問，了解管理公司、投資管理人及其聯營公司以及財務顧問可能推薦的其他基金保薦人向財務顧問及其公司支付的款項總額，並應諮詢財務顧問於購買股份時作出的披露事項。在若干情況下，管理公司或投資管理人或其聯營公司可自有關實體的自有資源中撥付款予</w:t>
      </w:r>
      <w:r>
        <w:t xml:space="preserve"> </w:t>
      </w:r>
      <w:r>
        <w:rPr>
          <w:rFonts w:ascii="Arial" w:eastAsia="Arial" w:hAnsi="Arial" w:cs="Arial"/>
        </w:rPr>
        <w:t>S</w:t>
      </w:r>
      <w:r>
        <w:t>、</w:t>
      </w:r>
      <w:r>
        <w:rPr>
          <w:rFonts w:ascii="Arial" w:eastAsia="Arial" w:hAnsi="Arial" w:cs="Arial"/>
        </w:rPr>
        <w:t xml:space="preserve">S1 </w:t>
      </w:r>
      <w:r>
        <w:t>及</w:t>
      </w:r>
      <w:r>
        <w:t xml:space="preserve"> </w:t>
      </w:r>
      <w:r>
        <w:rPr>
          <w:rFonts w:ascii="Arial" w:eastAsia="Arial" w:hAnsi="Arial" w:cs="Arial"/>
        </w:rPr>
        <w:t xml:space="preserve">S1 2 </w:t>
      </w:r>
      <w:r>
        <w:t>類股份的投資者。</w:t>
      </w:r>
      <w:r>
        <w:rPr>
          <w:rFonts w:ascii="Arial" w:eastAsia="Arial" w:hAnsi="Arial" w:cs="Arial"/>
        </w:rPr>
        <w:t xml:space="preserve"> </w:t>
      </w:r>
    </w:p>
    <w:p w:rsidR="004D6F0E" w:rsidRDefault="00490F21">
      <w:pPr>
        <w:spacing w:after="102"/>
        <w:ind w:left="11" w:right="2"/>
      </w:pPr>
      <w:r>
        <w:t>分銷費。分銷</w:t>
      </w:r>
      <w:r>
        <w:t>商將按第</w:t>
      </w:r>
      <w:r>
        <w:t xml:space="preserve"> </w:t>
      </w:r>
      <w:r>
        <w:rPr>
          <w:rFonts w:ascii="Arial" w:eastAsia="Arial" w:hAnsi="Arial" w:cs="Arial"/>
        </w:rPr>
        <w:t xml:space="preserve">I </w:t>
      </w:r>
      <w:r>
        <w:t>部分「摘要資料」所述的收費率獲支付相關類別股份的分銷費，作為向本傘子基金提供該等股份分銷服務的酬金。有關某類別股份的任何股東服務費將由管理公司從管理費中撥付予分銷商，作為向本傘子基金持續提供相關股份的股東服務的回報。分銷商可按照交易商客戶該月內擁有的股份日均</w:t>
      </w:r>
      <w:r>
        <w:rPr>
          <w:sz w:val="20"/>
        </w:rPr>
        <w:t>資產淨值</w:t>
      </w:r>
      <w:r>
        <w:t>向分銷股份的交易商支付部分或所有分銷或股東服務費。特定類別股份的分銷費及股東服務費不得用以津貼於銷售任何其他類別的股份。</w:t>
      </w:r>
      <w:r>
        <w:rPr>
          <w:rFonts w:ascii="Arial" w:eastAsia="Arial" w:hAnsi="Arial" w:cs="Arial"/>
        </w:rPr>
        <w:t xml:space="preserve"> </w:t>
      </w:r>
    </w:p>
    <w:p w:rsidR="004D6F0E" w:rsidRDefault="00490F21">
      <w:pPr>
        <w:spacing w:after="106"/>
        <w:ind w:left="11" w:right="2"/>
      </w:pPr>
      <w:r>
        <w:t>管理公司費用。管理公司有權從基金資產中收取費用，該費用乃用以支付其就基金於盧森堡營運及中央行政管理而提供服務的開支。基金中各股份類別應付的費用款額載於第</w:t>
      </w:r>
      <w:r>
        <w:t xml:space="preserve"> </w:t>
      </w:r>
      <w:r>
        <w:rPr>
          <w:rFonts w:ascii="Arial" w:eastAsia="Arial" w:hAnsi="Arial" w:cs="Arial"/>
        </w:rPr>
        <w:t xml:space="preserve">I </w:t>
      </w:r>
      <w:r>
        <w:t>部分有關各基金的分節。管理公司費用按日計算並每月支付。行政管理人、存管人及過戶代理費用。行政管理人、存管人及過戶代理均有權按盧森堡一般慣例，從各基金資產中收取費用。此等費用包括第</w:t>
      </w:r>
      <w:r>
        <w:t xml:space="preserve"> </w:t>
      </w:r>
      <w:r>
        <w:rPr>
          <w:rFonts w:ascii="Arial" w:eastAsia="Arial" w:hAnsi="Arial" w:cs="Arial"/>
        </w:rPr>
        <w:t xml:space="preserve">I </w:t>
      </w:r>
      <w:r>
        <w:t>部分「其他基金資料</w:t>
      </w:r>
      <w:r>
        <w:rPr>
          <w:rFonts w:ascii="Arial" w:eastAsia="Arial" w:hAnsi="Arial" w:cs="Arial"/>
        </w:rPr>
        <w:t>—</w:t>
      </w:r>
      <w:r>
        <w:t>管理公司、行政管理人、存管人及過戶代理費用」所述有關各基金與資產掛鉤的費用及交易費。</w:t>
      </w:r>
      <w:r>
        <w:rPr>
          <w:rFonts w:ascii="Arial" w:eastAsia="Arial" w:hAnsi="Arial" w:cs="Arial"/>
        </w:rPr>
        <w:t xml:space="preserve"> </w:t>
      </w:r>
    </w:p>
    <w:p w:rsidR="004D6F0E" w:rsidRDefault="00490F21">
      <w:pPr>
        <w:spacing w:after="102"/>
        <w:ind w:left="11" w:right="2"/>
      </w:pPr>
      <w:r>
        <w:t>除第</w:t>
      </w:r>
      <w:r>
        <w:t xml:space="preserve"> </w:t>
      </w:r>
      <w:r>
        <w:rPr>
          <w:rFonts w:ascii="Arial" w:eastAsia="Arial" w:hAnsi="Arial" w:cs="Arial"/>
        </w:rPr>
        <w:t xml:space="preserve">I </w:t>
      </w:r>
      <w:r>
        <w:t>部分相關章節就特定基金另有規定者外，行政管理人、存管</w:t>
      </w:r>
      <w:r>
        <w:t>人及過戶代理費用將按基金的資產淨值計算，最高一般為每年</w:t>
      </w:r>
      <w:r>
        <w:t xml:space="preserve"> </w:t>
      </w:r>
      <w:r>
        <w:rPr>
          <w:rFonts w:ascii="Arial" w:eastAsia="Arial" w:hAnsi="Arial" w:cs="Arial"/>
        </w:rPr>
        <w:t>1.00%</w:t>
      </w:r>
      <w:r>
        <w:t>。存管人費用不包括將另行收取的代理銀行成本、某些其他稅項、經紀佣金（如適用）及借款利息。行政管理人、存管人及過戶代理費用適用於於第</w:t>
      </w:r>
      <w:r>
        <w:rPr>
          <w:rFonts w:ascii="Arial" w:eastAsia="Arial" w:hAnsi="Arial" w:cs="Arial"/>
        </w:rPr>
        <w:t>I</w:t>
      </w:r>
      <w:r>
        <w:t>部分相關章節就特定基金披露的總開支比率上限。有關費用的實際金額於本傘子基金的年報詳細披露。</w:t>
      </w:r>
      <w:r>
        <w:rPr>
          <w:rFonts w:ascii="Arial" w:eastAsia="Arial" w:hAnsi="Arial" w:cs="Arial"/>
        </w:rPr>
        <w:t xml:space="preserve"> </w:t>
      </w:r>
    </w:p>
    <w:p w:rsidR="004D6F0E" w:rsidRDefault="00490F21">
      <w:pPr>
        <w:spacing w:after="100"/>
        <w:ind w:left="11" w:right="2"/>
      </w:pPr>
      <w:r>
        <w:t>其他開支。各基金均須承擔所有其他開支，包括但不限於</w:t>
      </w:r>
      <w:r>
        <w:rPr>
          <w:rFonts w:ascii="Arial" w:eastAsia="Arial" w:hAnsi="Arial" w:cs="Arial"/>
        </w:rPr>
        <w:t>(a)</w:t>
      </w:r>
      <w:r>
        <w:t>附加在基金資產及收入的所有稅項及實體層面的任何稅項，</w:t>
      </w:r>
      <w:r>
        <w:rPr>
          <w:rFonts w:ascii="Arial" w:eastAsia="Arial" w:hAnsi="Arial" w:cs="Arial"/>
        </w:rPr>
        <w:t>(b)</w:t>
      </w:r>
      <w:r>
        <w:t>存管人產生的合理支出及雜項開支（包括但不限於電話費、電傳費、電報費及郵費）以及託管基金資產的銀行及金融機構</w:t>
      </w:r>
      <w:r>
        <w:t>的任何託管費，</w:t>
      </w:r>
      <w:r>
        <w:rPr>
          <w:rFonts w:ascii="Arial" w:eastAsia="Arial" w:hAnsi="Arial" w:cs="Arial"/>
        </w:rPr>
        <w:t>(c)</w:t>
      </w:r>
      <w:r>
        <w:t>基金所持有證券相關交易的銀行處理費（該等費用將從買入價及賣出價中扣除），</w:t>
      </w:r>
      <w:r>
        <w:rPr>
          <w:rFonts w:ascii="Arial" w:eastAsia="Arial" w:hAnsi="Arial" w:cs="Arial"/>
        </w:rPr>
        <w:t xml:space="preserve">(d) </w:t>
      </w:r>
      <w:r>
        <w:t>任何過戶代理酬金及雜項開支將月支付，</w:t>
      </w:r>
      <w:r>
        <w:rPr>
          <w:rFonts w:ascii="Arial" w:eastAsia="Arial" w:hAnsi="Arial" w:cs="Arial"/>
        </w:rPr>
        <w:t>(e)</w:t>
      </w:r>
      <w:r>
        <w:t>管理公司或存管人為股東利益行事而引致的法律費用，及</w:t>
      </w:r>
      <w:r>
        <w:rPr>
          <w:rFonts w:ascii="Arial" w:eastAsia="Arial" w:hAnsi="Arial" w:cs="Arial"/>
        </w:rPr>
        <w:t>(f)</w:t>
      </w:r>
      <w:r>
        <w:t>文據印製費、管理條例及基金的所有其他相關文件的編製費及／或存案費，包括登記表及認購章程、及對基金有司法管轄權的主管機構（包括地方證券交易商協會）之間的說明備忘錄，以及於任何司法管轄區申請發售或銷售基金下股份的資格或登記發售或銷售基金下股份的任何其他成本、為股東（包括股東的實益所有人）利益以所需語言編製及派發年報及</w:t>
      </w:r>
      <w:r>
        <w:t>半年度報告的費用，以及適用法律或上述行政規例可能要求的其他報告或文件的成本；會計計算、保存帳簿記錄及計算日均</w:t>
      </w:r>
      <w:r>
        <w:rPr>
          <w:sz w:val="20"/>
        </w:rPr>
        <w:t>資產淨值</w:t>
      </w:r>
      <w:r>
        <w:t>的成本；編製及向股東分派公告的費用；律師及核數師費用；與股份准於相關證券交易所上市有關的費用；及所有類似行政管理費，除非管理公司另有決定，否則包括發售及分銷股份的所有其他直接開支（包括由股份分銷商或交易商於業務活動過程中使用的上述文件或報告副本的付印費）。</w:t>
      </w:r>
      <w:r>
        <w:rPr>
          <w:rFonts w:ascii="Arial" w:eastAsia="Arial" w:hAnsi="Arial" w:cs="Arial"/>
        </w:rPr>
        <w:t xml:space="preserve"> </w:t>
      </w:r>
    </w:p>
    <w:p w:rsidR="004D6F0E" w:rsidRDefault="00490F21">
      <w:pPr>
        <w:spacing w:after="102"/>
        <w:ind w:left="11" w:right="2"/>
      </w:pPr>
      <w:r>
        <w:t>除非與基金的特定股份類別有關的第</w:t>
      </w:r>
      <w:r>
        <w:rPr>
          <w:rFonts w:ascii="Arial" w:eastAsia="Arial" w:hAnsi="Arial" w:cs="Arial"/>
        </w:rPr>
        <w:t>I</w:t>
      </w:r>
      <w:r>
        <w:t>部分的相關部分另有規定外，所有經常性費用首先從收入中扣減，其次從資本收益並最後從資產中扣減。特定基金應</w:t>
      </w:r>
      <w:r>
        <w:t>佔的開支從相關基金扣減，並非由特定基金應佔的開支將可按管理公司管理會釐定為公平合理的基準由本傘子基金的基金分攤。基金內不同類別的股份將各自承擔該類別股份應佔的所有開支。倘某項基金的開支不應由某一特定類別股份承擔，則該等開支將按管理公司管理會釐定為公平合理的基準由該基金的所有類別股份分攤。</w:t>
      </w:r>
      <w:r>
        <w:rPr>
          <w:rFonts w:ascii="Arial" w:eastAsia="Arial" w:hAnsi="Arial" w:cs="Arial"/>
        </w:rPr>
        <w:t xml:space="preserve"> </w:t>
      </w:r>
    </w:p>
    <w:p w:rsidR="004D6F0E" w:rsidRDefault="00490F21">
      <w:pPr>
        <w:spacing w:after="101"/>
        <w:ind w:left="11" w:right="2"/>
      </w:pPr>
      <w:r>
        <w:t>管理公司預期各基金的年度開支與投資目標跟類似的其他集體投資企業的年度開支相若。</w:t>
      </w:r>
      <w:r>
        <w:rPr>
          <w:rFonts w:ascii="Arial" w:eastAsia="Arial" w:hAnsi="Arial" w:cs="Arial"/>
        </w:rPr>
        <w:t xml:space="preserve"> </w:t>
      </w:r>
    </w:p>
    <w:p w:rsidR="004D6F0E" w:rsidRDefault="00490F21">
      <w:pPr>
        <w:spacing w:after="63"/>
        <w:ind w:left="11" w:right="2"/>
      </w:pPr>
      <w:r>
        <w:t>風險管理</w:t>
      </w:r>
      <w:r>
        <w:rPr>
          <w:rFonts w:ascii="Arial" w:eastAsia="Arial" w:hAnsi="Arial" w:cs="Arial"/>
        </w:rPr>
        <w:t xml:space="preserve"> </w:t>
      </w:r>
    </w:p>
    <w:p w:rsidR="004D6F0E" w:rsidRDefault="00490F21">
      <w:pPr>
        <w:spacing w:after="163"/>
        <w:ind w:left="11" w:right="2"/>
      </w:pPr>
      <w:r>
        <w:t>管理公司將採用或將確保投資管理人就本傘子基金採用風險管理程序，從而令管理公司可隨時監察及衡量基金的持倉風險及其佔基金整體風險的情況。</w:t>
      </w:r>
      <w:r>
        <w:rPr>
          <w:rFonts w:ascii="Arial" w:eastAsia="Arial" w:hAnsi="Arial" w:cs="Arial"/>
        </w:rPr>
        <w:t xml:space="preserve"> </w:t>
      </w:r>
    </w:p>
    <w:p w:rsidR="004D6F0E" w:rsidRDefault="00490F21">
      <w:pPr>
        <w:spacing w:after="153"/>
        <w:ind w:left="11" w:right="2"/>
      </w:pPr>
      <w:r>
        <w:t>就金融衍生工具而言，風險管理過程旨在確保場外交易衍生工具的價值獲準確及獨立評估，並確保各基金與金融衍生工具相關的環球風險不超過認購章程、《二零一零年法律》及盧森堡</w:t>
      </w:r>
      <w:r>
        <w:t xml:space="preserve"> </w:t>
      </w:r>
      <w:r>
        <w:rPr>
          <w:rFonts w:ascii="Arial" w:eastAsia="Arial" w:hAnsi="Arial" w:cs="Arial"/>
          <w:i/>
        </w:rPr>
        <w:t xml:space="preserve">Commission de Surveillance du Secteur Financier </w:t>
      </w:r>
      <w:r>
        <w:t>相關通告所規定的限制。</w:t>
      </w:r>
      <w:r>
        <w:rPr>
          <w:rFonts w:ascii="Arial" w:eastAsia="Arial" w:hAnsi="Arial" w:cs="Arial"/>
        </w:rPr>
        <w:t xml:space="preserve"> </w:t>
      </w:r>
    </w:p>
    <w:p w:rsidR="004D6F0E" w:rsidRDefault="00490F21">
      <w:pPr>
        <w:spacing w:after="166"/>
        <w:ind w:left="11" w:right="2"/>
      </w:pPr>
      <w:r>
        <w:t>環球風險乃按所屬資產現行價值、對手的風險、日後市場變動以及平倉所需的時間計算。</w:t>
      </w:r>
      <w:r>
        <w:rPr>
          <w:rFonts w:ascii="Arial" w:eastAsia="Arial" w:hAnsi="Arial" w:cs="Arial"/>
        </w:rPr>
        <w:t xml:space="preserve"> </w:t>
      </w:r>
    </w:p>
    <w:p w:rsidR="004D6F0E" w:rsidRDefault="00490F21">
      <w:pPr>
        <w:spacing w:after="159"/>
        <w:ind w:left="11" w:right="2"/>
      </w:pPr>
      <w:r>
        <w:t>各基金亦</w:t>
      </w:r>
      <w:r>
        <w:t>各可按照其投資目標及政策，及按附錄</w:t>
      </w:r>
      <w:r>
        <w:t xml:space="preserve"> </w:t>
      </w:r>
      <w:r>
        <w:rPr>
          <w:rFonts w:ascii="Arial" w:eastAsia="Arial" w:hAnsi="Arial" w:cs="Arial"/>
        </w:rPr>
        <w:t xml:space="preserve">A </w:t>
      </w:r>
      <w:r>
        <w:t>中「投資限制」所載的限制進行投資。倘可轉換證券或貨幣市場工具乃一嵌入式衍生工具，則在遵守有關限制時必須考慮後者。</w:t>
      </w:r>
      <w:r>
        <w:rPr>
          <w:rFonts w:ascii="Arial" w:eastAsia="Arial" w:hAnsi="Arial" w:cs="Arial"/>
        </w:rPr>
        <w:t xml:space="preserve"> </w:t>
      </w:r>
    </w:p>
    <w:p w:rsidR="004D6F0E" w:rsidRDefault="00490F21">
      <w:pPr>
        <w:spacing w:after="162"/>
        <w:ind w:left="11" w:right="2"/>
      </w:pPr>
      <w:r>
        <w:t>利益衝突。管理公司、投資管理人、存管人、行政管理人、分銷商及其他服務提供商及彼等各自的聯屬公司、董事、高級人員及單位持有人涉及或可能涉及其他金融、投資及專業活動，而可能與本傘子基金的管理及行政產生利益衝突。這其中包括其他基金的管理、買賣證券、經紀服務、託管及保管服務以及擔任其他基金或其他公司（包括基金可能投資的公司）的董事、高級人員、顧問或代理。各方將確</w:t>
      </w:r>
      <w:r>
        <w:t>保彼等將不會因參與彼等可能參與的任何其他有關活動而妨礙對各自職責的履行。倘出現利益衝突，管理公司的經理及有關人士應努力在合理時間內按符合本傘子基金利益的方式公平解決利益衝突。</w:t>
      </w:r>
      <w:r>
        <w:rPr>
          <w:rFonts w:ascii="Arial" w:eastAsia="Arial" w:hAnsi="Arial" w:cs="Arial"/>
        </w:rPr>
        <w:t xml:space="preserve"> </w:t>
      </w:r>
    </w:p>
    <w:p w:rsidR="004D6F0E" w:rsidRDefault="00490F21">
      <w:pPr>
        <w:spacing w:after="172"/>
        <w:ind w:left="11" w:right="2"/>
      </w:pPr>
      <w:r>
        <w:t>有意投資者亦應知悉，本傘子基金受有關聯博集團的許多實際及潛在利益衝突所影響。儘管利益衝突是聯博集團內部關係固有的現象，但僅存在實際或潛在利益衝突並不意味著其行為將會損害本傘子基金的利益。倘進行任何投資可能會出現任何潛在利益衝突，投資管理人將考慮根據投資管理協議內其應承擔的責任，尤其是為本傘子基金最佳利益行事的責任，且在切實可行的情況</w:t>
      </w:r>
      <w:r>
        <w:t>下，亦須考慮對其他客戶承擔的責任。倘出現利益衝突，投資管理人將致力把衝突公平解決。該等衝突包括但不限於：</w:t>
      </w:r>
      <w:r>
        <w:rPr>
          <w:rFonts w:ascii="Arial" w:eastAsia="Arial" w:hAnsi="Arial" w:cs="Arial"/>
        </w:rPr>
        <w:t xml:space="preserve"> </w:t>
      </w:r>
    </w:p>
    <w:p w:rsidR="004D6F0E" w:rsidRDefault="00490F21">
      <w:pPr>
        <w:numPr>
          <w:ilvl w:val="0"/>
          <w:numId w:val="32"/>
        </w:numPr>
        <w:spacing w:after="173" w:line="273" w:lineRule="auto"/>
        <w:ind w:right="2" w:hanging="439"/>
      </w:pPr>
      <w:r>
        <w:rPr>
          <w:sz w:val="20"/>
        </w:rPr>
        <w:t>由投資管理人管理的其他基金。</w:t>
      </w:r>
      <w:r>
        <w:t>利益相關者可能為其他客戶作出投資而不向本傘子基金提供相同投資選擇。若投資於直接或間接由投資管理人、其本身或關聯公司（以共同管理、控股或直接或間接持有</w:t>
      </w:r>
      <w:r>
        <w:t xml:space="preserve"> </w:t>
      </w:r>
      <w:r>
        <w:rPr>
          <w:rFonts w:ascii="Arial" w:eastAsia="Arial" w:hAnsi="Arial" w:cs="Arial"/>
        </w:rPr>
        <w:t>10%</w:t>
      </w:r>
      <w:r>
        <w:t>資本或表決權等形式）管理或由其作為顧問的基金，則該等投資只有避免雙重收取管理費或顧問費，或就此制定適當規定時，才可進行。而且，管理公司或其他公司不得就收購或出售該等投資收取認購或贖回費。</w:t>
      </w:r>
      <w:r>
        <w:rPr>
          <w:rFonts w:ascii="Arial" w:eastAsia="Arial" w:hAnsi="Arial" w:cs="Arial"/>
        </w:rPr>
        <w:t xml:space="preserve"> </w:t>
      </w:r>
    </w:p>
    <w:p w:rsidR="004D6F0E" w:rsidRDefault="00490F21">
      <w:pPr>
        <w:numPr>
          <w:ilvl w:val="0"/>
          <w:numId w:val="32"/>
        </w:numPr>
        <w:ind w:right="2" w:hanging="439"/>
      </w:pPr>
      <w:r>
        <w:rPr>
          <w:sz w:val="20"/>
        </w:rPr>
        <w:t>在客戶之間的分配。</w:t>
      </w:r>
      <w:r>
        <w:t>利益相關者可能會為其他客戶投資</w:t>
      </w:r>
    </w:p>
    <w:p w:rsidR="004D6F0E" w:rsidRDefault="00490F21">
      <w:pPr>
        <w:spacing w:after="175"/>
        <w:ind w:left="460" w:right="2"/>
      </w:pPr>
      <w:r>
        <w:t>，但並無向本傘子基金作同樣的投資。此外，倘投資管理人認爲本傘子基金及其他客戶帳戶均同時適宜投資於同一證券，則本傘子基金可能不能購買其有意獲得的該證券分配數目，或可能就該證券須支付更高價格或獲得更低收益。證券分配將以投資管理人認爲公平的方式進行，並計及帳戶的規模、買賣數額及</w:t>
      </w:r>
      <w:r>
        <w:t>可能被視作相關的任何其他因素。</w:t>
      </w:r>
      <w:r>
        <w:rPr>
          <w:rFonts w:ascii="Arial" w:eastAsia="Arial" w:hAnsi="Arial" w:cs="Arial"/>
          <w:i/>
        </w:rPr>
        <w:t xml:space="preserve"> </w:t>
      </w:r>
    </w:p>
    <w:p w:rsidR="004D6F0E" w:rsidRDefault="00490F21">
      <w:pPr>
        <w:numPr>
          <w:ilvl w:val="0"/>
          <w:numId w:val="32"/>
        </w:numPr>
        <w:spacing w:after="175"/>
        <w:ind w:right="2" w:hanging="439"/>
      </w:pPr>
      <w:r>
        <w:rPr>
          <w:sz w:val="20"/>
        </w:rPr>
        <w:t>為其他客戶提供的服務。</w:t>
      </w:r>
      <w:r>
        <w:t>利益相關者可按公平方式與本傘子基金或本傘子基金的基金內任何公司訂立財務、銀行、貨幣、顧問（包括企業融資顧問）安排或其他交易安排，本傘子基金可就此收取及保留費用。</w:t>
      </w:r>
      <w:r>
        <w:rPr>
          <w:rFonts w:ascii="Arial" w:eastAsia="Arial" w:hAnsi="Arial" w:cs="Arial"/>
        </w:rPr>
        <w:t xml:space="preserve"> </w:t>
      </w:r>
    </w:p>
    <w:p w:rsidR="004D6F0E" w:rsidRDefault="00490F21">
      <w:pPr>
        <w:numPr>
          <w:ilvl w:val="0"/>
          <w:numId w:val="32"/>
        </w:numPr>
        <w:spacing w:after="181" w:line="265" w:lineRule="auto"/>
        <w:ind w:right="2" w:hanging="439"/>
      </w:pPr>
      <w:r>
        <w:rPr>
          <w:sz w:val="20"/>
        </w:rPr>
        <w:t>交叉買賣。</w:t>
      </w:r>
      <w:r>
        <w:t>在法律容許的情況下，利益相關者可在其客戶之間交叉買賣證券，以及在其客戶及其聯營公司（投資管理人並無向其提供資產管理服務）的經紀客戶之間進行交叉買賣。倘若投資管理人進行交叉買賣，而本傘子基金為其中一方，投資管理人將代表本傘子基金及其他方進行交叉買賣，因此可能違反對有關方的忠誠原則。為</w:t>
      </w:r>
      <w:r>
        <w:t>解決可能出現的違反忠誠原則情況，投資管理人已就交叉買賣制訂政策及程序，以確保交叉買賣任何一方均不會相對另一方得到不公平的優勢或劣勢。所有交叉買賣將以代理身份按現行公平市場價值執行，並在其他方面符合投資管理人的受信責任。上述任何活動均不得嚴重妨礙投資管理人或其委託人對本傘子基金履行彼等職責的必要時間投入。</w:t>
      </w:r>
      <w:r>
        <w:rPr>
          <w:rFonts w:ascii="Arial" w:eastAsia="Arial" w:hAnsi="Arial" w:cs="Arial"/>
        </w:rPr>
        <w:t xml:space="preserve"> </w:t>
      </w:r>
    </w:p>
    <w:p w:rsidR="004D6F0E" w:rsidRDefault="00490F21">
      <w:pPr>
        <w:numPr>
          <w:ilvl w:val="0"/>
          <w:numId w:val="32"/>
        </w:numPr>
        <w:spacing w:after="175"/>
        <w:ind w:right="2" w:hanging="439"/>
      </w:pPr>
      <w:r>
        <w:rPr>
          <w:sz w:val="20"/>
        </w:rPr>
        <w:t>向及由本傘子基金作出的出售。</w:t>
      </w:r>
      <w:r>
        <w:t>利益相關者可能會向或從本傘子基金買賣投資，惟</w:t>
      </w:r>
      <w:r>
        <w:rPr>
          <w:rFonts w:ascii="Arial" w:eastAsia="Arial" w:hAnsi="Arial" w:cs="Arial"/>
        </w:rPr>
        <w:t>(i)</w:t>
      </w:r>
      <w:r>
        <w:t>買賣在買賣雙方不披露身份的正式證券交易所或其他有組織的市場進行，或在其他買賣雙方相互不公開身份的情況下進行；或</w:t>
      </w:r>
      <w:r>
        <w:rPr>
          <w:rFonts w:ascii="Arial" w:eastAsia="Arial" w:hAnsi="Arial" w:cs="Arial"/>
        </w:rPr>
        <w:t>(ii)</w:t>
      </w:r>
      <w:r>
        <w:t>任何該等</w:t>
      </w:r>
      <w:r>
        <w:t>買賣條款及條件以公平方式達成並經管理公司管理會批准後方可進行。</w:t>
      </w:r>
      <w:r>
        <w:rPr>
          <w:rFonts w:ascii="Arial" w:eastAsia="Arial" w:hAnsi="Arial" w:cs="Arial"/>
        </w:rPr>
        <w:t xml:space="preserve"> </w:t>
      </w:r>
    </w:p>
    <w:p w:rsidR="004D6F0E" w:rsidRDefault="00490F21">
      <w:pPr>
        <w:numPr>
          <w:ilvl w:val="0"/>
          <w:numId w:val="32"/>
        </w:numPr>
        <w:spacing w:after="172" w:line="273" w:lineRule="auto"/>
        <w:ind w:right="2" w:hanging="439"/>
      </w:pPr>
      <w:r>
        <w:rPr>
          <w:sz w:val="20"/>
        </w:rPr>
        <w:t>與關聯或聯營經紀／交易商的交易。</w:t>
      </w:r>
      <w:r>
        <w:t>在一般業務過程中，投資管理人可利用關聯經紀或交易商的經紀服務，包括但不限於</w:t>
      </w:r>
      <w:r>
        <w:t xml:space="preserve"> </w:t>
      </w:r>
      <w:r>
        <w:rPr>
          <w:rFonts w:ascii="Arial" w:eastAsia="Arial" w:hAnsi="Arial" w:cs="Arial"/>
        </w:rPr>
        <w:t xml:space="preserve">Sanford C. Bernstein &amp; Co., LLC </w:t>
      </w:r>
      <w:r>
        <w:t>及</w:t>
      </w:r>
      <w:r>
        <w:t xml:space="preserve"> </w:t>
      </w:r>
      <w:r>
        <w:rPr>
          <w:rFonts w:ascii="Arial" w:eastAsia="Arial" w:hAnsi="Arial" w:cs="Arial"/>
        </w:rPr>
        <w:t xml:space="preserve">Sanford C. Bernstein Limited </w:t>
      </w:r>
      <w:r>
        <w:t>的服務，但須遵守投資管理人代表本傘子基金以最佳執行準則執行交易的責任。</w:t>
      </w:r>
      <w:r>
        <w:rPr>
          <w:rFonts w:ascii="Arial" w:eastAsia="Arial" w:hAnsi="Arial" w:cs="Arial"/>
        </w:rPr>
        <w:t xml:space="preserve"> </w:t>
      </w:r>
    </w:p>
    <w:p w:rsidR="004D6F0E" w:rsidRDefault="00490F21">
      <w:pPr>
        <w:numPr>
          <w:ilvl w:val="0"/>
          <w:numId w:val="32"/>
        </w:numPr>
        <w:spacing w:after="173"/>
        <w:ind w:right="2" w:hanging="439"/>
      </w:pPr>
      <w:r>
        <w:rPr>
          <w:sz w:val="20"/>
        </w:rPr>
        <w:t>非金錢安排。</w:t>
      </w:r>
      <w:r>
        <w:t>雖然目前管理公司並無收取或訂立任何非金錢佣金或安排，但就收取若干用於支持投資決定過程的商品及服務而言，投資管理人收取並經已與投</w:t>
      </w:r>
      <w:r>
        <w:t>資於股本證券的本傘子基金的相關基金經紀達成非金錢佣金或安排。訂立非金錢佣金或安排的基準是代表本傘子基金執行的交易將符合最佳執行準則，而經紀費用將不會超過通常的機構性全套服務經紀費。所收到的商品及服務包括專門產業、公司及客戶研究、基金及市場分析、以及用於交付該等服務的電腦軟件。所收到的商品及服務的性質為，根據安排所提供的利益必須為協助本傘子基金提供投資服務，並可改善本傘子基金的表現。為避免疑問，該等商品及服務不包括差旅、住宿、娛樂、一般行政商品或服務、一般辦公室設備或房產、會員費、僱員薪酬或直接支付項目。非金</w:t>
      </w:r>
      <w:r>
        <w:t>錢佣金安排將於本傘子基金的定期報告中披露。</w:t>
      </w:r>
      <w:r>
        <w:rPr>
          <w:rFonts w:ascii="Arial" w:eastAsia="Arial" w:hAnsi="Arial" w:cs="Arial"/>
        </w:rPr>
        <w:t xml:space="preserve"> </w:t>
      </w:r>
    </w:p>
    <w:p w:rsidR="004D6F0E" w:rsidRDefault="00490F21">
      <w:pPr>
        <w:numPr>
          <w:ilvl w:val="0"/>
          <w:numId w:val="32"/>
        </w:numPr>
        <w:spacing w:after="180"/>
        <w:ind w:right="2" w:hanging="439"/>
      </w:pPr>
      <w:r>
        <w:rPr>
          <w:sz w:val="20"/>
        </w:rPr>
        <w:t>研究。</w:t>
      </w:r>
      <w:r>
        <w:t>本傘子基金的主要投資組合主題可能計及利益相關者及其他研究公司委聘的股票、信貸、定量、經濟及結構性資產固定收益研究分析師提供的預測資料。因此，與本傘子基金投資有關的盈利及股息預測可能與利益相關者的機構研究分析師作出的估計不同。此外，投資管理人就本傘子基金進行的買賣行為可能與利益相關者的機構研究分析師提供的建議不同。</w:t>
      </w:r>
      <w:r>
        <w:rPr>
          <w:rFonts w:ascii="Arial" w:eastAsia="Arial" w:hAnsi="Arial" w:cs="Arial"/>
        </w:rPr>
        <w:t xml:space="preserve"> </w:t>
      </w:r>
    </w:p>
    <w:p w:rsidR="004D6F0E" w:rsidRDefault="00490F21">
      <w:pPr>
        <w:numPr>
          <w:ilvl w:val="0"/>
          <w:numId w:val="32"/>
        </w:numPr>
        <w:ind w:right="2" w:hanging="439"/>
      </w:pPr>
      <w:r>
        <w:rPr>
          <w:sz w:val="20"/>
        </w:rPr>
        <w:t>無獨立法律顧問。</w:t>
      </w:r>
      <w:r>
        <w:t>本傘子基金在美國法律方面由</w:t>
      </w:r>
      <w:r>
        <w:t xml:space="preserve"> </w:t>
      </w:r>
      <w:r>
        <w:rPr>
          <w:rFonts w:ascii="Arial" w:eastAsia="Arial" w:hAnsi="Arial" w:cs="Arial"/>
        </w:rPr>
        <w:t xml:space="preserve">Dechert </w:t>
      </w:r>
    </w:p>
    <w:p w:rsidR="004D6F0E" w:rsidRDefault="00490F21">
      <w:pPr>
        <w:spacing w:after="164" w:line="273" w:lineRule="auto"/>
        <w:ind w:left="473" w:right="41"/>
        <w:jc w:val="both"/>
      </w:pPr>
      <w:r>
        <w:rPr>
          <w:rFonts w:ascii="Arial" w:eastAsia="Arial" w:hAnsi="Arial" w:cs="Arial"/>
        </w:rPr>
        <w:t xml:space="preserve">LLP </w:t>
      </w:r>
      <w:r>
        <w:t>代表。本傘子基金在盧森堡法律方面由</w:t>
      </w:r>
      <w:r>
        <w:t xml:space="preserve"> </w:t>
      </w:r>
      <w:r>
        <w:rPr>
          <w:rFonts w:ascii="Arial" w:eastAsia="Arial" w:hAnsi="Arial" w:cs="Arial"/>
        </w:rPr>
        <w:t>Elvinger Hoss Prus</w:t>
      </w:r>
      <w:r>
        <w:rPr>
          <w:rFonts w:ascii="Arial" w:eastAsia="Arial" w:hAnsi="Arial" w:cs="Arial"/>
        </w:rPr>
        <w:t>sen</w:t>
      </w:r>
      <w:r>
        <w:t>（公眾有限公司）代表。</w:t>
      </w:r>
      <w:r>
        <w:rPr>
          <w:rFonts w:ascii="Arial" w:eastAsia="Arial" w:hAnsi="Arial" w:cs="Arial"/>
        </w:rPr>
        <w:t xml:space="preserve">Dechert LLP </w:t>
      </w:r>
      <w:r>
        <w:t>及</w:t>
      </w:r>
      <w:r>
        <w:t xml:space="preserve"> </w:t>
      </w:r>
      <w:r>
        <w:rPr>
          <w:rFonts w:ascii="Arial" w:eastAsia="Arial" w:hAnsi="Arial" w:cs="Arial"/>
        </w:rPr>
        <w:t>Elvinger Hoss Prussen</w:t>
      </w:r>
      <w:r>
        <w:t>（公眾有限公司）已獲聯博集團聘選為利益相關者及本傘子基金（如適用）的獨立法律顧問。</w:t>
      </w:r>
      <w:r>
        <w:rPr>
          <w:rFonts w:ascii="Arial" w:eastAsia="Arial" w:hAnsi="Arial" w:cs="Arial"/>
        </w:rPr>
        <w:t xml:space="preserve">Dechert LLP </w:t>
      </w:r>
      <w:r>
        <w:t>及</w:t>
      </w:r>
      <w:r>
        <w:t xml:space="preserve"> </w:t>
      </w:r>
      <w:r>
        <w:rPr>
          <w:rFonts w:ascii="Arial" w:eastAsia="Arial" w:hAnsi="Arial" w:cs="Arial"/>
        </w:rPr>
        <w:t>Elvinger Hoss Prussen</w:t>
      </w:r>
      <w:r>
        <w:t>（公眾有限公司）各自亦擔任聯博集團及其聯屬公司管理的若干其他投資基金、帳戶及工具的法律顧問。該等多重法律代表安排可能會產生利益衝突。本傘子基金的有意及現有投資者未曾且將不會由</w:t>
      </w:r>
      <w:r>
        <w:t xml:space="preserve"> </w:t>
      </w:r>
      <w:r>
        <w:rPr>
          <w:rFonts w:ascii="Arial" w:eastAsia="Arial" w:hAnsi="Arial" w:cs="Arial"/>
        </w:rPr>
        <w:t xml:space="preserve">Dechert LLP </w:t>
      </w:r>
      <w:r>
        <w:t>或</w:t>
      </w:r>
      <w:r>
        <w:t xml:space="preserve"> </w:t>
      </w:r>
      <w:r>
        <w:rPr>
          <w:rFonts w:ascii="Arial" w:eastAsia="Arial" w:hAnsi="Arial" w:cs="Arial"/>
        </w:rPr>
        <w:t>Elvinger Hoss Prussen</w:t>
      </w:r>
      <w:r>
        <w:t>（公眾有限公司）代表，謹此建議有意及現有投資者就評估本發售的利弊及風險以及本傘子基金的運營尋求各自法律顧問的意見。</w:t>
      </w:r>
      <w:r>
        <w:rPr>
          <w:rFonts w:ascii="Arial" w:eastAsia="Arial" w:hAnsi="Arial" w:cs="Arial"/>
          <w:i/>
        </w:rPr>
        <w:t xml:space="preserve"> </w:t>
      </w:r>
    </w:p>
    <w:p w:rsidR="004D6F0E" w:rsidRDefault="00490F21">
      <w:pPr>
        <w:spacing w:after="63"/>
        <w:ind w:left="11" w:right="2"/>
      </w:pPr>
      <w:r>
        <w:t>對所有權的限制</w:t>
      </w:r>
      <w:r>
        <w:rPr>
          <w:rFonts w:ascii="Arial" w:eastAsia="Arial" w:hAnsi="Arial" w:cs="Arial"/>
        </w:rPr>
        <w:t xml:space="preserve"> </w:t>
      </w:r>
    </w:p>
    <w:p w:rsidR="004D6F0E" w:rsidRDefault="00490F21">
      <w:pPr>
        <w:spacing w:after="103"/>
        <w:ind w:left="11" w:right="2"/>
      </w:pPr>
      <w:r>
        <w:t>美國人士。根據管理條例所載權限，管理公司議決限制或阻止任何「美國人士」擁有股份。投資者要對分銷商、交貿商或本傘子基金作出保證，指明有意購買者非美國人。如有關資料有任何變動，股東須即時通知管理公司。各股東須自行負責核實本身並非禁止持有本傘子基金股份的美國人士。</w:t>
      </w:r>
      <w:r>
        <w:rPr>
          <w:rFonts w:ascii="Arial" w:eastAsia="Arial" w:hAnsi="Arial" w:cs="Arial"/>
        </w:rPr>
        <w:t xml:space="preserve"> </w:t>
      </w:r>
    </w:p>
    <w:p w:rsidR="004D6F0E" w:rsidRDefault="00490F21">
      <w:pPr>
        <w:spacing w:after="100"/>
        <w:ind w:left="11" w:right="2"/>
      </w:pPr>
      <w:r>
        <w:t>此外，在若干情況下管理公司可全權酌情許可美國人士擁有股份。</w:t>
      </w:r>
      <w:r>
        <w:rPr>
          <w:rFonts w:ascii="Arial" w:eastAsia="Arial" w:hAnsi="Arial" w:cs="Arial"/>
        </w:rPr>
        <w:t xml:space="preserve"> </w:t>
      </w:r>
    </w:p>
    <w:p w:rsidR="004D6F0E" w:rsidRDefault="00490F21">
      <w:pPr>
        <w:spacing w:after="111"/>
        <w:ind w:left="11" w:right="2"/>
      </w:pPr>
      <w:r>
        <w:t>倘管理公司在任何時間得悉有美國人士以受益人方式單獨或與其他人共同擁有本傘子基金股份，管理公司可以代表本傘子基金全權決定按照本文所述的贖回價格強行贖回此等股份。在本傘子基金發出上述強行贖回通</w:t>
      </w:r>
      <w:r>
        <w:t>知最少十日後，股份將被贖回，屆時股東將不再擁有此等股份。</w:t>
      </w:r>
      <w:r>
        <w:rPr>
          <w:rFonts w:ascii="Arial" w:eastAsia="Arial" w:hAnsi="Arial" w:cs="Arial"/>
        </w:rPr>
        <w:t xml:space="preserve"> </w:t>
      </w:r>
    </w:p>
    <w:p w:rsidR="004D6F0E" w:rsidRDefault="00490F21">
      <w:pPr>
        <w:spacing w:after="102" w:line="273" w:lineRule="auto"/>
        <w:ind w:left="14" w:right="161"/>
        <w:jc w:val="both"/>
      </w:pPr>
      <w:r>
        <w:rPr>
          <w:rFonts w:ascii="Arial" w:eastAsia="Arial" w:hAnsi="Arial" w:cs="Arial"/>
          <w:b/>
        </w:rPr>
        <w:t>S</w:t>
      </w:r>
      <w:r>
        <w:t>、</w:t>
      </w:r>
      <w:r>
        <w:rPr>
          <w:rFonts w:ascii="Arial" w:eastAsia="Arial" w:hAnsi="Arial" w:cs="Arial"/>
          <w:b/>
        </w:rPr>
        <w:t>SK</w:t>
      </w:r>
      <w:r>
        <w:t>、</w:t>
      </w:r>
      <w:r>
        <w:rPr>
          <w:rFonts w:ascii="Arial" w:eastAsia="Arial" w:hAnsi="Arial" w:cs="Arial"/>
          <w:b/>
        </w:rPr>
        <w:t>SHK</w:t>
      </w:r>
      <w:r>
        <w:t>、</w:t>
      </w:r>
      <w:r>
        <w:rPr>
          <w:rFonts w:ascii="Arial" w:eastAsia="Arial" w:hAnsi="Arial" w:cs="Arial"/>
          <w:b/>
        </w:rPr>
        <w:t>SQ</w:t>
      </w:r>
      <w:r>
        <w:t>、</w:t>
      </w:r>
      <w:r>
        <w:rPr>
          <w:rFonts w:ascii="Arial" w:eastAsia="Arial" w:hAnsi="Arial" w:cs="Arial"/>
          <w:b/>
        </w:rPr>
        <w:t>SD</w:t>
      </w:r>
      <w:r>
        <w:t>、</w:t>
      </w:r>
      <w:r>
        <w:rPr>
          <w:rFonts w:ascii="Arial" w:eastAsia="Arial" w:hAnsi="Arial" w:cs="Arial"/>
          <w:b/>
        </w:rPr>
        <w:t>SA</w:t>
      </w:r>
      <w:r>
        <w:t>、</w:t>
      </w:r>
      <w:r>
        <w:rPr>
          <w:rFonts w:ascii="Arial" w:eastAsia="Arial" w:hAnsi="Arial" w:cs="Arial"/>
          <w:b/>
        </w:rPr>
        <w:t>SP</w:t>
      </w:r>
      <w:r>
        <w:t>、</w:t>
      </w:r>
      <w:r>
        <w:rPr>
          <w:rFonts w:ascii="Arial" w:eastAsia="Arial" w:hAnsi="Arial" w:cs="Arial"/>
          <w:b/>
        </w:rPr>
        <w:t>S1P</w:t>
      </w:r>
      <w:r>
        <w:t>、</w:t>
      </w:r>
      <w:r>
        <w:rPr>
          <w:rFonts w:ascii="Arial" w:eastAsia="Arial" w:hAnsi="Arial" w:cs="Arial"/>
          <w:b/>
        </w:rPr>
        <w:t>SA GB</w:t>
      </w:r>
      <w:r>
        <w:t>、</w:t>
      </w:r>
      <w:r>
        <w:rPr>
          <w:rFonts w:ascii="Arial" w:eastAsia="Arial" w:hAnsi="Arial" w:cs="Arial"/>
          <w:b/>
        </w:rPr>
        <w:t>SB GB</w:t>
      </w:r>
      <w:r>
        <w:t>、</w:t>
      </w:r>
      <w:r>
        <w:t xml:space="preserve"> </w:t>
      </w:r>
      <w:r>
        <w:rPr>
          <w:rFonts w:ascii="Arial" w:eastAsia="Arial" w:hAnsi="Arial" w:cs="Arial"/>
          <w:b/>
        </w:rPr>
        <w:t>S1A GB</w:t>
      </w:r>
      <w:r>
        <w:t>、</w:t>
      </w:r>
      <w:r>
        <w:rPr>
          <w:rFonts w:ascii="Arial" w:eastAsia="Arial" w:hAnsi="Arial" w:cs="Arial"/>
          <w:b/>
        </w:rPr>
        <w:t>S1B GB</w:t>
      </w:r>
      <w:r>
        <w:t>、</w:t>
      </w:r>
      <w:r>
        <w:rPr>
          <w:rFonts w:ascii="Arial" w:eastAsia="Arial" w:hAnsi="Arial" w:cs="Arial"/>
          <w:b/>
        </w:rPr>
        <w:t>S2</w:t>
      </w:r>
      <w:r>
        <w:t>、</w:t>
      </w:r>
      <w:r>
        <w:rPr>
          <w:rFonts w:ascii="Arial" w:eastAsia="Arial" w:hAnsi="Arial" w:cs="Arial"/>
          <w:b/>
        </w:rPr>
        <w:t>S1</w:t>
      </w:r>
      <w:r>
        <w:t>、</w:t>
      </w:r>
      <w:r>
        <w:rPr>
          <w:rFonts w:ascii="Arial" w:eastAsia="Arial" w:hAnsi="Arial" w:cs="Arial"/>
          <w:b/>
        </w:rPr>
        <w:t>S1D</w:t>
      </w:r>
      <w:r>
        <w:t>、</w:t>
      </w:r>
      <w:r>
        <w:rPr>
          <w:rFonts w:ascii="Arial" w:eastAsia="Arial" w:hAnsi="Arial" w:cs="Arial"/>
          <w:b/>
        </w:rPr>
        <w:t>S1D2</w:t>
      </w:r>
      <w:r>
        <w:t>、</w:t>
      </w:r>
      <w:r>
        <w:rPr>
          <w:rFonts w:ascii="Arial" w:eastAsia="Arial" w:hAnsi="Arial" w:cs="Arial"/>
          <w:b/>
        </w:rPr>
        <w:t xml:space="preserve">S1NN </w:t>
      </w:r>
      <w:r>
        <w:t>、</w:t>
      </w:r>
      <w:r>
        <w:rPr>
          <w:rFonts w:ascii="Arial" w:eastAsia="Arial" w:hAnsi="Arial" w:cs="Arial"/>
          <w:b/>
        </w:rPr>
        <w:t>S1QD</w:t>
      </w:r>
      <w:r>
        <w:t>、</w:t>
      </w:r>
      <w:r>
        <w:t xml:space="preserve"> </w:t>
      </w:r>
      <w:r>
        <w:rPr>
          <w:rFonts w:ascii="Arial" w:eastAsia="Arial" w:hAnsi="Arial" w:cs="Arial"/>
          <w:b/>
        </w:rPr>
        <w:t xml:space="preserve">S1X </w:t>
      </w:r>
      <w:r>
        <w:t>及</w:t>
      </w:r>
      <w:r>
        <w:t xml:space="preserve"> </w:t>
      </w:r>
      <w:r>
        <w:rPr>
          <w:rFonts w:ascii="Arial" w:eastAsia="Arial" w:hAnsi="Arial" w:cs="Arial"/>
          <w:b/>
        </w:rPr>
        <w:t xml:space="preserve">S1 2 </w:t>
      </w:r>
      <w:r>
        <w:t>類股份（及相應</w:t>
      </w:r>
      <w:r>
        <w:t xml:space="preserve"> </w:t>
      </w:r>
      <w:r>
        <w:rPr>
          <w:rFonts w:ascii="Arial" w:eastAsia="Arial" w:hAnsi="Arial" w:cs="Arial"/>
          <w:b/>
        </w:rPr>
        <w:t xml:space="preserve">H </w:t>
      </w:r>
      <w:r>
        <w:t>類股份）（「機構股份類別」）。本傘子基金的機構股份類別僅限於出售予《二零一零年法律》第</w:t>
      </w:r>
      <w:r>
        <w:t xml:space="preserve"> </w:t>
      </w:r>
      <w:r>
        <w:rPr>
          <w:rFonts w:ascii="Arial" w:eastAsia="Arial" w:hAnsi="Arial" w:cs="Arial"/>
        </w:rPr>
        <w:t xml:space="preserve">174 </w:t>
      </w:r>
      <w:r>
        <w:t>條所界定符合機構投資者資格的人士。</w:t>
      </w:r>
      <w:r>
        <w:rPr>
          <w:rFonts w:ascii="Arial" w:eastAsia="Arial" w:hAnsi="Arial" w:cs="Arial"/>
        </w:rPr>
        <w:t>S</w:t>
      </w:r>
      <w:r>
        <w:t>、</w:t>
      </w:r>
      <w:r>
        <w:rPr>
          <w:rFonts w:ascii="Arial" w:eastAsia="Arial" w:hAnsi="Arial" w:cs="Arial"/>
        </w:rPr>
        <w:t>SP</w:t>
      </w:r>
      <w:r>
        <w:t>、</w:t>
      </w:r>
      <w:r>
        <w:rPr>
          <w:rFonts w:ascii="Arial" w:eastAsia="Arial" w:hAnsi="Arial" w:cs="Arial"/>
        </w:rPr>
        <w:t xml:space="preserve">SK </w:t>
      </w:r>
      <w:r>
        <w:t>及</w:t>
      </w:r>
      <w:r>
        <w:t xml:space="preserve"> </w:t>
      </w:r>
      <w:r>
        <w:rPr>
          <w:rFonts w:ascii="Arial" w:eastAsia="Arial" w:hAnsi="Arial" w:cs="Arial"/>
        </w:rPr>
        <w:t xml:space="preserve">S2 </w:t>
      </w:r>
      <w:r>
        <w:t>類股份（及相應</w:t>
      </w:r>
      <w:r>
        <w:t xml:space="preserve"> </w:t>
      </w:r>
      <w:r>
        <w:rPr>
          <w:rFonts w:ascii="Arial" w:eastAsia="Arial" w:hAnsi="Arial" w:cs="Arial"/>
        </w:rPr>
        <w:t xml:space="preserve">H </w:t>
      </w:r>
      <w:r>
        <w:t>類股份）留給已與管理公司訂立協議並被另行徵收投資管理費的機構投資者。</w:t>
      </w:r>
      <w:r>
        <w:rPr>
          <w:rFonts w:ascii="Arial" w:eastAsia="Arial" w:hAnsi="Arial" w:cs="Arial"/>
        </w:rPr>
        <w:t xml:space="preserve"> </w:t>
      </w:r>
    </w:p>
    <w:p w:rsidR="004D6F0E" w:rsidRDefault="00490F21">
      <w:pPr>
        <w:spacing w:after="102"/>
        <w:ind w:left="11" w:right="2"/>
      </w:pPr>
      <w:r>
        <w:t>管理</w:t>
      </w:r>
      <w:r>
        <w:t>公司可酌情否決出售機構股份類別的股份，如果將售予該些機構股份類別的股份的人士並没有足夠證據顯示該些人士為機構投資者或在其他情況下，出售該些股份將對於基金或股東有所不利。</w:t>
      </w:r>
      <w:r>
        <w:rPr>
          <w:rFonts w:ascii="Arial" w:eastAsia="Arial" w:hAnsi="Arial" w:cs="Arial"/>
        </w:rPr>
        <w:t xml:space="preserve"> </w:t>
      </w:r>
    </w:p>
    <w:p w:rsidR="004D6F0E" w:rsidRDefault="00490F21">
      <w:pPr>
        <w:spacing w:after="102"/>
        <w:ind w:left="11" w:right="2"/>
      </w:pPr>
      <w:r>
        <w:t>在考慮某認購人或承讓人是否機構投資者時，管理公司將適當考慮主管監督機構的指引或建議。</w:t>
      </w:r>
      <w:r>
        <w:rPr>
          <w:rFonts w:ascii="Arial" w:eastAsia="Arial" w:hAnsi="Arial" w:cs="Arial"/>
        </w:rPr>
        <w:t xml:space="preserve"> </w:t>
      </w:r>
    </w:p>
    <w:p w:rsidR="004D6F0E" w:rsidRDefault="00490F21">
      <w:pPr>
        <w:spacing w:after="103"/>
        <w:ind w:left="11" w:right="2"/>
      </w:pPr>
      <w:r>
        <w:t>以本身名義但代表第三方認購機構股份類別的股份的機構投資者必須向管理公司證明，是次認購乃代表上述機構投資者而作出，而管理公司可能全權酌情要求證明該機構股份類別的股份的實益擁有人為機構投資者的證據。</w:t>
      </w:r>
      <w:r>
        <w:rPr>
          <w:rFonts w:ascii="Arial" w:eastAsia="Arial" w:hAnsi="Arial" w:cs="Arial"/>
        </w:rPr>
        <w:t xml:space="preserve"> </w:t>
      </w:r>
    </w:p>
    <w:p w:rsidR="004D6F0E" w:rsidRDefault="00490F21">
      <w:pPr>
        <w:spacing w:after="104"/>
        <w:ind w:left="11" w:right="2"/>
      </w:pPr>
      <w:r>
        <w:t>倘管理公司於任何時間獲悉有美國人士、非機構投資者或未獲</w:t>
      </w:r>
      <w:r>
        <w:t>授權持有機構股份類別的股份（不論單獨或聯同任何其他人士）的其他人士實益擁有機構股份類別的股份，管理公司（代表本傘子基金）可酌情按本文所述的贖回價強制購回該等機構股份類別的股份。在本傘子基金發出上述強行贖回通知最少十日後，機構股份類別的股份將被贖回，屆時股東將不再擁有此等機構股份類別的股份。</w:t>
      </w:r>
      <w:r>
        <w:rPr>
          <w:rFonts w:ascii="Arial" w:eastAsia="Arial" w:hAnsi="Arial" w:cs="Arial"/>
        </w:rPr>
        <w:t xml:space="preserve"> </w:t>
      </w:r>
    </w:p>
    <w:p w:rsidR="004D6F0E" w:rsidRDefault="00490F21">
      <w:pPr>
        <w:spacing w:after="63"/>
        <w:ind w:left="11" w:right="2"/>
      </w:pPr>
      <w:r>
        <w:t>上市</w:t>
      </w:r>
      <w:r>
        <w:rPr>
          <w:rFonts w:ascii="Arial" w:eastAsia="Arial" w:hAnsi="Arial" w:cs="Arial"/>
        </w:rPr>
        <w:t xml:space="preserve"> </w:t>
      </w:r>
    </w:p>
    <w:p w:rsidR="004D6F0E" w:rsidRDefault="00490F21">
      <w:pPr>
        <w:spacing w:after="101"/>
        <w:ind w:left="11" w:right="2"/>
      </w:pPr>
      <w:r>
        <w:t>本傘子基金各成份基金的股份類別可於盧森堡證券交易所上市。股份交易市場將不可能發展或繼續。</w:t>
      </w:r>
      <w:r>
        <w:rPr>
          <w:rFonts w:ascii="Arial" w:eastAsia="Arial" w:hAnsi="Arial" w:cs="Arial"/>
        </w:rPr>
        <w:t xml:space="preserve"> </w:t>
      </w:r>
    </w:p>
    <w:p w:rsidR="004D6F0E" w:rsidRDefault="00490F21">
      <w:pPr>
        <w:spacing w:after="63"/>
        <w:ind w:left="11" w:right="2"/>
      </w:pPr>
      <w:r>
        <w:t>基金持股</w:t>
      </w:r>
      <w:r>
        <w:rPr>
          <w:rFonts w:ascii="Arial" w:eastAsia="Arial" w:hAnsi="Arial" w:cs="Arial"/>
        </w:rPr>
        <w:t xml:space="preserve"> </w:t>
      </w:r>
    </w:p>
    <w:p w:rsidR="004D6F0E" w:rsidRDefault="00490F21">
      <w:pPr>
        <w:spacing w:after="102" w:line="273" w:lineRule="auto"/>
        <w:ind w:left="14" w:right="41"/>
        <w:jc w:val="both"/>
      </w:pPr>
      <w:r>
        <w:t>對</w:t>
      </w:r>
      <w:r>
        <w:t xml:space="preserve"> </w:t>
      </w:r>
      <w:r>
        <w:t>於</w:t>
      </w:r>
      <w:r>
        <w:t xml:space="preserve"> </w:t>
      </w:r>
      <w:r>
        <w:t>某</w:t>
      </w:r>
      <w:r>
        <w:t xml:space="preserve"> </w:t>
      </w:r>
      <w:r>
        <w:t>些</w:t>
      </w:r>
      <w:r>
        <w:t xml:space="preserve"> </w:t>
      </w:r>
      <w:r>
        <w:t>基</w:t>
      </w:r>
      <w:r>
        <w:t xml:space="preserve"> </w:t>
      </w:r>
      <w:r>
        <w:t>金</w:t>
      </w:r>
      <w:r>
        <w:t xml:space="preserve"> </w:t>
      </w:r>
      <w:r>
        <w:t>，</w:t>
      </w:r>
      <w:r>
        <w:t xml:space="preserve"> </w:t>
      </w:r>
      <w:r>
        <w:t>管</w:t>
      </w:r>
      <w:r>
        <w:t xml:space="preserve"> </w:t>
      </w:r>
      <w:r>
        <w:t>理</w:t>
      </w:r>
      <w:r>
        <w:t xml:space="preserve"> </w:t>
      </w:r>
      <w:r>
        <w:t>公</w:t>
      </w:r>
      <w:r>
        <w:t xml:space="preserve"> </w:t>
      </w:r>
      <w:r>
        <w:t>司</w:t>
      </w:r>
      <w:r>
        <w:t xml:space="preserve"> </w:t>
      </w:r>
      <w:r>
        <w:t>會</w:t>
      </w:r>
      <w:r>
        <w:t xml:space="preserve"> </w:t>
      </w:r>
      <w:r>
        <w:t>每</w:t>
      </w:r>
      <w:r>
        <w:t xml:space="preserve"> </w:t>
      </w:r>
      <w:r>
        <w:t>月</w:t>
      </w:r>
      <w:r>
        <w:t xml:space="preserve"> </w:t>
      </w:r>
      <w:r>
        <w:t>在</w:t>
      </w:r>
      <w:r>
        <w:t xml:space="preserve"> </w:t>
      </w:r>
      <w:hyperlink r:id="rId325">
        <w:r>
          <w:rPr>
            <w:rFonts w:ascii="Arial" w:eastAsia="Arial" w:hAnsi="Arial" w:cs="Arial"/>
            <w:color w:val="0000FF"/>
            <w:u w:val="single" w:color="0000FF"/>
          </w:rPr>
          <w:t>www.alliancebernstein.com</w:t>
        </w:r>
      </w:hyperlink>
      <w:hyperlink r:id="rId326">
        <w:r>
          <w:rPr>
            <w:rFonts w:ascii="Arial" w:eastAsia="Arial" w:hAnsi="Arial" w:cs="Arial"/>
          </w:rPr>
          <w:t xml:space="preserve"> </w:t>
        </w:r>
      </w:hyperlink>
      <w:r>
        <w:t>網站上發佈一份完整的基金持股資料。資料刊出後一般在三個月內仍可以在該網站瀏覽。此外管理公司可刊出以下資料﹕有關一個基金持有的證券數目、基金所持的十大股份摘要</w:t>
      </w:r>
      <w:r>
        <w:rPr>
          <w:rFonts w:ascii="Arial" w:eastAsia="Arial" w:hAnsi="Arial" w:cs="Arial"/>
        </w:rPr>
        <w:t>(</w:t>
      </w:r>
      <w:r>
        <w:t>包括投資於每個股份的基金資產的</w:t>
      </w:r>
      <w:r>
        <w:t>名稱及百分比</w:t>
      </w:r>
      <w:r>
        <w:rPr>
          <w:rFonts w:ascii="Arial" w:eastAsia="Arial" w:hAnsi="Arial" w:cs="Arial"/>
        </w:rPr>
        <w:t>)</w:t>
      </w:r>
      <w:r>
        <w:t>以及基金按國家、類別及產業的投資百分比細目</w:t>
      </w:r>
      <w:r>
        <w:rPr>
          <w:rFonts w:ascii="Arial" w:eastAsia="Arial" w:hAnsi="Arial" w:cs="Arial"/>
        </w:rPr>
        <w:t>(</w:t>
      </w:r>
      <w:r>
        <w:t>如適用</w:t>
      </w:r>
      <w:r>
        <w:rPr>
          <w:rFonts w:ascii="Arial" w:eastAsia="Arial" w:hAnsi="Arial" w:cs="Arial"/>
        </w:rPr>
        <w:t>)</w:t>
      </w:r>
      <w:r>
        <w:t>。每月基金持股資料一般在該月結束後的三十至九十日內刊出。</w:t>
      </w:r>
      <w:r>
        <w:rPr>
          <w:rFonts w:ascii="Arial" w:eastAsia="Arial" w:hAnsi="Arial" w:cs="Arial"/>
        </w:rPr>
        <w:t xml:space="preserve"> </w:t>
      </w:r>
    </w:p>
    <w:p w:rsidR="004D6F0E" w:rsidRDefault="00490F21">
      <w:pPr>
        <w:spacing w:after="63"/>
        <w:ind w:left="11" w:right="2"/>
      </w:pPr>
      <w:r>
        <w:t>稅項</w:t>
      </w:r>
      <w:r>
        <w:rPr>
          <w:rFonts w:ascii="Arial" w:eastAsia="Arial" w:hAnsi="Arial" w:cs="Arial"/>
        </w:rPr>
        <w:t xml:space="preserve"> </w:t>
      </w:r>
    </w:p>
    <w:p w:rsidR="004D6F0E" w:rsidRDefault="00490F21">
      <w:pPr>
        <w:spacing w:after="98"/>
        <w:ind w:left="11" w:right="2"/>
      </w:pPr>
      <w:r>
        <w:t>以下概要不得視為已涵蓋所有方面，亦不構成有關投資或稅務的建議，因此投資者應就其國籍國、居住國、註冊國或成立所在國家的法律或投資該等基金的稅項影響諮詢其專業顧問。</w:t>
      </w:r>
      <w:r>
        <w:t>本傘子基金及股東的收入及資本收益稅項須受盧森堡、本傘子基金作出投資的任何司法權區及股東所居住或應繳納稅項的司法權區的金融法律及慣例規限。以下的預期盧森堡及美國的課稅處理方法的一般概要並不構成法律或稅務意見，並僅適用於持有股份作為投資的股東。</w:t>
      </w:r>
      <w:r>
        <w:rPr>
          <w:rFonts w:ascii="Arial" w:eastAsia="Arial" w:hAnsi="Arial" w:cs="Arial"/>
        </w:rPr>
        <w:t xml:space="preserve"> </w:t>
      </w:r>
    </w:p>
    <w:p w:rsidR="004D6F0E" w:rsidRDefault="00490F21">
      <w:pPr>
        <w:spacing w:after="102"/>
        <w:ind w:left="11" w:right="2"/>
      </w:pPr>
      <w:r>
        <w:t>有意投資者應自行了解在其國籍、居住、註冊成立所在地區認購、購買、贖回、交換、轉換、持有及實現股份以及收取分派（不論是否於贖回時）方面的適用法律及規例（如稅項及匯兌管制）以及（如適當）徵求相關意見。</w:t>
      </w:r>
      <w:r>
        <w:rPr>
          <w:rFonts w:ascii="Arial" w:eastAsia="Arial" w:hAnsi="Arial" w:cs="Arial"/>
        </w:rPr>
        <w:t xml:space="preserve"> </w:t>
      </w:r>
    </w:p>
    <w:p w:rsidR="004D6F0E" w:rsidRDefault="00490F21">
      <w:pPr>
        <w:spacing w:after="100"/>
        <w:ind w:left="11" w:right="2"/>
      </w:pPr>
      <w:r>
        <w:t>以下資料乃基於本文件刊發當日的現行法律及其詮釋提供。不能保證適用稅法</w:t>
      </w:r>
      <w:r>
        <w:t>及其詮釋日後不會更改。以下的稅務概要並非向任何股東擔保投資於本傘子基金的稅務結果。</w:t>
      </w:r>
      <w:r>
        <w:rPr>
          <w:rFonts w:ascii="Arial" w:eastAsia="Arial" w:hAnsi="Arial" w:cs="Arial"/>
        </w:rPr>
        <w:t xml:space="preserve"> </w:t>
      </w:r>
    </w:p>
    <w:p w:rsidR="004D6F0E" w:rsidRDefault="00490F21">
      <w:pPr>
        <w:spacing w:after="102"/>
        <w:ind w:left="11" w:right="2"/>
      </w:pPr>
      <w:r>
        <w:t>不支付附加稅項或評稅。各股東將承擔並負責向有關政府或監管機構繳納任何司法管轄權區或政府機構或監管機構所徵收的任何及所有稅項，包括（但不限於任何附加在）本傘子基金、管理公司或行政管理人就股份所作的任何付款的國家或地方稅項或其他類似評稅或收費。本傘子基金、管理公司或行政管理人概不會向股東支付任何額外數額以彌償其就股份所作出的付款中須預扣或扣減的任何稅項、評稅或收費。此外，本傘子基金、管理公司或行政管理人亦概不會負責支付可能因任</w:t>
      </w:r>
      <w:r>
        <w:t>何適用預扣稅率提高而應付的任何額外預扣稅額。</w:t>
      </w:r>
      <w:r>
        <w:rPr>
          <w:rFonts w:ascii="Arial" w:eastAsia="Arial" w:hAnsi="Arial" w:cs="Arial"/>
          <w:b/>
        </w:rPr>
        <w:t xml:space="preserve"> </w:t>
      </w:r>
    </w:p>
    <w:p w:rsidR="004D6F0E" w:rsidRDefault="00490F21">
      <w:pPr>
        <w:spacing w:after="101"/>
        <w:ind w:left="11" w:right="2"/>
      </w:pPr>
      <w:r>
        <w:t>盧森堡稅項。以下為盧森堡預期稅務處理的一般概要。</w:t>
      </w:r>
      <w:r>
        <w:rPr>
          <w:sz w:val="20"/>
        </w:rPr>
        <w:t>本傘子基金</w:t>
      </w:r>
      <w:r>
        <w:t>。本傘子基金受盧森堡稅務法律管轄。根據盧森堡大公國目前通行的法規條例，基金須按第</w:t>
      </w:r>
      <w:r>
        <w:t xml:space="preserve"> </w:t>
      </w:r>
      <w:r>
        <w:rPr>
          <w:rFonts w:ascii="Arial" w:eastAsia="Arial" w:hAnsi="Arial" w:cs="Arial"/>
        </w:rPr>
        <w:t xml:space="preserve">I </w:t>
      </w:r>
      <w:r>
        <w:t>部分「摘要資料」所述的年率就其股份應佔資產淨值繳納年稅，按日累計、按季度計算並支付。該稅項將不會附加於對投資於需要繳納上述稅項的盧森堡集體投資企業的資產之上。根據現行法律，本傘子基金無須繳納任何盧森堡所得稅或資本增益稅，亦無須繳納任何遺產稅。然而，本傘子基金或須繳納資產所在國家（包括盧森堡）的稅項，包括預扣稅、所得稅及</w:t>
      </w:r>
      <w:r>
        <w:t>／或增益稅。</w:t>
      </w:r>
      <w:r>
        <w:rPr>
          <w:rFonts w:ascii="Arial" w:eastAsia="Arial" w:hAnsi="Arial" w:cs="Arial"/>
        </w:rPr>
        <w:t xml:space="preserve"> </w:t>
      </w:r>
    </w:p>
    <w:p w:rsidR="004D6F0E" w:rsidRDefault="00490F21">
      <w:pPr>
        <w:spacing w:after="102" w:line="273" w:lineRule="auto"/>
        <w:ind w:left="14" w:right="41"/>
        <w:jc w:val="both"/>
      </w:pPr>
      <w:r>
        <w:rPr>
          <w:sz w:val="20"/>
        </w:rPr>
        <w:t>股東</w:t>
      </w:r>
      <w:r>
        <w:t>。根據現行法例，持有本傘子基金股份的股東於盧森堡毋須繳納任何資本收益稅、所得稅、預扣稅、財產稅、遺產稅或其他稅項（該等於盧森堡居住或擁有永久機構的人士除外）。自動資訊交換。經濟合作與發展組織（「經合組織」）已發展共同申報標準（「</w:t>
      </w:r>
      <w:r>
        <w:rPr>
          <w:rFonts w:ascii="Arial" w:eastAsia="Arial" w:hAnsi="Arial" w:cs="Arial"/>
        </w:rPr>
        <w:t>CRS</w:t>
      </w:r>
      <w:r>
        <w:t>」）以在全球實現綜合及多邊自動資訊交換（「</w:t>
      </w:r>
      <w:r>
        <w:rPr>
          <w:rFonts w:ascii="Arial" w:eastAsia="Arial" w:hAnsi="Arial" w:cs="Arial"/>
        </w:rPr>
        <w:t>AEOI</w:t>
      </w:r>
      <w:r>
        <w:t>」）。於二零一四年十二月九日，就於稅務範疇內強制自動交換資訊而修訂指令</w:t>
      </w:r>
      <w:r>
        <w:t xml:space="preserve"> </w:t>
      </w:r>
      <w:r>
        <w:rPr>
          <w:rFonts w:ascii="Arial" w:eastAsia="Arial" w:hAnsi="Arial" w:cs="Arial"/>
        </w:rPr>
        <w:t xml:space="preserve">2011/16/EU </w:t>
      </w:r>
      <w:r>
        <w:t>的委員會指令</w:t>
      </w:r>
      <w:r>
        <w:t xml:space="preserve"> </w:t>
      </w:r>
      <w:r>
        <w:rPr>
          <w:rFonts w:ascii="Arial" w:eastAsia="Arial" w:hAnsi="Arial" w:cs="Arial"/>
        </w:rPr>
        <w:t>2014/107/EU</w:t>
      </w:r>
      <w:r>
        <w:t>（「歐洲</w:t>
      </w:r>
      <w:r>
        <w:t xml:space="preserve"> </w:t>
      </w:r>
      <w:r>
        <w:rPr>
          <w:rFonts w:ascii="Arial" w:eastAsia="Arial" w:hAnsi="Arial" w:cs="Arial"/>
        </w:rPr>
        <w:t xml:space="preserve">CRS </w:t>
      </w:r>
      <w:r>
        <w:t>指令」）已被採納，以於成員國之間實施</w:t>
      </w:r>
      <w:r>
        <w:t xml:space="preserve"> </w:t>
      </w:r>
      <w:r>
        <w:rPr>
          <w:rFonts w:ascii="Arial" w:eastAsia="Arial" w:hAnsi="Arial" w:cs="Arial"/>
        </w:rPr>
        <w:t>CRS</w:t>
      </w:r>
      <w:r>
        <w:t>。就奧地利而言，</w:t>
      </w:r>
      <w:r>
        <w:t>歐洲</w:t>
      </w:r>
      <w:r>
        <w:t xml:space="preserve"> </w:t>
      </w:r>
      <w:r>
        <w:rPr>
          <w:rFonts w:ascii="Arial" w:eastAsia="Arial" w:hAnsi="Arial" w:cs="Arial"/>
        </w:rPr>
        <w:t xml:space="preserve">CRS </w:t>
      </w:r>
      <w:r>
        <w:t>指令將於二零一八年九月三十日前就二零一七年曆年首次應用，即對以利息形式支付的儲蓄收入徵稅的歐盟委員會指令</w:t>
      </w:r>
      <w:r>
        <w:t xml:space="preserve"> </w:t>
      </w:r>
      <w:r>
        <w:rPr>
          <w:rFonts w:ascii="Arial" w:eastAsia="Arial" w:hAnsi="Arial" w:cs="Arial"/>
        </w:rPr>
        <w:t xml:space="preserve">2003/48/EC </w:t>
      </w:r>
      <w:r>
        <w:t>將應用多一年時間。</w:t>
      </w:r>
      <w:r>
        <w:rPr>
          <w:rFonts w:ascii="Arial" w:eastAsia="Arial" w:hAnsi="Arial" w:cs="Arial"/>
        </w:rPr>
        <w:t xml:space="preserve"> </w:t>
      </w:r>
    </w:p>
    <w:p w:rsidR="004D6F0E" w:rsidRDefault="00490F21">
      <w:pPr>
        <w:spacing w:after="102" w:line="273" w:lineRule="auto"/>
        <w:ind w:left="14" w:right="250"/>
        <w:jc w:val="both"/>
      </w:pPr>
      <w:r>
        <w:t>歐洲</w:t>
      </w:r>
      <w:r>
        <w:t xml:space="preserve"> </w:t>
      </w:r>
      <w:r>
        <w:rPr>
          <w:rFonts w:ascii="Arial" w:eastAsia="Arial" w:hAnsi="Arial" w:cs="Arial"/>
        </w:rPr>
        <w:t xml:space="preserve">CRS </w:t>
      </w:r>
      <w:r>
        <w:t>指令已藉二零一五年十二月十八日有關於稅務範疇內自動交換金融帳戶資料的法例（「</w:t>
      </w:r>
      <w:r>
        <w:rPr>
          <w:rFonts w:ascii="Arial" w:eastAsia="Arial" w:hAnsi="Arial" w:cs="Arial"/>
        </w:rPr>
        <w:t xml:space="preserve">CRS </w:t>
      </w:r>
      <w:r>
        <w:t>法例」）納入盧森堡法律。</w:t>
      </w:r>
      <w:r>
        <w:rPr>
          <w:rFonts w:ascii="Arial" w:eastAsia="Arial" w:hAnsi="Arial" w:cs="Arial"/>
        </w:rPr>
        <w:t xml:space="preserve">CRS </w:t>
      </w:r>
      <w:r>
        <w:t>法例規定盧森堡金融機構須識別金融資產持有人並確立彼等在財政上是否為與盧森堡簽訂稅務資訊共享協議的國家居民。然後，盧森堡金融機構將向盧森堡稅務機關申報資產持有人的金融帳戶資料，盧森堡稅務機關其後會每年將此資訊自動轉交主管</w:t>
      </w:r>
      <w:r>
        <w:t>的海外稅務機關。</w:t>
      </w:r>
      <w:r>
        <w:rPr>
          <w:rFonts w:ascii="Arial" w:eastAsia="Arial" w:hAnsi="Arial" w:cs="Arial"/>
        </w:rPr>
        <w:t xml:space="preserve"> </w:t>
      </w:r>
    </w:p>
    <w:p w:rsidR="004D6F0E" w:rsidRDefault="00490F21">
      <w:pPr>
        <w:spacing w:after="10" w:line="273" w:lineRule="auto"/>
        <w:ind w:left="14" w:right="214"/>
        <w:jc w:val="both"/>
      </w:pPr>
      <w:r>
        <w:t>因此，本傘子基金可能要求其投資者提供有關金融帳戶持有人（包括若干實體及其控制人）的身份及財政居住地的資料以確定其</w:t>
      </w:r>
      <w:r>
        <w:t xml:space="preserve"> </w:t>
      </w:r>
      <w:r>
        <w:rPr>
          <w:rFonts w:ascii="Arial" w:eastAsia="Arial" w:hAnsi="Arial" w:cs="Arial"/>
        </w:rPr>
        <w:t xml:space="preserve">CRS </w:t>
      </w:r>
      <w:r>
        <w:t>狀況，並向盧森堡稅務機關</w:t>
      </w:r>
      <w:r>
        <w:rPr>
          <w:rFonts w:ascii="Arial" w:eastAsia="Arial" w:hAnsi="Arial" w:cs="Arial"/>
          <w:i/>
        </w:rPr>
        <w:t>(Administration des Contributions Directes)</w:t>
      </w:r>
      <w:r>
        <w:t>匯報有關投資者及在</w:t>
      </w:r>
      <w:r>
        <w:rPr>
          <w:rFonts w:ascii="Arial" w:eastAsia="Arial" w:hAnsi="Arial" w:cs="Arial"/>
        </w:rPr>
        <w:t>CRS</w:t>
      </w:r>
      <w:r>
        <w:t>法例下被視為</w:t>
      </w:r>
      <w:r>
        <w:t xml:space="preserve"> </w:t>
      </w:r>
      <w:r>
        <w:rPr>
          <w:rFonts w:ascii="Arial" w:eastAsia="Arial" w:hAnsi="Arial" w:cs="Arial"/>
        </w:rPr>
        <w:t xml:space="preserve">CRS </w:t>
      </w:r>
      <w:r>
        <w:t>可報告帳戶的資料。本傘子基金須知會投資者以下任何資料，當中涉及：</w:t>
      </w:r>
      <w:r>
        <w:rPr>
          <w:rFonts w:ascii="Arial" w:eastAsia="Arial" w:hAnsi="Arial" w:cs="Arial"/>
        </w:rPr>
        <w:t>(i)</w:t>
      </w:r>
      <w:r>
        <w:t>本傘子基金有責任處理根據</w:t>
      </w:r>
      <w:r>
        <w:t xml:space="preserve"> </w:t>
      </w:r>
      <w:r>
        <w:rPr>
          <w:rFonts w:ascii="Arial" w:eastAsia="Arial" w:hAnsi="Arial" w:cs="Arial"/>
        </w:rPr>
        <w:t xml:space="preserve">CRS </w:t>
      </w:r>
      <w:r>
        <w:t>法例提供的個人資料；</w:t>
      </w:r>
      <w:r>
        <w:rPr>
          <w:rFonts w:ascii="Arial" w:eastAsia="Arial" w:hAnsi="Arial" w:cs="Arial"/>
        </w:rPr>
        <w:t>(ii)</w:t>
      </w:r>
      <w:r>
        <w:t>個人資料僅就</w:t>
      </w:r>
      <w:r>
        <w:t xml:space="preserve"> </w:t>
      </w:r>
      <w:r>
        <w:rPr>
          <w:rFonts w:ascii="Arial" w:eastAsia="Arial" w:hAnsi="Arial" w:cs="Arial"/>
        </w:rPr>
        <w:t xml:space="preserve">CRS </w:t>
      </w:r>
      <w:r>
        <w:t>法例的目的而使用；</w:t>
      </w:r>
    </w:p>
    <w:p w:rsidR="004D6F0E" w:rsidRDefault="00490F21">
      <w:pPr>
        <w:spacing w:after="102" w:line="273" w:lineRule="auto"/>
        <w:ind w:left="14" w:right="204"/>
        <w:jc w:val="both"/>
      </w:pPr>
      <w:r>
        <w:rPr>
          <w:rFonts w:ascii="Arial" w:eastAsia="Arial" w:hAnsi="Arial" w:cs="Arial"/>
        </w:rPr>
        <w:t>(iii)</w:t>
      </w:r>
      <w:r>
        <w:t>個人資料或會提交予盧森堡稅務機關</w:t>
      </w:r>
      <w:r>
        <w:rPr>
          <w:rFonts w:ascii="Arial" w:eastAsia="Arial" w:hAnsi="Arial" w:cs="Arial"/>
          <w:i/>
        </w:rPr>
        <w:t>(Administration des Contributions Directes)</w:t>
      </w:r>
      <w:r>
        <w:t>；</w:t>
      </w:r>
      <w:r>
        <w:rPr>
          <w:rFonts w:ascii="Arial" w:eastAsia="Arial" w:hAnsi="Arial" w:cs="Arial"/>
        </w:rPr>
        <w:t>(iv)</w:t>
      </w:r>
      <w:r>
        <w:t>必須回應</w:t>
      </w:r>
      <w:r>
        <w:t xml:space="preserve"> </w:t>
      </w:r>
      <w:r>
        <w:rPr>
          <w:rFonts w:ascii="Arial" w:eastAsia="Arial" w:hAnsi="Arial" w:cs="Arial"/>
        </w:rPr>
        <w:t xml:space="preserve">CRS </w:t>
      </w:r>
      <w:r>
        <w:t>相關問題，否則須承擔潛在後果；及</w:t>
      </w:r>
      <w:r>
        <w:rPr>
          <w:rFonts w:ascii="Arial" w:eastAsia="Arial" w:hAnsi="Arial" w:cs="Arial"/>
        </w:rPr>
        <w:t>(v)</w:t>
      </w:r>
      <w:r>
        <w:t>投資者有權存取及更正提交予盧森堡稅務機關</w:t>
      </w:r>
      <w:r>
        <w:rPr>
          <w:rFonts w:ascii="Arial" w:eastAsia="Arial" w:hAnsi="Arial" w:cs="Arial"/>
          <w:i/>
        </w:rPr>
        <w:t>(Administration des Contributions Directes)</w:t>
      </w:r>
      <w:r>
        <w:t>的資料。根據</w:t>
      </w:r>
      <w:r>
        <w:t xml:space="preserve"> </w:t>
      </w:r>
      <w:r>
        <w:rPr>
          <w:rFonts w:ascii="Arial" w:eastAsia="Arial" w:hAnsi="Arial" w:cs="Arial"/>
        </w:rPr>
        <w:t xml:space="preserve">CRS </w:t>
      </w:r>
      <w:r>
        <w:t>法例，就有關二零一六年曆年的資訊而言，首次資訊交換將於二零一七年九月三十日或之前應用。根據歐洲</w:t>
      </w:r>
      <w:r>
        <w:t xml:space="preserve"> </w:t>
      </w:r>
      <w:r>
        <w:rPr>
          <w:rFonts w:ascii="Arial" w:eastAsia="Arial" w:hAnsi="Arial" w:cs="Arial"/>
        </w:rPr>
        <w:t xml:space="preserve">CRS </w:t>
      </w:r>
      <w:r>
        <w:t>指令，對於成員國當地稅務機關有關二零一六年曆年的資料，首次</w:t>
      </w:r>
      <w:r>
        <w:t xml:space="preserve"> </w:t>
      </w:r>
      <w:r>
        <w:rPr>
          <w:rFonts w:ascii="Arial" w:eastAsia="Arial" w:hAnsi="Arial" w:cs="Arial"/>
        </w:rPr>
        <w:t xml:space="preserve">AEOI </w:t>
      </w:r>
      <w:r>
        <w:t>必須於</w:t>
      </w:r>
      <w:r>
        <w:t>二零一七年九月三十日前應用。此外，盧森堡已簽訂經合組織的多邊主管機關協議（「多邊協議」）以根據</w:t>
      </w:r>
      <w:r>
        <w:t xml:space="preserve"> </w:t>
      </w:r>
      <w:r>
        <w:rPr>
          <w:rFonts w:ascii="Arial" w:eastAsia="Arial" w:hAnsi="Arial" w:cs="Arial"/>
        </w:rPr>
        <w:t xml:space="preserve">CRS </w:t>
      </w:r>
      <w:r>
        <w:t>法例自動交換資訊。多邊協議旨在於非成員國之間實施</w:t>
      </w:r>
      <w:r>
        <w:t xml:space="preserve"> </w:t>
      </w:r>
      <w:r>
        <w:rPr>
          <w:rFonts w:ascii="Arial" w:eastAsia="Arial" w:hAnsi="Arial" w:cs="Arial"/>
        </w:rPr>
        <w:t>CRS</w:t>
      </w:r>
      <w:r>
        <w:t>；這需要與各國逐一簽訂協議。如所提供或未有提供的資料不符合</w:t>
      </w:r>
      <w:r>
        <w:t xml:space="preserve"> </w:t>
      </w:r>
      <w:r>
        <w:rPr>
          <w:rFonts w:ascii="Arial" w:eastAsia="Arial" w:hAnsi="Arial" w:cs="Arial"/>
        </w:rPr>
        <w:t xml:space="preserve">CRS </w:t>
      </w:r>
      <w:r>
        <w:t>法例的規定，本傘子基金保留權利拒絕任何股份申請。</w:t>
      </w:r>
      <w:r>
        <w:rPr>
          <w:rFonts w:ascii="Arial" w:eastAsia="Arial" w:hAnsi="Arial" w:cs="Arial"/>
        </w:rPr>
        <w:t xml:space="preserve"> </w:t>
      </w:r>
    </w:p>
    <w:p w:rsidR="004D6F0E" w:rsidRDefault="00490F21">
      <w:pPr>
        <w:spacing w:after="106"/>
        <w:ind w:left="11" w:right="2"/>
      </w:pPr>
      <w:r>
        <w:t>本傘子基金的投資者可能會因而根據適用規則及規例被匯報至盧森堡及其他相關稅務機關。</w:t>
      </w:r>
      <w:r>
        <w:rPr>
          <w:rFonts w:ascii="Arial" w:eastAsia="Arial" w:hAnsi="Arial" w:cs="Arial"/>
        </w:rPr>
        <w:t xml:space="preserve"> </w:t>
      </w:r>
    </w:p>
    <w:p w:rsidR="004D6F0E" w:rsidRDefault="00490F21">
      <w:pPr>
        <w:spacing w:after="48" w:line="330" w:lineRule="auto"/>
        <w:ind w:left="11" w:right="250"/>
      </w:pPr>
      <w:r>
        <w:t>投資者應就實施</w:t>
      </w:r>
      <w:r>
        <w:t xml:space="preserve"> </w:t>
      </w:r>
      <w:r>
        <w:rPr>
          <w:rFonts w:ascii="Arial" w:eastAsia="Arial" w:hAnsi="Arial" w:cs="Arial"/>
        </w:rPr>
        <w:t xml:space="preserve">CRS </w:t>
      </w:r>
      <w:r>
        <w:t>法例可能出現的稅務及其他後果諮詢其專業顧問。美國稅項。</w:t>
      </w:r>
      <w:r>
        <w:rPr>
          <w:rFonts w:ascii="Arial" w:eastAsia="Arial" w:hAnsi="Arial" w:cs="Arial"/>
          <w:b/>
        </w:rPr>
        <w:t xml:space="preserve"> </w:t>
      </w:r>
    </w:p>
    <w:p w:rsidR="004D6F0E" w:rsidRDefault="00490F21">
      <w:pPr>
        <w:spacing w:after="100"/>
        <w:ind w:left="11" w:right="2"/>
      </w:pPr>
      <w:r>
        <w:t>本認購章程所載討論僅供參考，主要向有意股東提供美國稅務後果的資料。</w:t>
      </w:r>
      <w:r>
        <w:t>各有意股東應就投資於本傘子基金的稅務方面諮詢其專業稅務顧問。稅務後果可能因有意股東的具體情況不同而各異。此外，並非本傘子基金直接股東但因若干歸屬原則的應用被視為擁有股份的人士，可能需考慮特殊因素（本認購章程未加討論）。</w:t>
      </w:r>
      <w:r>
        <w:rPr>
          <w:rFonts w:ascii="Arial" w:eastAsia="Arial" w:hAnsi="Arial" w:cs="Arial"/>
        </w:rPr>
        <w:t xml:space="preserve"> </w:t>
      </w:r>
    </w:p>
    <w:p w:rsidR="004D6F0E" w:rsidRDefault="00490F21">
      <w:pPr>
        <w:spacing w:after="102"/>
        <w:ind w:left="11" w:right="2"/>
      </w:pPr>
      <w:r>
        <w:t>本傘子基金並無就影響本傘子基金的任何稅務事宜向美國國稅局或任何其他美國聯邦、州或地方代理尋求裁定，亦無就任何稅務事宜獲得法律意見。</w:t>
      </w:r>
      <w:r>
        <w:rPr>
          <w:rFonts w:ascii="Arial" w:eastAsia="Arial" w:hAnsi="Arial" w:cs="Arial"/>
        </w:rPr>
        <w:t xml:space="preserve"> </w:t>
      </w:r>
    </w:p>
    <w:p w:rsidR="004D6F0E" w:rsidRDefault="00490F21">
      <w:pPr>
        <w:spacing w:after="108"/>
        <w:ind w:left="11" w:right="2"/>
      </w:pPr>
      <w:r>
        <w:t>以下為可能與有意股東相關的若干潛在美國聯邦稅務後果概要。本認購章程所載討論並非對相關完整稅務規則的全面論述，並基於現有法律、司法判決及行政法規、規則及實務編撰，而上述各項均可能出現追溯及預期變動。投資於本傘子基金的決定應基於交易項目利弊的評估作出，而並非倚賴任何預期會得到的美國稅務利益。</w:t>
      </w:r>
      <w:r>
        <w:rPr>
          <w:sz w:val="20"/>
        </w:rPr>
        <w:t>美國稅務地位。</w:t>
      </w:r>
      <w:r>
        <w:t>就非美國實體（例如本傘子基金）分開處理的基金的美國聯邦稅務分類並非完全明確。本傘子基金擬採取的立場是，就美國聯邦稅務目的而言，本傘子基金的各基金為獨立實體，原因為基金的資產及負債乃根據盧森堡法律分開處理。本認購</w:t>
      </w:r>
      <w:r>
        <w:t>章程所載美國稅務討論的其餘內容假設各基金就美國聯邦稅務目的而言被視為獨立公司。除非另有指明，否則下文對「本傘子基金」的提述應適用於各基金。</w:t>
      </w:r>
      <w:r>
        <w:rPr>
          <w:rFonts w:ascii="Arial" w:eastAsia="Arial" w:hAnsi="Arial" w:cs="Arial"/>
        </w:rPr>
        <w:t xml:space="preserve"> </w:t>
      </w:r>
    </w:p>
    <w:p w:rsidR="004D6F0E" w:rsidRDefault="00490F21">
      <w:pPr>
        <w:spacing w:after="100"/>
        <w:ind w:left="11" w:right="2"/>
      </w:pPr>
      <w:r>
        <w:rPr>
          <w:sz w:val="20"/>
        </w:rPr>
        <w:t>美國貿易或商業。</w:t>
      </w:r>
      <w:r>
        <w:t>美國國內稅收法第</w:t>
      </w:r>
      <w:r>
        <w:t xml:space="preserve"> </w:t>
      </w:r>
      <w:r>
        <w:rPr>
          <w:rFonts w:ascii="Arial" w:eastAsia="Arial" w:hAnsi="Arial" w:cs="Arial"/>
        </w:rPr>
        <w:t>864(b)(2)</w:t>
      </w:r>
      <w:r>
        <w:t>條為於美國就其本身帳戶從事證券（包括買賣證券的合約或期權）交易的非美國公司（證券交易商除外）提供安全港（「安全港」）規定，據此，有關非美國公司將不被視為從事美國貿易或商業。安全港亦規定，倘若「商品為通常於認可商品交易所買賣的一類商品，且交易為通常於有關交易所完成的一類交易」，則於美國就其本身帳戶從事商品交易的非美國公</w:t>
      </w:r>
      <w:r>
        <w:t>司（商品交易商除外）將不被視為從事美國貿易或商業。根據建議規例，於美國就其本身帳戶進行衍生工具（包括</w:t>
      </w:r>
      <w:r>
        <w:rPr>
          <w:rFonts w:ascii="Arial" w:eastAsia="Arial" w:hAnsi="Arial" w:cs="Arial"/>
        </w:rPr>
        <w:t>(i)</w:t>
      </w:r>
      <w:r>
        <w:t>基於股票、證券及若干商品和貨幣的衍生工具；及</w:t>
      </w:r>
      <w:r>
        <w:rPr>
          <w:rFonts w:ascii="Arial" w:eastAsia="Arial" w:hAnsi="Arial" w:cs="Arial"/>
        </w:rPr>
        <w:t>(ii)</w:t>
      </w:r>
      <w:r>
        <w:t>基於利率、股票或若干商品和貨幣的若干名義本金合約）交易的非美國納稅人（股票、證券、商品或衍生工具交易商除外），將不被視為從事美國貿易或商業。儘管建議規例並非最終定論，但美國國稅局已在建議規例的序文中表示，在建議規例生效當日前的期間，納稅人可就美國國內稅收法第</w:t>
      </w:r>
      <w:r>
        <w:t xml:space="preserve"> </w:t>
      </w:r>
      <w:r>
        <w:rPr>
          <w:rFonts w:ascii="Arial" w:eastAsia="Arial" w:hAnsi="Arial" w:cs="Arial"/>
        </w:rPr>
        <w:t>864(b)(2)</w:t>
      </w:r>
      <w:r>
        <w:t>條的應用採取任何合理的衍生工具持倉，而符合建議規例的持倉將被視為合理持倉。</w:t>
      </w:r>
      <w:r>
        <w:rPr>
          <w:rFonts w:ascii="Arial" w:eastAsia="Arial" w:hAnsi="Arial" w:cs="Arial"/>
        </w:rPr>
        <w:t xml:space="preserve"> </w:t>
      </w:r>
    </w:p>
    <w:p w:rsidR="004D6F0E" w:rsidRDefault="00490F21">
      <w:pPr>
        <w:spacing w:after="102" w:line="273" w:lineRule="auto"/>
        <w:ind w:left="14" w:right="41"/>
        <w:jc w:val="both"/>
      </w:pPr>
      <w:r>
        <w:t>本傘子基金擬按符合安全港規定的方式經營其業務。因此，基於上文所述，本傘子基金的證券及商品交易活動預期不會構成美國貿易或商業，而除下文所述的有限情況外，本傘子基金預期毋須就其任何交易利潤繳納慣常美國所得稅。然而，倘若本傘子基金的若干活動被釐定不屬於安全港所述的類型，本傘子基金的活動可能構成美國貿易或商業，在此情況下，本傘子基金或須就其從該等活動產生的收入及收益繳納美國所得稅及分公司利得稅。即使本傘子基金的證券交易活動並不構成美國貿易或商業，但買賣美國房地產持股公司（「</w:t>
      </w:r>
      <w:r>
        <w:rPr>
          <w:rFonts w:ascii="Arial" w:eastAsia="Arial" w:hAnsi="Arial" w:cs="Arial"/>
        </w:rPr>
        <w:t>USRPHC</w:t>
      </w:r>
      <w:r>
        <w:t>」）（定義見美國國內稅收法第</w:t>
      </w:r>
      <w:r>
        <w:t xml:space="preserve"> </w:t>
      </w:r>
      <w:r>
        <w:rPr>
          <w:rFonts w:ascii="Arial" w:eastAsia="Arial" w:hAnsi="Arial" w:cs="Arial"/>
        </w:rPr>
        <w:t xml:space="preserve">897 </w:t>
      </w:r>
      <w:r>
        <w:t>條）的股票或證券（包括若干房地產投資信託基金的股票或證券）（並無附帶權益成份的債務工具除外）已實現的收益一般須按淨額基準繳納美國所得稅。然而，倘若該美國房地產持股公司擁有通常於成熟證券市場買賣的股票類別，而本傘子基金於截至出售日期止五年期間的任何時間，一般並無持有（及根據若干歸屬規則並無被視為持有）該美國房地產持股公司通常買賣股票或證券類別的價值超過</w:t>
      </w:r>
      <w:r>
        <w:t xml:space="preserve"> </w:t>
      </w:r>
      <w:r>
        <w:rPr>
          <w:rFonts w:ascii="Arial" w:eastAsia="Arial" w:hAnsi="Arial" w:cs="Arial"/>
        </w:rPr>
        <w:t>5%</w:t>
      </w:r>
      <w:r>
        <w:t>（如屬房地產投資信託基金，則為</w:t>
      </w:r>
      <w:r>
        <w:t xml:space="preserve"> </w:t>
      </w:r>
      <w:r>
        <w:rPr>
          <w:rFonts w:ascii="Arial" w:eastAsia="Arial" w:hAnsi="Arial" w:cs="Arial"/>
        </w:rPr>
        <w:t>10%</w:t>
      </w:r>
      <w:r>
        <w:t>），則會適用該稅務規則的主要例外情況。</w:t>
      </w:r>
      <w:r>
        <w:rPr>
          <w:rFonts w:ascii="Arial" w:eastAsia="Arial" w:hAnsi="Arial" w:cs="Arial"/>
          <w:vertAlign w:val="superscript"/>
        </w:rPr>
        <w:footnoteReference w:id="4"/>
      </w:r>
      <w:r>
        <w:rPr>
          <w:rFonts w:ascii="Arial" w:eastAsia="Arial" w:hAnsi="Arial" w:cs="Arial"/>
          <w:vertAlign w:val="superscript"/>
        </w:rPr>
        <w:t xml:space="preserve"> </w:t>
      </w:r>
      <w:r>
        <w:t>此外，倘本傘子基金因於美國業務合夥企業中持有有限的合夥權益或類似所有權權益，而被視為從事美國貿易或商業，則該投資的已實現收入及收益將須繳納美國所得稅及分公司利得稅。</w:t>
      </w:r>
      <w:r>
        <w:rPr>
          <w:rFonts w:ascii="Arial" w:eastAsia="Arial" w:hAnsi="Arial" w:cs="Arial"/>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102" w:line="259" w:lineRule="auto"/>
        <w:ind w:left="3" w:firstLine="3"/>
      </w:pPr>
      <w:r>
        <w:rPr>
          <w:sz w:val="20"/>
        </w:rPr>
        <w:t>實益擁有權身份；若干付款的預扣。</w:t>
      </w:r>
      <w:r>
        <w:rPr>
          <w:rFonts w:ascii="Arial" w:eastAsia="Arial" w:hAnsi="Arial" w:cs="Arial"/>
          <w:b/>
          <w:i/>
        </w:rPr>
        <w:t xml:space="preserve"> </w:t>
      </w:r>
    </w:p>
    <w:p w:rsidR="004D6F0E" w:rsidRDefault="00490F21">
      <w:pPr>
        <w:spacing w:after="102" w:line="273" w:lineRule="auto"/>
        <w:ind w:left="14" w:right="250"/>
        <w:jc w:val="both"/>
      </w:pPr>
      <w:r>
        <w:t>美國。為避免就若干實際及視作美國投資有關的若干付款（包括總收益付款）繳納</w:t>
      </w:r>
      <w:r>
        <w:t xml:space="preserve"> </w:t>
      </w:r>
      <w:r>
        <w:rPr>
          <w:rFonts w:ascii="Arial" w:eastAsia="Arial" w:hAnsi="Arial" w:cs="Arial"/>
        </w:rPr>
        <w:t>30%</w:t>
      </w:r>
      <w:r>
        <w:t>美國預扣稅，本傘子基金一般將須及時向美國國稅局登記，並同意確定其若干直接及間接美國帳戶持有人（包括債務持有人及股權持有人）的身份。盧森堡已與美國簽訂</w:t>
      </w:r>
      <w:r>
        <w:t xml:space="preserve"> </w:t>
      </w:r>
      <w:r>
        <w:rPr>
          <w:rFonts w:ascii="Arial" w:eastAsia="Arial" w:hAnsi="Arial" w:cs="Arial"/>
        </w:rPr>
        <w:t>Model 1A</w:t>
      </w:r>
      <w:r>
        <w:t>（互惠型）政府間協議（「美國政府間協議」），以使前述預扣及</w:t>
      </w:r>
      <w:r>
        <w:t>申報規則生效。只要本傘子基金符合美國政府間協議及賦權法，投資管理人預期本傘子基金將毋須繳納有關美國預扣稅。</w:t>
      </w:r>
      <w:r>
        <w:rPr>
          <w:rFonts w:ascii="Arial" w:eastAsia="Arial" w:hAnsi="Arial" w:cs="Arial"/>
        </w:rPr>
        <w:t xml:space="preserve"> </w:t>
      </w:r>
    </w:p>
    <w:p w:rsidR="004D6F0E" w:rsidRDefault="00490F21">
      <w:pPr>
        <w:spacing w:after="102" w:line="273" w:lineRule="auto"/>
        <w:ind w:left="14" w:right="250"/>
        <w:jc w:val="both"/>
      </w:pPr>
      <w:r>
        <w:t>本傘子基金的非美國投資者一般將須向本傘子基金（或在若干情況下，分銷商、中介人或非美國投資者藉以進行投資的若干其他實體（各為「中介機構」））提供可確定其直接及間接美國所有權身份的資料。根據美國政府間協議，提供予本傘子基金的該等任何資料將與盧森堡財政部長或其委託人士（「盧森堡財政部長」）共享，除非有關美國所有權身份獲豁免遵守申報規則。盧森堡財政部長每年將自動向美國國稅局提供其所獲申報的資料。身為「外國金</w:t>
      </w:r>
      <w:r>
        <w:t>融機構」（定義見美國國內稅收法第</w:t>
      </w:r>
      <w:r>
        <w:t xml:space="preserve"> </w:t>
      </w:r>
      <w:r>
        <w:rPr>
          <w:rFonts w:ascii="Arial" w:eastAsia="Arial" w:hAnsi="Arial" w:cs="Arial"/>
        </w:rPr>
        <w:t>1471(d)(4)</w:t>
      </w:r>
      <w:r>
        <w:t>條）的非美國投資者一般亦須及時向美國國稅局登記，並同意確定其若干直接及間接美國帳戶持有人（包括債務持有人及股權持有人）的身份。如非美國投資者未能向本傘子基金（或中介機構，如適用）提供有關資料或及時登記及同意識別及匯報有關帳戶持有人（如適用）的資料，則可能須就其應佔本傘子基金的實際及視作美國投資所產生的任何有關付款繳納</w:t>
      </w:r>
      <w:r>
        <w:t xml:space="preserve"> </w:t>
      </w:r>
      <w:r>
        <w:rPr>
          <w:rFonts w:ascii="Arial" w:eastAsia="Arial" w:hAnsi="Arial" w:cs="Arial"/>
        </w:rPr>
        <w:t>30%</w:t>
      </w:r>
      <w:r>
        <w:t>預扣稅，並且本傘子基金可在適用法律及法規的規限下，就投資者的股份或贖回收益採取任何措施，以確保該預扣稅在經濟上乃由未能提供必要資料或</w:t>
      </w:r>
      <w:r>
        <w:t>遵守有關規定而引致預扣稅的有關投資者承擔，惟管理公司須真誠基於合理理由行事。股東應就有關規則對其投資於本傘子基金可能產生的影響諮詢其稅務顧問。</w:t>
      </w:r>
      <w:r>
        <w:rPr>
          <w:rFonts w:ascii="Arial" w:eastAsia="Arial" w:hAnsi="Arial" w:cs="Arial"/>
        </w:rPr>
        <w:t xml:space="preserve"> </w:t>
      </w:r>
    </w:p>
    <w:p w:rsidR="004D6F0E" w:rsidRDefault="00490F21">
      <w:pPr>
        <w:spacing w:after="103"/>
        <w:ind w:left="11" w:right="2"/>
      </w:pPr>
      <w:r>
        <w:t>非美國股東亦可能須就股份的實益擁有權及有關實益擁有人的非美國身份向本傘子基金提供若干證明，以便免於進行美國資料報告及於贖回股份時免於繳納預備的預扣稅。</w:t>
      </w:r>
      <w:r>
        <w:rPr>
          <w:rFonts w:ascii="Arial" w:eastAsia="Arial" w:hAnsi="Arial" w:cs="Arial"/>
        </w:rPr>
        <w:t xml:space="preserve"> </w:t>
      </w:r>
    </w:p>
    <w:p w:rsidR="004D6F0E" w:rsidRDefault="00490F21">
      <w:pPr>
        <w:spacing w:after="122"/>
        <w:ind w:left="11" w:right="2"/>
      </w:pPr>
      <w:r>
        <w:t>一般情況。盧森堡政府或會與其他第三方國家訂立類似於美國政府間協議的其他政府間協議（「未來政府間協議」），以向該等第三方國家的財務機關（「外國財務機關」）推介類似申報制度。</w:t>
      </w:r>
      <w:r>
        <w:rPr>
          <w:rFonts w:ascii="Arial" w:eastAsia="Arial" w:hAnsi="Arial" w:cs="Arial"/>
        </w:rPr>
        <w:t xml:space="preserve"> </w:t>
      </w:r>
    </w:p>
    <w:p w:rsidR="004D6F0E" w:rsidRDefault="00490F21">
      <w:pPr>
        <w:spacing w:after="124"/>
        <w:ind w:left="11" w:right="2"/>
      </w:pPr>
      <w:r>
        <w:t>投資者投資（或繼續投資）於本傘子基金，</w:t>
      </w:r>
      <w:r>
        <w:t>即被視作承認：</w:t>
      </w:r>
      <w:r>
        <w:rPr>
          <w:rFonts w:ascii="Arial" w:eastAsia="Arial" w:hAnsi="Arial" w:cs="Arial"/>
        </w:rPr>
        <w:t xml:space="preserve"> </w:t>
      </w:r>
    </w:p>
    <w:p w:rsidR="004D6F0E" w:rsidRDefault="00490F21">
      <w:pPr>
        <w:numPr>
          <w:ilvl w:val="0"/>
          <w:numId w:val="33"/>
        </w:numPr>
        <w:ind w:left="422" w:right="2" w:hanging="420"/>
      </w:pPr>
      <w:r>
        <w:t>本傘子基金（或其代理或中介機構）或須向盧森堡財政部長披露有關投資者的若干機密資料，包括但不限於投資者姓名、地址、稅務識別號（如有）、社會保障號（如有</w:t>
      </w:r>
    </w:p>
    <w:p w:rsidR="004D6F0E" w:rsidRDefault="00490F21">
      <w:pPr>
        <w:spacing w:after="999"/>
        <w:ind w:left="441" w:right="2"/>
      </w:pPr>
      <w:r>
        <w:t>）及若干有關投資者投資的資料；</w:t>
      </w:r>
      <w:r>
        <w:rPr>
          <w:rFonts w:ascii="Arial" w:eastAsia="Arial" w:hAnsi="Arial" w:cs="Arial"/>
        </w:rPr>
        <w:t xml:space="preserve"> </w:t>
      </w:r>
    </w:p>
    <w:p w:rsidR="004D6F0E" w:rsidRDefault="00490F21">
      <w:pPr>
        <w:ind w:left="163" w:right="2"/>
      </w:pPr>
      <w:r>
        <w:t>地產投資信託基金出售美國房地產權益，則當本傘子基金收到派息時，須按淨額基準繳稅，並可能須繳納分公司利得稅。若干上市房地產投資信託基金向持有</w:t>
      </w:r>
      <w:r>
        <w:rPr>
          <w:rFonts w:ascii="Times New Roman" w:eastAsia="Times New Roman" w:hAnsi="Times New Roman" w:cs="Times New Roman"/>
        </w:rPr>
        <w:t>10%</w:t>
      </w:r>
      <w:r>
        <w:t>或以下股份的非美國股東作出的派息，須於派息時繳納</w:t>
      </w:r>
      <w:r>
        <w:rPr>
          <w:rFonts w:ascii="Times New Roman" w:eastAsia="Times New Roman" w:hAnsi="Times New Roman" w:cs="Times New Roman"/>
        </w:rPr>
        <w:t>30%</w:t>
      </w:r>
      <w:r>
        <w:t>總預扣稅，而毋須按淨額基準繳稅。</w:t>
      </w:r>
      <w:r>
        <w:rPr>
          <w:rFonts w:ascii="Times New Roman" w:eastAsia="Times New Roman" w:hAnsi="Times New Roman" w:cs="Times New Roman"/>
          <w:sz w:val="18"/>
        </w:rPr>
        <w:t xml:space="preserve"> </w:t>
      </w:r>
    </w:p>
    <w:p w:rsidR="004D6F0E" w:rsidRDefault="00490F21">
      <w:pPr>
        <w:numPr>
          <w:ilvl w:val="0"/>
          <w:numId w:val="33"/>
        </w:numPr>
        <w:spacing w:after="122"/>
        <w:ind w:left="422" w:right="2" w:hanging="420"/>
      </w:pPr>
      <w:r>
        <w:t>盧森堡財政部長或會向美國國稅局、盧森堡財政部長及其他外國財務機關提供上文概述資料；</w:t>
      </w:r>
      <w:r>
        <w:rPr>
          <w:rFonts w:ascii="Arial" w:eastAsia="Arial" w:hAnsi="Arial" w:cs="Arial"/>
        </w:rPr>
        <w:t xml:space="preserve"> </w:t>
      </w:r>
    </w:p>
    <w:p w:rsidR="004D6F0E" w:rsidRDefault="00490F21">
      <w:pPr>
        <w:numPr>
          <w:ilvl w:val="0"/>
          <w:numId w:val="33"/>
        </w:numPr>
        <w:spacing w:after="123"/>
        <w:ind w:left="422" w:right="2" w:hanging="420"/>
      </w:pPr>
      <w:r>
        <w:t>本傘子基金（或其代理或中介機構）或會於向美國國稅局、盧森堡財政部長及其他外國財務機關進行登記時及倘該等機關向本傘子基金（或直接向其代理）查詢其他問題時向彼等披露若干機密資料；</w:t>
      </w:r>
      <w:r>
        <w:rPr>
          <w:rFonts w:ascii="Arial" w:eastAsia="Arial" w:hAnsi="Arial" w:cs="Arial"/>
        </w:rPr>
        <w:t xml:space="preserve"> </w:t>
      </w:r>
    </w:p>
    <w:p w:rsidR="004D6F0E" w:rsidRDefault="00490F21">
      <w:pPr>
        <w:numPr>
          <w:ilvl w:val="0"/>
          <w:numId w:val="33"/>
        </w:numPr>
        <w:spacing w:after="122"/>
        <w:ind w:left="422" w:right="2" w:hanging="420"/>
      </w:pPr>
      <w:r>
        <w:t>本傘子基金或中介機構或會要求投資者提供本傘子基金或中介機構或須向盧森堡財政部長披露的額外資料及／或文件；</w:t>
      </w:r>
      <w:r>
        <w:rPr>
          <w:rFonts w:ascii="Arial" w:eastAsia="Arial" w:hAnsi="Arial" w:cs="Arial"/>
        </w:rPr>
        <w:t xml:space="preserve"> </w:t>
      </w:r>
    </w:p>
    <w:p w:rsidR="004D6F0E" w:rsidRDefault="00490F21">
      <w:pPr>
        <w:numPr>
          <w:ilvl w:val="0"/>
          <w:numId w:val="33"/>
        </w:numPr>
        <w:spacing w:after="123"/>
        <w:ind w:left="422" w:right="2" w:hanging="420"/>
      </w:pPr>
      <w:r>
        <w:t>倘投資者並未提供規定資料及／或文件及／或本身並未遵守適用規定，本傘子基金保留酌情採取任何行動及／或追究所有補償的權利，包括但不限於確保該投資</w:t>
      </w:r>
      <w:r>
        <w:t>者妥為支付有關其股份或贖回所得款項的任何預扣稅的行動及強制性贖回有關投資者的股份；及</w:t>
      </w:r>
      <w:r>
        <w:rPr>
          <w:rFonts w:ascii="Arial" w:eastAsia="Arial" w:hAnsi="Arial" w:cs="Arial"/>
        </w:rPr>
        <w:t xml:space="preserve"> </w:t>
      </w:r>
    </w:p>
    <w:p w:rsidR="004D6F0E" w:rsidRDefault="00490F21">
      <w:pPr>
        <w:numPr>
          <w:ilvl w:val="0"/>
          <w:numId w:val="33"/>
        </w:numPr>
        <w:spacing w:after="123" w:line="273" w:lineRule="auto"/>
        <w:ind w:left="422" w:right="2" w:hanging="420"/>
      </w:pPr>
      <w:r>
        <w:t>受該等任何行動或補償影響的投資者概不得就因本傘子基金或其代理所採取的任何行動或追究的任何補償而引致的任何形式的損害或責任向本傘子基金（或其代理）提出申索，以遵守</w:t>
      </w:r>
      <w:r>
        <w:t xml:space="preserve"> </w:t>
      </w:r>
      <w:r>
        <w:rPr>
          <w:rFonts w:ascii="Arial" w:eastAsia="Arial" w:hAnsi="Arial" w:cs="Arial"/>
        </w:rPr>
        <w:t>FATCA</w:t>
      </w:r>
      <w:r>
        <w:t>、任何美國政府間協議或任何未來政府間協議或任何相關法例及規例。</w:t>
      </w:r>
      <w:r>
        <w:rPr>
          <w:rFonts w:ascii="Arial" w:eastAsia="Arial" w:hAnsi="Arial" w:cs="Arial"/>
        </w:rPr>
        <w:t xml:space="preserve"> </w:t>
      </w:r>
    </w:p>
    <w:p w:rsidR="004D6F0E" w:rsidRDefault="00490F21">
      <w:pPr>
        <w:spacing w:after="102" w:line="273" w:lineRule="auto"/>
        <w:ind w:left="14" w:right="41"/>
        <w:jc w:val="both"/>
      </w:pPr>
      <w:r>
        <w:rPr>
          <w:sz w:val="20"/>
        </w:rPr>
        <w:t>美國預扣稅。</w:t>
      </w:r>
      <w:r>
        <w:t>儘管如此，一般而言，根據美國國內稅收法第</w:t>
      </w:r>
      <w:r>
        <w:t xml:space="preserve"> </w:t>
      </w:r>
      <w:r>
        <w:rPr>
          <w:rFonts w:ascii="Arial" w:eastAsia="Arial" w:hAnsi="Arial" w:cs="Arial"/>
        </w:rPr>
        <w:t xml:space="preserve">881 </w:t>
      </w:r>
      <w:r>
        <w:t>條，未有從事美國貿易或商業的非美國公司須就實際上與美國貿易或商業無關的若干美國來源收入總額，按</w:t>
      </w:r>
      <w:r>
        <w:t xml:space="preserve"> </w:t>
      </w:r>
      <w:r>
        <w:rPr>
          <w:rFonts w:ascii="Arial" w:eastAsia="Arial" w:hAnsi="Arial" w:cs="Arial"/>
        </w:rPr>
        <w:t>30%</w:t>
      </w:r>
      <w:r>
        <w:t>的統一稅率（或較低的稅</w:t>
      </w:r>
      <w:r>
        <w:t>務協定稅率）繳稅，一般透過預扣方式繳納。須按上述統一稅率繳稅的收入屬固定或可釐定的年度或定期性質，包括股息、若干「相當於股息的付款」及若干利息收入。在部分情況下，須繳付</w:t>
      </w:r>
      <w:r>
        <w:t xml:space="preserve"> </w:t>
      </w:r>
      <w:r>
        <w:rPr>
          <w:rFonts w:ascii="Arial" w:eastAsia="Arial" w:hAnsi="Arial" w:cs="Arial"/>
        </w:rPr>
        <w:t>30%</w:t>
      </w:r>
      <w:r>
        <w:t>稅率（或較低的稅務協定稅率）的股息收入可能因發行公司調整行使或兌換比率或因其他企業行動導致持有人於盈利及溢利的權益或發行公司的資產增加而歸於若干股本權益或股本衍生工具（例如期權或可換股債務）的持有人。若干類型收入已明確獲豁免繳納</w:t>
      </w:r>
      <w:r>
        <w:t xml:space="preserve"> </w:t>
      </w:r>
      <w:r>
        <w:rPr>
          <w:rFonts w:ascii="Arial" w:eastAsia="Arial" w:hAnsi="Arial" w:cs="Arial"/>
        </w:rPr>
        <w:t>30%</w:t>
      </w:r>
      <w:r>
        <w:t>稅項，故向非美國公司支付有關收入時毋須作出預扣。該</w:t>
      </w:r>
      <w:r>
        <w:t xml:space="preserve"> </w:t>
      </w:r>
      <w:r>
        <w:rPr>
          <w:rFonts w:ascii="Arial" w:eastAsia="Arial" w:hAnsi="Arial" w:cs="Arial"/>
        </w:rPr>
        <w:t>30%</w:t>
      </w:r>
      <w:r>
        <w:t>稅項並不適用於美國來源的資本收益（不論長期</w:t>
      </w:r>
      <w:r>
        <w:t>或短期）或非美國公司向美國銀行存款而已獲支付的利息。該</w:t>
      </w:r>
      <w:r>
        <w:t xml:space="preserve"> </w:t>
      </w:r>
      <w:r>
        <w:rPr>
          <w:rFonts w:ascii="Arial" w:eastAsia="Arial" w:hAnsi="Arial" w:cs="Arial"/>
        </w:rPr>
        <w:t>30%</w:t>
      </w:r>
      <w:r>
        <w:t>稅項亦不適用於符合資格作為投資組合利息的利息。「投資組合利息」一詞一般包括於一九八四年七月十八日後以記名形式發行的債券的利息（包括原發行折讓），而在其他情況下可能須扣減及預扣</w:t>
      </w:r>
      <w:r>
        <w:t xml:space="preserve"> </w:t>
      </w:r>
      <w:r>
        <w:rPr>
          <w:rFonts w:ascii="Arial" w:eastAsia="Arial" w:hAnsi="Arial" w:cs="Arial"/>
        </w:rPr>
        <w:t>30%</w:t>
      </w:r>
      <w:r>
        <w:t>稅項的人士已收到必要的聲明，表示該債券的實益擁有人並非美國國內稅收法所界定的美國人士。此外，倘若任何信貸違約掉期呈現保險合約或擔保特徵，則根據該信貸違約掉期收取的付款或須繳納特許權稅或預扣稅。</w:t>
      </w:r>
      <w:r>
        <w:rPr>
          <w:rFonts w:ascii="Arial" w:eastAsia="Arial" w:hAnsi="Arial" w:cs="Arial"/>
        </w:rPr>
        <w:t xml:space="preserve"> </w:t>
      </w:r>
    </w:p>
    <w:p w:rsidR="004D6F0E" w:rsidRDefault="00490F21">
      <w:pPr>
        <w:spacing w:after="102" w:line="273" w:lineRule="auto"/>
        <w:ind w:left="14" w:right="41"/>
        <w:jc w:val="both"/>
      </w:pPr>
      <w:r>
        <w:rPr>
          <w:sz w:val="20"/>
        </w:rPr>
        <w:t>贖回股份。</w:t>
      </w:r>
      <w:r>
        <w:t>並非美國國內稅收法所界定的美國人士的股東（「非美國股東」）因出售、交換或贖回持作資本資產的股份而已實現的收益，一般無需繳納美國聯邦所得稅，惟該收益實際上並非與在美國從事貿易或商業活動有關。然而，對非居民外國個人而言，倘若</w:t>
      </w:r>
      <w:r>
        <w:rPr>
          <w:rFonts w:ascii="Arial" w:eastAsia="Arial" w:hAnsi="Arial" w:cs="Arial"/>
        </w:rPr>
        <w:t>(i)</w:t>
      </w:r>
      <w:r>
        <w:t>該人士在應課稅年度位於美國長達</w:t>
      </w:r>
      <w:r>
        <w:t xml:space="preserve"> </w:t>
      </w:r>
      <w:r>
        <w:rPr>
          <w:rFonts w:ascii="Arial" w:eastAsia="Arial" w:hAnsi="Arial" w:cs="Arial"/>
        </w:rPr>
        <w:t xml:space="preserve">183 </w:t>
      </w:r>
      <w:r>
        <w:t>天或以上（按曆年基準計算，除非該非居民外國個人先前已確立不同的應課稅年度）；及</w:t>
      </w:r>
      <w:r>
        <w:rPr>
          <w:rFonts w:ascii="Arial" w:eastAsia="Arial" w:hAnsi="Arial" w:cs="Arial"/>
        </w:rPr>
        <w:t>(ii)</w:t>
      </w:r>
      <w:r>
        <w:t>該收益來自於美國，則該收益將須繳納</w:t>
      </w:r>
      <w:r>
        <w:t xml:space="preserve"> </w:t>
      </w:r>
      <w:r>
        <w:rPr>
          <w:rFonts w:ascii="Arial" w:eastAsia="Arial" w:hAnsi="Arial" w:cs="Arial"/>
        </w:rPr>
        <w:t>30%</w:t>
      </w:r>
      <w:r>
        <w:t>（或較低的稅務協定稅率）美國稅項。出售、交換或贖回股份的收益來源一般按股東的居住地釐定。就釐定收益來源目的而言，美國國</w:t>
      </w:r>
      <w:r>
        <w:t>內稅收法界定居籍的方式可能導致在其他情況下屬美國非居民外國人的個人，僅就釐定收益來源的目的而被視為美國居民。預期在任何應課稅年度位於美國長達</w:t>
      </w:r>
      <w:r>
        <w:t xml:space="preserve"> </w:t>
      </w:r>
      <w:r>
        <w:rPr>
          <w:rFonts w:ascii="Arial" w:eastAsia="Arial" w:hAnsi="Arial" w:cs="Arial"/>
        </w:rPr>
        <w:t xml:space="preserve">183 </w:t>
      </w:r>
      <w:r>
        <w:t>天或以上的各潛在個人股東，應就該規則的可能應用諮詢其稅務顧問。</w:t>
      </w:r>
      <w:r>
        <w:rPr>
          <w:rFonts w:ascii="Arial" w:eastAsia="Arial" w:hAnsi="Arial" w:cs="Arial"/>
        </w:rPr>
        <w:t xml:space="preserve"> </w:t>
      </w:r>
    </w:p>
    <w:p w:rsidR="004D6F0E" w:rsidRDefault="00490F21">
      <w:pPr>
        <w:spacing w:after="102"/>
        <w:ind w:left="11" w:right="2"/>
      </w:pPr>
      <w:r>
        <w:t>倘從事美國貿易或商業的非美國股東已實現的收益實際上與其美國貿易或商業有關，則須於出售、交換或贖回股份時繳納美國聯邦所得稅。</w:t>
      </w:r>
      <w:r>
        <w:rPr>
          <w:rFonts w:ascii="Arial" w:eastAsia="Arial" w:hAnsi="Arial" w:cs="Arial"/>
        </w:rPr>
        <w:t xml:space="preserve"> </w:t>
      </w:r>
    </w:p>
    <w:p w:rsidR="004D6F0E" w:rsidRDefault="00490F21">
      <w:pPr>
        <w:spacing w:after="100"/>
        <w:ind w:left="11" w:right="2"/>
      </w:pPr>
      <w:r>
        <w:rPr>
          <w:sz w:val="20"/>
        </w:rPr>
        <w:t>遺產稅及捐贈稅。</w:t>
      </w:r>
      <w:r>
        <w:t>並非現有及前美國公民或美國居民（按美國遺產稅及捐贈稅的目的釐定）的股份個人持有人，毋須就其持有有關股份繳納美國遺產稅及捐贈稅。</w:t>
      </w:r>
      <w:r>
        <w:rPr>
          <w:rFonts w:ascii="Arial" w:eastAsia="Arial" w:hAnsi="Arial" w:cs="Arial"/>
        </w:rPr>
        <w:t xml:space="preserve"> </w:t>
      </w:r>
    </w:p>
    <w:p w:rsidR="004D6F0E" w:rsidRDefault="00490F21">
      <w:pPr>
        <w:spacing w:after="94"/>
        <w:ind w:left="11" w:right="2"/>
      </w:pPr>
      <w:r>
        <w:t>與財政透明股份類別的某些投資者有關的美國稅務條約惠利的資格要求。一般而言，本傘子基金須就源於美國並支付予本傘子基金的股息繳納</w:t>
      </w:r>
      <w:r>
        <w:t xml:space="preserve"> </w:t>
      </w:r>
      <w:r>
        <w:rPr>
          <w:rFonts w:ascii="Arial" w:eastAsia="Arial" w:hAnsi="Arial" w:cs="Arial"/>
        </w:rPr>
        <w:t>30%</w:t>
      </w:r>
      <w:r>
        <w:t>的標準法定美國預扣稅。但是，在某些情況下，可降低稅率。</w:t>
      </w:r>
      <w:r>
        <w:rPr>
          <w:rFonts w:ascii="Arial" w:eastAsia="Arial" w:hAnsi="Arial" w:cs="Arial"/>
          <w:sz w:val="20"/>
        </w:rPr>
        <w:t xml:space="preserve"> </w:t>
      </w:r>
    </w:p>
    <w:p w:rsidR="004D6F0E" w:rsidRDefault="00490F21">
      <w:pPr>
        <w:spacing w:after="92"/>
        <w:ind w:left="11" w:right="2"/>
      </w:pPr>
      <w:r>
        <w:t>倘若是與美國簽訂雙重課稅條約的國家，其居民一般可降低美國股息預扣稅至低於美國法律所規定</w:t>
      </w:r>
      <w:r>
        <w:t xml:space="preserve"> </w:t>
      </w:r>
      <w:r>
        <w:rPr>
          <w:rFonts w:ascii="Arial" w:eastAsia="Arial" w:hAnsi="Arial" w:cs="Arial"/>
        </w:rPr>
        <w:t>30%</w:t>
      </w:r>
      <w:r>
        <w:t>的標準預扣稅率。若投資者投資於一項非美國投資工具，該人士可要求降低支付予該投資工具的美國收入的預扣稅，惟須符合三項條件：</w:t>
      </w:r>
      <w:r>
        <w:rPr>
          <w:rFonts w:ascii="Arial" w:eastAsia="Arial" w:hAnsi="Arial" w:cs="Arial"/>
        </w:rPr>
        <w:t xml:space="preserve"> </w:t>
      </w:r>
      <w:r>
        <w:rPr>
          <w:rFonts w:ascii="Arial" w:eastAsia="Arial" w:hAnsi="Arial" w:cs="Arial"/>
          <w:sz w:val="20"/>
        </w:rPr>
        <w:t xml:space="preserve"> </w:t>
      </w:r>
    </w:p>
    <w:p w:rsidR="004D6F0E" w:rsidRDefault="00490F21">
      <w:pPr>
        <w:numPr>
          <w:ilvl w:val="0"/>
          <w:numId w:val="34"/>
        </w:numPr>
        <w:spacing w:after="96"/>
        <w:ind w:right="2" w:hanging="257"/>
      </w:pPr>
      <w:r>
        <w:t>該投資工具被投資者作為納稅居民所在國家視為財政透明；</w:t>
      </w:r>
      <w:r>
        <w:rPr>
          <w:rFonts w:ascii="Arial" w:eastAsia="Arial" w:hAnsi="Arial" w:cs="Arial"/>
          <w:sz w:val="20"/>
        </w:rPr>
        <w:t xml:space="preserve"> </w:t>
      </w:r>
    </w:p>
    <w:p w:rsidR="004D6F0E" w:rsidRDefault="00490F21">
      <w:pPr>
        <w:numPr>
          <w:ilvl w:val="0"/>
          <w:numId w:val="34"/>
        </w:numPr>
        <w:spacing w:after="96"/>
        <w:ind w:right="2" w:hanging="257"/>
      </w:pPr>
      <w:r>
        <w:t>該投資者本身並不被投資者作為納稅居民所在國家視</w:t>
      </w:r>
      <w:r>
        <w:t>為財政透明；及</w:t>
      </w:r>
      <w:r>
        <w:rPr>
          <w:rFonts w:ascii="Arial" w:eastAsia="Arial" w:hAnsi="Arial" w:cs="Arial"/>
        </w:rPr>
        <w:t xml:space="preserve"> </w:t>
      </w:r>
      <w:r>
        <w:rPr>
          <w:rFonts w:ascii="Arial" w:eastAsia="Arial" w:hAnsi="Arial" w:cs="Arial"/>
          <w:sz w:val="20"/>
        </w:rPr>
        <w:t xml:space="preserve"> </w:t>
      </w:r>
    </w:p>
    <w:p w:rsidR="004D6F0E" w:rsidRDefault="00490F21">
      <w:pPr>
        <w:numPr>
          <w:ilvl w:val="0"/>
          <w:numId w:val="34"/>
        </w:numPr>
        <w:spacing w:after="91"/>
        <w:ind w:right="2" w:hanging="257"/>
      </w:pPr>
      <w:r>
        <w:t>投資者納稅居住國和美國對財政透明的態度相似。依據此等條款，就某項收入而言，非美國投資工具通常被視為財政上透明，條件是投資者作為納稅居民所在的國家要求該投資者將支付予該投資工具的收入項歸其名下的部分單獨列入經常帳，而不論該項收入是否由該投資工具分派予該投資者，另外的條件是，投資者掌握的收入項的性質和來源，須被釐定為猶如直接來源於投資工具的收入來源。</w:t>
      </w:r>
      <w:r>
        <w:rPr>
          <w:rFonts w:ascii="Arial" w:eastAsia="Arial" w:hAnsi="Arial" w:cs="Arial"/>
          <w:sz w:val="20"/>
        </w:rPr>
        <w:t xml:space="preserve"> </w:t>
      </w:r>
    </w:p>
    <w:p w:rsidR="004D6F0E" w:rsidRDefault="00490F21">
      <w:pPr>
        <w:spacing w:after="103"/>
        <w:ind w:left="11" w:right="2"/>
      </w:pPr>
      <w:r>
        <w:t>但是，倘若任何類型的反遞延稅制或類似機制要求投資者在總收入經常帳中納入該實體部分或全部收入中歸屬其名下的份額，則非美國投資工具將不被視為財政</w:t>
      </w:r>
      <w:r>
        <w:t>上透明。</w:t>
      </w:r>
      <w:r>
        <w:rPr>
          <w:rFonts w:ascii="Arial" w:eastAsia="Arial" w:hAnsi="Arial" w:cs="Arial"/>
        </w:rPr>
        <w:t xml:space="preserve"> </w:t>
      </w:r>
    </w:p>
    <w:p w:rsidR="004D6F0E" w:rsidRDefault="00490F21">
      <w:pPr>
        <w:spacing w:after="101"/>
        <w:ind w:left="11" w:right="247"/>
      </w:pPr>
      <w:r>
        <w:t>本傘子基金已就英國、愛爾蘭和荷蘭法律獲稅務機關裁決或法律意見，確認依據此等國家的所得稅法，本傘子基金具備財政透明性質。因此，屬於上述任何類別的投資者，倘若其本身並不被上述國家中的一個國家視為財政透明（而該投資者是該國的納稅居民），並符合某些文件的要求，則可依據相關稅務條約規定，要求降低美國來源收入項的美國預扣稅（或可在某些情況下要求全部減免），將該收入項當作直接來源於本傘子基金的收入來源。要求依據相關雙重課稅條約獲得此類惠利的非美國投資者，也可能被要求披露已用</w:t>
      </w:r>
      <w:r>
        <w:t xml:space="preserve"> </w:t>
      </w:r>
      <w:r>
        <w:rPr>
          <w:rFonts w:ascii="Arial" w:eastAsia="Arial" w:hAnsi="Arial" w:cs="Arial"/>
        </w:rPr>
        <w:t xml:space="preserve">8833 </w:t>
      </w:r>
      <w:r>
        <w:t>表向美國稅務機關申報同樣</w:t>
      </w:r>
      <w:r>
        <w:t>要求。考慮投資於上述財政透明股份類別的人士應徵詢美國稅務顧問的意見。關於財政透明的其他事項</w:t>
      </w:r>
      <w:r>
        <w:rPr>
          <w:rFonts w:ascii="Arial" w:eastAsia="Arial" w:hAnsi="Arial" w:cs="Arial"/>
          <w:b/>
        </w:rPr>
        <w:t xml:space="preserve"> </w:t>
      </w:r>
    </w:p>
    <w:p w:rsidR="004D6F0E" w:rsidRDefault="00490F21">
      <w:pPr>
        <w:spacing w:after="103"/>
        <w:ind w:left="11" w:right="2"/>
      </w:pPr>
      <w:r>
        <w:t>此外，某些國家將本傘子基金的投資者視為已按比例直接買進本傘子基金資產的權益。因此，就其納稅居住國的所得稅目的而言，非美國投資者可能必須按比例計及本傘子基金收入的相應份額，而不論本傘子基金是否派息或贖股。投資者在投資本傘子基金之前，應徵詢其稅務顧問的意見，確定是否必須按要求這樣做。本傘子基金、管理公司和存管人無意向投資者提供比目前提供的投資報告更為詳細的投資報告。投資者在投資本傘子基金之前，應徵詢其稅務顧問的意見，確</w:t>
      </w:r>
      <w:r>
        <w:t>保投資者有能力遵循其納稅居住國的稅法。</w:t>
      </w:r>
      <w:r>
        <w:rPr>
          <w:rFonts w:ascii="Arial" w:eastAsia="Arial" w:hAnsi="Arial" w:cs="Arial"/>
        </w:rPr>
        <w:t xml:space="preserve"> </w:t>
      </w:r>
    </w:p>
    <w:p w:rsidR="004D6F0E" w:rsidRDefault="00490F21">
      <w:pPr>
        <w:spacing w:after="127"/>
        <w:ind w:left="11" w:right="2"/>
      </w:pPr>
      <w:r>
        <w:t>中華人民共和國（「中國」）稅務</w:t>
      </w:r>
      <w:r>
        <w:rPr>
          <w:rFonts w:ascii="Arial" w:eastAsia="Arial" w:hAnsi="Arial" w:cs="Arial"/>
          <w:b/>
        </w:rPr>
        <w:t xml:space="preserve"> </w:t>
      </w:r>
    </w:p>
    <w:p w:rsidR="004D6F0E" w:rsidRDefault="00490F21">
      <w:pPr>
        <w:spacing w:after="123"/>
        <w:ind w:left="11" w:right="2"/>
      </w:pPr>
      <w:r>
        <w:t>透過投資於中國居民企業的股份（包括中國</w:t>
      </w:r>
      <w:r>
        <w:t xml:space="preserve"> </w:t>
      </w:r>
      <w:r>
        <w:rPr>
          <w:rFonts w:ascii="Arial" w:eastAsia="Arial" w:hAnsi="Arial" w:cs="Arial"/>
        </w:rPr>
        <w:t>A</w:t>
      </w:r>
      <w:r>
        <w:t>、</w:t>
      </w:r>
      <w:r>
        <w:rPr>
          <w:rFonts w:ascii="Arial" w:eastAsia="Arial" w:hAnsi="Arial" w:cs="Arial"/>
        </w:rPr>
        <w:t xml:space="preserve">B </w:t>
      </w:r>
      <w:r>
        <w:t>及</w:t>
      </w:r>
      <w:r>
        <w:t xml:space="preserve"> </w:t>
      </w:r>
      <w:r>
        <w:rPr>
          <w:rFonts w:ascii="Arial" w:eastAsia="Arial" w:hAnsi="Arial" w:cs="Arial"/>
        </w:rPr>
        <w:t xml:space="preserve">H </w:t>
      </w:r>
      <w:r>
        <w:t>股）、人民幣計價企業及政府債券、證券投資基金以及於中國證券交易所或中國銀行間債券市場上市的認股權證，基金可能須繳納中國所徵收的預扣所得稅（「預扣所得稅」）及其他稅項。</w:t>
      </w:r>
      <w:r>
        <w:rPr>
          <w:rFonts w:ascii="Arial" w:eastAsia="Arial" w:hAnsi="Arial" w:cs="Arial"/>
        </w:rPr>
        <w:t xml:space="preserve"> </w:t>
      </w:r>
    </w:p>
    <w:p w:rsidR="004D6F0E" w:rsidRDefault="00490F21">
      <w:pPr>
        <w:spacing w:after="127"/>
        <w:ind w:left="11" w:right="2"/>
      </w:pPr>
      <w:r>
        <w:rPr>
          <w:rFonts w:ascii="Arial" w:eastAsia="Arial" w:hAnsi="Arial" w:cs="Arial"/>
        </w:rPr>
        <w:t xml:space="preserve">(a) </w:t>
      </w:r>
      <w:r>
        <w:t>中國企業所得稅（「企業所得稅」）：</w:t>
      </w:r>
      <w:r>
        <w:rPr>
          <w:rFonts w:ascii="Arial" w:eastAsia="Arial" w:hAnsi="Arial" w:cs="Arial"/>
        </w:rPr>
        <w:t xml:space="preserve"> </w:t>
      </w:r>
    </w:p>
    <w:p w:rsidR="004D6F0E" w:rsidRDefault="00490F21">
      <w:pPr>
        <w:spacing w:after="102" w:line="273" w:lineRule="auto"/>
        <w:ind w:left="14" w:right="41"/>
        <w:jc w:val="both"/>
      </w:pPr>
      <w:r>
        <w:t>在缺乏具體指引的情況下，並不確定</w:t>
      </w:r>
      <w:r>
        <w:t xml:space="preserve"> </w:t>
      </w:r>
      <w:r>
        <w:rPr>
          <w:rFonts w:ascii="Arial" w:eastAsia="Arial" w:hAnsi="Arial" w:cs="Arial"/>
        </w:rPr>
        <w:t xml:space="preserve">QFI </w:t>
      </w:r>
      <w:r>
        <w:t>或相關進行投資的基金會否被視為源自於中國投資債券、股票及其他證券的中國來源收入的納稅人。倘</w:t>
      </w:r>
      <w:r>
        <w:t xml:space="preserve"> </w:t>
      </w:r>
      <w:r>
        <w:rPr>
          <w:rFonts w:ascii="Arial" w:eastAsia="Arial" w:hAnsi="Arial" w:cs="Arial"/>
        </w:rPr>
        <w:t xml:space="preserve">QFI </w:t>
      </w:r>
      <w:r>
        <w:t>被視為納稅人，則向</w:t>
      </w:r>
      <w:r>
        <w:t xml:space="preserve"> </w:t>
      </w:r>
      <w:r>
        <w:rPr>
          <w:rFonts w:ascii="Arial" w:eastAsia="Arial" w:hAnsi="Arial" w:cs="Arial"/>
        </w:rPr>
        <w:t>Q</w:t>
      </w:r>
      <w:r>
        <w:rPr>
          <w:rFonts w:ascii="Arial" w:eastAsia="Arial" w:hAnsi="Arial" w:cs="Arial"/>
        </w:rPr>
        <w:t xml:space="preserve">FI </w:t>
      </w:r>
      <w:r>
        <w:t>徵收的任何中國稅項會由本傘子基金的相關基金償付及最終承擔。</w:t>
      </w:r>
      <w:r>
        <w:rPr>
          <w:rFonts w:ascii="Arial" w:eastAsia="Arial" w:hAnsi="Arial" w:cs="Arial"/>
        </w:rPr>
        <w:t xml:space="preserve"> </w:t>
      </w:r>
    </w:p>
    <w:p w:rsidR="004D6F0E" w:rsidRDefault="00490F21">
      <w:pPr>
        <w:ind w:left="11" w:right="2"/>
      </w:pPr>
      <w:r>
        <w:t>倘相關基金被視為納稅人，且被視為中國稅務居民企業，則該等基金將須就其全球應課稅收入按</w:t>
      </w:r>
      <w:r>
        <w:t xml:space="preserve"> </w:t>
      </w:r>
      <w:r>
        <w:rPr>
          <w:rFonts w:ascii="Arial" w:eastAsia="Arial" w:hAnsi="Arial" w:cs="Arial"/>
        </w:rPr>
        <w:t>25%</w:t>
      </w:r>
      <w:r>
        <w:t>的稅率繳納中國企業所得稅。倘基金被視為於中國設有機構或營業地點（「營業地點」）的非稅務居民企業，則該營業地點應佔的中國來源利潤須按</w:t>
      </w:r>
    </w:p>
    <w:p w:rsidR="004D6F0E" w:rsidRDefault="00490F21">
      <w:pPr>
        <w:spacing w:after="123"/>
        <w:ind w:left="11" w:right="2"/>
      </w:pPr>
      <w:r>
        <w:rPr>
          <w:rFonts w:ascii="Arial" w:eastAsia="Arial" w:hAnsi="Arial" w:cs="Arial"/>
        </w:rPr>
        <w:t>25%</w:t>
      </w:r>
      <w:r>
        <w:t>的稅率繳納企業所得稅。</w:t>
      </w:r>
      <w:r>
        <w:rPr>
          <w:rFonts w:ascii="Arial" w:eastAsia="Arial" w:hAnsi="Arial" w:cs="Arial"/>
        </w:rPr>
        <w:t xml:space="preserve"> </w:t>
      </w:r>
    </w:p>
    <w:p w:rsidR="004D6F0E" w:rsidRDefault="00490F21">
      <w:pPr>
        <w:spacing w:after="130"/>
        <w:ind w:left="11" w:right="2"/>
      </w:pPr>
      <w:r>
        <w:t>根據於二零零八年一月一日生效的中國企業所得稅法，於中國並無營業地點的外國企業一般須就其中國來源收入（包括但不限於被動收入，例如股息、利息、轉讓資產所產生的收益等）按目前為</w:t>
      </w:r>
      <w:r>
        <w:t xml:space="preserve"> </w:t>
      </w:r>
      <w:r>
        <w:rPr>
          <w:rFonts w:ascii="Arial" w:eastAsia="Arial" w:hAnsi="Arial" w:cs="Arial"/>
        </w:rPr>
        <w:t>10%</w:t>
      </w:r>
      <w:r>
        <w:t>的稅率繳納預扣所得稅，惟可應用條約上的寬減。投資管理人擬管理及營運基金，使基金及本傘子基金就企業所得稅而言不被視為中國稅務居民企業或於中國設有營業地點的非稅務居民企業，然而此事並無保證。因此，預期基金應僅須就相關基金於中國的債券、股票及其他證券投資直接取得的中國來源收入按</w:t>
      </w:r>
      <w:r>
        <w:t xml:space="preserve"> </w:t>
      </w:r>
      <w:r>
        <w:rPr>
          <w:rFonts w:ascii="Arial" w:eastAsia="Arial" w:hAnsi="Arial" w:cs="Arial"/>
        </w:rPr>
        <w:t>10%</w:t>
      </w:r>
      <w:r>
        <w:t>的稅率繳納預扣所得稅。</w:t>
      </w:r>
      <w:r>
        <w:rPr>
          <w:rFonts w:ascii="Arial" w:eastAsia="Arial" w:hAnsi="Arial" w:cs="Arial"/>
        </w:rPr>
        <w:t xml:space="preserve"> </w:t>
      </w:r>
    </w:p>
    <w:p w:rsidR="004D6F0E" w:rsidRDefault="00490F21">
      <w:pPr>
        <w:numPr>
          <w:ilvl w:val="0"/>
          <w:numId w:val="35"/>
        </w:numPr>
        <w:spacing w:after="120" w:line="259" w:lineRule="auto"/>
        <w:ind w:hanging="558"/>
      </w:pPr>
      <w:r>
        <w:rPr>
          <w:sz w:val="20"/>
        </w:rPr>
        <w:t>利息</w:t>
      </w:r>
      <w:r>
        <w:rPr>
          <w:rFonts w:ascii="Arial" w:eastAsia="Arial" w:hAnsi="Arial" w:cs="Arial"/>
          <w:i/>
        </w:rPr>
        <w:t xml:space="preserve"> </w:t>
      </w:r>
    </w:p>
    <w:p w:rsidR="004D6F0E" w:rsidRDefault="00490F21">
      <w:pPr>
        <w:spacing w:after="119"/>
        <w:ind w:left="11" w:right="2"/>
      </w:pPr>
      <w:r>
        <w:t>除非特定豁免適用，否</w:t>
      </w:r>
      <w:r>
        <w:t>則非中國稅務居民（包括本傘子基金）須就中國稅務居民所發行的債務工具（包括於中國大陸境內成立的企業所發行債券）所收取的利息繳納中國預扣所得稅。普遍適用的預扣所得稅稅率為</w:t>
      </w:r>
      <w:r>
        <w:t xml:space="preserve"> </w:t>
      </w:r>
      <w:r>
        <w:rPr>
          <w:rFonts w:ascii="Arial" w:eastAsia="Arial" w:hAnsi="Arial" w:cs="Arial"/>
        </w:rPr>
        <w:t>10%</w:t>
      </w:r>
      <w:r>
        <w:t>，惟可根據適用的雙重徵稅條約扣減。根據中國企業所得稅法，源自中國財政部及地方政府所發行的政府債券的利息獲豁免繳納中國企業所得稅。地方政府債券指省、自治區、中央政府的直轄市或中國國家計劃單列市政府所發行的債券。</w:t>
      </w:r>
      <w:r>
        <w:rPr>
          <w:rFonts w:ascii="Arial" w:eastAsia="Arial" w:hAnsi="Arial" w:cs="Arial"/>
        </w:rPr>
        <w:t xml:space="preserve"> </w:t>
      </w:r>
    </w:p>
    <w:p w:rsidR="004D6F0E" w:rsidRDefault="00490F21">
      <w:pPr>
        <w:spacing w:after="123" w:line="273" w:lineRule="auto"/>
        <w:ind w:left="14" w:right="41"/>
        <w:jc w:val="both"/>
      </w:pPr>
      <w:r>
        <w:t>根據《內地和香港特別行政區關於對所得避免雙重徵稅和防止偷漏稅的安排》（「內地</w:t>
      </w:r>
      <w:r>
        <w:rPr>
          <w:rFonts w:ascii="Arial" w:eastAsia="Arial" w:hAnsi="Arial" w:cs="Arial"/>
          <w:b/>
        </w:rPr>
        <w:t>-</w:t>
      </w:r>
      <w:r>
        <w:t>香港安排」），倘香港稅務居民從中國取得利息收入，</w:t>
      </w:r>
      <w:r>
        <w:t>則預扣所得稅稅率可調減至</w:t>
      </w:r>
      <w:r>
        <w:t xml:space="preserve"> </w:t>
      </w:r>
      <w:r>
        <w:rPr>
          <w:rFonts w:ascii="Arial" w:eastAsia="Arial" w:hAnsi="Arial" w:cs="Arial"/>
        </w:rPr>
        <w:t>7%</w:t>
      </w:r>
      <w:r>
        <w:t>，惟該名香港稅務居民須為內地</w:t>
      </w:r>
      <w:r>
        <w:rPr>
          <w:rFonts w:ascii="Arial" w:eastAsia="Arial" w:hAnsi="Arial" w:cs="Arial"/>
        </w:rPr>
        <w:t>-</w:t>
      </w:r>
      <w:r>
        <w:t>香港安排所指的利息收入的實益擁有人。應用經調減的</w:t>
      </w:r>
      <w:r>
        <w:t xml:space="preserve"> </w:t>
      </w:r>
      <w:r>
        <w:rPr>
          <w:rFonts w:ascii="Arial" w:eastAsia="Arial" w:hAnsi="Arial" w:cs="Arial"/>
        </w:rPr>
        <w:t>7%</w:t>
      </w:r>
      <w:r>
        <w:t>稅率前須預先獲中國稅務機關批准。根據中國盧森堡雙重徵稅協議（「中國盧森堡雙重徵稅協議」），本傘子基金的中國來源利息收入並無條約上的寬減，因此將應用</w:t>
      </w:r>
      <w:r>
        <w:t xml:space="preserve"> </w:t>
      </w:r>
      <w:r>
        <w:rPr>
          <w:rFonts w:ascii="Arial" w:eastAsia="Arial" w:hAnsi="Arial" w:cs="Arial"/>
        </w:rPr>
        <w:t>10%</w:t>
      </w:r>
      <w:r>
        <w:t>的預扣所得稅稅率。目前尚未確定中國稅務機關將如何評定投資基金的實益擁有權問題，以及</w:t>
      </w:r>
      <w:r>
        <w:t xml:space="preserve"> </w:t>
      </w:r>
      <w:r>
        <w:rPr>
          <w:rFonts w:ascii="Arial" w:eastAsia="Arial" w:hAnsi="Arial" w:cs="Arial"/>
        </w:rPr>
        <w:t xml:space="preserve">QFI </w:t>
      </w:r>
      <w:r>
        <w:t>或本傘子基金會否被視為債券利息收入的納稅人。倘不獲相關批准或基金被視為納稅人，則</w:t>
      </w:r>
      <w:r>
        <w:t xml:space="preserve"> </w:t>
      </w:r>
      <w:r>
        <w:rPr>
          <w:rFonts w:ascii="Arial" w:eastAsia="Arial" w:hAnsi="Arial" w:cs="Arial"/>
        </w:rPr>
        <w:t xml:space="preserve">10% </w:t>
      </w:r>
      <w:r>
        <w:t>的一般稅率將適用於本傘子基金投資於中國的基金。</w:t>
      </w:r>
      <w:r>
        <w:rPr>
          <w:rFonts w:ascii="Arial" w:eastAsia="Arial" w:hAnsi="Arial" w:cs="Arial"/>
        </w:rPr>
        <w:t xml:space="preserve"> </w:t>
      </w:r>
    </w:p>
    <w:p w:rsidR="004D6F0E" w:rsidRDefault="00490F21">
      <w:pPr>
        <w:numPr>
          <w:ilvl w:val="0"/>
          <w:numId w:val="35"/>
        </w:numPr>
        <w:spacing w:after="120" w:line="259" w:lineRule="auto"/>
        <w:ind w:hanging="558"/>
      </w:pPr>
      <w:r>
        <w:rPr>
          <w:sz w:val="20"/>
        </w:rPr>
        <w:t>股息</w:t>
      </w:r>
      <w:r>
        <w:rPr>
          <w:rFonts w:ascii="Arial" w:eastAsia="Arial" w:hAnsi="Arial" w:cs="Arial"/>
          <w:i/>
        </w:rPr>
        <w:t xml:space="preserve"> </w:t>
      </w:r>
    </w:p>
    <w:p w:rsidR="004D6F0E" w:rsidRDefault="00490F21">
      <w:pPr>
        <w:spacing w:after="123" w:line="273" w:lineRule="auto"/>
        <w:ind w:left="14" w:right="249"/>
        <w:jc w:val="both"/>
      </w:pPr>
      <w:r>
        <w:t>本傘</w:t>
      </w:r>
      <w:r>
        <w:t>子基金須就中國來源股息（包括</w:t>
      </w:r>
      <w:r>
        <w:t xml:space="preserve"> </w:t>
      </w:r>
      <w:r>
        <w:rPr>
          <w:rFonts w:ascii="Arial" w:eastAsia="Arial" w:hAnsi="Arial" w:cs="Arial"/>
        </w:rPr>
        <w:t xml:space="preserve">A </w:t>
      </w:r>
      <w:r>
        <w:t>股、</w:t>
      </w:r>
      <w:r>
        <w:rPr>
          <w:rFonts w:ascii="Arial" w:eastAsia="Arial" w:hAnsi="Arial" w:cs="Arial"/>
        </w:rPr>
        <w:t xml:space="preserve">B </w:t>
      </w:r>
      <w:r>
        <w:t>股及</w:t>
      </w:r>
      <w:r>
        <w:t xml:space="preserve"> </w:t>
      </w:r>
      <w:r>
        <w:rPr>
          <w:rFonts w:ascii="Arial" w:eastAsia="Arial" w:hAnsi="Arial" w:cs="Arial"/>
        </w:rPr>
        <w:t xml:space="preserve">H </w:t>
      </w:r>
      <w:r>
        <w:t>股的股</w:t>
      </w:r>
      <w:r>
        <w:rPr>
          <w:rFonts w:ascii="Arial" w:eastAsia="Arial" w:hAnsi="Arial" w:cs="Arial"/>
        </w:rPr>
        <w:t xml:space="preserve">    </w:t>
      </w:r>
      <w:r>
        <w:t>息）繳納</w:t>
      </w:r>
      <w:r>
        <w:t xml:space="preserve"> </w:t>
      </w:r>
      <w:r>
        <w:rPr>
          <w:rFonts w:ascii="Arial" w:eastAsia="Arial" w:hAnsi="Arial" w:cs="Arial"/>
        </w:rPr>
        <w:t>10%</w:t>
      </w:r>
      <w:r>
        <w:t>的預扣所得稅，惟可能獲相關雙重徵稅條約寬減。根據內地</w:t>
      </w:r>
      <w:r>
        <w:rPr>
          <w:rFonts w:ascii="Arial" w:eastAsia="Arial" w:hAnsi="Arial" w:cs="Arial"/>
        </w:rPr>
        <w:t>-</w:t>
      </w:r>
      <w:r>
        <w:t>香港安排或中國盧森堡雙重徵稅協議，本傘子基金可能不合資格享有中國來源股息的條約上的寬減，因為基於監管限制，本傘子基金不太可能擁有中國企業</w:t>
      </w:r>
      <w:r>
        <w:t xml:space="preserve"> </w:t>
      </w:r>
      <w:r>
        <w:rPr>
          <w:rFonts w:ascii="Arial" w:eastAsia="Arial" w:hAnsi="Arial" w:cs="Arial"/>
        </w:rPr>
        <w:t>25%</w:t>
      </w:r>
      <w:r>
        <w:t>或以上的股權。</w:t>
      </w:r>
      <w:r>
        <w:rPr>
          <w:rFonts w:ascii="Arial" w:eastAsia="Arial" w:hAnsi="Arial" w:cs="Arial"/>
        </w:rPr>
        <w:t xml:space="preserve"> </w:t>
      </w:r>
    </w:p>
    <w:p w:rsidR="004D6F0E" w:rsidRDefault="00490F21">
      <w:pPr>
        <w:pStyle w:val="Heading4"/>
        <w:spacing w:after="0" w:line="383" w:lineRule="auto"/>
        <w:ind w:left="3" w:right="3088" w:firstLine="3"/>
      </w:pPr>
      <w:r>
        <w:rPr>
          <w:rFonts w:ascii="Arial" w:eastAsia="Arial" w:hAnsi="Arial" w:cs="Arial"/>
          <w:i/>
          <w:sz w:val="19"/>
        </w:rPr>
        <w:t xml:space="preserve">(iii) </w:t>
      </w:r>
      <w:r>
        <w:rPr>
          <w:sz w:val="20"/>
        </w:rPr>
        <w:t>資本收益債務投資</w:t>
      </w:r>
      <w:r>
        <w:rPr>
          <w:rFonts w:ascii="Arial" w:eastAsia="Arial" w:hAnsi="Arial" w:cs="Arial"/>
          <w:i/>
          <w:sz w:val="19"/>
        </w:rPr>
        <w:t xml:space="preserve"> </w:t>
      </w:r>
    </w:p>
    <w:p w:rsidR="004D6F0E" w:rsidRDefault="00490F21">
      <w:pPr>
        <w:spacing w:after="122"/>
        <w:ind w:left="11" w:right="2"/>
      </w:pPr>
      <w:r>
        <w:t>並無特定規則或規例規管本傘子基金從於中國出售債務工具取得收益的企業所得稅優惠，因此倘中國政府並無授予特別豁免，應依從企業所得稅法的一般原則。</w:t>
      </w:r>
      <w:r>
        <w:rPr>
          <w:rFonts w:ascii="Arial" w:eastAsia="Arial" w:hAnsi="Arial" w:cs="Arial"/>
        </w:rPr>
        <w:t xml:space="preserve"> </w:t>
      </w:r>
    </w:p>
    <w:p w:rsidR="004D6F0E" w:rsidRDefault="00490F21">
      <w:pPr>
        <w:spacing w:after="113"/>
        <w:ind w:left="11" w:right="2"/>
      </w:pPr>
      <w:r>
        <w:t>於中國投資債務工具的本傘子基金的稅務優</w:t>
      </w:r>
      <w:r>
        <w:t>惠受企業所得稅法的一般稅務條文規管。根據該等一般原則，本傘子基金未必須就源自於中國出售債券的收益繳納</w:t>
      </w:r>
      <w:r>
        <w:t xml:space="preserve"> </w:t>
      </w:r>
      <w:r>
        <w:rPr>
          <w:rFonts w:ascii="Arial" w:eastAsia="Arial" w:hAnsi="Arial" w:cs="Arial"/>
        </w:rPr>
        <w:t>10%</w:t>
      </w:r>
      <w:r>
        <w:t>的中國預扣所得稅，因為該等收益未必會被視為中國來源收入。</w:t>
      </w:r>
      <w:r>
        <w:rPr>
          <w:rFonts w:ascii="Arial" w:eastAsia="Arial" w:hAnsi="Arial" w:cs="Arial"/>
          <w:sz w:val="20"/>
        </w:rPr>
        <w:t xml:space="preserve"> </w:t>
      </w:r>
    </w:p>
    <w:p w:rsidR="004D6F0E" w:rsidRDefault="00490F21">
      <w:pPr>
        <w:spacing w:after="123"/>
        <w:ind w:left="11" w:right="2"/>
      </w:pPr>
      <w:r>
        <w:t>倘源自於中國出售債券的收益被視為中國來源收入，則根據內地</w:t>
      </w:r>
      <w:r>
        <w:rPr>
          <w:rFonts w:ascii="Arial" w:eastAsia="Arial" w:hAnsi="Arial" w:cs="Arial"/>
        </w:rPr>
        <w:t>-</w:t>
      </w:r>
      <w:r>
        <w:t>香港安排或中國盧森堡雙重徵稅協議有關該等收益的財產收益條文，本傘子基金可能合資格享有條約上的寬減。就於中國並無營業地點的香港或盧森堡稅務居民而言，根據內地</w:t>
      </w:r>
      <w:r>
        <w:rPr>
          <w:rFonts w:ascii="Arial" w:eastAsia="Arial" w:hAnsi="Arial" w:cs="Arial"/>
        </w:rPr>
        <w:t>-</w:t>
      </w:r>
      <w:r>
        <w:t>香港安排或中國盧森堡雙重徵稅協議，於中國出售債券所產生的資本收益可能獲豁免繳納中國預扣所得稅，惟須獲中國稅務機關批准。</w:t>
      </w:r>
      <w:r>
        <w:rPr>
          <w:rFonts w:ascii="Arial" w:eastAsia="Arial" w:hAnsi="Arial" w:cs="Arial"/>
        </w:rPr>
        <w:t xml:space="preserve"> </w:t>
      </w:r>
    </w:p>
    <w:p w:rsidR="004D6F0E" w:rsidRDefault="00490F21">
      <w:pPr>
        <w:spacing w:after="102" w:line="273" w:lineRule="auto"/>
        <w:ind w:left="14" w:right="249"/>
        <w:jc w:val="both"/>
      </w:pPr>
      <w:r>
        <w:t>投資管理</w:t>
      </w:r>
      <w:r>
        <w:t>人或</w:t>
      </w:r>
      <w:r>
        <w:t xml:space="preserve"> </w:t>
      </w:r>
      <w:r>
        <w:rPr>
          <w:rFonts w:ascii="Arial" w:eastAsia="Arial" w:hAnsi="Arial" w:cs="Arial"/>
        </w:rPr>
        <w:t xml:space="preserve">QFI </w:t>
      </w:r>
      <w:r>
        <w:t>持有人將進一步評估並尋求向中國稅務機關申請享有以上內地</w:t>
      </w:r>
      <w:r>
        <w:rPr>
          <w:rFonts w:ascii="Arial" w:eastAsia="Arial" w:hAnsi="Arial" w:cs="Arial"/>
        </w:rPr>
        <w:t>-</w:t>
      </w:r>
      <w:r>
        <w:t>香港安排或中國盧森堡雙重徵稅協議（如適用）下的資本收益稅務豁免，然而此事並無保證。在沒有相關批准的情況下，一般稅率</w:t>
      </w:r>
      <w:r>
        <w:t xml:space="preserve"> </w:t>
      </w:r>
      <w:r>
        <w:rPr>
          <w:rFonts w:ascii="Arial" w:eastAsia="Arial" w:hAnsi="Arial" w:cs="Arial"/>
        </w:rPr>
        <w:t>10%</w:t>
      </w:r>
      <w:r>
        <w:t>可能適用於本傘子基金於中國從債券取得的資本收益。</w:t>
      </w:r>
      <w:r>
        <w:rPr>
          <w:rFonts w:ascii="Arial" w:eastAsia="Arial" w:hAnsi="Arial" w:cs="Arial"/>
        </w:rPr>
        <w:t xml:space="preserve"> </w:t>
      </w:r>
    </w:p>
    <w:p w:rsidR="004D6F0E" w:rsidRDefault="00490F21">
      <w:pPr>
        <w:pStyle w:val="Heading4"/>
        <w:spacing w:after="102" w:line="259" w:lineRule="auto"/>
        <w:ind w:left="3" w:firstLine="3"/>
      </w:pPr>
      <w:r>
        <w:rPr>
          <w:sz w:val="20"/>
        </w:rPr>
        <w:t>股權投資</w:t>
      </w:r>
      <w:r>
        <w:rPr>
          <w:rFonts w:ascii="Arial" w:eastAsia="Arial" w:hAnsi="Arial" w:cs="Arial"/>
          <w:i/>
          <w:sz w:val="19"/>
        </w:rPr>
        <w:t xml:space="preserve"> </w:t>
      </w:r>
    </w:p>
    <w:p w:rsidR="004D6F0E" w:rsidRDefault="00490F21">
      <w:pPr>
        <w:spacing w:after="102" w:line="273" w:lineRule="auto"/>
        <w:ind w:left="14" w:right="250"/>
        <w:jc w:val="both"/>
      </w:pPr>
      <w:r>
        <w:t>獲中國國務院批准後，中國國家稅務總局、中國財政部及中國證監會已共同頒佈財稅</w:t>
      </w:r>
      <w:r>
        <w:rPr>
          <w:rFonts w:ascii="Arial" w:eastAsia="Arial" w:hAnsi="Arial" w:cs="Arial"/>
        </w:rPr>
        <w:t xml:space="preserve">[2014] 79 </w:t>
      </w:r>
      <w:r>
        <w:t>號（「</w:t>
      </w:r>
      <w:r>
        <w:rPr>
          <w:rFonts w:ascii="Arial" w:eastAsia="Arial" w:hAnsi="Arial" w:cs="Arial"/>
        </w:rPr>
        <w:t xml:space="preserve">79 </w:t>
      </w:r>
      <w:r>
        <w:t>號通知」），以澄清有關</w:t>
      </w:r>
      <w:r>
        <w:t xml:space="preserve"> </w:t>
      </w:r>
      <w:r>
        <w:rPr>
          <w:rFonts w:ascii="Arial" w:eastAsia="Arial" w:hAnsi="Arial" w:cs="Arial"/>
        </w:rPr>
        <w:t xml:space="preserve">QFII </w:t>
      </w:r>
      <w:r>
        <w:t>及</w:t>
      </w:r>
      <w:r>
        <w:t xml:space="preserve"> </w:t>
      </w:r>
      <w:r>
        <w:rPr>
          <w:rFonts w:ascii="Arial" w:eastAsia="Arial" w:hAnsi="Arial" w:cs="Arial"/>
        </w:rPr>
        <w:t xml:space="preserve">RQFII </w:t>
      </w:r>
      <w:r>
        <w:t>從出售股權投資（包括中國企業的股份）所得收益的預扣所得稅優惠。根據</w:t>
      </w:r>
      <w:r>
        <w:t xml:space="preserve"> </w:t>
      </w:r>
      <w:r>
        <w:rPr>
          <w:rFonts w:ascii="Arial" w:eastAsia="Arial" w:hAnsi="Arial" w:cs="Arial"/>
        </w:rPr>
        <w:t xml:space="preserve">79 </w:t>
      </w:r>
      <w:r>
        <w:t>號通知，</w:t>
      </w:r>
      <w:r>
        <w:rPr>
          <w:rFonts w:ascii="Arial" w:eastAsia="Arial" w:hAnsi="Arial" w:cs="Arial"/>
        </w:rPr>
        <w:t xml:space="preserve">QFII </w:t>
      </w:r>
      <w:r>
        <w:t>及</w:t>
      </w:r>
      <w:r>
        <w:t xml:space="preserve"> </w:t>
      </w:r>
      <w:r>
        <w:rPr>
          <w:rFonts w:ascii="Arial" w:eastAsia="Arial" w:hAnsi="Arial" w:cs="Arial"/>
        </w:rPr>
        <w:t xml:space="preserve">RQFII </w:t>
      </w:r>
      <w:r>
        <w:t>暫時獲豁免就透過</w:t>
      </w:r>
      <w:r>
        <w:t xml:space="preserve"> </w:t>
      </w:r>
      <w:r>
        <w:rPr>
          <w:rFonts w:ascii="Arial" w:eastAsia="Arial" w:hAnsi="Arial" w:cs="Arial"/>
        </w:rPr>
        <w:t xml:space="preserve">QFII </w:t>
      </w:r>
      <w:r>
        <w:t>或</w:t>
      </w:r>
      <w:r>
        <w:t xml:space="preserve"> </w:t>
      </w:r>
      <w:r>
        <w:rPr>
          <w:rFonts w:ascii="Arial" w:eastAsia="Arial" w:hAnsi="Arial" w:cs="Arial"/>
        </w:rPr>
        <w:t xml:space="preserve">RQFII </w:t>
      </w:r>
      <w:r>
        <w:t>計劃出售股權投資（包括中國企業的股份，例如</w:t>
      </w:r>
      <w:r>
        <w:t xml:space="preserve"> </w:t>
      </w:r>
      <w:r>
        <w:rPr>
          <w:rFonts w:ascii="Arial" w:eastAsia="Arial" w:hAnsi="Arial" w:cs="Arial"/>
        </w:rPr>
        <w:t xml:space="preserve">A </w:t>
      </w:r>
      <w:r>
        <w:t>股）所得的收益繳納預扣所得稅，自二零一四年十一月十七日起生效。就於二零一四年十一月十七日前取得的收益而言，</w:t>
      </w:r>
      <w:r>
        <w:rPr>
          <w:rFonts w:ascii="Arial" w:eastAsia="Arial" w:hAnsi="Arial" w:cs="Arial"/>
        </w:rPr>
        <w:t xml:space="preserve">QFII </w:t>
      </w:r>
      <w:r>
        <w:t>及</w:t>
      </w:r>
      <w:r>
        <w:t xml:space="preserve"> </w:t>
      </w:r>
      <w:r>
        <w:rPr>
          <w:rFonts w:ascii="Arial" w:eastAsia="Arial" w:hAnsi="Arial" w:cs="Arial"/>
        </w:rPr>
        <w:t xml:space="preserve">RQFII </w:t>
      </w:r>
      <w:r>
        <w:t>須根據相關法律繳納預扣所得稅。</w:t>
      </w:r>
      <w:r>
        <w:rPr>
          <w:rFonts w:ascii="Arial" w:eastAsia="Arial" w:hAnsi="Arial" w:cs="Arial"/>
        </w:rPr>
        <w:t xml:space="preserve"> </w:t>
      </w:r>
    </w:p>
    <w:p w:rsidR="004D6F0E" w:rsidRDefault="00490F21">
      <w:pPr>
        <w:numPr>
          <w:ilvl w:val="0"/>
          <w:numId w:val="36"/>
        </w:numPr>
        <w:spacing w:after="137" w:line="273" w:lineRule="auto"/>
        <w:ind w:right="74" w:hanging="348"/>
      </w:pPr>
      <w:r>
        <w:t>營業稅（「營業稅」）、增值稅（「增值稅」）及附加稅根據由財政部及國家稅務總局於二零一六年三月二十四日聯合頒佈的《關於全面推開營業稅改徵增值稅試點的</w:t>
      </w:r>
      <w:r>
        <w:t>通知》（財稅</w:t>
      </w:r>
      <w:r>
        <w:rPr>
          <w:rFonts w:ascii="Arial" w:eastAsia="Arial" w:hAnsi="Arial" w:cs="Arial"/>
        </w:rPr>
        <w:t xml:space="preserve">[2016] 36 </w:t>
      </w:r>
      <w:r>
        <w:t>號）</w:t>
      </w:r>
      <w:r>
        <w:rPr>
          <w:rFonts w:ascii="Arial" w:eastAsia="Arial" w:hAnsi="Arial" w:cs="Arial"/>
        </w:rPr>
        <w:t>(</w:t>
      </w:r>
      <w:r>
        <w:t>「</w:t>
      </w:r>
      <w:r>
        <w:rPr>
          <w:rFonts w:ascii="Arial" w:eastAsia="Arial" w:hAnsi="Arial" w:cs="Arial"/>
        </w:rPr>
        <w:t xml:space="preserve">36 </w:t>
      </w:r>
      <w:r>
        <w:t>號通知」</w:t>
      </w:r>
      <w:r>
        <w:rPr>
          <w:rFonts w:ascii="Arial" w:eastAsia="Arial" w:hAnsi="Arial" w:cs="Arial"/>
        </w:rPr>
        <w:t>)</w:t>
      </w:r>
      <w:r>
        <w:t>，由二零一六年五月一日起，所有之前繳納營業稅的行業已過渡至增值稅。</w:t>
      </w:r>
      <w:r>
        <w:rPr>
          <w:rFonts w:ascii="Arial" w:eastAsia="Arial" w:hAnsi="Arial" w:cs="Arial"/>
        </w:rPr>
        <w:t xml:space="preserve">36 </w:t>
      </w:r>
      <w:r>
        <w:t>號通知規定，金融服務（包括買賣金融工具）的增值稅稅率為</w:t>
      </w:r>
      <w:r>
        <w:t xml:space="preserve"> </w:t>
      </w:r>
      <w:r>
        <w:rPr>
          <w:rFonts w:ascii="Arial" w:eastAsia="Arial" w:hAnsi="Arial" w:cs="Arial"/>
        </w:rPr>
        <w:t>6%</w:t>
      </w:r>
      <w:r>
        <w:t>，取代之前在營業稅制度下適用的</w:t>
      </w:r>
      <w:r>
        <w:t xml:space="preserve"> </w:t>
      </w:r>
      <w:r>
        <w:rPr>
          <w:rFonts w:ascii="Arial" w:eastAsia="Arial" w:hAnsi="Arial" w:cs="Arial"/>
        </w:rPr>
        <w:t>5%</w:t>
      </w:r>
      <w:r>
        <w:t>稅率。根據由財政部及國家稅務總局於二零一六年六月三十日聯合頒佈的《關於金融機構同業往來等增值稅政策的補充通知》（財稅</w:t>
      </w:r>
      <w:r>
        <w:rPr>
          <w:rFonts w:ascii="Arial" w:eastAsia="Arial" w:hAnsi="Arial" w:cs="Arial"/>
        </w:rPr>
        <w:t xml:space="preserve">[2016] 70 </w:t>
      </w:r>
      <w:r>
        <w:t>號），暫免</w:t>
      </w:r>
      <w:r>
        <w:t xml:space="preserve"> </w:t>
      </w:r>
      <w:r>
        <w:rPr>
          <w:rFonts w:ascii="Arial" w:eastAsia="Arial" w:hAnsi="Arial" w:cs="Arial"/>
        </w:rPr>
        <w:t xml:space="preserve">QFI </w:t>
      </w:r>
      <w:r>
        <w:t>於中國買賣證券的增值稅，追溯至二零一六年五月一日起生效。</w:t>
      </w:r>
      <w:r>
        <w:rPr>
          <w:rFonts w:ascii="Arial" w:eastAsia="Arial" w:hAnsi="Arial" w:cs="Arial"/>
        </w:rPr>
        <w:t xml:space="preserve"> </w:t>
      </w:r>
    </w:p>
    <w:p w:rsidR="004D6F0E" w:rsidRDefault="00490F21">
      <w:pPr>
        <w:numPr>
          <w:ilvl w:val="0"/>
          <w:numId w:val="36"/>
        </w:numPr>
        <w:spacing w:after="123"/>
        <w:ind w:right="74" w:hanging="348"/>
      </w:pPr>
      <w:r>
        <w:t>印花稅（「印花稅」）</w:t>
      </w:r>
      <w:r>
        <w:rPr>
          <w:rFonts w:ascii="Arial" w:eastAsia="Arial" w:hAnsi="Arial" w:cs="Arial"/>
        </w:rPr>
        <w:t xml:space="preserve"> </w:t>
      </w:r>
    </w:p>
    <w:p w:rsidR="004D6F0E" w:rsidRDefault="00490F21">
      <w:pPr>
        <w:spacing w:after="121"/>
        <w:ind w:left="11" w:right="2"/>
      </w:pPr>
      <w:r>
        <w:t>根據中國法律，印花稅一般於簽立及接收中國印花稅暫</w:t>
      </w:r>
      <w:r>
        <w:t>行條例所列的所有應課稅文件時應用。印花稅一般對在中國證券交易所上市的中國公司的股份賣方徵收，稅率為銷售代價的</w:t>
      </w:r>
      <w:r>
        <w:t xml:space="preserve"> </w:t>
      </w:r>
      <w:r>
        <w:rPr>
          <w:rFonts w:ascii="Arial" w:eastAsia="Arial" w:hAnsi="Arial" w:cs="Arial"/>
        </w:rPr>
        <w:t>0.1%</w:t>
      </w:r>
      <w:r>
        <w:t>。本傘子基金每次出售有關中國上市股份時須繳納此稅項。</w:t>
      </w:r>
      <w:r>
        <w:rPr>
          <w:rFonts w:ascii="Arial" w:eastAsia="Arial" w:hAnsi="Arial" w:cs="Arial"/>
        </w:rPr>
        <w:t xml:space="preserve"> </w:t>
      </w:r>
    </w:p>
    <w:p w:rsidR="004D6F0E" w:rsidRDefault="00490F21">
      <w:pPr>
        <w:spacing w:after="122"/>
        <w:ind w:left="11" w:right="2"/>
      </w:pPr>
      <w:r>
        <w:t>股東應就其於本傘子基金及特定基金的投資，尋求有關稅務狀況的稅務意見。</w:t>
      </w:r>
      <w:r>
        <w:rPr>
          <w:rFonts w:ascii="Arial" w:eastAsia="Arial" w:hAnsi="Arial" w:cs="Arial"/>
        </w:rPr>
        <w:t xml:space="preserve"> </w:t>
      </w:r>
    </w:p>
    <w:p w:rsidR="004D6F0E" w:rsidRDefault="00490F21">
      <w:pPr>
        <w:spacing w:after="121"/>
        <w:ind w:left="11" w:right="2"/>
      </w:pPr>
      <w:r>
        <w:t>中國政府近年來已實施多項稅務改革政策，而現行的稅務法律及法規可能於日後加以修改或修訂。中國目前的稅務法律、法規及慣例日後可能出現具追溯效力的變動，而任何該等變動均可能會對本傘子基金的資產淨值有不利影響。再者，概不保證現時給予公司的稅務優惠（如有）將不會被取消，亦不保</w:t>
      </w:r>
      <w:r>
        <w:t>證現行稅務法律及法規日後將不會作出修改或修訂。稅務政策的任何變動均可能導致本傘子基金所投資的中國公司的稅後利潤減少，繼而降低該等投資的收入及／或價值。</w:t>
      </w:r>
      <w:r>
        <w:rPr>
          <w:rFonts w:ascii="Arial" w:eastAsia="Arial" w:hAnsi="Arial" w:cs="Arial"/>
        </w:rPr>
        <w:t xml:space="preserve"> </w:t>
      </w:r>
    </w:p>
    <w:p w:rsidR="004D6F0E" w:rsidRDefault="00490F21">
      <w:pPr>
        <w:spacing w:after="119"/>
        <w:ind w:left="11" w:right="2"/>
      </w:pPr>
      <w:r>
        <w:t>鑑於自出售中國債券產生的資本收益的所得稅待遇並不清晰，為應付此項潛在資本收益的稅務責任，投資管理人目前擬從本傘子基金的相關基金中就該等基金可能應付的任何中國預扣所得稅作出撥備，即就本傘子基金相關基金推出以來出售中國債券所得的已變現及未變現資本收益總額，按稅率</w:t>
      </w:r>
      <w:r>
        <w:t xml:space="preserve"> </w:t>
      </w:r>
      <w:r>
        <w:rPr>
          <w:rFonts w:ascii="Arial" w:eastAsia="Arial" w:hAnsi="Arial" w:cs="Arial"/>
          <w:b/>
        </w:rPr>
        <w:t>10%</w:t>
      </w:r>
      <w:r>
        <w:t>作出撥備。當主管機關公佈具決定性的評稅規則後，任何超出本傘子基金相關基金招致或預期招致的稅務</w:t>
      </w:r>
      <w:r>
        <w:t>責任之預扣款項須予解除並轉入該基金的帳戶。任何該等稅項撥備將於本傘子基金的帳目中披露。務請注意，國家稅務總局徵收的實際適用稅率可能有別於預扣所得稅條文。稅項亦可能追溯應用。因此，投資管理人作出的任何稅項撥備可能不足以應付本傘子基金持有中國證券所得的收益所招致的實際中國稅務責任。在該情況下，本傘子基金的資產淨值或會下跌，繼而可能令投資者蒙受損失。</w:t>
      </w:r>
      <w:r>
        <w:rPr>
          <w:rFonts w:ascii="Arial" w:eastAsia="Arial" w:hAnsi="Arial" w:cs="Arial"/>
          <w:b/>
        </w:rPr>
        <w:t xml:space="preserve"> </w:t>
      </w:r>
    </w:p>
    <w:p w:rsidR="004D6F0E" w:rsidRDefault="00490F21">
      <w:pPr>
        <w:spacing w:after="109"/>
        <w:ind w:left="11" w:right="2"/>
      </w:pPr>
      <w:r>
        <w:t>有關中華通的中國稅務披露</w:t>
      </w:r>
      <w:r>
        <w:rPr>
          <w:rFonts w:ascii="Arial" w:eastAsia="Arial" w:hAnsi="Arial" w:cs="Arial"/>
          <w:b/>
        </w:rPr>
        <w:t xml:space="preserve"> </w:t>
      </w:r>
    </w:p>
    <w:p w:rsidR="004D6F0E" w:rsidRDefault="00490F21">
      <w:pPr>
        <w:spacing w:after="102" w:line="273" w:lineRule="auto"/>
        <w:ind w:left="14" w:right="41"/>
        <w:jc w:val="both"/>
      </w:pPr>
      <w:r>
        <w:t>除透過</w:t>
      </w:r>
      <w:r>
        <w:t xml:space="preserve"> </w:t>
      </w:r>
      <w:r>
        <w:rPr>
          <w:rFonts w:ascii="Arial" w:eastAsia="Arial" w:hAnsi="Arial" w:cs="Arial"/>
        </w:rPr>
        <w:t xml:space="preserve">QFI </w:t>
      </w:r>
      <w:r>
        <w:t>持有人的</w:t>
      </w:r>
      <w:r>
        <w:t xml:space="preserve"> </w:t>
      </w:r>
      <w:r>
        <w:rPr>
          <w:rFonts w:ascii="Arial" w:eastAsia="Arial" w:hAnsi="Arial" w:cs="Arial"/>
        </w:rPr>
        <w:t xml:space="preserve">QFI </w:t>
      </w:r>
      <w:r>
        <w:t>資格投資</w:t>
      </w:r>
      <w:r>
        <w:t xml:space="preserve"> </w:t>
      </w:r>
      <w:r>
        <w:rPr>
          <w:rFonts w:ascii="Arial" w:eastAsia="Arial" w:hAnsi="Arial" w:cs="Arial"/>
        </w:rPr>
        <w:t xml:space="preserve">A </w:t>
      </w:r>
      <w:r>
        <w:t>股外，本傘子基金亦可透過中華通涉足</w:t>
      </w:r>
      <w:r>
        <w:t xml:space="preserve"> </w:t>
      </w:r>
      <w:r>
        <w:rPr>
          <w:rFonts w:ascii="Arial" w:eastAsia="Arial" w:hAnsi="Arial" w:cs="Arial"/>
        </w:rPr>
        <w:t xml:space="preserve">A </w:t>
      </w:r>
      <w:r>
        <w:t>股，其中滬港通已於二零一四年十一月十七日開始買</w:t>
      </w:r>
      <w:r>
        <w:t>賣，而深港通則已於二零一六年十二月五日開始買賣。獲中國國務院批准後，中國國家稅務總局、中國財政部及中國證監會已共同頒佈</w:t>
      </w:r>
      <w:r>
        <w:rPr>
          <w:rFonts w:ascii="Arial" w:eastAsia="Arial" w:hAnsi="Arial" w:cs="Arial"/>
        </w:rPr>
        <w:t>(i)</w:t>
      </w:r>
      <w:r>
        <w:t>財稅</w:t>
      </w:r>
      <w:r>
        <w:rPr>
          <w:rFonts w:ascii="Arial" w:eastAsia="Arial" w:hAnsi="Arial" w:cs="Arial"/>
        </w:rPr>
        <w:t xml:space="preserve">[2014] 81 </w:t>
      </w:r>
      <w:r>
        <w:t>號（「</w:t>
      </w:r>
      <w:r>
        <w:rPr>
          <w:rFonts w:ascii="Arial" w:eastAsia="Arial" w:hAnsi="Arial" w:cs="Arial"/>
        </w:rPr>
        <w:t xml:space="preserve">81 </w:t>
      </w:r>
      <w:r>
        <w:t>號通知」），以澄清有關根據滬港通進行買賣的中國稅務優惠；及</w:t>
      </w:r>
      <w:r>
        <w:rPr>
          <w:rFonts w:ascii="Arial" w:eastAsia="Arial" w:hAnsi="Arial" w:cs="Arial"/>
        </w:rPr>
        <w:t>(ii)</w:t>
      </w:r>
      <w:r>
        <w:t>財稅</w:t>
      </w:r>
      <w:r>
        <w:rPr>
          <w:rFonts w:ascii="Arial" w:eastAsia="Arial" w:hAnsi="Arial" w:cs="Arial"/>
        </w:rPr>
        <w:t xml:space="preserve">[2016] 127 </w:t>
      </w:r>
      <w:r>
        <w:t>號（「</w:t>
      </w:r>
      <w:r>
        <w:rPr>
          <w:rFonts w:ascii="Arial" w:eastAsia="Arial" w:hAnsi="Arial" w:cs="Arial"/>
        </w:rPr>
        <w:t xml:space="preserve">127 </w:t>
      </w:r>
      <w:r>
        <w:t>號通知」），以延伸</w:t>
      </w:r>
      <w:r>
        <w:t xml:space="preserve"> </w:t>
      </w:r>
      <w:r>
        <w:rPr>
          <w:rFonts w:ascii="Arial" w:eastAsia="Arial" w:hAnsi="Arial" w:cs="Arial"/>
        </w:rPr>
        <w:t xml:space="preserve">81 </w:t>
      </w:r>
      <w:r>
        <w:t>號通知所載的中國稅務優惠至根據深港通進行的買賣及澄清中華通下的若干其他稅務事宜。</w:t>
      </w:r>
      <w:r>
        <w:rPr>
          <w:rFonts w:ascii="Arial" w:eastAsia="Arial" w:hAnsi="Arial" w:cs="Arial"/>
        </w:rPr>
        <w:t xml:space="preserve">81 </w:t>
      </w:r>
      <w:r>
        <w:t>號通知已於二零一四年十一月十七日生效，而</w:t>
      </w:r>
      <w:r>
        <w:t xml:space="preserve"> </w:t>
      </w:r>
      <w:r>
        <w:rPr>
          <w:rFonts w:ascii="Arial" w:eastAsia="Arial" w:hAnsi="Arial" w:cs="Arial"/>
        </w:rPr>
        <w:t xml:space="preserve">127 </w:t>
      </w:r>
      <w:r>
        <w:t>號通知則於二零一六年十二月五日生效。</w:t>
      </w:r>
      <w:r>
        <w:rPr>
          <w:rFonts w:ascii="Arial" w:eastAsia="Arial" w:hAnsi="Arial" w:cs="Arial"/>
        </w:rPr>
        <w:t xml:space="preserve"> </w:t>
      </w:r>
    </w:p>
    <w:p w:rsidR="004D6F0E" w:rsidRDefault="00490F21">
      <w:pPr>
        <w:spacing w:after="130"/>
        <w:ind w:left="11" w:right="2"/>
      </w:pPr>
      <w:r>
        <w:t>根據</w:t>
      </w:r>
      <w:r>
        <w:t xml:space="preserve"> </w:t>
      </w:r>
      <w:r>
        <w:rPr>
          <w:rFonts w:ascii="Arial" w:eastAsia="Arial" w:hAnsi="Arial" w:cs="Arial"/>
        </w:rPr>
        <w:t xml:space="preserve">155 </w:t>
      </w:r>
      <w:r>
        <w:t>號通知、</w:t>
      </w:r>
      <w:r>
        <w:rPr>
          <w:rFonts w:ascii="Arial" w:eastAsia="Arial" w:hAnsi="Arial" w:cs="Arial"/>
        </w:rPr>
        <w:t xml:space="preserve">36 </w:t>
      </w:r>
      <w:r>
        <w:t>號通知、</w:t>
      </w:r>
      <w:r>
        <w:rPr>
          <w:rFonts w:ascii="Arial" w:eastAsia="Arial" w:hAnsi="Arial" w:cs="Arial"/>
        </w:rPr>
        <w:t xml:space="preserve">81 </w:t>
      </w:r>
      <w:r>
        <w:t>號通知及</w:t>
      </w:r>
      <w:r>
        <w:t xml:space="preserve"> </w:t>
      </w:r>
      <w:r>
        <w:rPr>
          <w:rFonts w:ascii="Arial" w:eastAsia="Arial" w:hAnsi="Arial" w:cs="Arial"/>
        </w:rPr>
        <w:t xml:space="preserve">127 </w:t>
      </w:r>
      <w:r>
        <w:t>號通知，本傘子基金獲得下列與中華通下的北向交易有關的中國所得稅優惠（即在上交所／深交所買賣若干</w:t>
      </w:r>
      <w:r>
        <w:t xml:space="preserve"> </w:t>
      </w:r>
      <w:r>
        <w:rPr>
          <w:rFonts w:ascii="Arial" w:eastAsia="Arial" w:hAnsi="Arial" w:cs="Arial"/>
        </w:rPr>
        <w:t xml:space="preserve">A </w:t>
      </w:r>
      <w:r>
        <w:t>股）：</w:t>
      </w:r>
      <w:r>
        <w:rPr>
          <w:rFonts w:ascii="Arial" w:eastAsia="Arial" w:hAnsi="Arial" w:cs="Arial"/>
        </w:rPr>
        <w:t xml:space="preserve"> </w:t>
      </w:r>
    </w:p>
    <w:p w:rsidR="004D6F0E" w:rsidRDefault="00490F21">
      <w:pPr>
        <w:numPr>
          <w:ilvl w:val="0"/>
          <w:numId w:val="37"/>
        </w:numPr>
        <w:ind w:right="2" w:hanging="425"/>
      </w:pPr>
      <w:r>
        <w:t>就買賣</w:t>
      </w:r>
      <w:r>
        <w:t xml:space="preserve"> </w:t>
      </w:r>
      <w:r>
        <w:rPr>
          <w:rFonts w:ascii="Arial" w:eastAsia="Arial" w:hAnsi="Arial" w:cs="Arial"/>
        </w:rPr>
        <w:t xml:space="preserve">A </w:t>
      </w:r>
      <w:r>
        <w:t>股所得的收益而言，暫時獲豁免繳納中國預扣所得稅。</w:t>
      </w:r>
      <w:r>
        <w:rPr>
          <w:rFonts w:ascii="Arial" w:eastAsia="Arial" w:hAnsi="Arial" w:cs="Arial"/>
        </w:rPr>
        <w:t xml:space="preserve"> </w:t>
      </w:r>
    </w:p>
    <w:p w:rsidR="004D6F0E" w:rsidRDefault="00490F21">
      <w:pPr>
        <w:numPr>
          <w:ilvl w:val="0"/>
          <w:numId w:val="37"/>
        </w:numPr>
        <w:spacing w:after="127"/>
        <w:ind w:right="2" w:hanging="425"/>
      </w:pPr>
      <w:r>
        <w:t>就自</w:t>
      </w:r>
      <w:r>
        <w:t xml:space="preserve"> </w:t>
      </w:r>
      <w:r>
        <w:rPr>
          <w:rFonts w:ascii="Arial" w:eastAsia="Arial" w:hAnsi="Arial" w:cs="Arial"/>
        </w:rPr>
        <w:t xml:space="preserve">A </w:t>
      </w:r>
      <w:r>
        <w:t>股收取的股息而言，須按稅率</w:t>
      </w:r>
      <w:r>
        <w:t xml:space="preserve"> </w:t>
      </w:r>
      <w:r>
        <w:rPr>
          <w:rFonts w:ascii="Arial" w:eastAsia="Arial" w:hAnsi="Arial" w:cs="Arial"/>
        </w:rPr>
        <w:t>10%</w:t>
      </w:r>
      <w:r>
        <w:t>繳納中國預扣所得稅（可根據適用稅務條約退還）。</w:t>
      </w:r>
      <w:r>
        <w:rPr>
          <w:rFonts w:ascii="Arial" w:eastAsia="Arial" w:hAnsi="Arial" w:cs="Arial"/>
        </w:rPr>
        <w:t xml:space="preserve"> </w:t>
      </w:r>
    </w:p>
    <w:p w:rsidR="004D6F0E" w:rsidRDefault="00490F21">
      <w:pPr>
        <w:numPr>
          <w:ilvl w:val="0"/>
          <w:numId w:val="37"/>
        </w:numPr>
        <w:spacing w:after="129"/>
        <w:ind w:right="2" w:hanging="425"/>
      </w:pPr>
      <w:r>
        <w:t>就買賣</w:t>
      </w:r>
      <w:r>
        <w:t xml:space="preserve"> </w:t>
      </w:r>
      <w:r>
        <w:rPr>
          <w:rFonts w:ascii="Arial" w:eastAsia="Arial" w:hAnsi="Arial" w:cs="Arial"/>
        </w:rPr>
        <w:t xml:space="preserve">A </w:t>
      </w:r>
      <w:r>
        <w:t>股所得的收益而言，暫時獲豁免繳納中國營業稅（於二零一六年五月一日前）及增值稅（於二零一六年五月一日後）。</w:t>
      </w:r>
      <w:r>
        <w:rPr>
          <w:rFonts w:ascii="Arial" w:eastAsia="Arial" w:hAnsi="Arial" w:cs="Arial"/>
        </w:rPr>
        <w:t xml:space="preserve"> </w:t>
      </w:r>
    </w:p>
    <w:p w:rsidR="004D6F0E" w:rsidRDefault="00490F21">
      <w:pPr>
        <w:numPr>
          <w:ilvl w:val="0"/>
          <w:numId w:val="37"/>
        </w:numPr>
        <w:spacing w:after="129"/>
        <w:ind w:right="2" w:hanging="425"/>
      </w:pPr>
      <w:r>
        <w:t>就出售、繼承及饋贈</w:t>
      </w:r>
      <w:r>
        <w:t xml:space="preserve"> </w:t>
      </w:r>
      <w:r>
        <w:rPr>
          <w:rFonts w:ascii="Arial" w:eastAsia="Arial" w:hAnsi="Arial" w:cs="Arial"/>
        </w:rPr>
        <w:t xml:space="preserve">A </w:t>
      </w:r>
      <w:r>
        <w:t>股而言，須按稅率</w:t>
      </w:r>
      <w:r>
        <w:t xml:space="preserve"> </w:t>
      </w:r>
      <w:r>
        <w:rPr>
          <w:rFonts w:ascii="Arial" w:eastAsia="Arial" w:hAnsi="Arial" w:cs="Arial"/>
        </w:rPr>
        <w:t>0.1%</w:t>
      </w:r>
      <w:r>
        <w:t>繳納中國印花稅（即購買</w:t>
      </w:r>
      <w:r>
        <w:t xml:space="preserve"> </w:t>
      </w:r>
      <w:r>
        <w:rPr>
          <w:rFonts w:ascii="Arial" w:eastAsia="Arial" w:hAnsi="Arial" w:cs="Arial"/>
        </w:rPr>
        <w:t xml:space="preserve">A </w:t>
      </w:r>
      <w:r>
        <w:t>股毋須繳納中國印花稅）。</w:t>
      </w:r>
      <w:r>
        <w:rPr>
          <w:rFonts w:ascii="Arial" w:eastAsia="Arial" w:hAnsi="Arial" w:cs="Arial"/>
        </w:rPr>
        <w:t xml:space="preserve"> </w:t>
      </w:r>
    </w:p>
    <w:p w:rsidR="004D6F0E" w:rsidRDefault="00490F21">
      <w:pPr>
        <w:numPr>
          <w:ilvl w:val="0"/>
          <w:numId w:val="37"/>
        </w:numPr>
        <w:spacing w:after="102"/>
        <w:ind w:right="2" w:hanging="425"/>
      </w:pPr>
      <w:r>
        <w:t>就借入及歸還有擔保沽空的中華通證券而言，暫時獲豁免繳納中國印花稅。</w:t>
      </w:r>
      <w:r>
        <w:rPr>
          <w:rFonts w:ascii="Arial" w:eastAsia="Arial" w:hAnsi="Arial" w:cs="Arial"/>
        </w:rPr>
        <w:t xml:space="preserve"> </w:t>
      </w:r>
    </w:p>
    <w:p w:rsidR="004D6F0E" w:rsidRDefault="00490F21">
      <w:pPr>
        <w:spacing w:after="103"/>
        <w:ind w:left="11" w:right="2"/>
      </w:pPr>
      <w:r>
        <w:t>投資者應注意，中華通僅有有限或並無記錄，因此，適用於在上交所／深交所買賣的中華通證券的稅務規則成立時間不長，故日後可能有所更改。投資者如對中華通證券有任何疑問，應向其專業稅務顧問尋求意見。</w:t>
      </w:r>
      <w:r>
        <w:rPr>
          <w:rFonts w:ascii="Arial" w:eastAsia="Arial" w:hAnsi="Arial" w:cs="Arial"/>
        </w:rPr>
        <w:t xml:space="preserve"> </w:t>
      </w:r>
    </w:p>
    <w:p w:rsidR="004D6F0E" w:rsidRDefault="00490F21">
      <w:pPr>
        <w:spacing w:after="63"/>
        <w:ind w:left="11" w:right="2"/>
      </w:pPr>
      <w:r>
        <w:t>財政年度</w:t>
      </w:r>
      <w:r>
        <w:rPr>
          <w:rFonts w:ascii="Arial" w:eastAsia="Arial" w:hAnsi="Arial" w:cs="Arial"/>
        </w:rPr>
        <w:t xml:space="preserve"> </w:t>
      </w:r>
    </w:p>
    <w:p w:rsidR="004D6F0E" w:rsidRDefault="00490F21">
      <w:pPr>
        <w:spacing w:after="102"/>
        <w:ind w:left="11" w:right="2"/>
      </w:pPr>
      <w:r>
        <w:t>本傘子基金的財政年結日為八月三十一日。</w:t>
      </w:r>
      <w:r>
        <w:rPr>
          <w:rFonts w:ascii="Arial" w:eastAsia="Arial" w:hAnsi="Arial" w:cs="Arial"/>
        </w:rPr>
        <w:t xml:space="preserve"> </w:t>
      </w:r>
    </w:p>
    <w:p w:rsidR="004D6F0E" w:rsidRDefault="00490F21">
      <w:pPr>
        <w:spacing w:after="63"/>
        <w:ind w:left="11" w:right="2"/>
      </w:pPr>
      <w:r>
        <w:t>本傘子基金的期限、清盤及合併</w:t>
      </w:r>
      <w:r>
        <w:rPr>
          <w:rFonts w:ascii="Arial" w:eastAsia="Arial" w:hAnsi="Arial" w:cs="Arial"/>
        </w:rPr>
        <w:t xml:space="preserve"> </w:t>
      </w:r>
    </w:p>
    <w:p w:rsidR="004D6F0E" w:rsidRDefault="00490F21">
      <w:pPr>
        <w:spacing w:after="102" w:line="273" w:lineRule="auto"/>
        <w:ind w:left="14" w:right="303"/>
        <w:jc w:val="both"/>
      </w:pPr>
      <w:r>
        <w:t>本傘子基金及各項基金成立時並無經營期限。股東、其繼承人及任何其他受益人不得要求本傘子基金或基金解散或進行分割。管理公司可隨時要求解散基金</w:t>
      </w:r>
      <w:r>
        <w:t>。任何解散通知將在</w:t>
      </w:r>
      <w:r>
        <w:t xml:space="preserve"> </w:t>
      </w:r>
      <w:r>
        <w:rPr>
          <w:rFonts w:ascii="Arial" w:eastAsia="Arial" w:hAnsi="Arial" w:cs="Arial"/>
          <w:i/>
        </w:rPr>
        <w:t xml:space="preserve">Mémorial </w:t>
      </w:r>
      <w:r>
        <w:t>及至少兩家有一定流通量的報章上刊載，其中至少一家必須為盧森堡報章，由管理公司與存管人共同決定。在管理公司作出上述決定之日後，相關基金不得發行股份。當最後一項基金解散時，本傘子基金即告解散。倘最後一項基金進行清盤，管理公司將本著股東最大利益實現該基金的資產價值。存管人將在扣除清盤費用與開支後，根據該基金各類別股份享有的權利按比例向該基金每一類別股東分配清盤淨收益。上述一切措施均按管理公司指示辦理。清盤結束時無法派付予有有關享有權的人士的清盤收益將存入盧森堡的信託機構</w:t>
      </w:r>
      <w:r>
        <w:t xml:space="preserve"> </w:t>
      </w:r>
      <w:r>
        <w:rPr>
          <w:rFonts w:ascii="Arial" w:eastAsia="Arial" w:hAnsi="Arial" w:cs="Arial"/>
          <w:i/>
        </w:rPr>
        <w:t>Ca</w:t>
      </w:r>
      <w:r>
        <w:rPr>
          <w:rFonts w:ascii="Arial" w:eastAsia="Arial" w:hAnsi="Arial" w:cs="Arial"/>
          <w:i/>
        </w:rPr>
        <w:t>isse de Consignation</w:t>
      </w:r>
      <w:r>
        <w:t>，直至超過有關清盤的規定時效。</w:t>
      </w:r>
      <w:r>
        <w:rPr>
          <w:rFonts w:ascii="Arial" w:eastAsia="Arial" w:hAnsi="Arial" w:cs="Arial"/>
        </w:rPr>
        <w:t xml:space="preserve"> </w:t>
      </w:r>
    </w:p>
    <w:p w:rsidR="004D6F0E" w:rsidRDefault="00490F21">
      <w:pPr>
        <w:spacing w:after="100"/>
        <w:ind w:left="11" w:right="2"/>
      </w:pPr>
      <w:r>
        <w:t>倘管理公司決定在不終止本傘子基金的情況下解散任何基金，將向該基金中各類股東退回各類股份的全部</w:t>
      </w:r>
      <w:r>
        <w:rPr>
          <w:sz w:val="20"/>
        </w:rPr>
        <w:t>資產淨值</w:t>
      </w:r>
      <w:r>
        <w:t>。管理公司將公佈上述行動，退款倘若無法分派到有權收款的人，將於管理公司管理會決定解散相關基金後的九個月，保存在盧森堡信託機構</w:t>
      </w:r>
      <w:r>
        <w:t xml:space="preserve"> </w:t>
      </w:r>
      <w:r>
        <w:rPr>
          <w:rFonts w:ascii="Arial" w:eastAsia="Arial" w:hAnsi="Arial" w:cs="Arial"/>
        </w:rPr>
        <w:t>Caisse de Consignation</w:t>
      </w:r>
      <w:r>
        <w:t>。管理公司可決定將兩項或多項基金合併，並把有關基金的股份轉換為另一個基金中相應類別的股份。在此情況下，不同類別股份享有的權利按照各自的資產淨值的比例釐定。合併通告須至少</w:t>
      </w:r>
      <w:r>
        <w:t>事先一個月發出，以知會投資者。以便投資者倘不擬參與就此設立的基金，可要求免費贖回其股份。</w:t>
      </w:r>
      <w:r>
        <w:rPr>
          <w:rFonts w:ascii="Arial" w:eastAsia="Arial" w:hAnsi="Arial" w:cs="Arial"/>
        </w:rPr>
        <w:t xml:space="preserve"> </w:t>
      </w:r>
    </w:p>
    <w:p w:rsidR="004D6F0E" w:rsidRDefault="00490F21">
      <w:pPr>
        <w:spacing w:after="63"/>
        <w:ind w:left="11" w:right="2"/>
      </w:pPr>
      <w:r>
        <w:t>準據語言</w:t>
      </w:r>
      <w:r>
        <w:rPr>
          <w:rFonts w:ascii="Arial" w:eastAsia="Arial" w:hAnsi="Arial" w:cs="Arial"/>
        </w:rPr>
        <w:t xml:space="preserve"> </w:t>
      </w:r>
    </w:p>
    <w:p w:rsidR="004D6F0E" w:rsidRDefault="00490F21">
      <w:pPr>
        <w:spacing w:after="103"/>
        <w:ind w:left="11" w:right="2"/>
      </w:pPr>
      <w:r>
        <w:t>英語為管理條例的準據語言。然而，倘管理公司及存管人代表本身及本傘子基金認為合適，則可就出售基金股份予若干國家的投資者而採納於其進行股份發售及出售的國家的語言譯文，並認可這些譯本的法律約束性。</w:t>
      </w:r>
      <w:r>
        <w:rPr>
          <w:rFonts w:ascii="Arial" w:eastAsia="Arial" w:hAnsi="Arial" w:cs="Arial"/>
        </w:rPr>
        <w:t xml:space="preserve"> </w:t>
      </w:r>
    </w:p>
    <w:p w:rsidR="004D6F0E" w:rsidRDefault="00490F21">
      <w:pPr>
        <w:spacing w:after="63"/>
        <w:ind w:left="11" w:right="2"/>
      </w:pPr>
      <w:r>
        <w:t>備查文件</w:t>
      </w:r>
      <w:r>
        <w:rPr>
          <w:rFonts w:ascii="Arial" w:eastAsia="Arial" w:hAnsi="Arial" w:cs="Arial"/>
        </w:rPr>
        <w:t xml:space="preserve"> </w:t>
      </w:r>
    </w:p>
    <w:p w:rsidR="004D6F0E" w:rsidRDefault="00490F21">
      <w:pPr>
        <w:spacing w:after="102" w:line="273" w:lineRule="auto"/>
        <w:ind w:left="14" w:right="41"/>
        <w:jc w:val="both"/>
      </w:pPr>
      <w:r>
        <w:t>以下文件在基金管理公司的辦事處於正常辦公時間內可供查閱：</w:t>
      </w:r>
      <w:r>
        <w:rPr>
          <w:rFonts w:ascii="Arial" w:eastAsia="Arial" w:hAnsi="Arial" w:cs="Arial"/>
        </w:rPr>
        <w:t>(1)</w:t>
      </w:r>
      <w:r>
        <w:t>管理條例；</w:t>
      </w:r>
      <w:r>
        <w:rPr>
          <w:rFonts w:ascii="Arial" w:eastAsia="Arial" w:hAnsi="Arial" w:cs="Arial"/>
        </w:rPr>
        <w:t>(2)</w:t>
      </w:r>
      <w:r>
        <w:t>存管人協議；</w:t>
      </w:r>
      <w:r>
        <w:rPr>
          <w:rFonts w:ascii="Arial" w:eastAsia="Arial" w:hAnsi="Arial" w:cs="Arial"/>
        </w:rPr>
        <w:t>(3)</w:t>
      </w:r>
      <w:r>
        <w:t>行政管理協議；</w:t>
      </w:r>
      <w:r>
        <w:rPr>
          <w:rFonts w:ascii="Arial" w:eastAsia="Arial" w:hAnsi="Arial" w:cs="Arial"/>
        </w:rPr>
        <w:t>(4)</w:t>
      </w:r>
      <w:r>
        <w:t>與各基金有關的投資管理協議；</w:t>
      </w:r>
      <w:r>
        <w:rPr>
          <w:rFonts w:ascii="Arial" w:eastAsia="Arial" w:hAnsi="Arial" w:cs="Arial"/>
        </w:rPr>
        <w:t>(5)</w:t>
      </w:r>
      <w:r>
        <w:t>基金管理公司的組織章程；</w:t>
      </w:r>
      <w:r>
        <w:rPr>
          <w:rFonts w:ascii="Arial" w:eastAsia="Arial" w:hAnsi="Arial" w:cs="Arial"/>
        </w:rPr>
        <w:t>(6)</w:t>
      </w:r>
      <w:r>
        <w:t>分銷協議；</w:t>
      </w:r>
      <w:r>
        <w:rPr>
          <w:rFonts w:ascii="Arial" w:eastAsia="Arial" w:hAnsi="Arial" w:cs="Arial"/>
        </w:rPr>
        <w:t>(7)</w:t>
      </w:r>
      <w:r>
        <w:t>與本傘子基金及（如有）各基金有關的最近期中期報告及年報；</w:t>
      </w:r>
      <w:r>
        <w:rPr>
          <w:rFonts w:ascii="Arial" w:eastAsia="Arial" w:hAnsi="Arial" w:cs="Arial"/>
        </w:rPr>
        <w:t>(8)</w:t>
      </w:r>
      <w:r>
        <w:t>本傘子基金的認購章程；及</w:t>
      </w:r>
      <w:r>
        <w:rPr>
          <w:rFonts w:ascii="Arial" w:eastAsia="Arial" w:hAnsi="Arial" w:cs="Arial"/>
        </w:rPr>
        <w:t>(9)</w:t>
      </w:r>
      <w:r>
        <w:t>本傘子基金的重要資訊文件。本傘子基金的認購章程、管理條例、最新年報及（此後如有刊發）最新中期報告的副本，以及本傘子基金各基金的重要資訊文件的副本，可於管理公司及分銷商的辦事處免費索取。</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D6F0E">
      <w:pPr>
        <w:sectPr w:rsidR="004D6F0E">
          <w:headerReference w:type="even" r:id="rId327"/>
          <w:headerReference w:type="default" r:id="rId328"/>
          <w:footerReference w:type="even" r:id="rId329"/>
          <w:footerReference w:type="default" r:id="rId330"/>
          <w:headerReference w:type="first" r:id="rId331"/>
          <w:footerReference w:type="first" r:id="rId332"/>
          <w:pgSz w:w="12240" w:h="15840"/>
          <w:pgMar w:top="972" w:right="470" w:bottom="856" w:left="419" w:header="719" w:footer="577" w:gutter="0"/>
          <w:cols w:num="2" w:space="369"/>
          <w:titlePg/>
        </w:sectPr>
      </w:pPr>
    </w:p>
    <w:p w:rsidR="004D6F0E" w:rsidRDefault="00490F21">
      <w:pPr>
        <w:pStyle w:val="Heading4"/>
        <w:ind w:left="4" w:firstLine="11088"/>
      </w:pPr>
      <w:r>
        <w:rPr>
          <w:sz w:val="20"/>
        </w:rPr>
        <w:t xml:space="preserve"> </w:t>
      </w:r>
      <w:r>
        <w:t>當地資料</w:t>
      </w:r>
      <w:r>
        <w:rPr>
          <w:rFonts w:ascii="Arial" w:eastAsia="Arial" w:hAnsi="Arial" w:cs="Arial"/>
        </w:rPr>
        <w:t xml:space="preserve"> </w:t>
      </w:r>
    </w:p>
    <w:p w:rsidR="004D6F0E" w:rsidRDefault="00490F21">
      <w:pPr>
        <w:spacing w:after="12788" w:line="259" w:lineRule="auto"/>
        <w:ind w:left="0" w:firstLine="0"/>
      </w:pPr>
      <w:r>
        <w:rPr>
          <w:color w:val="244061"/>
        </w:rPr>
        <w:t>與</w:t>
      </w:r>
      <w:r>
        <w:rPr>
          <w:color w:val="244061"/>
        </w:rPr>
        <w:t xml:space="preserve"> </w:t>
      </w:r>
      <w:r>
        <w:rPr>
          <w:rFonts w:ascii="Arial" w:eastAsia="Arial" w:hAnsi="Arial" w:cs="Arial"/>
          <w:color w:val="244061"/>
        </w:rPr>
        <w:t xml:space="preserve">UCITS </w:t>
      </w:r>
      <w:r>
        <w:rPr>
          <w:color w:val="244061"/>
        </w:rPr>
        <w:t>指令第</w:t>
      </w:r>
      <w:r>
        <w:rPr>
          <w:color w:val="244061"/>
        </w:rPr>
        <w:t xml:space="preserve"> </w:t>
      </w:r>
      <w:r>
        <w:rPr>
          <w:rFonts w:ascii="Arial" w:eastAsia="Arial" w:hAnsi="Arial" w:cs="Arial"/>
          <w:color w:val="244061"/>
        </w:rPr>
        <w:t>92.1.b)</w:t>
      </w:r>
      <w:r>
        <w:rPr>
          <w:color w:val="244061"/>
        </w:rPr>
        <w:t>至</w:t>
      </w:r>
      <w:r>
        <w:rPr>
          <w:color w:val="244061"/>
        </w:rPr>
        <w:t xml:space="preserve"> </w:t>
      </w:r>
      <w:r>
        <w:rPr>
          <w:rFonts w:ascii="Arial" w:eastAsia="Arial" w:hAnsi="Arial" w:cs="Arial"/>
          <w:color w:val="244061"/>
        </w:rPr>
        <w:t>f)</w:t>
      </w:r>
      <w:r>
        <w:rPr>
          <w:color w:val="244061"/>
        </w:rPr>
        <w:t>條有關的投資者設施相關的資料及其他當地資料</w:t>
      </w:r>
      <w:r>
        <w:t>。</w:t>
      </w:r>
    </w:p>
    <w:p w:rsidR="004D6F0E" w:rsidRDefault="00490F21">
      <w:pPr>
        <w:spacing w:after="3" w:line="259" w:lineRule="auto"/>
        <w:ind w:right="55" w:hanging="10"/>
        <w:jc w:val="center"/>
      </w:pPr>
      <w:r>
        <w:rPr>
          <w:rFonts w:ascii="Times New Roman" w:eastAsia="Times New Roman" w:hAnsi="Times New Roman" w:cs="Times New Roman"/>
          <w:sz w:val="20"/>
        </w:rPr>
        <w:t xml:space="preserve">II-47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D6F0E">
      <w:pPr>
        <w:spacing w:after="0" w:line="259" w:lineRule="auto"/>
        <w:ind w:left="-432" w:right="57" w:firstLine="0"/>
      </w:pPr>
    </w:p>
    <w:tbl>
      <w:tblPr>
        <w:tblStyle w:val="TableGrid"/>
        <w:tblW w:w="11078" w:type="dxa"/>
        <w:tblInd w:w="5" w:type="dxa"/>
        <w:tblCellMar>
          <w:top w:w="151" w:type="dxa"/>
          <w:left w:w="108" w:type="dxa"/>
          <w:bottom w:w="0" w:type="dxa"/>
          <w:right w:w="106" w:type="dxa"/>
        </w:tblCellMar>
        <w:tblLook w:val="04A0" w:firstRow="1" w:lastRow="0" w:firstColumn="1" w:lastColumn="0" w:noHBand="0" w:noVBand="1"/>
      </w:tblPr>
      <w:tblGrid>
        <w:gridCol w:w="1795"/>
        <w:gridCol w:w="3811"/>
        <w:gridCol w:w="5472"/>
      </w:tblGrid>
      <w:tr w:rsidR="004D6F0E">
        <w:trPr>
          <w:trHeight w:val="1183"/>
        </w:trPr>
        <w:tc>
          <w:tcPr>
            <w:tcW w:w="1795" w:type="dxa"/>
            <w:tcBorders>
              <w:top w:val="single" w:sz="4" w:space="0" w:color="B8CCE4"/>
              <w:left w:val="single" w:sz="4" w:space="0" w:color="B8CCE4"/>
              <w:bottom w:val="single" w:sz="12" w:space="0" w:color="95B3D7"/>
              <w:right w:val="single" w:sz="4" w:space="0" w:color="B8CCE4"/>
            </w:tcBorders>
          </w:tcPr>
          <w:p w:rsidR="004D6F0E" w:rsidRDefault="00490F21">
            <w:pPr>
              <w:spacing w:after="0" w:line="259" w:lineRule="auto"/>
              <w:ind w:left="0" w:firstLine="0"/>
            </w:pPr>
            <w:r>
              <w:rPr>
                <w:color w:val="244061"/>
              </w:rPr>
              <w:t>國家</w:t>
            </w:r>
            <w:r>
              <w:rPr>
                <w:rFonts w:ascii="Arial" w:eastAsia="Arial" w:hAnsi="Arial" w:cs="Arial"/>
                <w:b/>
                <w:color w:val="244061"/>
              </w:rPr>
              <w:t xml:space="preserve"> </w:t>
            </w:r>
          </w:p>
        </w:tc>
        <w:tc>
          <w:tcPr>
            <w:tcW w:w="9283" w:type="dxa"/>
            <w:gridSpan w:val="2"/>
            <w:tcBorders>
              <w:top w:val="single" w:sz="4" w:space="0" w:color="B8CCE4"/>
              <w:left w:val="single" w:sz="4" w:space="0" w:color="B8CCE4"/>
              <w:bottom w:val="single" w:sz="12" w:space="0" w:color="95B3D7"/>
              <w:right w:val="single" w:sz="4" w:space="0" w:color="B8CCE4"/>
            </w:tcBorders>
            <w:vAlign w:val="center"/>
          </w:tcPr>
          <w:p w:rsidR="004D6F0E" w:rsidRDefault="00490F21">
            <w:pPr>
              <w:spacing w:after="138" w:line="259" w:lineRule="auto"/>
              <w:ind w:left="0" w:firstLine="0"/>
            </w:pPr>
            <w:r>
              <w:rPr>
                <w:color w:val="244061"/>
              </w:rPr>
              <w:t>公佈與</w:t>
            </w:r>
            <w:r>
              <w:rPr>
                <w:color w:val="244061"/>
              </w:rPr>
              <w:t xml:space="preserve"> </w:t>
            </w:r>
            <w:r>
              <w:rPr>
                <w:rFonts w:ascii="Arial" w:eastAsia="Arial" w:hAnsi="Arial" w:cs="Arial"/>
                <w:color w:val="244061"/>
              </w:rPr>
              <w:t xml:space="preserve">UCITS </w:t>
            </w:r>
            <w:r>
              <w:rPr>
                <w:color w:val="244061"/>
              </w:rPr>
              <w:t>指令第</w:t>
            </w:r>
            <w:r>
              <w:rPr>
                <w:color w:val="244061"/>
              </w:rPr>
              <w:t xml:space="preserve"> </w:t>
            </w:r>
            <w:r>
              <w:rPr>
                <w:rFonts w:ascii="Arial" w:eastAsia="Arial" w:hAnsi="Arial" w:cs="Arial"/>
                <w:color w:val="244061"/>
              </w:rPr>
              <w:t>92 1.b)</w:t>
            </w:r>
            <w:r>
              <w:rPr>
                <w:color w:val="244061"/>
              </w:rPr>
              <w:t>至</w:t>
            </w:r>
            <w:r>
              <w:rPr>
                <w:color w:val="244061"/>
              </w:rPr>
              <w:t xml:space="preserve"> </w:t>
            </w:r>
            <w:r>
              <w:rPr>
                <w:rFonts w:ascii="Arial" w:eastAsia="Arial" w:hAnsi="Arial" w:cs="Arial"/>
                <w:color w:val="244061"/>
              </w:rPr>
              <w:t>f)</w:t>
            </w:r>
            <w:r>
              <w:rPr>
                <w:color w:val="244061"/>
              </w:rPr>
              <w:t>條有關的投資者設施相關資料的國家。</w:t>
            </w:r>
            <w:r>
              <w:rPr>
                <w:rFonts w:ascii="Arial" w:eastAsia="Arial" w:hAnsi="Arial" w:cs="Arial"/>
                <w:b/>
                <w:color w:val="244061"/>
              </w:rPr>
              <w:t xml:space="preserve"> </w:t>
            </w:r>
          </w:p>
          <w:p w:rsidR="004D6F0E" w:rsidRDefault="00490F21">
            <w:pPr>
              <w:spacing w:after="0" w:line="259" w:lineRule="auto"/>
              <w:ind w:left="0" w:right="9017" w:firstLine="0"/>
            </w:pPr>
            <w:r>
              <w:rPr>
                <w:rFonts w:ascii="Arial" w:eastAsia="Arial" w:hAnsi="Arial" w:cs="Arial"/>
                <w:color w:val="244061"/>
              </w:rPr>
              <w:t xml:space="preserve">  </w:t>
            </w:r>
          </w:p>
        </w:tc>
      </w:tr>
      <w:tr w:rsidR="004D6F0E">
        <w:trPr>
          <w:trHeight w:val="506"/>
        </w:trPr>
        <w:tc>
          <w:tcPr>
            <w:tcW w:w="1795" w:type="dxa"/>
            <w:tcBorders>
              <w:top w:val="single" w:sz="12" w:space="0" w:color="95B3D7"/>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奧地利</w:t>
            </w:r>
            <w:r>
              <w:rPr>
                <w:rFonts w:ascii="Arial" w:eastAsia="Arial" w:hAnsi="Arial" w:cs="Arial"/>
                <w:b/>
                <w:sz w:val="24"/>
              </w:rPr>
              <w:t xml:space="preserve"> </w:t>
            </w:r>
          </w:p>
        </w:tc>
        <w:tc>
          <w:tcPr>
            <w:tcW w:w="9283" w:type="dxa"/>
            <w:gridSpan w:val="2"/>
            <w:vMerge w:val="restart"/>
            <w:tcBorders>
              <w:top w:val="single" w:sz="12" w:space="0" w:color="95B3D7"/>
              <w:left w:val="single" w:sz="4" w:space="0" w:color="B8CCE4"/>
              <w:bottom w:val="single" w:sz="4" w:space="0" w:color="B8CCE4"/>
              <w:right w:val="single" w:sz="4" w:space="0" w:color="B8CCE4"/>
            </w:tcBorders>
          </w:tcPr>
          <w:p w:rsidR="004D6F0E" w:rsidRDefault="00490F21">
            <w:pPr>
              <w:spacing w:after="103" w:line="259" w:lineRule="auto"/>
              <w:ind w:left="0" w:firstLine="0"/>
            </w:pPr>
            <w:r>
              <w:rPr>
                <w:rFonts w:ascii="Arial" w:eastAsia="Arial" w:hAnsi="Arial" w:cs="Arial"/>
              </w:rPr>
              <w:t xml:space="preserve"> </w:t>
            </w:r>
          </w:p>
          <w:p w:rsidR="004D6F0E" w:rsidRDefault="00490F21">
            <w:pPr>
              <w:spacing w:after="103" w:line="259" w:lineRule="auto"/>
              <w:ind w:left="0" w:firstLine="0"/>
            </w:pPr>
            <w:r>
              <w:rPr>
                <w:rFonts w:ascii="Arial" w:eastAsia="Arial" w:hAnsi="Arial" w:cs="Arial"/>
              </w:rPr>
              <w:t xml:space="preserve"> </w:t>
            </w:r>
          </w:p>
          <w:p w:rsidR="004D6F0E" w:rsidRDefault="00490F21">
            <w:pPr>
              <w:spacing w:after="103" w:line="259" w:lineRule="auto"/>
              <w:ind w:left="0" w:firstLine="0"/>
            </w:pPr>
            <w:r>
              <w:rPr>
                <w:rFonts w:ascii="Arial" w:eastAsia="Arial" w:hAnsi="Arial" w:cs="Arial"/>
              </w:rPr>
              <w:t xml:space="preserve"> </w:t>
            </w:r>
          </w:p>
          <w:p w:rsidR="004D6F0E" w:rsidRDefault="00490F21">
            <w:pPr>
              <w:spacing w:after="103" w:line="259" w:lineRule="auto"/>
              <w:ind w:left="0" w:firstLine="0"/>
            </w:pPr>
            <w:r>
              <w:rPr>
                <w:rFonts w:ascii="Arial" w:eastAsia="Arial" w:hAnsi="Arial" w:cs="Arial"/>
              </w:rPr>
              <w:t xml:space="preserve"> </w:t>
            </w:r>
          </w:p>
          <w:p w:rsidR="004D6F0E" w:rsidRDefault="00490F21">
            <w:pPr>
              <w:spacing w:after="103" w:line="259" w:lineRule="auto"/>
              <w:ind w:left="0" w:firstLine="0"/>
            </w:pPr>
            <w:r>
              <w:rPr>
                <w:rFonts w:ascii="Arial" w:eastAsia="Arial" w:hAnsi="Arial" w:cs="Arial"/>
              </w:rPr>
              <w:t xml:space="preserve"> </w:t>
            </w:r>
          </w:p>
          <w:p w:rsidR="004D6F0E" w:rsidRDefault="00490F21">
            <w:pPr>
              <w:spacing w:after="117" w:line="259" w:lineRule="auto"/>
              <w:ind w:left="0" w:firstLine="0"/>
            </w:pPr>
            <w:r>
              <w:rPr>
                <w:rFonts w:ascii="Arial" w:eastAsia="Arial" w:hAnsi="Arial" w:cs="Arial"/>
              </w:rPr>
              <w:t xml:space="preserve"> </w:t>
            </w:r>
          </w:p>
          <w:p w:rsidR="004D6F0E" w:rsidRDefault="00490F21">
            <w:pPr>
              <w:spacing w:after="136" w:line="259" w:lineRule="auto"/>
              <w:ind w:left="0" w:firstLine="0"/>
            </w:pPr>
            <w:r>
              <w:t>登載於</w:t>
            </w:r>
            <w:r>
              <w:t xml:space="preserve"> </w:t>
            </w:r>
            <w:hyperlink r:id="rId333">
              <w:r>
                <w:rPr>
                  <w:rFonts w:ascii="Arial" w:eastAsia="Arial" w:hAnsi="Arial" w:cs="Arial"/>
                  <w:color w:val="0000FF"/>
                  <w:u w:val="single" w:color="0000FF"/>
                </w:rPr>
                <w:t>www.eifs.lu/alliancebernstein</w:t>
              </w:r>
            </w:hyperlink>
            <w:hyperlink r:id="rId334">
              <w:r>
                <w:rPr>
                  <w:rFonts w:ascii="Arial" w:eastAsia="Arial" w:hAnsi="Arial" w:cs="Arial"/>
                </w:rPr>
                <w:t xml:space="preserve"> </w:t>
              </w:r>
            </w:hyperlink>
          </w:p>
          <w:p w:rsidR="004D6F0E" w:rsidRDefault="00490F21">
            <w:pPr>
              <w:spacing w:after="114" w:line="259" w:lineRule="auto"/>
              <w:ind w:left="0" w:firstLine="0"/>
            </w:pPr>
            <w:r>
              <w:rPr>
                <w:rFonts w:ascii="Arial" w:eastAsia="Arial" w:hAnsi="Arial" w:cs="Arial"/>
              </w:rPr>
              <w:t xml:space="preserve"> </w:t>
            </w:r>
          </w:p>
          <w:p w:rsidR="004D6F0E" w:rsidRDefault="00490F21">
            <w:pPr>
              <w:spacing w:after="137" w:line="259" w:lineRule="auto"/>
              <w:ind w:left="0" w:firstLine="0"/>
            </w:pPr>
            <w:r>
              <w:t>與</w:t>
            </w:r>
            <w:r>
              <w:t xml:space="preserve"> </w:t>
            </w:r>
            <w:r>
              <w:rPr>
                <w:rFonts w:ascii="Arial" w:eastAsia="Arial" w:hAnsi="Arial" w:cs="Arial"/>
              </w:rPr>
              <w:t xml:space="preserve">UCITS </w:t>
            </w:r>
            <w:r>
              <w:t>指令第</w:t>
            </w:r>
            <w:r>
              <w:t xml:space="preserve"> </w:t>
            </w:r>
            <w:r>
              <w:rPr>
                <w:rFonts w:ascii="Arial" w:eastAsia="Arial" w:hAnsi="Arial" w:cs="Arial"/>
              </w:rPr>
              <w:t>92 1.a)</w:t>
            </w:r>
            <w:r>
              <w:t>條有關的投資者設施要求將由</w:t>
            </w:r>
            <w:r>
              <w:t xml:space="preserve"> </w:t>
            </w:r>
            <w:r>
              <w:rPr>
                <w:rFonts w:ascii="Arial" w:eastAsia="Arial" w:hAnsi="Arial" w:cs="Arial"/>
              </w:rPr>
              <w:t>AllianceBernstein (Luxembourg) S.à r.l.</w:t>
            </w:r>
            <w:r>
              <w:t>處理</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克羅地亞</w:t>
            </w:r>
            <w:r>
              <w:rPr>
                <w:rFonts w:ascii="Arial" w:eastAsia="Arial" w:hAnsi="Arial" w:cs="Arial"/>
                <w:b/>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9"/>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捷克</w:t>
            </w:r>
            <w:r>
              <w:rPr>
                <w:rFonts w:ascii="Arial" w:eastAsia="Arial" w:hAnsi="Arial" w:cs="Arial"/>
                <w:b/>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丹麥</w:t>
            </w:r>
            <w:r>
              <w:rPr>
                <w:rFonts w:ascii="Arial" w:eastAsia="Arial" w:hAnsi="Arial" w:cs="Arial"/>
                <w:b/>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芬蘭</w:t>
            </w:r>
            <w:r>
              <w:rPr>
                <w:rFonts w:ascii="Arial" w:eastAsia="Arial" w:hAnsi="Arial" w:cs="Arial"/>
                <w:b/>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匈牙利</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冰島</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列支敦士登</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盧森堡</w:t>
            </w:r>
            <w:r>
              <w:rPr>
                <w:rFonts w:ascii="Arial" w:eastAsia="Arial" w:hAnsi="Arial" w:cs="Arial"/>
                <w:b/>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9"/>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荷蘭</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挪威</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瑞典</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葡萄牙</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羅馬尼亞</w:t>
            </w:r>
            <w:r>
              <w:rPr>
                <w:rFonts w:ascii="Arial" w:eastAsia="Arial" w:hAnsi="Arial" w:cs="Arial"/>
              </w:rPr>
              <w:t xml:space="preserve"> </w:t>
            </w:r>
          </w:p>
        </w:tc>
        <w:tc>
          <w:tcPr>
            <w:tcW w:w="0" w:type="auto"/>
            <w:gridSpan w:val="2"/>
            <w:vMerge/>
            <w:tcBorders>
              <w:top w:val="nil"/>
              <w:left w:val="single" w:sz="4" w:space="0" w:color="B8CCE4"/>
              <w:bottom w:val="nil"/>
              <w:right w:val="single" w:sz="4" w:space="0" w:color="B8CCE4"/>
            </w:tcBorders>
          </w:tcPr>
          <w:p w:rsidR="004D6F0E" w:rsidRDefault="004D6F0E">
            <w:pPr>
              <w:spacing w:after="160" w:line="259" w:lineRule="auto"/>
              <w:ind w:left="0" w:firstLine="0"/>
            </w:pPr>
          </w:p>
        </w:tc>
      </w:tr>
      <w:tr w:rsidR="004D6F0E">
        <w:trPr>
          <w:trHeight w:val="497"/>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斯洛伐克</w:t>
            </w:r>
            <w:r>
              <w:rPr>
                <w:rFonts w:ascii="Arial" w:eastAsia="Arial" w:hAnsi="Arial" w:cs="Arial"/>
              </w:rPr>
              <w:t xml:space="preserve"> </w:t>
            </w:r>
          </w:p>
        </w:tc>
        <w:tc>
          <w:tcPr>
            <w:tcW w:w="0" w:type="auto"/>
            <w:gridSpan w:val="2"/>
            <w:vMerge/>
            <w:tcBorders>
              <w:top w:val="nil"/>
              <w:left w:val="single" w:sz="4" w:space="0" w:color="B8CCE4"/>
              <w:bottom w:val="single" w:sz="4" w:space="0" w:color="B8CCE4"/>
              <w:right w:val="single" w:sz="4" w:space="0" w:color="B8CCE4"/>
            </w:tcBorders>
          </w:tcPr>
          <w:p w:rsidR="004D6F0E" w:rsidRDefault="004D6F0E">
            <w:pPr>
              <w:spacing w:after="160" w:line="259" w:lineRule="auto"/>
              <w:ind w:left="0" w:firstLine="0"/>
            </w:pPr>
          </w:p>
        </w:tc>
      </w:tr>
      <w:tr w:rsidR="004D6F0E">
        <w:trPr>
          <w:trHeight w:val="1082"/>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rPr>
                <w:rFonts w:ascii="Arial" w:eastAsia="Arial" w:hAnsi="Arial" w:cs="Arial"/>
                <w:color w:val="548DD4"/>
              </w:rPr>
              <w:t xml:space="preserve"> </w:t>
            </w:r>
          </w:p>
        </w:tc>
        <w:tc>
          <w:tcPr>
            <w:tcW w:w="3811"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115" w:line="278" w:lineRule="auto"/>
              <w:ind w:left="0" w:firstLine="0"/>
            </w:pPr>
            <w:r>
              <w:rPr>
                <w:color w:val="244061"/>
              </w:rPr>
              <w:t>公佈與</w:t>
            </w:r>
            <w:r>
              <w:rPr>
                <w:color w:val="244061"/>
              </w:rPr>
              <w:t xml:space="preserve"> </w:t>
            </w:r>
            <w:r>
              <w:rPr>
                <w:rFonts w:ascii="Arial" w:eastAsia="Arial" w:hAnsi="Arial" w:cs="Arial"/>
                <w:b/>
                <w:color w:val="244061"/>
              </w:rPr>
              <w:t xml:space="preserve">UCITS </w:t>
            </w:r>
            <w:r>
              <w:rPr>
                <w:color w:val="244061"/>
              </w:rPr>
              <w:t>指令第</w:t>
            </w:r>
            <w:r>
              <w:rPr>
                <w:color w:val="244061"/>
              </w:rPr>
              <w:t xml:space="preserve"> </w:t>
            </w:r>
            <w:r>
              <w:rPr>
                <w:rFonts w:ascii="Arial" w:eastAsia="Arial" w:hAnsi="Arial" w:cs="Arial"/>
                <w:b/>
                <w:color w:val="244061"/>
              </w:rPr>
              <w:t>92 1.b)</w:t>
            </w:r>
            <w:r>
              <w:rPr>
                <w:color w:val="244061"/>
              </w:rPr>
              <w:t>至</w:t>
            </w:r>
            <w:r>
              <w:rPr>
                <w:color w:val="244061"/>
              </w:rPr>
              <w:t xml:space="preserve"> </w:t>
            </w:r>
            <w:r>
              <w:rPr>
                <w:rFonts w:ascii="Arial" w:eastAsia="Arial" w:hAnsi="Arial" w:cs="Arial"/>
                <w:b/>
                <w:color w:val="244061"/>
              </w:rPr>
              <w:t>f)</w:t>
            </w:r>
            <w:r>
              <w:rPr>
                <w:color w:val="244061"/>
              </w:rPr>
              <w:t>條有關的投資者設施相關資料的國家：</w:t>
            </w:r>
            <w:r>
              <w:rPr>
                <w:rFonts w:ascii="Arial" w:eastAsia="Arial" w:hAnsi="Arial" w:cs="Arial"/>
                <w:color w:val="244061"/>
              </w:rPr>
              <w:t xml:space="preserve"> </w:t>
            </w:r>
          </w:p>
          <w:p w:rsidR="004D6F0E" w:rsidRDefault="00490F21">
            <w:pPr>
              <w:spacing w:after="0" w:line="259" w:lineRule="auto"/>
              <w:ind w:left="0" w:firstLine="0"/>
            </w:pPr>
            <w:r>
              <w:rPr>
                <w:rFonts w:ascii="Arial" w:eastAsia="Arial" w:hAnsi="Arial" w:cs="Arial"/>
                <w:color w:val="244061"/>
              </w:rPr>
              <w:t xml:space="preserve"> </w:t>
            </w:r>
          </w:p>
        </w:tc>
        <w:tc>
          <w:tcPr>
            <w:tcW w:w="5472"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rPr>
                <w:color w:val="244061"/>
              </w:rPr>
              <w:t>附加國家資料</w:t>
            </w:r>
            <w:r>
              <w:rPr>
                <w:rFonts w:ascii="Arial" w:eastAsia="Arial" w:hAnsi="Arial" w:cs="Arial"/>
                <w:color w:val="244061"/>
              </w:rPr>
              <w:t xml:space="preserve"> </w:t>
            </w:r>
          </w:p>
        </w:tc>
      </w:tr>
      <w:tr w:rsidR="004D6F0E">
        <w:trPr>
          <w:trHeight w:val="1699"/>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法國</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136" w:line="259" w:lineRule="auto"/>
              <w:ind w:left="0" w:firstLine="0"/>
            </w:pPr>
            <w:r>
              <w:t>登載於</w:t>
            </w:r>
            <w:r>
              <w:t xml:space="preserve"> </w:t>
            </w:r>
            <w:hyperlink r:id="rId335">
              <w:r>
                <w:rPr>
                  <w:rFonts w:ascii="Arial" w:eastAsia="Arial" w:hAnsi="Arial" w:cs="Arial"/>
                  <w:color w:val="0000FF"/>
                  <w:u w:val="single" w:color="0000FF"/>
                </w:rPr>
                <w:t>www.eifs.lu/alliancebernstein</w:t>
              </w:r>
            </w:hyperlink>
            <w:hyperlink r:id="rId336">
              <w:r>
                <w:rPr>
                  <w:rFonts w:ascii="Arial" w:eastAsia="Arial" w:hAnsi="Arial" w:cs="Arial"/>
                </w:rPr>
                <w:t xml:space="preserve"> </w:t>
              </w:r>
            </w:hyperlink>
            <w:r>
              <w:rPr>
                <w:rFonts w:ascii="Arial" w:eastAsia="Arial" w:hAnsi="Arial" w:cs="Arial"/>
              </w:rPr>
              <w:t xml:space="preserve"> </w:t>
            </w:r>
          </w:p>
          <w:p w:rsidR="004D6F0E" w:rsidRDefault="00490F21">
            <w:pPr>
              <w:spacing w:after="111" w:line="259" w:lineRule="auto"/>
              <w:ind w:left="0" w:firstLine="0"/>
            </w:pPr>
            <w:r>
              <w:rPr>
                <w:rFonts w:ascii="Arial" w:eastAsia="Arial" w:hAnsi="Arial" w:cs="Arial"/>
              </w:rPr>
              <w:t xml:space="preserve"> </w:t>
            </w:r>
          </w:p>
          <w:p w:rsidR="004D6F0E" w:rsidRDefault="00490F21">
            <w:pPr>
              <w:spacing w:after="0" w:line="291" w:lineRule="auto"/>
              <w:ind w:left="0" w:firstLine="0"/>
            </w:pPr>
            <w:r>
              <w:t>與</w:t>
            </w:r>
            <w:r>
              <w:t xml:space="preserve"> </w:t>
            </w:r>
            <w:r>
              <w:rPr>
                <w:rFonts w:ascii="Arial" w:eastAsia="Arial" w:hAnsi="Arial" w:cs="Arial"/>
              </w:rPr>
              <w:t xml:space="preserve">UCITS </w:t>
            </w:r>
            <w:r>
              <w:t>指令第</w:t>
            </w:r>
            <w:r>
              <w:t xml:space="preserve"> </w:t>
            </w:r>
            <w:r>
              <w:rPr>
                <w:rFonts w:ascii="Arial" w:eastAsia="Arial" w:hAnsi="Arial" w:cs="Arial"/>
              </w:rPr>
              <w:t>92 1.a)</w:t>
            </w:r>
            <w:r>
              <w:t>條有關的投資者設施要求將由</w:t>
            </w:r>
            <w:r>
              <w:t xml:space="preserve"> </w:t>
            </w:r>
            <w:r>
              <w:rPr>
                <w:rFonts w:ascii="Arial" w:eastAsia="Arial" w:hAnsi="Arial" w:cs="Arial"/>
              </w:rPr>
              <w:t xml:space="preserve">AllianceBernstein </w:t>
            </w:r>
          </w:p>
          <w:p w:rsidR="004D6F0E" w:rsidRDefault="00490F21">
            <w:pPr>
              <w:spacing w:after="0" w:line="259" w:lineRule="auto"/>
              <w:ind w:left="0" w:firstLine="0"/>
            </w:pPr>
            <w:r>
              <w:rPr>
                <w:rFonts w:ascii="Arial" w:eastAsia="Arial" w:hAnsi="Arial" w:cs="Arial"/>
              </w:rPr>
              <w:t>(Luxembourg) S.à r.l.</w:t>
            </w:r>
            <w:r>
              <w:t>處理</w:t>
            </w:r>
            <w:r>
              <w:rPr>
                <w:rFonts w:ascii="Arial" w:eastAsia="Arial" w:hAnsi="Arial" w:cs="Arial"/>
              </w:rPr>
              <w:t xml:space="preserve"> </w:t>
            </w:r>
          </w:p>
        </w:tc>
        <w:tc>
          <w:tcPr>
            <w:tcW w:w="5472"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rPr>
                <w:rFonts w:ascii="Arial" w:eastAsia="Arial" w:hAnsi="Arial" w:cs="Arial"/>
              </w:rPr>
              <w:t xml:space="preserve">BNP Paribas Securities Services, 3, rue d’Antin – 75002 Paris, </w:t>
            </w:r>
            <w:r>
              <w:t>法國為傘子基金的中央代理人。</w:t>
            </w:r>
            <w:r>
              <w:rPr>
                <w:rFonts w:ascii="Arial" w:eastAsia="Arial" w:hAnsi="Arial" w:cs="Arial"/>
              </w:rPr>
              <w:t xml:space="preserve"> </w:t>
            </w:r>
          </w:p>
        </w:tc>
      </w:tr>
    </w:tbl>
    <w:p w:rsidR="004D6F0E" w:rsidRDefault="004D6F0E">
      <w:pPr>
        <w:spacing w:after="0" w:line="259" w:lineRule="auto"/>
        <w:ind w:left="-432" w:right="57" w:firstLine="0"/>
      </w:pPr>
    </w:p>
    <w:tbl>
      <w:tblPr>
        <w:tblStyle w:val="TableGrid"/>
        <w:tblW w:w="11078" w:type="dxa"/>
        <w:tblInd w:w="5" w:type="dxa"/>
        <w:tblCellMar>
          <w:top w:w="151" w:type="dxa"/>
          <w:left w:w="108" w:type="dxa"/>
          <w:bottom w:w="8" w:type="dxa"/>
          <w:right w:w="113" w:type="dxa"/>
        </w:tblCellMar>
        <w:tblLook w:val="04A0" w:firstRow="1" w:lastRow="0" w:firstColumn="1" w:lastColumn="0" w:noHBand="0" w:noVBand="1"/>
      </w:tblPr>
      <w:tblGrid>
        <w:gridCol w:w="334"/>
        <w:gridCol w:w="1053"/>
        <w:gridCol w:w="9738"/>
      </w:tblGrid>
      <w:tr w:rsidR="004D6F0E">
        <w:trPr>
          <w:trHeight w:val="6862"/>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德國</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tcPr>
          <w:p w:rsidR="004D6F0E" w:rsidRDefault="00490F21">
            <w:pPr>
              <w:spacing w:after="136" w:line="259" w:lineRule="auto"/>
              <w:ind w:left="0" w:firstLine="0"/>
            </w:pPr>
            <w:r>
              <w:t>登載於</w:t>
            </w:r>
            <w:r>
              <w:t xml:space="preserve"> </w:t>
            </w:r>
            <w:hyperlink r:id="rId337">
              <w:r>
                <w:rPr>
                  <w:rFonts w:ascii="Arial" w:eastAsia="Arial" w:hAnsi="Arial" w:cs="Arial"/>
                  <w:color w:val="0000FF"/>
                  <w:u w:val="single" w:color="0000FF"/>
                </w:rPr>
                <w:t>www.eifs.lu/alliancebernstein</w:t>
              </w:r>
            </w:hyperlink>
            <w:hyperlink r:id="rId338">
              <w:r>
                <w:rPr>
                  <w:rFonts w:ascii="Arial" w:eastAsia="Arial" w:hAnsi="Arial" w:cs="Arial"/>
                </w:rPr>
                <w:t xml:space="preserve"> </w:t>
              </w:r>
            </w:hyperlink>
            <w:r>
              <w:rPr>
                <w:rFonts w:ascii="Arial" w:eastAsia="Arial" w:hAnsi="Arial" w:cs="Arial"/>
              </w:rPr>
              <w:t xml:space="preserve"> </w:t>
            </w:r>
          </w:p>
          <w:p w:rsidR="004D6F0E" w:rsidRDefault="00490F21">
            <w:pPr>
              <w:spacing w:after="111" w:line="259" w:lineRule="auto"/>
              <w:ind w:left="0" w:firstLine="0"/>
            </w:pPr>
            <w:r>
              <w:rPr>
                <w:rFonts w:ascii="Arial" w:eastAsia="Arial" w:hAnsi="Arial" w:cs="Arial"/>
              </w:rPr>
              <w:t xml:space="preserve"> </w:t>
            </w:r>
          </w:p>
          <w:p w:rsidR="004D6F0E" w:rsidRDefault="00490F21">
            <w:pPr>
              <w:spacing w:after="0" w:line="291" w:lineRule="auto"/>
              <w:ind w:left="0" w:firstLine="0"/>
            </w:pPr>
            <w:r>
              <w:t>與</w:t>
            </w:r>
            <w:r>
              <w:t xml:space="preserve"> </w:t>
            </w:r>
            <w:r>
              <w:rPr>
                <w:rFonts w:ascii="Arial" w:eastAsia="Arial" w:hAnsi="Arial" w:cs="Arial"/>
              </w:rPr>
              <w:t xml:space="preserve">UCITS </w:t>
            </w:r>
            <w:r>
              <w:t>指令第</w:t>
            </w:r>
            <w:r>
              <w:t xml:space="preserve"> </w:t>
            </w:r>
            <w:r>
              <w:rPr>
                <w:rFonts w:ascii="Arial" w:eastAsia="Arial" w:hAnsi="Arial" w:cs="Arial"/>
              </w:rPr>
              <w:t>92 1.a)</w:t>
            </w:r>
            <w:r>
              <w:t>條有關的投資者設施要求將由</w:t>
            </w:r>
            <w:r>
              <w:t xml:space="preserve"> </w:t>
            </w:r>
            <w:r>
              <w:rPr>
                <w:rFonts w:ascii="Arial" w:eastAsia="Arial" w:hAnsi="Arial" w:cs="Arial"/>
              </w:rPr>
              <w:t xml:space="preserve">AllianceBernstein </w:t>
            </w:r>
          </w:p>
          <w:p w:rsidR="004D6F0E" w:rsidRDefault="00490F21">
            <w:pPr>
              <w:spacing w:after="0" w:line="259" w:lineRule="auto"/>
              <w:ind w:left="0" w:firstLine="0"/>
            </w:pPr>
            <w:r>
              <w:rPr>
                <w:rFonts w:ascii="Arial" w:eastAsia="Arial" w:hAnsi="Arial" w:cs="Arial"/>
              </w:rPr>
              <w:t>(Luxembourg) S.à r.l.</w:t>
            </w:r>
            <w:r>
              <w:t>處理</w:t>
            </w:r>
            <w:r>
              <w:rPr>
                <w:rFonts w:ascii="Arial" w:eastAsia="Arial" w:hAnsi="Arial" w:cs="Arial"/>
              </w:rPr>
              <w:t xml:space="preserve"> </w:t>
            </w:r>
          </w:p>
        </w:tc>
        <w:tc>
          <w:tcPr>
            <w:tcW w:w="5472"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121"/>
              <w:ind w:left="0" w:firstLine="0"/>
            </w:pPr>
            <w:r>
              <w:t>任何通告將按股東登記冊登記的地址發送予登記股東並登載於</w:t>
            </w:r>
            <w:r>
              <w:t xml:space="preserve"> </w:t>
            </w:r>
            <w:r>
              <w:rPr>
                <w:rFonts w:ascii="Arial" w:eastAsia="Arial" w:hAnsi="Arial" w:cs="Arial"/>
                <w:color w:val="0000FF"/>
                <w:u w:val="single" w:color="0000FF"/>
              </w:rPr>
              <w:t>www.alliancebernstein.com</w:t>
            </w:r>
            <w:r>
              <w:t>。在下列情況下，給予股東的通告將透過採用持久媒介的方式公佈：暫停贖回股份；終止管理本傘子基金或本傘子基金清盤；修訂與現有投資原則不符的本傘子基金規則，對重大投資者權利作出不利於投資者的修訂，或與可從本傘子基金中撥付的報酬或開支補償有關的不利於投資者的修訂（包括修訂理由及投資者權利）；合併本傘子基金或基金；及將本傘子基金或基金轉換為聯接基金。</w:t>
            </w:r>
            <w:r>
              <w:rPr>
                <w:rFonts w:ascii="Arial" w:eastAsia="Arial" w:hAnsi="Arial" w:cs="Arial"/>
              </w:rPr>
              <w:t xml:space="preserve"> </w:t>
            </w:r>
          </w:p>
          <w:p w:rsidR="004D6F0E" w:rsidRDefault="00490F21">
            <w:pPr>
              <w:spacing w:after="106" w:line="259" w:lineRule="auto"/>
              <w:ind w:left="0" w:firstLine="0"/>
            </w:pPr>
            <w:r>
              <w:rPr>
                <w:rFonts w:ascii="Arial" w:eastAsia="Arial" w:hAnsi="Arial" w:cs="Arial"/>
              </w:rPr>
              <w:t xml:space="preserve"> </w:t>
            </w:r>
          </w:p>
          <w:p w:rsidR="004D6F0E" w:rsidRDefault="00490F21">
            <w:pPr>
              <w:spacing w:after="213" w:line="259" w:lineRule="auto"/>
              <w:ind w:left="0" w:firstLine="0"/>
            </w:pPr>
            <w:r>
              <w:t>德國稅務</w:t>
            </w:r>
            <w:r>
              <w:rPr>
                <w:rFonts w:ascii="Arial" w:eastAsia="Arial" w:hAnsi="Arial" w:cs="Arial"/>
                <w:b/>
              </w:rPr>
              <w:t xml:space="preserve"> </w:t>
            </w:r>
          </w:p>
          <w:p w:rsidR="004D6F0E" w:rsidRDefault="00490F21">
            <w:pPr>
              <w:spacing w:after="25" w:line="259" w:lineRule="auto"/>
              <w:ind w:left="0" w:firstLine="0"/>
            </w:pPr>
            <w:r>
              <w:t>以下各基金各自的淨資產中至少</w:t>
            </w:r>
            <w:r>
              <w:t xml:space="preserve"> </w:t>
            </w:r>
            <w:r>
              <w:rPr>
                <w:rFonts w:ascii="Arial" w:eastAsia="Arial" w:hAnsi="Arial" w:cs="Arial"/>
              </w:rPr>
              <w:t>50%</w:t>
            </w:r>
            <w:r>
              <w:t>將投資於</w:t>
            </w:r>
            <w:r>
              <w:t>德國投資稅法第</w:t>
            </w:r>
          </w:p>
          <w:p w:rsidR="004D6F0E" w:rsidRDefault="00490F21">
            <w:pPr>
              <w:spacing w:after="0" w:line="259" w:lineRule="auto"/>
              <w:ind w:left="0" w:firstLine="0"/>
            </w:pPr>
            <w:r>
              <w:rPr>
                <w:rFonts w:ascii="Arial" w:eastAsia="Arial" w:hAnsi="Arial" w:cs="Arial"/>
              </w:rPr>
              <w:t xml:space="preserve">2 </w:t>
            </w:r>
            <w:r>
              <w:t>條第</w:t>
            </w:r>
            <w:r>
              <w:t xml:space="preserve"> </w:t>
            </w:r>
            <w:r>
              <w:rPr>
                <w:rFonts w:ascii="Arial" w:eastAsia="Arial" w:hAnsi="Arial" w:cs="Arial"/>
              </w:rPr>
              <w:t xml:space="preserve">8 </w:t>
            </w:r>
            <w:r>
              <w:t>段所界定的股票：</w:t>
            </w:r>
            <w:r>
              <w:rPr>
                <w:rFonts w:ascii="Arial" w:eastAsia="Arial" w:hAnsi="Arial" w:cs="Arial"/>
              </w:rPr>
              <w:t xml:space="preserve"> </w:t>
            </w:r>
          </w:p>
          <w:tbl>
            <w:tblPr>
              <w:tblStyle w:val="TableGrid"/>
              <w:tblW w:w="5246" w:type="dxa"/>
              <w:tblInd w:w="5" w:type="dxa"/>
              <w:tblCellMar>
                <w:top w:w="31" w:type="dxa"/>
                <w:left w:w="108" w:type="dxa"/>
                <w:bottom w:w="0" w:type="dxa"/>
                <w:right w:w="115" w:type="dxa"/>
              </w:tblCellMar>
              <w:tblLook w:val="04A0" w:firstRow="1" w:lastRow="0" w:firstColumn="1" w:lastColumn="0" w:noHBand="0" w:noVBand="1"/>
            </w:tblPr>
            <w:tblGrid>
              <w:gridCol w:w="5246"/>
            </w:tblGrid>
            <w:tr w:rsidR="004D6F0E">
              <w:trPr>
                <w:trHeight w:val="358"/>
              </w:trPr>
              <w:tc>
                <w:tcPr>
                  <w:tcW w:w="524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亞洲（日本以外）股票基金</w:t>
                  </w:r>
                  <w:r>
                    <w:rPr>
                      <w:rFonts w:ascii="Arial" w:eastAsia="Arial" w:hAnsi="Arial" w:cs="Arial"/>
                    </w:rPr>
                    <w:t xml:space="preserve"> </w:t>
                  </w:r>
                </w:p>
              </w:tc>
            </w:tr>
            <w:tr w:rsidR="004D6F0E">
              <w:trPr>
                <w:trHeight w:val="358"/>
              </w:trPr>
              <w:tc>
                <w:tcPr>
                  <w:tcW w:w="524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中國低波幅策略股票基金</w:t>
                  </w:r>
                  <w:r>
                    <w:rPr>
                      <w:rFonts w:ascii="Arial" w:eastAsia="Arial" w:hAnsi="Arial" w:cs="Arial"/>
                    </w:rPr>
                    <w:t xml:space="preserve"> </w:t>
                  </w:r>
                </w:p>
              </w:tc>
            </w:tr>
            <w:tr w:rsidR="004D6F0E">
              <w:trPr>
                <w:trHeight w:val="358"/>
              </w:trPr>
              <w:tc>
                <w:tcPr>
                  <w:tcW w:w="524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新興市場增長基金</w:t>
                  </w:r>
                  <w:r>
                    <w:rPr>
                      <w:rFonts w:ascii="Arial" w:eastAsia="Arial" w:hAnsi="Arial" w:cs="Arial"/>
                    </w:rPr>
                    <w:t xml:space="preserve"> </w:t>
                  </w:r>
                </w:p>
              </w:tc>
            </w:tr>
            <w:tr w:rsidR="004D6F0E">
              <w:trPr>
                <w:trHeight w:val="355"/>
              </w:trPr>
              <w:tc>
                <w:tcPr>
                  <w:tcW w:w="524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環球股票策略基金</w:t>
                  </w:r>
                  <w:r>
                    <w:rPr>
                      <w:rFonts w:ascii="Arial" w:eastAsia="Arial" w:hAnsi="Arial" w:cs="Arial"/>
                    </w:rPr>
                    <w:t xml:space="preserve"> </w:t>
                  </w:r>
                </w:p>
              </w:tc>
            </w:tr>
            <w:tr w:rsidR="004D6F0E">
              <w:trPr>
                <w:trHeight w:val="358"/>
              </w:trPr>
              <w:tc>
                <w:tcPr>
                  <w:tcW w:w="524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日本策略價值基金</w:t>
                  </w:r>
                  <w:r>
                    <w:rPr>
                      <w:rFonts w:ascii="Arial" w:eastAsia="Arial" w:hAnsi="Arial" w:cs="Arial"/>
                    </w:rPr>
                    <w:t xml:space="preserve"> </w:t>
                  </w:r>
                </w:p>
              </w:tc>
            </w:tr>
          </w:tbl>
          <w:p w:rsidR="004D6F0E" w:rsidRDefault="00490F21">
            <w:pPr>
              <w:spacing w:after="222" w:line="259" w:lineRule="auto"/>
              <w:ind w:left="0" w:firstLine="0"/>
            </w:pPr>
            <w:r>
              <w:rPr>
                <w:rFonts w:ascii="Arial" w:eastAsia="Arial" w:hAnsi="Arial" w:cs="Arial"/>
                <w:sz w:val="6"/>
              </w:rPr>
              <w:t xml:space="preserve"> </w:t>
            </w:r>
          </w:p>
          <w:p w:rsidR="004D6F0E" w:rsidRDefault="00490F21">
            <w:pPr>
              <w:spacing w:after="25" w:line="259" w:lineRule="auto"/>
              <w:ind w:left="0" w:firstLine="0"/>
            </w:pPr>
            <w:r>
              <w:t>以下各基金各自的淨資產中至少</w:t>
            </w:r>
            <w:r>
              <w:t xml:space="preserve"> </w:t>
            </w:r>
            <w:r>
              <w:rPr>
                <w:rFonts w:ascii="Arial" w:eastAsia="Arial" w:hAnsi="Arial" w:cs="Arial"/>
              </w:rPr>
              <w:t>25%</w:t>
            </w:r>
            <w:r>
              <w:t>將投資於德國投資稅法第</w:t>
            </w:r>
          </w:p>
          <w:p w:rsidR="004D6F0E" w:rsidRDefault="00490F21">
            <w:pPr>
              <w:spacing w:after="0" w:line="259" w:lineRule="auto"/>
              <w:ind w:left="0" w:firstLine="0"/>
            </w:pPr>
            <w:r>
              <w:rPr>
                <w:rFonts w:ascii="Arial" w:eastAsia="Arial" w:hAnsi="Arial" w:cs="Arial"/>
              </w:rPr>
              <w:t xml:space="preserve">2 </w:t>
            </w:r>
            <w:r>
              <w:t>條第</w:t>
            </w:r>
            <w:r>
              <w:t xml:space="preserve"> </w:t>
            </w:r>
            <w:r>
              <w:rPr>
                <w:rFonts w:ascii="Arial" w:eastAsia="Arial" w:hAnsi="Arial" w:cs="Arial"/>
              </w:rPr>
              <w:t xml:space="preserve">8 </w:t>
            </w:r>
            <w:r>
              <w:t>段所界定的股票：</w:t>
            </w:r>
            <w:r>
              <w:rPr>
                <w:rFonts w:ascii="Arial" w:eastAsia="Arial" w:hAnsi="Arial" w:cs="Arial"/>
              </w:rPr>
              <w:t xml:space="preserve"> </w:t>
            </w:r>
          </w:p>
          <w:tbl>
            <w:tblPr>
              <w:tblStyle w:val="TableGrid"/>
              <w:tblW w:w="5246" w:type="dxa"/>
              <w:tblInd w:w="5" w:type="dxa"/>
              <w:tblCellMar>
                <w:top w:w="31" w:type="dxa"/>
                <w:left w:w="108" w:type="dxa"/>
                <w:bottom w:w="0" w:type="dxa"/>
                <w:right w:w="115" w:type="dxa"/>
              </w:tblCellMar>
              <w:tblLook w:val="04A0" w:firstRow="1" w:lastRow="0" w:firstColumn="1" w:lastColumn="0" w:noHBand="0" w:noVBand="1"/>
            </w:tblPr>
            <w:tblGrid>
              <w:gridCol w:w="5246"/>
            </w:tblGrid>
            <w:tr w:rsidR="004D6F0E">
              <w:trPr>
                <w:trHeight w:val="358"/>
              </w:trPr>
              <w:tc>
                <w:tcPr>
                  <w:tcW w:w="524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全方位領航基金</w:t>
                  </w:r>
                  <w:r>
                    <w:rPr>
                      <w:rFonts w:ascii="Arial" w:eastAsia="Arial" w:hAnsi="Arial" w:cs="Arial"/>
                    </w:rPr>
                    <w:t xml:space="preserve"> </w:t>
                  </w:r>
                </w:p>
              </w:tc>
            </w:tr>
          </w:tbl>
          <w:p w:rsidR="004D6F0E" w:rsidRDefault="004D6F0E">
            <w:pPr>
              <w:spacing w:after="160" w:line="259" w:lineRule="auto"/>
              <w:ind w:left="0" w:firstLine="0"/>
            </w:pPr>
          </w:p>
        </w:tc>
      </w:tr>
      <w:tr w:rsidR="004D6F0E">
        <w:trPr>
          <w:trHeight w:val="3900"/>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香港</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不適用</w:t>
            </w:r>
            <w:r>
              <w:rPr>
                <w:rFonts w:ascii="Arial" w:eastAsia="Arial" w:hAnsi="Arial" w:cs="Arial"/>
              </w:rPr>
              <w:t xml:space="preserve"> </w:t>
            </w:r>
          </w:p>
        </w:tc>
        <w:tc>
          <w:tcPr>
            <w:tcW w:w="5472" w:type="dxa"/>
            <w:tcBorders>
              <w:top w:val="single" w:sz="4" w:space="0" w:color="B8CCE4"/>
              <w:left w:val="single" w:sz="4" w:space="0" w:color="B8CCE4"/>
              <w:bottom w:val="single" w:sz="4" w:space="0" w:color="B8CCE4"/>
              <w:right w:val="single" w:sz="4" w:space="0" w:color="B8CCE4"/>
            </w:tcBorders>
            <w:vAlign w:val="bottom"/>
          </w:tcPr>
          <w:p w:rsidR="004D6F0E" w:rsidRDefault="00490F21">
            <w:pPr>
              <w:spacing w:after="0" w:line="339" w:lineRule="auto"/>
              <w:ind w:left="0" w:right="3300" w:firstLine="0"/>
            </w:pPr>
            <w:r>
              <w:t>本傘子基金代表聯博香港有限公司香港</w:t>
            </w:r>
            <w:r>
              <w:rPr>
                <w:rFonts w:ascii="Arial" w:eastAsia="Arial" w:hAnsi="Arial" w:cs="Arial"/>
              </w:rPr>
              <w:t xml:space="preserve"> </w:t>
            </w:r>
          </w:p>
          <w:p w:rsidR="004D6F0E" w:rsidRDefault="00490F21">
            <w:pPr>
              <w:spacing w:after="0" w:line="283" w:lineRule="auto"/>
              <w:ind w:left="0" w:right="3048" w:firstLine="0"/>
            </w:pPr>
            <w:r>
              <w:t>鰂魚涌華蘭路</w:t>
            </w:r>
            <w:r>
              <w:t xml:space="preserve"> </w:t>
            </w:r>
            <w:r>
              <w:rPr>
                <w:rFonts w:ascii="Arial" w:eastAsia="Arial" w:hAnsi="Arial" w:cs="Arial"/>
              </w:rPr>
              <w:t xml:space="preserve">18 </w:t>
            </w:r>
            <w:r>
              <w:t>號太古坊港島東中心</w:t>
            </w:r>
            <w:r>
              <w:t xml:space="preserve"> </w:t>
            </w:r>
            <w:r>
              <w:rPr>
                <w:rFonts w:ascii="Arial" w:eastAsia="Arial" w:hAnsi="Arial" w:cs="Arial"/>
              </w:rPr>
              <w:t xml:space="preserve">39 </w:t>
            </w:r>
            <w:r>
              <w:t>樓</w:t>
            </w:r>
            <w:r>
              <w:rPr>
                <w:rFonts w:ascii="Arial" w:eastAsia="Arial" w:hAnsi="Arial" w:cs="Arial"/>
              </w:rPr>
              <w:t xml:space="preserve">  </w:t>
            </w:r>
            <w:r>
              <w:t>香港</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b/>
              </w:rPr>
              <w:t xml:space="preserve"> </w:t>
            </w:r>
          </w:p>
          <w:p w:rsidR="004D6F0E" w:rsidRDefault="00490F21">
            <w:pPr>
              <w:spacing w:after="0" w:line="270" w:lineRule="auto"/>
              <w:ind w:left="0" w:firstLine="0"/>
            </w:pPr>
            <w:r>
              <w:t>香港代表獲授權接收來自香港投資者（包括股東）的認購股份要求及來自香港股東的贖回股份要求。香港代表在收到該等要求後會轉交過戶代理。然而，香港代表並不擁有任何授權可代表本傘子基金同意有關要求將被接納。在並無疏忽的情況下，香港代表及本傘子基金概不就香港代表未有轉交本傘子基金的任何申請、交換或贖回指示或轉交時出現的任何延誤承擔任何責任。</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b/>
              </w:rPr>
              <w:t xml:space="preserve"> </w:t>
            </w:r>
          </w:p>
        </w:tc>
      </w:tr>
    </w:tbl>
    <w:p w:rsidR="004D6F0E" w:rsidRDefault="004D6F0E">
      <w:pPr>
        <w:spacing w:after="0" w:line="259" w:lineRule="auto"/>
        <w:ind w:left="-432" w:right="57" w:firstLine="0"/>
      </w:pPr>
    </w:p>
    <w:tbl>
      <w:tblPr>
        <w:tblStyle w:val="TableGrid"/>
        <w:tblW w:w="11078" w:type="dxa"/>
        <w:tblInd w:w="5" w:type="dxa"/>
        <w:tblCellMar>
          <w:top w:w="150" w:type="dxa"/>
          <w:left w:w="108" w:type="dxa"/>
          <w:bottom w:w="5" w:type="dxa"/>
          <w:right w:w="115" w:type="dxa"/>
        </w:tblCellMar>
        <w:tblLook w:val="04A0" w:firstRow="1" w:lastRow="0" w:firstColumn="1" w:lastColumn="0" w:noHBand="0" w:noVBand="1"/>
      </w:tblPr>
      <w:tblGrid>
        <w:gridCol w:w="647"/>
        <w:gridCol w:w="2059"/>
        <w:gridCol w:w="8419"/>
      </w:tblGrid>
      <w:tr w:rsidR="004D6F0E">
        <w:trPr>
          <w:trHeight w:val="5731"/>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意大利</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132" w:line="259" w:lineRule="auto"/>
              <w:ind w:left="0" w:firstLine="0"/>
            </w:pPr>
            <w:r>
              <w:t>付款代理</w:t>
            </w:r>
            <w:r>
              <w:rPr>
                <w:rFonts w:ascii="Arial" w:eastAsia="Arial" w:hAnsi="Arial" w:cs="Arial"/>
                <w:b/>
              </w:rPr>
              <w:t xml:space="preserve"> </w:t>
            </w:r>
          </w:p>
          <w:p w:rsidR="004D6F0E" w:rsidRDefault="00490F21">
            <w:pPr>
              <w:spacing w:after="9" w:line="259" w:lineRule="auto"/>
              <w:ind w:left="0" w:firstLine="0"/>
            </w:pPr>
            <w:r>
              <w:rPr>
                <w:rFonts w:ascii="Arial" w:eastAsia="Arial" w:hAnsi="Arial" w:cs="Arial"/>
              </w:rPr>
              <w:t xml:space="preserve">BNP Paribas Securities Services SA, </w:t>
            </w:r>
          </w:p>
          <w:p w:rsidR="004D6F0E" w:rsidRDefault="00490F21">
            <w:pPr>
              <w:spacing w:after="9" w:line="259" w:lineRule="auto"/>
              <w:ind w:left="0" w:firstLine="0"/>
            </w:pPr>
            <w:r>
              <w:rPr>
                <w:rFonts w:ascii="Arial" w:eastAsia="Arial" w:hAnsi="Arial" w:cs="Arial"/>
              </w:rPr>
              <w:t xml:space="preserve">Milan Branch  </w:t>
            </w:r>
          </w:p>
          <w:p w:rsidR="004D6F0E" w:rsidRDefault="00490F21">
            <w:pPr>
              <w:spacing w:after="9" w:line="259" w:lineRule="auto"/>
              <w:ind w:left="0" w:firstLine="0"/>
            </w:pPr>
            <w:r>
              <w:rPr>
                <w:rFonts w:ascii="Arial" w:eastAsia="Arial" w:hAnsi="Arial" w:cs="Arial"/>
              </w:rPr>
              <w:t xml:space="preserve">Via Ansperto 5 </w:t>
            </w:r>
          </w:p>
          <w:p w:rsidR="004D6F0E" w:rsidRDefault="00490F21">
            <w:pPr>
              <w:spacing w:after="9" w:line="259" w:lineRule="auto"/>
              <w:ind w:left="0" w:firstLine="0"/>
            </w:pPr>
            <w:r>
              <w:rPr>
                <w:rFonts w:ascii="Arial" w:eastAsia="Arial" w:hAnsi="Arial" w:cs="Arial"/>
              </w:rPr>
              <w:t xml:space="preserve">Milan, Italy </w:t>
            </w:r>
          </w:p>
          <w:p w:rsidR="004D6F0E" w:rsidRDefault="00490F21">
            <w:pPr>
              <w:spacing w:after="9" w:line="259" w:lineRule="auto"/>
              <w:ind w:left="0" w:firstLine="0"/>
            </w:pPr>
            <w:r>
              <w:rPr>
                <w:rFonts w:ascii="Arial" w:eastAsia="Arial" w:hAnsi="Arial" w:cs="Arial"/>
              </w:rPr>
              <w:t xml:space="preserve"> </w:t>
            </w:r>
          </w:p>
          <w:p w:rsidR="004D6F0E" w:rsidRDefault="00490F21">
            <w:pPr>
              <w:spacing w:after="9" w:line="259" w:lineRule="auto"/>
              <w:ind w:left="0" w:firstLine="0"/>
            </w:pPr>
            <w:r>
              <w:rPr>
                <w:rFonts w:ascii="Arial" w:eastAsia="Arial" w:hAnsi="Arial" w:cs="Arial"/>
              </w:rPr>
              <w:t xml:space="preserve">Allfunds Bank, S.A., Milan branch  </w:t>
            </w:r>
          </w:p>
          <w:p w:rsidR="004D6F0E" w:rsidRDefault="00490F21">
            <w:pPr>
              <w:spacing w:after="9" w:line="259" w:lineRule="auto"/>
              <w:ind w:left="0" w:firstLine="0"/>
            </w:pPr>
            <w:r>
              <w:rPr>
                <w:rFonts w:ascii="Arial" w:eastAsia="Arial" w:hAnsi="Arial" w:cs="Arial"/>
              </w:rPr>
              <w:t xml:space="preserve">Via Santa Margherita 7 </w:t>
            </w:r>
          </w:p>
          <w:p w:rsidR="004D6F0E" w:rsidRDefault="00490F21">
            <w:pPr>
              <w:spacing w:after="9" w:line="259" w:lineRule="auto"/>
              <w:ind w:left="0" w:firstLine="0"/>
            </w:pPr>
            <w:r>
              <w:rPr>
                <w:rFonts w:ascii="Arial" w:eastAsia="Arial" w:hAnsi="Arial" w:cs="Arial"/>
              </w:rPr>
              <w:t xml:space="preserve">Milan, Italy </w:t>
            </w:r>
          </w:p>
          <w:p w:rsidR="004D6F0E" w:rsidRDefault="00490F21">
            <w:pPr>
              <w:spacing w:after="9" w:line="259" w:lineRule="auto"/>
              <w:ind w:left="0" w:firstLine="0"/>
            </w:pPr>
            <w:r>
              <w:rPr>
                <w:rFonts w:ascii="Arial" w:eastAsia="Arial" w:hAnsi="Arial" w:cs="Arial"/>
              </w:rPr>
              <w:t xml:space="preserve"> </w:t>
            </w:r>
          </w:p>
          <w:p w:rsidR="004D6F0E" w:rsidRDefault="00490F21">
            <w:pPr>
              <w:spacing w:after="0" w:line="269" w:lineRule="auto"/>
              <w:ind w:left="0" w:firstLine="0"/>
            </w:pPr>
            <w:r>
              <w:rPr>
                <w:rFonts w:ascii="Arial" w:eastAsia="Arial" w:hAnsi="Arial" w:cs="Arial"/>
              </w:rPr>
              <w:t xml:space="preserve">Société Générale Securities Services S.p.A. </w:t>
            </w:r>
          </w:p>
          <w:p w:rsidR="004D6F0E" w:rsidRDefault="00490F21">
            <w:pPr>
              <w:spacing w:after="0" w:line="269" w:lineRule="auto"/>
              <w:ind w:left="0" w:right="1678" w:firstLine="0"/>
            </w:pPr>
            <w:r>
              <w:rPr>
                <w:rFonts w:ascii="Arial" w:eastAsia="Arial" w:hAnsi="Arial" w:cs="Arial"/>
              </w:rPr>
              <w:t xml:space="preserve">Santa Chiara 19 Turin, Italy </w:t>
            </w:r>
          </w:p>
          <w:p w:rsidR="004D6F0E" w:rsidRDefault="00490F21">
            <w:pPr>
              <w:spacing w:after="9" w:line="259" w:lineRule="auto"/>
              <w:ind w:left="0" w:firstLine="0"/>
            </w:pPr>
            <w:r>
              <w:rPr>
                <w:rFonts w:ascii="Arial" w:eastAsia="Arial" w:hAnsi="Arial" w:cs="Arial"/>
              </w:rPr>
              <w:t xml:space="preserve"> </w:t>
            </w:r>
          </w:p>
          <w:p w:rsidR="004D6F0E" w:rsidRDefault="00490F21">
            <w:pPr>
              <w:spacing w:after="9" w:line="259" w:lineRule="auto"/>
              <w:ind w:left="0" w:firstLine="0"/>
            </w:pPr>
            <w:r>
              <w:rPr>
                <w:rFonts w:ascii="Arial" w:eastAsia="Arial" w:hAnsi="Arial" w:cs="Arial"/>
              </w:rPr>
              <w:t xml:space="preserve">Banca Sella Holdings S.p.A., </w:t>
            </w:r>
          </w:p>
          <w:p w:rsidR="004D6F0E" w:rsidRDefault="00490F21">
            <w:pPr>
              <w:spacing w:after="9" w:line="259" w:lineRule="auto"/>
              <w:ind w:left="0" w:firstLine="0"/>
            </w:pPr>
            <w:r>
              <w:rPr>
                <w:rFonts w:ascii="Arial" w:eastAsia="Arial" w:hAnsi="Arial" w:cs="Arial"/>
              </w:rPr>
              <w:t xml:space="preserve">Piazza Gaudenzio Sella </w:t>
            </w:r>
          </w:p>
          <w:p w:rsidR="004D6F0E" w:rsidRDefault="00490F21">
            <w:pPr>
              <w:spacing w:after="9" w:line="259" w:lineRule="auto"/>
              <w:ind w:left="0" w:firstLine="0"/>
            </w:pPr>
            <w:r>
              <w:rPr>
                <w:rFonts w:ascii="Arial" w:eastAsia="Arial" w:hAnsi="Arial" w:cs="Arial"/>
              </w:rPr>
              <w:t xml:space="preserve">Biella, Italy </w:t>
            </w:r>
          </w:p>
          <w:p w:rsidR="004D6F0E" w:rsidRDefault="00490F21">
            <w:pPr>
              <w:spacing w:after="9" w:line="259" w:lineRule="auto"/>
              <w:ind w:left="0" w:firstLine="0"/>
            </w:pPr>
            <w:r>
              <w:rPr>
                <w:rFonts w:ascii="Arial" w:eastAsia="Arial" w:hAnsi="Arial" w:cs="Arial"/>
              </w:rPr>
              <w:t xml:space="preserve"> </w:t>
            </w:r>
          </w:p>
          <w:p w:rsidR="004D6F0E" w:rsidRDefault="00490F21">
            <w:pPr>
              <w:spacing w:after="9" w:line="259" w:lineRule="auto"/>
              <w:ind w:left="0" w:firstLine="0"/>
            </w:pPr>
            <w:r>
              <w:rPr>
                <w:rFonts w:ascii="Arial" w:eastAsia="Arial" w:hAnsi="Arial" w:cs="Arial"/>
              </w:rPr>
              <w:t xml:space="preserve">CACEIS Bank, Italy  </w:t>
            </w:r>
          </w:p>
          <w:p w:rsidR="004D6F0E" w:rsidRDefault="00490F21">
            <w:pPr>
              <w:spacing w:after="9" w:line="259" w:lineRule="auto"/>
              <w:ind w:left="0" w:firstLine="0"/>
            </w:pPr>
            <w:r>
              <w:rPr>
                <w:rFonts w:ascii="Arial" w:eastAsia="Arial" w:hAnsi="Arial" w:cs="Arial"/>
              </w:rPr>
              <w:t xml:space="preserve">Branch Piazza Cavour n°5 </w:t>
            </w:r>
          </w:p>
          <w:p w:rsidR="004D6F0E" w:rsidRDefault="00490F21">
            <w:pPr>
              <w:spacing w:after="0" w:line="259" w:lineRule="auto"/>
              <w:ind w:left="0" w:firstLine="0"/>
            </w:pPr>
            <w:r>
              <w:rPr>
                <w:rFonts w:ascii="Arial" w:eastAsia="Arial" w:hAnsi="Arial" w:cs="Arial"/>
              </w:rPr>
              <w:t xml:space="preserve">20121 Milan, Italy </w:t>
            </w:r>
          </w:p>
        </w:tc>
        <w:tc>
          <w:tcPr>
            <w:tcW w:w="5472" w:type="dxa"/>
            <w:tcBorders>
              <w:top w:val="single" w:sz="4" w:space="0" w:color="B8CCE4"/>
              <w:left w:val="single" w:sz="4" w:space="0" w:color="B8CCE4"/>
              <w:bottom w:val="single" w:sz="4" w:space="0" w:color="B8CCE4"/>
              <w:right w:val="single" w:sz="4" w:space="0" w:color="B8CCE4"/>
            </w:tcBorders>
          </w:tcPr>
          <w:p w:rsidR="004D6F0E" w:rsidRDefault="00490F21">
            <w:pPr>
              <w:spacing w:after="119"/>
              <w:ind w:left="0" w:firstLine="0"/>
            </w:pPr>
            <w:r>
              <w:t>意大利的付款代理可就每項認購、交換或贖回股份的要求收取佣金。</w:t>
            </w:r>
            <w:r>
              <w:rPr>
                <w:rFonts w:ascii="Arial" w:eastAsia="Arial" w:hAnsi="Arial" w:cs="Arial"/>
              </w:rPr>
              <w:t xml:space="preserve"> </w:t>
            </w:r>
          </w:p>
          <w:p w:rsidR="004D6F0E" w:rsidRDefault="00490F21">
            <w:pPr>
              <w:spacing w:after="0" w:line="259" w:lineRule="auto"/>
              <w:ind w:left="0" w:right="5196" w:firstLine="0"/>
            </w:pPr>
            <w:r>
              <w:rPr>
                <w:rFonts w:ascii="Arial" w:eastAsia="Arial" w:hAnsi="Arial" w:cs="Arial"/>
              </w:rPr>
              <w:t xml:space="preserve"> </w:t>
            </w:r>
            <w:r>
              <w:rPr>
                <w:rFonts w:ascii="Arial" w:eastAsia="Arial" w:hAnsi="Arial" w:cs="Arial"/>
                <w:b/>
              </w:rPr>
              <w:t xml:space="preserve"> </w:t>
            </w:r>
          </w:p>
        </w:tc>
      </w:tr>
      <w:tr w:rsidR="004D6F0E">
        <w:trPr>
          <w:trHeight w:val="2914"/>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波蘭</w:t>
            </w:r>
            <w:r>
              <w:rPr>
                <w:rFonts w:ascii="Arial" w:eastAsia="Arial" w:hAnsi="Arial" w:cs="Arial"/>
                <w:b/>
              </w:rPr>
              <w:t xml:space="preserve"> </w:t>
            </w:r>
          </w:p>
        </w:tc>
        <w:tc>
          <w:tcPr>
            <w:tcW w:w="3811"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132" w:line="259" w:lineRule="auto"/>
              <w:ind w:left="0" w:firstLine="0"/>
            </w:pPr>
            <w:r>
              <w:t>代表</w:t>
            </w:r>
            <w:r>
              <w:rPr>
                <w:rFonts w:ascii="Arial" w:eastAsia="Arial" w:hAnsi="Arial" w:cs="Arial"/>
                <w:b/>
              </w:rPr>
              <w:t xml:space="preserve"> </w:t>
            </w:r>
          </w:p>
          <w:p w:rsidR="004D6F0E" w:rsidRDefault="00490F21">
            <w:pPr>
              <w:spacing w:after="9" w:line="259" w:lineRule="auto"/>
              <w:ind w:left="0" w:firstLine="0"/>
            </w:pPr>
            <w:r>
              <w:rPr>
                <w:rFonts w:ascii="Arial" w:eastAsia="Arial" w:hAnsi="Arial" w:cs="Arial"/>
              </w:rPr>
              <w:t xml:space="preserve">ProService Finteco Sp. z o.o. </w:t>
            </w:r>
          </w:p>
          <w:p w:rsidR="004D6F0E" w:rsidRDefault="00490F21">
            <w:pPr>
              <w:spacing w:after="9" w:line="259" w:lineRule="auto"/>
              <w:ind w:left="0" w:firstLine="0"/>
            </w:pPr>
            <w:r>
              <w:rPr>
                <w:rFonts w:ascii="Arial" w:eastAsia="Arial" w:hAnsi="Arial" w:cs="Arial"/>
              </w:rPr>
              <w:t xml:space="preserve">Konstruktorska 12A </w:t>
            </w:r>
          </w:p>
          <w:p w:rsidR="004D6F0E" w:rsidRDefault="00490F21">
            <w:pPr>
              <w:spacing w:after="4" w:line="400" w:lineRule="auto"/>
              <w:ind w:left="0" w:right="747" w:firstLine="0"/>
            </w:pPr>
            <w:r>
              <w:rPr>
                <w:rFonts w:ascii="Arial" w:eastAsia="Arial" w:hAnsi="Arial" w:cs="Arial"/>
              </w:rPr>
              <w:t xml:space="preserve">02-673 Warsaw, Poland </w:t>
            </w:r>
            <w:r>
              <w:t>付款代理</w:t>
            </w:r>
            <w:r>
              <w:rPr>
                <w:rFonts w:ascii="Arial" w:eastAsia="Arial" w:hAnsi="Arial" w:cs="Arial"/>
              </w:rPr>
              <w:t xml:space="preserve"> </w:t>
            </w:r>
          </w:p>
          <w:p w:rsidR="004D6F0E" w:rsidRDefault="00490F21">
            <w:pPr>
              <w:spacing w:after="0" w:line="269" w:lineRule="auto"/>
              <w:ind w:left="0" w:firstLine="0"/>
            </w:pPr>
            <w:r>
              <w:rPr>
                <w:rFonts w:ascii="Arial" w:eastAsia="Arial" w:hAnsi="Arial" w:cs="Arial"/>
              </w:rPr>
              <w:t xml:space="preserve">Bank Polska Kasa Opieki Spółka Akcyjna ul. Grzybowska 53/57 </w:t>
            </w:r>
          </w:p>
          <w:p w:rsidR="004D6F0E" w:rsidRDefault="00490F21">
            <w:pPr>
              <w:spacing w:after="127" w:line="259" w:lineRule="auto"/>
              <w:ind w:left="0" w:firstLine="0"/>
            </w:pPr>
            <w:r>
              <w:rPr>
                <w:rFonts w:ascii="Arial" w:eastAsia="Arial" w:hAnsi="Arial" w:cs="Arial"/>
              </w:rPr>
              <w:t xml:space="preserve">00-950 Warsaw, Poland </w:t>
            </w:r>
          </w:p>
          <w:p w:rsidR="004D6F0E" w:rsidRDefault="00490F21">
            <w:pPr>
              <w:spacing w:after="0" w:line="259" w:lineRule="auto"/>
              <w:ind w:left="0" w:firstLine="0"/>
            </w:pPr>
            <w:r>
              <w:rPr>
                <w:rFonts w:ascii="Arial" w:eastAsia="Arial" w:hAnsi="Arial" w:cs="Arial"/>
                <w:b/>
              </w:rPr>
              <w:t xml:space="preserve"> </w:t>
            </w:r>
          </w:p>
        </w:tc>
        <w:tc>
          <w:tcPr>
            <w:tcW w:w="5472"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rPr>
                <w:rFonts w:ascii="Arial" w:eastAsia="Arial" w:hAnsi="Arial" w:cs="Arial"/>
              </w:rPr>
              <w:t xml:space="preserve"> </w:t>
            </w:r>
          </w:p>
        </w:tc>
      </w:tr>
      <w:tr w:rsidR="004D6F0E">
        <w:trPr>
          <w:trHeight w:val="2530"/>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新加坡</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不適用</w:t>
            </w:r>
            <w:r>
              <w:rPr>
                <w:rFonts w:ascii="Arial" w:eastAsia="Arial" w:hAnsi="Arial" w:cs="Arial"/>
              </w:rPr>
              <w:t xml:space="preserve"> </w:t>
            </w:r>
          </w:p>
        </w:tc>
        <w:tc>
          <w:tcPr>
            <w:tcW w:w="5472" w:type="dxa"/>
            <w:tcBorders>
              <w:top w:val="single" w:sz="4" w:space="0" w:color="B8CCE4"/>
              <w:left w:val="single" w:sz="4" w:space="0" w:color="B8CCE4"/>
              <w:bottom w:val="single" w:sz="4" w:space="0" w:color="B8CCE4"/>
              <w:right w:val="single" w:sz="4" w:space="0" w:color="B8CCE4"/>
            </w:tcBorders>
            <w:vAlign w:val="bottom"/>
          </w:tcPr>
          <w:p w:rsidR="004D6F0E" w:rsidRDefault="00490F21">
            <w:pPr>
              <w:spacing w:after="113" w:line="259" w:lineRule="auto"/>
              <w:ind w:left="0" w:firstLine="0"/>
            </w:pPr>
            <w:r>
              <w:t>本傘子基金代表</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AllianceBernstein (Singapore) Ltd. </w:t>
            </w:r>
          </w:p>
          <w:p w:rsidR="004D6F0E" w:rsidRDefault="00490F21">
            <w:pPr>
              <w:spacing w:after="0" w:line="259" w:lineRule="auto"/>
              <w:ind w:left="0" w:firstLine="0"/>
            </w:pPr>
            <w:r>
              <w:rPr>
                <w:rFonts w:ascii="Arial" w:eastAsia="Arial" w:hAnsi="Arial" w:cs="Arial"/>
              </w:rPr>
              <w:t xml:space="preserve">One Raffles Quay, </w:t>
            </w:r>
          </w:p>
          <w:p w:rsidR="004D6F0E" w:rsidRDefault="00490F21">
            <w:pPr>
              <w:spacing w:after="0" w:line="259" w:lineRule="auto"/>
              <w:ind w:left="0" w:firstLine="0"/>
            </w:pPr>
            <w:r>
              <w:rPr>
                <w:rFonts w:ascii="Arial" w:eastAsia="Arial" w:hAnsi="Arial" w:cs="Arial"/>
              </w:rPr>
              <w:t xml:space="preserve">#27-11 South Tower </w:t>
            </w:r>
          </w:p>
          <w:p w:rsidR="004D6F0E" w:rsidRDefault="00490F21">
            <w:pPr>
              <w:spacing w:after="0" w:line="259" w:lineRule="auto"/>
              <w:ind w:left="0" w:firstLine="0"/>
            </w:pPr>
            <w:r>
              <w:rPr>
                <w:rFonts w:ascii="Arial" w:eastAsia="Arial" w:hAnsi="Arial" w:cs="Arial"/>
              </w:rPr>
              <w:t xml:space="preserve">Singapore 048583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
              <w:ind w:left="0" w:firstLine="0"/>
            </w:pPr>
            <w:r>
              <w:t>本傘子基金的認購章程、管理條例及最新年度及半年度報告的副本於新加坡營業時間在本傘子基金代表的註冊辦事處可供免費查閱。</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tc>
      </w:tr>
      <w:tr w:rsidR="004D6F0E">
        <w:trPr>
          <w:trHeight w:val="1788"/>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西班牙</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vAlign w:val="bottom"/>
          </w:tcPr>
          <w:p w:rsidR="004D6F0E" w:rsidRDefault="00490F21">
            <w:pPr>
              <w:spacing w:after="113" w:line="259" w:lineRule="auto"/>
              <w:ind w:left="0" w:firstLine="0"/>
            </w:pPr>
            <w:r>
              <w:t>本傘子基金代表</w:t>
            </w:r>
            <w:r>
              <w:rPr>
                <w:rFonts w:ascii="Arial" w:eastAsia="Arial" w:hAnsi="Arial" w:cs="Arial"/>
                <w:b/>
              </w:rPr>
              <w:t xml:space="preserve"> </w:t>
            </w:r>
          </w:p>
          <w:p w:rsidR="004D6F0E" w:rsidRDefault="00490F21">
            <w:pPr>
              <w:spacing w:after="0" w:line="240" w:lineRule="auto"/>
              <w:ind w:left="0" w:right="1452" w:firstLine="0"/>
            </w:pPr>
            <w:r>
              <w:rPr>
                <w:rFonts w:ascii="Arial" w:eastAsia="Arial" w:hAnsi="Arial" w:cs="Arial"/>
              </w:rPr>
              <w:t xml:space="preserve">AllFunds Bank, S.A. calle Nuria no. 57, Colonia Mirasierra </w:t>
            </w:r>
          </w:p>
          <w:p w:rsidR="004D6F0E" w:rsidRDefault="00490F21">
            <w:pPr>
              <w:spacing w:after="0" w:line="240" w:lineRule="auto"/>
              <w:ind w:left="0" w:right="1834" w:firstLine="0"/>
            </w:pPr>
            <w:r>
              <w:rPr>
                <w:rFonts w:ascii="Arial" w:eastAsia="Arial" w:hAnsi="Arial" w:cs="Arial"/>
              </w:rPr>
              <w:t xml:space="preserve">28034 Madrid, Spain </w:t>
            </w:r>
          </w:p>
          <w:p w:rsidR="004D6F0E" w:rsidRDefault="00490F21">
            <w:pPr>
              <w:spacing w:after="0" w:line="259" w:lineRule="auto"/>
              <w:ind w:left="0" w:firstLine="0"/>
            </w:pPr>
            <w:r>
              <w:rPr>
                <w:rFonts w:ascii="Arial" w:eastAsia="Arial" w:hAnsi="Arial" w:cs="Arial"/>
              </w:rPr>
              <w:t xml:space="preserve"> </w:t>
            </w:r>
          </w:p>
        </w:tc>
        <w:tc>
          <w:tcPr>
            <w:tcW w:w="5472"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rPr>
                <w:rFonts w:ascii="Arial" w:eastAsia="Arial" w:hAnsi="Arial" w:cs="Arial"/>
                <w:b/>
              </w:rPr>
              <w:t xml:space="preserve"> </w:t>
            </w:r>
          </w:p>
        </w:tc>
      </w:tr>
    </w:tbl>
    <w:p w:rsidR="004D6F0E" w:rsidRDefault="004D6F0E">
      <w:pPr>
        <w:spacing w:after="0" w:line="259" w:lineRule="auto"/>
        <w:ind w:left="-432" w:right="57" w:firstLine="0"/>
      </w:pPr>
    </w:p>
    <w:tbl>
      <w:tblPr>
        <w:tblStyle w:val="TableGrid"/>
        <w:tblW w:w="11078" w:type="dxa"/>
        <w:tblInd w:w="5" w:type="dxa"/>
        <w:tblCellMar>
          <w:top w:w="151" w:type="dxa"/>
          <w:left w:w="108" w:type="dxa"/>
          <w:bottom w:w="0" w:type="dxa"/>
          <w:right w:w="115" w:type="dxa"/>
        </w:tblCellMar>
        <w:tblLook w:val="04A0" w:firstRow="1" w:lastRow="0" w:firstColumn="1" w:lastColumn="0" w:noHBand="0" w:noVBand="1"/>
      </w:tblPr>
      <w:tblGrid>
        <w:gridCol w:w="660"/>
        <w:gridCol w:w="1204"/>
        <w:gridCol w:w="9261"/>
      </w:tblGrid>
      <w:tr w:rsidR="004D6F0E">
        <w:trPr>
          <w:trHeight w:val="12986"/>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瑞士</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tcPr>
          <w:p w:rsidR="004D6F0E" w:rsidRDefault="00490F21">
            <w:pPr>
              <w:spacing w:after="99" w:line="259" w:lineRule="auto"/>
              <w:ind w:left="0" w:firstLine="0"/>
            </w:pPr>
            <w:r>
              <w:t>本傘子基金的代表及付款代理</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BNP Paribas Paris, </w:t>
            </w:r>
          </w:p>
          <w:p w:rsidR="004D6F0E" w:rsidRDefault="00490F21">
            <w:pPr>
              <w:spacing w:after="0" w:line="259" w:lineRule="auto"/>
              <w:ind w:left="0" w:firstLine="0"/>
            </w:pPr>
            <w:r>
              <w:rPr>
                <w:rFonts w:ascii="Arial" w:eastAsia="Arial" w:hAnsi="Arial" w:cs="Arial"/>
              </w:rPr>
              <w:t xml:space="preserve">Succursale de Zurich  </w:t>
            </w:r>
          </w:p>
          <w:p w:rsidR="004D6F0E" w:rsidRDefault="00490F21">
            <w:pPr>
              <w:spacing w:after="0" w:line="259" w:lineRule="auto"/>
              <w:ind w:left="0" w:firstLine="0"/>
            </w:pPr>
            <w:r>
              <w:rPr>
                <w:rFonts w:ascii="Arial" w:eastAsia="Arial" w:hAnsi="Arial" w:cs="Arial"/>
              </w:rPr>
              <w:t xml:space="preserve">Selnaustrasse 16 </w:t>
            </w:r>
          </w:p>
          <w:p w:rsidR="004D6F0E" w:rsidRDefault="00490F21">
            <w:pPr>
              <w:spacing w:after="0" w:line="259" w:lineRule="auto"/>
              <w:ind w:left="0" w:firstLine="0"/>
            </w:pPr>
            <w:r>
              <w:rPr>
                <w:rFonts w:ascii="Arial" w:eastAsia="Arial" w:hAnsi="Arial" w:cs="Arial"/>
              </w:rPr>
              <w:t xml:space="preserve">8002 Zurich, </w:t>
            </w:r>
          </w:p>
          <w:p w:rsidR="004D6F0E" w:rsidRDefault="00490F21">
            <w:pPr>
              <w:spacing w:after="0" w:line="259" w:lineRule="auto"/>
              <w:ind w:left="0" w:firstLine="0"/>
            </w:pPr>
            <w:r>
              <w:rPr>
                <w:rFonts w:ascii="Arial" w:eastAsia="Arial" w:hAnsi="Arial" w:cs="Arial"/>
              </w:rPr>
              <w:t xml:space="preserve">Switzerland </w:t>
            </w:r>
          </w:p>
        </w:tc>
        <w:tc>
          <w:tcPr>
            <w:tcW w:w="5472" w:type="dxa"/>
            <w:tcBorders>
              <w:top w:val="single" w:sz="4" w:space="0" w:color="B8CCE4"/>
              <w:left w:val="single" w:sz="4" w:space="0" w:color="B8CCE4"/>
              <w:bottom w:val="single" w:sz="4" w:space="0" w:color="B8CCE4"/>
              <w:right w:val="single" w:sz="4" w:space="0" w:color="B8CCE4"/>
            </w:tcBorders>
            <w:vAlign w:val="center"/>
          </w:tcPr>
          <w:p w:rsidR="004D6F0E" w:rsidRDefault="00490F21">
            <w:pPr>
              <w:numPr>
                <w:ilvl w:val="0"/>
                <w:numId w:val="68"/>
              </w:numPr>
              <w:spacing w:after="132" w:line="259" w:lineRule="auto"/>
              <w:ind w:hanging="254"/>
            </w:pPr>
            <w:r>
              <w:rPr>
                <w:u w:val="single" w:color="000000"/>
              </w:rPr>
              <w:t>可獲取相關文件的地點</w:t>
            </w:r>
            <w:r>
              <w:rPr>
                <w:rFonts w:ascii="Arial" w:eastAsia="Arial" w:hAnsi="Arial" w:cs="Arial"/>
              </w:rPr>
              <w:t xml:space="preserve"> </w:t>
            </w:r>
          </w:p>
          <w:p w:rsidR="004D6F0E" w:rsidRDefault="00490F21">
            <w:pPr>
              <w:spacing w:after="125" w:line="270" w:lineRule="auto"/>
              <w:ind w:left="0" w:firstLine="0"/>
            </w:pPr>
            <w:r>
              <w:t>可向瑞士代表免費索取認購章程、與本傘子基金有關的重要資訊文件、本傘子基金的管理條例及年度和半年度報告。</w:t>
            </w:r>
            <w:r>
              <w:rPr>
                <w:rFonts w:ascii="Arial" w:eastAsia="Arial" w:hAnsi="Arial" w:cs="Arial"/>
              </w:rPr>
              <w:t xml:space="preserve"> </w:t>
            </w:r>
          </w:p>
          <w:p w:rsidR="004D6F0E" w:rsidRDefault="00490F21">
            <w:pPr>
              <w:numPr>
                <w:ilvl w:val="0"/>
                <w:numId w:val="68"/>
              </w:numPr>
              <w:spacing w:after="138" w:line="259" w:lineRule="auto"/>
              <w:ind w:hanging="254"/>
            </w:pPr>
            <w:r>
              <w:rPr>
                <w:u w:val="single" w:color="000000"/>
              </w:rPr>
              <w:t>公佈</w:t>
            </w:r>
            <w:r>
              <w:rPr>
                <w:rFonts w:ascii="Arial" w:eastAsia="Arial" w:hAnsi="Arial" w:cs="Arial"/>
              </w:rPr>
              <w:t xml:space="preserve"> </w:t>
            </w:r>
          </w:p>
          <w:p w:rsidR="004D6F0E" w:rsidRDefault="00490F21">
            <w:pPr>
              <w:spacing w:after="0" w:line="272" w:lineRule="auto"/>
              <w:ind w:left="0" w:firstLine="0"/>
            </w:pPr>
            <w:r>
              <w:t>本傘子基金在瑞士的公佈刊載於</w:t>
            </w:r>
            <w:r>
              <w:rPr>
                <w:rFonts w:ascii="Arial" w:eastAsia="Arial" w:hAnsi="Arial" w:cs="Arial"/>
                <w:color w:val="0000FF"/>
                <w:u w:val="single" w:color="0000FF"/>
              </w:rPr>
              <w:t>www.fundinfo.com</w:t>
            </w:r>
            <w:r>
              <w:t>。每次發行或贖回股份時，本傘子基金所有基金的股份發行及贖回價，各</w:t>
            </w:r>
          </w:p>
          <w:p w:rsidR="004D6F0E" w:rsidRDefault="00490F21">
            <w:pPr>
              <w:spacing w:after="113" w:line="278" w:lineRule="auto"/>
              <w:ind w:left="0" w:firstLine="0"/>
            </w:pPr>
            <w:r>
              <w:t>自的每股資產淨值（附帶「不包括佣金」的提述）在</w:t>
            </w:r>
            <w:r>
              <w:t xml:space="preserve"> </w:t>
            </w:r>
            <w:r>
              <w:rPr>
                <w:rFonts w:ascii="Arial" w:eastAsia="Arial" w:hAnsi="Arial" w:cs="Arial"/>
                <w:color w:val="0000FF"/>
                <w:u w:val="single" w:color="0000FF"/>
              </w:rPr>
              <w:t>www.fundinfo.com</w:t>
            </w:r>
            <w:r>
              <w:t>每日一併公佈。</w:t>
            </w:r>
            <w:r>
              <w:rPr>
                <w:rFonts w:ascii="Arial" w:eastAsia="Arial" w:hAnsi="Arial" w:cs="Arial"/>
              </w:rPr>
              <w:t xml:space="preserve"> </w:t>
            </w:r>
          </w:p>
          <w:p w:rsidR="004D6F0E" w:rsidRDefault="00490F21">
            <w:pPr>
              <w:numPr>
                <w:ilvl w:val="0"/>
                <w:numId w:val="68"/>
              </w:numPr>
              <w:spacing w:after="134" w:line="259" w:lineRule="auto"/>
              <w:ind w:hanging="254"/>
            </w:pPr>
            <w:r>
              <w:rPr>
                <w:u w:val="single" w:color="000000"/>
              </w:rPr>
              <w:t>支付轉分保及回扣</w:t>
            </w:r>
            <w:r>
              <w:rPr>
                <w:rFonts w:ascii="Arial" w:eastAsia="Arial" w:hAnsi="Arial" w:cs="Arial"/>
              </w:rPr>
              <w:t xml:space="preserve"> </w:t>
            </w:r>
          </w:p>
          <w:p w:rsidR="004D6F0E" w:rsidRDefault="00490F21">
            <w:pPr>
              <w:spacing w:after="136" w:line="269" w:lineRule="auto"/>
              <w:ind w:left="0" w:firstLine="0"/>
            </w:pPr>
            <w:r>
              <w:t>管理公司及其代理（代表本傘子基金）可就在或從瑞士分銷本傘子基金股份而支付回佣作為酬金。此酬金可能被視為支付下列服務，特別是：</w:t>
            </w:r>
            <w:r>
              <w:rPr>
                <w:rFonts w:ascii="Arial" w:eastAsia="Arial" w:hAnsi="Arial" w:cs="Arial"/>
              </w:rPr>
              <w:t xml:space="preserve">  </w:t>
            </w:r>
          </w:p>
          <w:p w:rsidR="004D6F0E" w:rsidRDefault="00490F21">
            <w:pPr>
              <w:numPr>
                <w:ilvl w:val="1"/>
                <w:numId w:val="68"/>
              </w:numPr>
              <w:spacing w:after="109" w:line="259" w:lineRule="auto"/>
              <w:ind w:hanging="360"/>
            </w:pPr>
            <w:r>
              <w:t>客戶關係及管理投資者帳戶及活動；</w:t>
            </w:r>
            <w:r>
              <w:rPr>
                <w:rFonts w:ascii="Arial" w:eastAsia="Arial" w:hAnsi="Arial" w:cs="Arial"/>
              </w:rPr>
              <w:t xml:space="preserve">  </w:t>
            </w:r>
          </w:p>
          <w:p w:rsidR="004D6F0E" w:rsidRDefault="00490F21">
            <w:pPr>
              <w:numPr>
                <w:ilvl w:val="1"/>
                <w:numId w:val="68"/>
              </w:numPr>
              <w:spacing w:after="130" w:line="276" w:lineRule="auto"/>
              <w:ind w:hanging="360"/>
            </w:pPr>
            <w:r>
              <w:t>協助本傘子基金營銷股份及為投資者評估股份的合適性；及</w:t>
            </w:r>
            <w:r>
              <w:rPr>
                <w:rFonts w:ascii="Arial" w:eastAsia="Arial" w:hAnsi="Arial" w:cs="Arial"/>
              </w:rPr>
              <w:t xml:space="preserve"> </w:t>
            </w:r>
          </w:p>
          <w:p w:rsidR="004D6F0E" w:rsidRDefault="00490F21">
            <w:pPr>
              <w:numPr>
                <w:ilvl w:val="1"/>
                <w:numId w:val="68"/>
              </w:numPr>
              <w:spacing w:after="123" w:line="272" w:lineRule="auto"/>
              <w:ind w:hanging="360"/>
            </w:pPr>
            <w:r>
              <w:t>有關監管合規、反洗黑錢及適用於投資者帳戶的其他法律之合作。</w:t>
            </w:r>
            <w:r>
              <w:rPr>
                <w:rFonts w:ascii="Arial" w:eastAsia="Arial" w:hAnsi="Arial" w:cs="Arial"/>
              </w:rPr>
              <w:t xml:space="preserve"> </w:t>
            </w:r>
          </w:p>
          <w:p w:rsidR="004D6F0E" w:rsidRDefault="00490F21">
            <w:pPr>
              <w:spacing w:after="125" w:line="270" w:lineRule="auto"/>
              <w:ind w:left="1" w:firstLine="0"/>
            </w:pPr>
            <w:r>
              <w:t>轉分保並不視為回扣，即使其（全部或部分）最終轉嫁至投資者。轉分保的接收人必須確保作出具透明度的披露，並主動及免費通知投資者有關彼等可能收取用作分銷的酬金款項。轉分保的接收人必須按要求披露彼等實際收取用作分銷投資者的集體投資計劃</w:t>
            </w:r>
            <w:r>
              <w:t>的款項。</w:t>
            </w:r>
            <w:r>
              <w:rPr>
                <w:rFonts w:ascii="Arial" w:eastAsia="Arial" w:hAnsi="Arial" w:cs="Arial"/>
              </w:rPr>
              <w:t xml:space="preserve"> </w:t>
            </w:r>
          </w:p>
          <w:p w:rsidR="004D6F0E" w:rsidRDefault="00490F21">
            <w:pPr>
              <w:spacing w:after="136" w:line="269" w:lineRule="auto"/>
              <w:ind w:left="1" w:firstLine="0"/>
            </w:pPr>
            <w:r>
              <w:t>如屬在或從瑞士進行分銷活動，管理公司及其代理可按要求直接向投資者支付回扣。回扣之目的為減少有關投資者產生的費用或成本。回扣在以下前提下獲准許：</w:t>
            </w:r>
            <w:r>
              <w:rPr>
                <w:rFonts w:ascii="Arial" w:eastAsia="Arial" w:hAnsi="Arial" w:cs="Arial"/>
              </w:rPr>
              <w:t xml:space="preserve">  </w:t>
            </w:r>
          </w:p>
          <w:p w:rsidR="004D6F0E" w:rsidRDefault="00490F21">
            <w:pPr>
              <w:numPr>
                <w:ilvl w:val="1"/>
                <w:numId w:val="68"/>
              </w:numPr>
              <w:spacing w:after="134" w:line="272" w:lineRule="auto"/>
              <w:ind w:hanging="360"/>
            </w:pPr>
            <w:r>
              <w:t>有關回扣乃從管理公司收取的費用中支付，因此不會對本傘子基金資產造成額外收費；</w:t>
            </w:r>
            <w:r>
              <w:rPr>
                <w:rFonts w:ascii="Arial" w:eastAsia="Arial" w:hAnsi="Arial" w:cs="Arial"/>
              </w:rPr>
              <w:t xml:space="preserve">  </w:t>
            </w:r>
          </w:p>
          <w:p w:rsidR="004D6F0E" w:rsidRDefault="00490F21">
            <w:pPr>
              <w:numPr>
                <w:ilvl w:val="1"/>
                <w:numId w:val="68"/>
              </w:numPr>
              <w:spacing w:after="109" w:line="259" w:lineRule="auto"/>
              <w:ind w:hanging="360"/>
            </w:pPr>
            <w:r>
              <w:t>有關回扣乃按客觀準則的基準授出；及</w:t>
            </w:r>
            <w:r>
              <w:rPr>
                <w:rFonts w:ascii="Arial" w:eastAsia="Arial" w:hAnsi="Arial" w:cs="Arial"/>
              </w:rPr>
              <w:t xml:space="preserve">  </w:t>
            </w:r>
          </w:p>
          <w:p w:rsidR="004D6F0E" w:rsidRDefault="00490F21">
            <w:pPr>
              <w:numPr>
                <w:ilvl w:val="1"/>
                <w:numId w:val="68"/>
              </w:numPr>
              <w:spacing w:after="116" w:line="275" w:lineRule="auto"/>
              <w:ind w:hanging="360"/>
            </w:pPr>
            <w:r>
              <w:t>符合此等客觀準則及要求回扣的所有投資者亦可於相同時限及相同範圍內獲授回扣。</w:t>
            </w:r>
            <w:r>
              <w:rPr>
                <w:rFonts w:ascii="Arial" w:eastAsia="Arial" w:hAnsi="Arial" w:cs="Arial"/>
              </w:rPr>
              <w:t xml:space="preserve">  </w:t>
            </w:r>
          </w:p>
          <w:p w:rsidR="004D6F0E" w:rsidRDefault="00490F21">
            <w:pPr>
              <w:spacing w:after="145" w:line="259" w:lineRule="auto"/>
              <w:ind w:left="1" w:firstLine="0"/>
            </w:pPr>
            <w:r>
              <w:t>管理公司授出回扣的客觀準則如下：</w:t>
            </w:r>
            <w:r>
              <w:rPr>
                <w:rFonts w:ascii="Arial" w:eastAsia="Arial" w:hAnsi="Arial" w:cs="Arial"/>
              </w:rPr>
              <w:t xml:space="preserve">  </w:t>
            </w:r>
          </w:p>
          <w:p w:rsidR="004D6F0E" w:rsidRDefault="00490F21">
            <w:pPr>
              <w:numPr>
                <w:ilvl w:val="1"/>
                <w:numId w:val="68"/>
              </w:numPr>
              <w:spacing w:after="131" w:line="274" w:lineRule="auto"/>
              <w:ind w:hanging="360"/>
            </w:pPr>
            <w:r>
              <w:t>投資者認購的數量或彼等於集體投資計劃或（如適用）發起人的產品系列中持有的總數量；</w:t>
            </w:r>
            <w:r>
              <w:rPr>
                <w:rFonts w:ascii="Arial" w:eastAsia="Arial" w:hAnsi="Arial" w:cs="Arial"/>
              </w:rPr>
              <w:t xml:space="preserve"> </w:t>
            </w:r>
          </w:p>
          <w:p w:rsidR="004D6F0E" w:rsidRDefault="00490F21">
            <w:pPr>
              <w:numPr>
                <w:ilvl w:val="1"/>
                <w:numId w:val="68"/>
              </w:numPr>
              <w:spacing w:after="110" w:line="259" w:lineRule="auto"/>
              <w:ind w:hanging="360"/>
            </w:pPr>
            <w:r>
              <w:t>本傘子基金於推出階段所提供的支援；</w:t>
            </w:r>
            <w:r>
              <w:rPr>
                <w:rFonts w:ascii="Arial" w:eastAsia="Arial" w:hAnsi="Arial" w:cs="Arial"/>
              </w:rPr>
              <w:t xml:space="preserve"> </w:t>
            </w:r>
          </w:p>
          <w:p w:rsidR="004D6F0E" w:rsidRDefault="00490F21">
            <w:pPr>
              <w:numPr>
                <w:ilvl w:val="1"/>
                <w:numId w:val="68"/>
              </w:numPr>
              <w:spacing w:after="109" w:line="259" w:lineRule="auto"/>
              <w:ind w:hanging="360"/>
            </w:pPr>
            <w:r>
              <w:t>投資者的策略性市場；及</w:t>
            </w:r>
            <w:r>
              <w:rPr>
                <w:rFonts w:ascii="Arial" w:eastAsia="Arial" w:hAnsi="Arial" w:cs="Arial"/>
              </w:rPr>
              <w:t xml:space="preserve"> </w:t>
            </w:r>
          </w:p>
          <w:p w:rsidR="004D6F0E" w:rsidRDefault="00490F21">
            <w:pPr>
              <w:numPr>
                <w:ilvl w:val="1"/>
                <w:numId w:val="68"/>
              </w:numPr>
              <w:spacing w:after="99" w:line="259" w:lineRule="auto"/>
              <w:ind w:hanging="360"/>
            </w:pPr>
            <w:r>
              <w:t>適用於投資者的法律及監管考慮因素。</w:t>
            </w:r>
            <w:r>
              <w:rPr>
                <w:rFonts w:ascii="Arial" w:eastAsia="Arial" w:hAnsi="Arial" w:cs="Arial"/>
              </w:rPr>
              <w:t xml:space="preserve"> </w:t>
            </w:r>
          </w:p>
          <w:p w:rsidR="004D6F0E" w:rsidRDefault="00490F21">
            <w:pPr>
              <w:spacing w:after="134" w:line="259" w:lineRule="auto"/>
              <w:ind w:left="1" w:firstLine="0"/>
            </w:pPr>
            <w:r>
              <w:t>管理公司必須按投資者要求免費披露有關回扣的款項。</w:t>
            </w:r>
            <w:r>
              <w:rPr>
                <w:rFonts w:ascii="Arial" w:eastAsia="Arial" w:hAnsi="Arial" w:cs="Arial"/>
              </w:rPr>
              <w:t xml:space="preserve"> </w:t>
            </w:r>
          </w:p>
          <w:p w:rsidR="004D6F0E" w:rsidRDefault="00490F21">
            <w:pPr>
              <w:numPr>
                <w:ilvl w:val="0"/>
                <w:numId w:val="68"/>
              </w:numPr>
              <w:spacing w:after="132" w:line="259" w:lineRule="auto"/>
              <w:ind w:hanging="254"/>
            </w:pPr>
            <w:r>
              <w:rPr>
                <w:u w:val="single" w:color="000000"/>
              </w:rPr>
              <w:t>履行地及司法管轄地</w:t>
            </w:r>
            <w:r>
              <w:rPr>
                <w:rFonts w:ascii="Arial" w:eastAsia="Arial" w:hAnsi="Arial" w:cs="Arial"/>
              </w:rPr>
              <w:t xml:space="preserve"> </w:t>
            </w:r>
          </w:p>
          <w:p w:rsidR="004D6F0E" w:rsidRDefault="00490F21">
            <w:pPr>
              <w:spacing w:after="1" w:line="270" w:lineRule="auto"/>
              <w:ind w:left="0" w:firstLine="0"/>
            </w:pPr>
            <w:r>
              <w:t>就於瑞士及從瑞士分銷的股份而言，履行地為瑞士代表的註冊辦事處及司法管轄地為瑞士代表的註冊辦事處或投資者居住地</w:t>
            </w:r>
          </w:p>
          <w:p w:rsidR="004D6F0E" w:rsidRDefault="00490F21">
            <w:pPr>
              <w:spacing w:after="0" w:line="259" w:lineRule="auto"/>
              <w:ind w:left="0" w:firstLine="0"/>
            </w:pPr>
            <w:r>
              <w:t>／註冊地。</w:t>
            </w:r>
            <w:r>
              <w:rPr>
                <w:rFonts w:ascii="Arial" w:eastAsia="Arial" w:hAnsi="Arial" w:cs="Arial"/>
                <w:b/>
              </w:rPr>
              <w:t xml:space="preserve"> </w:t>
            </w:r>
          </w:p>
        </w:tc>
      </w:tr>
      <w:tr w:rsidR="004D6F0E">
        <w:trPr>
          <w:trHeight w:val="2544"/>
        </w:trPr>
        <w:tc>
          <w:tcPr>
            <w:tcW w:w="1795" w:type="dxa"/>
            <w:tcBorders>
              <w:top w:val="single" w:sz="4" w:space="0" w:color="B8CCE4"/>
              <w:left w:val="single" w:sz="4" w:space="0" w:color="B8CCE4"/>
              <w:bottom w:val="single" w:sz="4" w:space="0" w:color="B8CCE4"/>
              <w:right w:val="single" w:sz="4" w:space="0" w:color="B8CCE4"/>
            </w:tcBorders>
          </w:tcPr>
          <w:p w:rsidR="004D6F0E" w:rsidRDefault="00490F21">
            <w:pPr>
              <w:spacing w:after="11" w:line="259" w:lineRule="auto"/>
              <w:ind w:left="0" w:firstLine="0"/>
              <w:jc w:val="both"/>
            </w:pPr>
            <w:r>
              <w:t>阿拉伯聯合酋長國</w:t>
            </w:r>
          </w:p>
          <w:p w:rsidR="004D6F0E" w:rsidRDefault="00490F21">
            <w:pPr>
              <w:spacing w:after="0" w:line="259" w:lineRule="auto"/>
              <w:ind w:left="0" w:firstLine="0"/>
            </w:pPr>
            <w:r>
              <w:t>（迪拜）</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single" w:sz="4" w:space="0" w:color="B8CCE4"/>
            </w:tcBorders>
          </w:tcPr>
          <w:p w:rsidR="004D6F0E" w:rsidRDefault="00490F21">
            <w:pPr>
              <w:spacing w:after="0" w:line="259" w:lineRule="auto"/>
              <w:ind w:left="0" w:firstLine="0"/>
            </w:pPr>
            <w:r>
              <w:t>不適用</w:t>
            </w:r>
            <w:r>
              <w:rPr>
                <w:rFonts w:ascii="Arial" w:eastAsia="Arial" w:hAnsi="Arial" w:cs="Arial"/>
              </w:rPr>
              <w:t xml:space="preserve"> </w:t>
            </w:r>
          </w:p>
        </w:tc>
        <w:tc>
          <w:tcPr>
            <w:tcW w:w="5472"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119" w:line="272" w:lineRule="auto"/>
              <w:ind w:left="0" w:firstLine="0"/>
            </w:pPr>
            <w:r>
              <w:t>本認購章程涉及一項不受迪拜金融服務局（「</w:t>
            </w:r>
            <w:r>
              <w:rPr>
                <w:rFonts w:ascii="Arial" w:eastAsia="Arial" w:hAnsi="Arial" w:cs="Arial"/>
              </w:rPr>
              <w:t>DFSA</w:t>
            </w:r>
            <w:r>
              <w:t>」）任何形式規管或批准的基金。</w:t>
            </w:r>
            <w:r>
              <w:rPr>
                <w:rFonts w:ascii="Arial" w:eastAsia="Arial" w:hAnsi="Arial" w:cs="Arial"/>
              </w:rPr>
              <w:t>DFSA</w:t>
            </w:r>
            <w:r>
              <w:t>並無責任審閱或核證任何認購章程或與本傘子基金有關的其他文件。因此，</w:t>
            </w:r>
            <w:r>
              <w:rPr>
                <w:rFonts w:ascii="Arial" w:eastAsia="Arial" w:hAnsi="Arial" w:cs="Arial"/>
              </w:rPr>
              <w:t>DFSA</w:t>
            </w:r>
            <w:r>
              <w:t>並未批准本認購章程或任何其他相關文件，亦未採取任何步驟以核證本認購章程所載資料及不負有任何責任。本認購章程涉及的股份可能為不流通及／或於轉售時受到限制。獲提呈發售股份的準買家應自行對股份進行盡職審查。如閣下不明白本文件的內容，應諮詢認可的財務顧問。</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tc>
      </w:tr>
      <w:tr w:rsidR="004D6F0E">
        <w:trPr>
          <w:trHeight w:val="499"/>
        </w:trPr>
        <w:tc>
          <w:tcPr>
            <w:tcW w:w="1795" w:type="dxa"/>
            <w:tcBorders>
              <w:top w:val="single" w:sz="4" w:space="0" w:color="B8CCE4"/>
              <w:left w:val="single" w:sz="4" w:space="0" w:color="B8CCE4"/>
              <w:bottom w:val="single" w:sz="4" w:space="0" w:color="B8CCE4"/>
              <w:right w:val="single" w:sz="4" w:space="0" w:color="B8CCE4"/>
            </w:tcBorders>
            <w:vAlign w:val="center"/>
          </w:tcPr>
          <w:p w:rsidR="004D6F0E" w:rsidRDefault="00490F21">
            <w:pPr>
              <w:spacing w:after="0" w:line="259" w:lineRule="auto"/>
              <w:ind w:left="0" w:firstLine="0"/>
            </w:pPr>
            <w:r>
              <w:t>英國</w:t>
            </w:r>
            <w:r>
              <w:rPr>
                <w:rFonts w:ascii="Arial" w:eastAsia="Arial" w:hAnsi="Arial" w:cs="Arial"/>
              </w:rPr>
              <w:t xml:space="preserve"> </w:t>
            </w:r>
          </w:p>
        </w:tc>
        <w:tc>
          <w:tcPr>
            <w:tcW w:w="3811" w:type="dxa"/>
            <w:tcBorders>
              <w:top w:val="single" w:sz="4" w:space="0" w:color="B8CCE4"/>
              <w:left w:val="single" w:sz="4" w:space="0" w:color="B8CCE4"/>
              <w:bottom w:val="single" w:sz="4" w:space="0" w:color="B8CCE4"/>
              <w:right w:val="nil"/>
            </w:tcBorders>
            <w:vAlign w:val="center"/>
          </w:tcPr>
          <w:p w:rsidR="004D6F0E" w:rsidRDefault="00490F21">
            <w:pPr>
              <w:spacing w:after="0" w:line="259" w:lineRule="auto"/>
              <w:ind w:left="0" w:firstLine="0"/>
            </w:pPr>
            <w:r>
              <w:t>請參閱「附錄</w:t>
            </w:r>
            <w:r>
              <w:rPr>
                <w:rFonts w:ascii="Arial" w:eastAsia="Arial" w:hAnsi="Arial" w:cs="Arial"/>
              </w:rPr>
              <w:t>D</w:t>
            </w:r>
            <w:r>
              <w:t>：英國投資者附加資料」</w:t>
            </w:r>
            <w:r>
              <w:rPr>
                <w:rFonts w:ascii="Arial" w:eastAsia="Arial" w:hAnsi="Arial" w:cs="Arial"/>
              </w:rPr>
              <w:t xml:space="preserve"> </w:t>
            </w:r>
          </w:p>
        </w:tc>
        <w:tc>
          <w:tcPr>
            <w:tcW w:w="5472" w:type="dxa"/>
            <w:tcBorders>
              <w:top w:val="single" w:sz="4" w:space="0" w:color="B8CCE4"/>
              <w:left w:val="nil"/>
              <w:bottom w:val="single" w:sz="4" w:space="0" w:color="B8CCE4"/>
              <w:right w:val="single" w:sz="4" w:space="0" w:color="B8CCE4"/>
            </w:tcBorders>
          </w:tcPr>
          <w:p w:rsidR="004D6F0E" w:rsidRDefault="004D6F0E">
            <w:pPr>
              <w:spacing w:after="160" w:line="259" w:lineRule="auto"/>
              <w:ind w:left="0" w:firstLine="0"/>
            </w:pPr>
          </w:p>
        </w:tc>
      </w:tr>
    </w:tbl>
    <w:p w:rsidR="004D6F0E" w:rsidRDefault="00490F21">
      <w:pPr>
        <w:spacing w:after="0" w:line="259" w:lineRule="auto"/>
        <w:ind w:left="0" w:firstLine="0"/>
        <w:jc w:val="both"/>
      </w:pPr>
      <w:r>
        <w:rPr>
          <w:rFonts w:ascii="Arial" w:eastAsia="Arial" w:hAnsi="Arial" w:cs="Arial"/>
          <w:sz w:val="23"/>
        </w:rPr>
        <w:t xml:space="preserve"> </w:t>
      </w:r>
      <w:r>
        <w:rPr>
          <w:rFonts w:ascii="Arial" w:eastAsia="Arial" w:hAnsi="Arial" w:cs="Arial"/>
          <w:sz w:val="23"/>
        </w:rPr>
        <w:tab/>
        <w:t xml:space="preserve"> </w:t>
      </w:r>
    </w:p>
    <w:p w:rsidR="004D6F0E" w:rsidRDefault="004D6F0E">
      <w:pPr>
        <w:sectPr w:rsidR="004D6F0E">
          <w:headerReference w:type="even" r:id="rId339"/>
          <w:headerReference w:type="default" r:id="rId340"/>
          <w:footerReference w:type="even" r:id="rId341"/>
          <w:footerReference w:type="default" r:id="rId342"/>
          <w:headerReference w:type="first" r:id="rId343"/>
          <w:footerReference w:type="first" r:id="rId344"/>
          <w:pgSz w:w="12240" w:h="15840"/>
          <w:pgMar w:top="731" w:right="668" w:bottom="474" w:left="432" w:header="745" w:footer="720" w:gutter="0"/>
          <w:cols w:space="720"/>
          <w:titlePg/>
        </w:sectPr>
      </w:pPr>
    </w:p>
    <w:p w:rsidR="004D6F0E" w:rsidRDefault="00490F21">
      <w:pPr>
        <w:pStyle w:val="Heading4"/>
        <w:spacing w:after="210"/>
        <w:ind w:left="14"/>
      </w:pPr>
      <w:r>
        <w:t>附錄</w:t>
      </w:r>
      <w:r>
        <w:t xml:space="preserve"> </w:t>
      </w:r>
      <w:r>
        <w:rPr>
          <w:rFonts w:ascii="Arial" w:eastAsia="Arial" w:hAnsi="Arial" w:cs="Arial"/>
        </w:rPr>
        <w:t>A</w:t>
      </w:r>
      <w:r>
        <w:t>：投資限制</w:t>
      </w:r>
      <w:r>
        <w:rPr>
          <w:rFonts w:ascii="Arial" w:eastAsia="Arial" w:hAnsi="Arial" w:cs="Arial"/>
        </w:rPr>
        <w:t xml:space="preserve"> </w:t>
      </w:r>
    </w:p>
    <w:p w:rsidR="004D6F0E" w:rsidRDefault="00490F21">
      <w:pPr>
        <w:spacing w:after="63"/>
        <w:ind w:left="11" w:right="2"/>
      </w:pPr>
      <w:r>
        <w:t>投資限制</w:t>
      </w:r>
      <w:r>
        <w:rPr>
          <w:rFonts w:ascii="Arial" w:eastAsia="Arial" w:hAnsi="Arial" w:cs="Arial"/>
        </w:rPr>
        <w:t xml:space="preserve"> </w:t>
      </w:r>
    </w:p>
    <w:p w:rsidR="004D6F0E" w:rsidRDefault="00490F21">
      <w:pPr>
        <w:spacing w:after="163"/>
        <w:ind w:left="11" w:right="2"/>
      </w:pPr>
      <w:r>
        <w:t>除非特別聲明，否則以下限制個別適用於本傘子基金下各基金，並不共同適用於本傘子基金整體。管理條例對管理公司作出以下限制：</w:t>
      </w:r>
      <w:r>
        <w:rPr>
          <w:rFonts w:ascii="Arial" w:eastAsia="Arial" w:hAnsi="Arial" w:cs="Arial"/>
        </w:rPr>
        <w:t xml:space="preserve"> </w:t>
      </w:r>
    </w:p>
    <w:p w:rsidR="004D6F0E" w:rsidRDefault="00490F21">
      <w:pPr>
        <w:numPr>
          <w:ilvl w:val="0"/>
          <w:numId w:val="38"/>
        </w:numPr>
        <w:spacing w:after="161" w:line="273" w:lineRule="auto"/>
        <w:ind w:right="41" w:hanging="360"/>
        <w:jc w:val="both"/>
      </w:pPr>
      <w:r>
        <w:t>除出於贖回股份及其他目的向銀行暫時借款外，本傘子基金不得借款，而向銀行暫時借款總額亦不得超出有關基金總淨資產的</w:t>
      </w:r>
      <w:r>
        <w:t xml:space="preserve"> </w:t>
      </w:r>
      <w:r>
        <w:rPr>
          <w:rFonts w:ascii="Arial" w:eastAsia="Arial" w:hAnsi="Arial" w:cs="Arial"/>
        </w:rPr>
        <w:t>10%</w:t>
      </w:r>
      <w:r>
        <w:t>，然而，前提是此項限制並不禁止本傘子基金以獲取外匯為目的而訂立掉期協議；</w:t>
      </w:r>
      <w:r>
        <w:rPr>
          <w:rFonts w:ascii="Arial" w:eastAsia="Arial" w:hAnsi="Arial" w:cs="Arial"/>
        </w:rPr>
        <w:t xml:space="preserve"> </w:t>
      </w:r>
    </w:p>
    <w:p w:rsidR="004D6F0E" w:rsidRDefault="00490F21">
      <w:pPr>
        <w:numPr>
          <w:ilvl w:val="0"/>
          <w:numId w:val="38"/>
        </w:numPr>
        <w:spacing w:after="161" w:line="273" w:lineRule="auto"/>
        <w:ind w:right="41" w:hanging="360"/>
        <w:jc w:val="both"/>
      </w:pPr>
      <w:r>
        <w:t>本傘子基金不得為債務擔保而按揭、質押、抵押或以任何方式轉讓本傘子基金擁有或持有的證券，除非有下列必要；</w:t>
      </w:r>
      <w:r>
        <w:rPr>
          <w:rFonts w:ascii="Arial" w:eastAsia="Arial" w:hAnsi="Arial" w:cs="Arial"/>
        </w:rPr>
        <w:t xml:space="preserve">(i) </w:t>
      </w:r>
      <w:r>
        <w:t>上文中</w:t>
      </w:r>
      <w:r>
        <w:rPr>
          <w:rFonts w:ascii="Arial" w:eastAsia="Arial" w:hAnsi="Arial" w:cs="Arial"/>
        </w:rPr>
        <w:t>(1)</w:t>
      </w:r>
      <w:r>
        <w:t>述及的借款，而有關按揭、質押或抵押金額不得超出有關基金總淨資產的</w:t>
      </w:r>
      <w:r>
        <w:t xml:space="preserve"> </w:t>
      </w:r>
      <w:r>
        <w:rPr>
          <w:rFonts w:ascii="Arial" w:eastAsia="Arial" w:hAnsi="Arial" w:cs="Arial"/>
        </w:rPr>
        <w:t>10%</w:t>
      </w:r>
      <w:r>
        <w:t>，及／或</w:t>
      </w:r>
      <w:r>
        <w:rPr>
          <w:rFonts w:ascii="Arial" w:eastAsia="Arial" w:hAnsi="Arial" w:cs="Arial"/>
        </w:rPr>
        <w:t>(ii)</w:t>
      </w:r>
      <w:r>
        <w:t>有關本傘子基金在訂立遠期或期貨合約或期權交易時的保證金要求，及／或</w:t>
      </w:r>
      <w:r>
        <w:rPr>
          <w:rFonts w:ascii="Arial" w:eastAsia="Arial" w:hAnsi="Arial" w:cs="Arial"/>
        </w:rPr>
        <w:t>(iii)</w:t>
      </w:r>
      <w:r>
        <w:t>掉期交易；</w:t>
      </w:r>
      <w:r>
        <w:rPr>
          <w:rFonts w:ascii="Arial" w:eastAsia="Arial" w:hAnsi="Arial" w:cs="Arial"/>
        </w:rPr>
        <w:t xml:space="preserve"> </w:t>
      </w:r>
    </w:p>
    <w:p w:rsidR="004D6F0E" w:rsidRDefault="00490F21">
      <w:pPr>
        <w:numPr>
          <w:ilvl w:val="0"/>
          <w:numId w:val="38"/>
        </w:numPr>
        <w:spacing w:after="161"/>
        <w:ind w:right="41" w:hanging="360"/>
        <w:jc w:val="both"/>
      </w:pPr>
      <w:r>
        <w:t>在不損害本文所載其他條文規定的前提下，本傘子基金不得發放貸款或擔任第三方的擔保人；</w:t>
      </w:r>
      <w:r>
        <w:rPr>
          <w:rFonts w:ascii="Arial" w:eastAsia="Arial" w:hAnsi="Arial" w:cs="Arial"/>
        </w:rPr>
        <w:t xml:space="preserve"> </w:t>
      </w:r>
    </w:p>
    <w:p w:rsidR="004D6F0E" w:rsidRDefault="00490F21">
      <w:pPr>
        <w:numPr>
          <w:ilvl w:val="0"/>
          <w:numId w:val="38"/>
        </w:numPr>
        <w:spacing w:after="161" w:line="273" w:lineRule="auto"/>
        <w:ind w:right="41" w:hanging="360"/>
        <w:jc w:val="both"/>
      </w:pPr>
      <w:r>
        <w:rPr>
          <w:rFonts w:ascii="Arial" w:eastAsia="Arial" w:hAnsi="Arial" w:cs="Arial"/>
        </w:rPr>
        <w:t xml:space="preserve">(i) </w:t>
      </w:r>
      <w:r>
        <w:t>本傘子基金對同一發行人所發行證券或貨幣市場工具的投資不得超出有關基金總淨資產的</w:t>
      </w:r>
      <w:r>
        <w:t xml:space="preserve"> </w:t>
      </w:r>
      <w:r>
        <w:rPr>
          <w:rFonts w:ascii="Arial" w:eastAsia="Arial" w:hAnsi="Arial" w:cs="Arial"/>
        </w:rPr>
        <w:t>10%</w:t>
      </w:r>
      <w:r>
        <w:t>。本傘子基金於同一機構的存款投資不得超出其資產的</w:t>
      </w:r>
      <w:r>
        <w:t xml:space="preserve"> </w:t>
      </w:r>
      <w:r>
        <w:rPr>
          <w:rFonts w:ascii="Arial" w:eastAsia="Arial" w:hAnsi="Arial" w:cs="Arial"/>
        </w:rPr>
        <w:t>20%</w:t>
      </w:r>
      <w:r>
        <w:t>。就本傘子基金對若干發行人所發行證券及貨幣市場工具分別超出基金總淨資產</w:t>
      </w:r>
      <w:r>
        <w:t xml:space="preserve"> </w:t>
      </w:r>
      <w:r>
        <w:rPr>
          <w:rFonts w:ascii="Arial" w:eastAsia="Arial" w:hAnsi="Arial" w:cs="Arial"/>
        </w:rPr>
        <w:t>5%</w:t>
      </w:r>
      <w:r>
        <w:t>的投資，這些投資的總額在進行這些投資的任何一項時，均不得超出上述基金總淨資產的</w:t>
      </w:r>
      <w:r>
        <w:t xml:space="preserve"> </w:t>
      </w:r>
      <w:r>
        <w:rPr>
          <w:rFonts w:ascii="Arial" w:eastAsia="Arial" w:hAnsi="Arial" w:cs="Arial"/>
        </w:rPr>
        <w:t>40%</w:t>
      </w:r>
      <w:r>
        <w:t>，惟該限制並不適用於存於</w:t>
      </w:r>
      <w:r>
        <w:t>受到審慎監管的金融機構的存款。該限制不適用於存於受到審慎監管的金融機構的存款及場外衍生工具的交易。</w:t>
      </w:r>
      <w:r>
        <w:rPr>
          <w:rFonts w:ascii="Arial" w:eastAsia="Arial" w:hAnsi="Arial" w:cs="Arial"/>
        </w:rPr>
        <w:t xml:space="preserve"> </w:t>
      </w:r>
    </w:p>
    <w:p w:rsidR="004D6F0E" w:rsidRDefault="00490F21">
      <w:pPr>
        <w:spacing w:after="162"/>
        <w:ind w:left="11" w:right="2"/>
      </w:pPr>
      <w:r>
        <w:t>儘管第</w:t>
      </w:r>
      <w:r>
        <w:rPr>
          <w:rFonts w:ascii="Arial" w:eastAsia="Arial" w:hAnsi="Arial" w:cs="Arial"/>
        </w:rPr>
        <w:t>(1)</w:t>
      </w:r>
      <w:r>
        <w:t>段已作出個別限制，惟本傘子基金：</w:t>
      </w:r>
      <w:r>
        <w:rPr>
          <w:rFonts w:ascii="Arial" w:eastAsia="Arial" w:hAnsi="Arial" w:cs="Arial"/>
        </w:rPr>
        <w:t xml:space="preserve"> </w:t>
      </w:r>
    </w:p>
    <w:p w:rsidR="004D6F0E" w:rsidRDefault="00490F21">
      <w:pPr>
        <w:numPr>
          <w:ilvl w:val="0"/>
          <w:numId w:val="39"/>
        </w:numPr>
        <w:ind w:right="2" w:hanging="360"/>
      </w:pPr>
      <w:r>
        <w:t>對單一機構發行的可轉讓證券或貨幣市場工具的投資，及</w:t>
      </w:r>
    </w:p>
    <w:p w:rsidR="004D6F0E" w:rsidRDefault="00490F21">
      <w:pPr>
        <w:spacing w:after="165"/>
        <w:ind w:left="549" w:right="2"/>
      </w:pPr>
      <w:r>
        <w:t>／或</w:t>
      </w:r>
      <w:r>
        <w:rPr>
          <w:rFonts w:ascii="Arial" w:eastAsia="Arial" w:hAnsi="Arial" w:cs="Arial"/>
        </w:rPr>
        <w:t xml:space="preserve"> </w:t>
      </w:r>
    </w:p>
    <w:p w:rsidR="004D6F0E" w:rsidRDefault="00490F21">
      <w:pPr>
        <w:numPr>
          <w:ilvl w:val="0"/>
          <w:numId w:val="39"/>
        </w:numPr>
        <w:spacing w:after="165"/>
        <w:ind w:right="2" w:hanging="360"/>
      </w:pPr>
      <w:r>
        <w:t>向單一機構作出的存款，</w:t>
      </w:r>
      <w:r>
        <w:rPr>
          <w:rFonts w:ascii="Arial" w:eastAsia="Arial" w:hAnsi="Arial" w:cs="Arial"/>
        </w:rPr>
        <w:t xml:space="preserve"> </w:t>
      </w:r>
    </w:p>
    <w:p w:rsidR="004D6F0E" w:rsidRDefault="00490F21">
      <w:pPr>
        <w:numPr>
          <w:ilvl w:val="0"/>
          <w:numId w:val="39"/>
        </w:numPr>
        <w:spacing w:after="167"/>
        <w:ind w:right="2" w:hanging="360"/>
      </w:pPr>
      <w:r>
        <w:t>承擔場外衍生工具交易所產生的風險，</w:t>
      </w:r>
      <w:r>
        <w:rPr>
          <w:rFonts w:ascii="Arial" w:eastAsia="Arial" w:hAnsi="Arial" w:cs="Arial"/>
        </w:rPr>
        <w:t xml:space="preserve"> </w:t>
      </w:r>
    </w:p>
    <w:p w:rsidR="004D6F0E" w:rsidRDefault="00490F21">
      <w:pPr>
        <w:numPr>
          <w:ilvl w:val="0"/>
          <w:numId w:val="39"/>
        </w:numPr>
        <w:spacing w:after="170"/>
        <w:ind w:right="2" w:hanging="360"/>
      </w:pPr>
      <w:r>
        <w:t>合共不得超出某一基金淨資產的</w:t>
      </w:r>
      <w:r>
        <w:t xml:space="preserve"> </w:t>
      </w:r>
      <w:r>
        <w:rPr>
          <w:rFonts w:ascii="Arial" w:eastAsia="Arial" w:hAnsi="Arial" w:cs="Arial"/>
        </w:rPr>
        <w:t>20%</w:t>
      </w:r>
      <w:r>
        <w:t>。</w:t>
      </w:r>
      <w:r>
        <w:rPr>
          <w:rFonts w:ascii="Arial" w:eastAsia="Arial" w:hAnsi="Arial" w:cs="Arial"/>
        </w:rPr>
        <w:t xml:space="preserve"> </w:t>
      </w:r>
    </w:p>
    <w:p w:rsidR="004D6F0E" w:rsidRDefault="00490F21">
      <w:pPr>
        <w:numPr>
          <w:ilvl w:val="0"/>
          <w:numId w:val="40"/>
        </w:numPr>
        <w:spacing w:after="15" w:line="273" w:lineRule="auto"/>
        <w:ind w:right="41" w:hanging="360"/>
        <w:jc w:val="both"/>
      </w:pPr>
      <w:r>
        <w:t>倘可轉讓證券或貨幣市場工具發行人或擔保人是歐盟成員國或其當地機構、包括一個或多個歐盟成員國的公共國際組織或任何其他國家政府，則上文中</w:t>
      </w:r>
      <w:r>
        <w:t xml:space="preserve"> </w:t>
      </w:r>
      <w:r>
        <w:rPr>
          <w:rFonts w:ascii="Arial" w:eastAsia="Arial" w:hAnsi="Arial" w:cs="Arial"/>
        </w:rPr>
        <w:t>10%</w:t>
      </w:r>
      <w:r>
        <w:t>的限制提高為</w:t>
      </w:r>
    </w:p>
    <w:p w:rsidR="004D6F0E" w:rsidRDefault="00490F21">
      <w:pPr>
        <w:spacing w:after="180" w:line="250" w:lineRule="auto"/>
        <w:ind w:left="550" w:hanging="10"/>
      </w:pPr>
      <w:r>
        <w:rPr>
          <w:rFonts w:ascii="Arial" w:eastAsia="Arial" w:hAnsi="Arial" w:cs="Arial"/>
        </w:rPr>
        <w:t>35%</w:t>
      </w:r>
      <w:r>
        <w:t>；</w:t>
      </w:r>
      <w:r>
        <w:rPr>
          <w:rFonts w:ascii="Arial" w:eastAsia="Arial" w:hAnsi="Arial" w:cs="Arial"/>
        </w:rPr>
        <w:t xml:space="preserve"> </w:t>
      </w:r>
    </w:p>
    <w:p w:rsidR="004D6F0E" w:rsidRDefault="00490F21">
      <w:pPr>
        <w:numPr>
          <w:ilvl w:val="0"/>
          <w:numId w:val="40"/>
        </w:numPr>
        <w:spacing w:after="349" w:line="273" w:lineRule="auto"/>
        <w:ind w:right="41" w:hanging="360"/>
        <w:jc w:val="both"/>
      </w:pPr>
      <w:r>
        <w:t>就若干認可債券而言，倘由註冊辦事處設於一個歐盟成員國內的信貸機構發行，並根據有關法律而受到為保護債券持有人利益的特定公眾監督，則上述</w:t>
      </w:r>
      <w:r>
        <w:t xml:space="preserve"> </w:t>
      </w:r>
      <w:r>
        <w:rPr>
          <w:rFonts w:ascii="Arial" w:eastAsia="Arial" w:hAnsi="Arial" w:cs="Arial"/>
        </w:rPr>
        <w:t>10%</w:t>
      </w:r>
      <w:r>
        <w:t>限制將為</w:t>
      </w:r>
      <w:r>
        <w:t xml:space="preserve"> </w:t>
      </w:r>
      <w:r>
        <w:rPr>
          <w:rFonts w:ascii="Arial" w:eastAsia="Arial" w:hAnsi="Arial" w:cs="Arial"/>
        </w:rPr>
        <w:t>25%</w:t>
      </w:r>
      <w:r>
        <w:t>。尤其是，發行該等債券所得款項須根據有關法律，投資於在整個債券有效期間內足以償還一切債券債務的資產，且</w:t>
      </w:r>
    </w:p>
    <w:p w:rsidR="004D6F0E" w:rsidRDefault="00490F21">
      <w:pPr>
        <w:spacing w:after="0" w:line="259" w:lineRule="auto"/>
        <w:ind w:left="0" w:firstLine="0"/>
      </w:pPr>
      <w:r>
        <w:rPr>
          <w:rFonts w:ascii="Times New Roman" w:eastAsia="Times New Roman" w:hAnsi="Times New Roman" w:cs="Times New Roman"/>
          <w:strike/>
          <w:sz w:val="24"/>
        </w:rPr>
        <w:t xml:space="preserve">                                                </w:t>
      </w:r>
      <w:r>
        <w:rPr>
          <w:rFonts w:ascii="Times New Roman" w:eastAsia="Times New Roman" w:hAnsi="Times New Roman" w:cs="Times New Roman"/>
          <w:sz w:val="24"/>
        </w:rPr>
        <w:t xml:space="preserve"> </w:t>
      </w:r>
    </w:p>
    <w:p w:rsidR="004D6F0E" w:rsidRDefault="00490F21">
      <w:pPr>
        <w:spacing w:after="159"/>
        <w:ind w:left="350" w:right="361" w:hanging="348"/>
      </w:pPr>
      <w:r>
        <w:rPr>
          <w:rFonts w:ascii="Times New Roman" w:eastAsia="Times New Roman" w:hAnsi="Times New Roman" w:cs="Times New Roman"/>
          <w:sz w:val="18"/>
          <w:vertAlign w:val="superscript"/>
        </w:rPr>
        <w:t>1</w:t>
      </w:r>
      <w:r>
        <w:rPr>
          <w:sz w:val="16"/>
        </w:rPr>
        <w:t xml:space="preserve"> </w:t>
      </w:r>
      <w:r>
        <w:rPr>
          <w:rFonts w:ascii="Times New Roman" w:eastAsia="Times New Roman" w:hAnsi="Times New Roman" w:cs="Times New Roman"/>
          <w:sz w:val="18"/>
        </w:rPr>
        <w:t xml:space="preserve"> </w:t>
      </w:r>
      <w:r>
        <w:t>根據綜合帳目條約第</w:t>
      </w:r>
      <w:r>
        <w:rPr>
          <w:rFonts w:ascii="Times New Roman" w:eastAsia="Times New Roman" w:hAnsi="Times New Roman" w:cs="Times New Roman"/>
          <w:i/>
          <w:sz w:val="18"/>
        </w:rPr>
        <w:t>54</w:t>
      </w:r>
      <w:r>
        <w:t>(</w:t>
      </w:r>
      <w:r>
        <w:rPr>
          <w:rFonts w:ascii="Times New Roman" w:eastAsia="Times New Roman" w:hAnsi="Times New Roman" w:cs="Times New Roman"/>
          <w:i/>
          <w:sz w:val="18"/>
        </w:rPr>
        <w:t>3</w:t>
      </w:r>
      <w:r>
        <w:t>)(</w:t>
      </w:r>
      <w:r>
        <w:rPr>
          <w:rFonts w:ascii="Times New Roman" w:eastAsia="Times New Roman" w:hAnsi="Times New Roman" w:cs="Times New Roman"/>
          <w:i/>
          <w:sz w:val="18"/>
        </w:rPr>
        <w:t>g</w:t>
      </w:r>
      <w:r>
        <w:t>)</w:t>
      </w:r>
      <w:r>
        <w:t>條（</w:t>
      </w:r>
      <w:r>
        <w:rPr>
          <w:rFonts w:ascii="Times New Roman" w:eastAsia="Times New Roman" w:hAnsi="Times New Roman" w:cs="Times New Roman"/>
          <w:i/>
          <w:sz w:val="18"/>
        </w:rPr>
        <w:t>OJ L 193</w:t>
      </w:r>
      <w:r>
        <w:t>、</w:t>
      </w:r>
      <w:r>
        <w:rPr>
          <w:rFonts w:ascii="Times New Roman" w:eastAsia="Times New Roman" w:hAnsi="Times New Roman" w:cs="Times New Roman"/>
          <w:i/>
          <w:sz w:val="18"/>
        </w:rPr>
        <w:t>18.7.1983</w:t>
      </w:r>
      <w:r>
        <w:t>，第</w:t>
      </w:r>
      <w:r>
        <w:rPr>
          <w:rFonts w:ascii="Times New Roman" w:eastAsia="Times New Roman" w:hAnsi="Times New Roman" w:cs="Times New Roman"/>
          <w:i/>
          <w:sz w:val="18"/>
        </w:rPr>
        <w:t xml:space="preserve">1 </w:t>
      </w:r>
      <w:r>
        <w:t>頁）於一九八三年六月十三日通過的第七號歐洲議會指令</w:t>
      </w:r>
      <w:r>
        <w:rPr>
          <w:rFonts w:ascii="Times New Roman" w:eastAsia="Times New Roman" w:hAnsi="Times New Roman" w:cs="Times New Roman"/>
          <w:i/>
          <w:sz w:val="18"/>
        </w:rPr>
        <w:t xml:space="preserve"> 83/349EEC</w:t>
      </w:r>
      <w:r>
        <w:t>。由指令</w:t>
      </w:r>
      <w:r>
        <w:t>2013/34/EU</w:t>
      </w:r>
      <w:r>
        <w:t>廢除。</w:t>
      </w:r>
      <w:r>
        <w:rPr>
          <w:sz w:val="18"/>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433" w:line="259" w:lineRule="auto"/>
        <w:ind w:left="0" w:firstLine="0"/>
        <w:jc w:val="right"/>
      </w:pPr>
      <w:r>
        <w:rPr>
          <w:rFonts w:ascii="SimSun" w:eastAsia="SimSun" w:hAnsi="SimSun" w:cs="SimSun"/>
          <w:sz w:val="20"/>
        </w:rPr>
        <w:t xml:space="preserve"> </w:t>
      </w:r>
    </w:p>
    <w:p w:rsidR="004D6F0E" w:rsidRDefault="00490F21">
      <w:pPr>
        <w:spacing w:after="166"/>
        <w:ind w:left="549" w:right="2"/>
      </w:pPr>
      <w:r>
        <w:t>若發行人違約，該等資產將指派優先償還本金及應計利息。</w:t>
      </w:r>
      <w:r>
        <w:rPr>
          <w:rFonts w:ascii="Arial" w:eastAsia="Arial" w:hAnsi="Arial" w:cs="Arial"/>
        </w:rPr>
        <w:t xml:space="preserve"> </w:t>
      </w:r>
    </w:p>
    <w:p w:rsidR="004D6F0E" w:rsidRDefault="00490F21">
      <w:pPr>
        <w:spacing w:after="172" w:line="273" w:lineRule="auto"/>
        <w:ind w:left="575" w:right="41"/>
        <w:jc w:val="both"/>
      </w:pPr>
      <w:r>
        <w:t>倘本傘子基金把一項基金的資產逾</w:t>
      </w:r>
      <w:r>
        <w:t xml:space="preserve"> </w:t>
      </w:r>
      <w:r>
        <w:rPr>
          <w:rFonts w:ascii="Arial" w:eastAsia="Arial" w:hAnsi="Arial" w:cs="Arial"/>
        </w:rPr>
        <w:t>5%</w:t>
      </w:r>
      <w:r>
        <w:t>投資於上述且由一位發行人發行的債券，則該等投資總價值不得超逾有關基金資產價值的</w:t>
      </w:r>
      <w:r>
        <w:t xml:space="preserve"> </w:t>
      </w:r>
      <w:r>
        <w:rPr>
          <w:rFonts w:ascii="Arial" w:eastAsia="Arial" w:hAnsi="Arial" w:cs="Arial"/>
        </w:rPr>
        <w:t>80%</w:t>
      </w:r>
      <w:r>
        <w:t>；</w:t>
      </w:r>
      <w:r>
        <w:rPr>
          <w:rFonts w:ascii="Arial" w:eastAsia="Arial" w:hAnsi="Arial" w:cs="Arial"/>
        </w:rPr>
        <w:t xml:space="preserve"> </w:t>
      </w:r>
    </w:p>
    <w:p w:rsidR="004D6F0E" w:rsidRDefault="00490F21">
      <w:pPr>
        <w:numPr>
          <w:ilvl w:val="0"/>
          <w:numId w:val="41"/>
        </w:numPr>
        <w:spacing w:after="163"/>
        <w:ind w:right="22" w:hanging="360"/>
      </w:pPr>
      <w:r>
        <w:t>本段規定的</w:t>
      </w:r>
      <w:r>
        <w:t xml:space="preserve"> </w:t>
      </w:r>
      <w:r>
        <w:rPr>
          <w:rFonts w:ascii="Arial" w:eastAsia="Arial" w:hAnsi="Arial" w:cs="Arial"/>
        </w:rPr>
        <w:t>40%</w:t>
      </w:r>
      <w:r>
        <w:t>限制不包括上文中</w:t>
      </w:r>
      <w:r>
        <w:rPr>
          <w:rFonts w:ascii="Arial" w:eastAsia="Arial" w:hAnsi="Arial" w:cs="Arial"/>
        </w:rPr>
        <w:t>(ii)</w:t>
      </w:r>
      <w:r>
        <w:t>及</w:t>
      </w:r>
      <w:r>
        <w:rPr>
          <w:rFonts w:ascii="Arial" w:eastAsia="Arial" w:hAnsi="Arial" w:cs="Arial"/>
        </w:rPr>
        <w:t>(iii)</w:t>
      </w:r>
      <w:r>
        <w:t>所述的可轉讓證券及貨幣市場工具；及</w:t>
      </w:r>
      <w:r>
        <w:rPr>
          <w:rFonts w:ascii="Arial" w:eastAsia="Arial" w:hAnsi="Arial" w:cs="Arial"/>
        </w:rPr>
        <w:t xml:space="preserve"> </w:t>
      </w:r>
    </w:p>
    <w:p w:rsidR="004D6F0E" w:rsidRDefault="00490F21">
      <w:pPr>
        <w:numPr>
          <w:ilvl w:val="0"/>
          <w:numId w:val="41"/>
        </w:numPr>
        <w:spacing w:after="168" w:line="273" w:lineRule="auto"/>
        <w:ind w:right="22" w:hanging="360"/>
      </w:pPr>
      <w:r>
        <w:t>儘管有以上規定，倘投資對象是歐盟成員國、其當地機構、或包含一個或多個成員國的公共國際組織、或任何經合組織</w:t>
      </w:r>
      <w:r>
        <w:t>成員國所發行或擔保的各類可轉讓證券或貨幣市場工具，本傘子基金仍然可將任何基金的資產全部投資於該等可轉讓證券或貨幣市場工具，惟本傘子基金在該基金中持有的可轉讓證券或貨幣市場工具至少源於六次發行，其中任何一次發行的證券或貨幣市場工具不超出該基金淨資產</w:t>
      </w:r>
      <w:r>
        <w:t xml:space="preserve"> </w:t>
      </w:r>
      <w:r>
        <w:rPr>
          <w:rFonts w:ascii="Arial" w:eastAsia="Arial" w:hAnsi="Arial" w:cs="Arial"/>
          <w:b/>
        </w:rPr>
        <w:t>30%</w:t>
      </w:r>
      <w:r>
        <w:t>；</w:t>
      </w:r>
      <w:r>
        <w:rPr>
          <w:rFonts w:ascii="Arial" w:eastAsia="Arial" w:hAnsi="Arial" w:cs="Arial"/>
          <w:b/>
        </w:rPr>
        <w:t xml:space="preserve"> </w:t>
      </w:r>
    </w:p>
    <w:p w:rsidR="004D6F0E" w:rsidRDefault="00490F21">
      <w:pPr>
        <w:spacing w:after="154"/>
        <w:ind w:left="189" w:right="2"/>
      </w:pPr>
      <w:r>
        <w:t>第</w:t>
      </w:r>
      <w:r>
        <w:rPr>
          <w:rFonts w:ascii="Arial" w:eastAsia="Arial" w:hAnsi="Arial" w:cs="Arial"/>
        </w:rPr>
        <w:t>(i)</w:t>
      </w:r>
      <w:r>
        <w:t>、</w:t>
      </w:r>
      <w:r>
        <w:rPr>
          <w:rFonts w:ascii="Arial" w:eastAsia="Arial" w:hAnsi="Arial" w:cs="Arial"/>
        </w:rPr>
        <w:t>(ii)</w:t>
      </w:r>
      <w:r>
        <w:t>及</w:t>
      </w:r>
      <w:r>
        <w:rPr>
          <w:rFonts w:ascii="Arial" w:eastAsia="Arial" w:hAnsi="Arial" w:cs="Arial"/>
        </w:rPr>
        <w:t>(iii)</w:t>
      </w:r>
      <w:r>
        <w:t>段所規定的限制不得合併，因此，在任何情況下，本傘子基金根據第</w:t>
      </w:r>
      <w:r>
        <w:rPr>
          <w:rFonts w:ascii="Arial" w:eastAsia="Arial" w:hAnsi="Arial" w:cs="Arial"/>
        </w:rPr>
        <w:t>(i)</w:t>
      </w:r>
      <w:r>
        <w:t>、</w:t>
      </w:r>
      <w:r>
        <w:rPr>
          <w:rFonts w:ascii="Arial" w:eastAsia="Arial" w:hAnsi="Arial" w:cs="Arial"/>
        </w:rPr>
        <w:t>(ii)</w:t>
      </w:r>
      <w:r>
        <w:t>及</w:t>
      </w:r>
      <w:r>
        <w:rPr>
          <w:rFonts w:ascii="Arial" w:eastAsia="Arial" w:hAnsi="Arial" w:cs="Arial"/>
        </w:rPr>
        <w:t>(iii)</w:t>
      </w:r>
      <w:r>
        <w:t>段對同一機構所發行證券或貨幣市場工具的投資或向同一機構作出的存款的投資總額不得超出某一基金淨資產的</w:t>
      </w:r>
      <w:r>
        <w:t xml:space="preserve"> </w:t>
      </w:r>
      <w:r>
        <w:rPr>
          <w:rFonts w:ascii="Arial" w:eastAsia="Arial" w:hAnsi="Arial" w:cs="Arial"/>
        </w:rPr>
        <w:t>35%</w:t>
      </w:r>
      <w:r>
        <w:t>。</w:t>
      </w:r>
      <w:r>
        <w:rPr>
          <w:rFonts w:ascii="Arial" w:eastAsia="Arial" w:hAnsi="Arial" w:cs="Arial"/>
        </w:rPr>
        <w:t xml:space="preserve"> </w:t>
      </w:r>
    </w:p>
    <w:p w:rsidR="004D6F0E" w:rsidRDefault="00490F21">
      <w:pPr>
        <w:spacing w:after="161"/>
        <w:ind w:left="190" w:right="13" w:hanging="10"/>
      </w:pPr>
      <w:r>
        <w:rPr>
          <w:sz w:val="18"/>
        </w:rPr>
        <w:t>根據歐共體指令</w:t>
      </w:r>
      <w:r>
        <w:rPr>
          <w:rFonts w:ascii="Arial" w:eastAsia="Arial" w:hAnsi="Arial" w:cs="Arial"/>
          <w:sz w:val="18"/>
        </w:rPr>
        <w:t xml:space="preserve"> 83/349/EEC</w:t>
      </w:r>
      <w:r>
        <w:rPr>
          <w:rFonts w:ascii="Arial" w:eastAsia="Arial" w:hAnsi="Arial" w:cs="Arial"/>
          <w:sz w:val="2"/>
        </w:rPr>
        <w:t>4</w:t>
      </w:r>
      <w:r>
        <w:rPr>
          <w:rFonts w:ascii="Arial" w:eastAsia="Arial" w:hAnsi="Arial" w:cs="Arial"/>
          <w:sz w:val="3"/>
          <w:vertAlign w:val="subscript"/>
        </w:rPr>
        <w:t xml:space="preserve">F </w:t>
      </w:r>
      <w:r>
        <w:rPr>
          <w:rFonts w:ascii="Arial" w:eastAsia="Arial" w:hAnsi="Arial" w:cs="Arial"/>
          <w:sz w:val="18"/>
          <w:vertAlign w:val="superscript"/>
        </w:rPr>
        <w:t>1</w:t>
      </w:r>
      <w:r>
        <w:rPr>
          <w:rFonts w:ascii="Arial" w:eastAsia="Arial" w:hAnsi="Arial" w:cs="Arial"/>
        </w:rPr>
        <w:t xml:space="preserve"> </w:t>
      </w:r>
      <w:r>
        <w:rPr>
          <w:sz w:val="18"/>
        </w:rPr>
        <w:t>或根據經認可的國際會計規則，就綜合帳目而言列為同一集團的發行人，於計算上述限制時將被視為單一機構。</w:t>
      </w:r>
      <w:r>
        <w:rPr>
          <w:rFonts w:ascii="Arial" w:eastAsia="Arial" w:hAnsi="Arial" w:cs="Arial"/>
        </w:rPr>
        <w:t xml:space="preserve"> </w:t>
      </w:r>
    </w:p>
    <w:p w:rsidR="004D6F0E" w:rsidRDefault="00490F21">
      <w:pPr>
        <w:spacing w:after="161"/>
        <w:ind w:left="189" w:right="2"/>
      </w:pPr>
      <w:r>
        <w:t>本傘子基金同時對同一集團內多個發行人所發行證券或貨幣市場工具的投資最多可為有關基金淨資產的</w:t>
      </w:r>
      <w:r>
        <w:t xml:space="preserve"> </w:t>
      </w:r>
      <w:r>
        <w:rPr>
          <w:rFonts w:ascii="Arial" w:eastAsia="Arial" w:hAnsi="Arial" w:cs="Arial"/>
        </w:rPr>
        <w:t>20%</w:t>
      </w:r>
      <w:r>
        <w:t>。</w:t>
      </w:r>
      <w:r>
        <w:rPr>
          <w:rFonts w:ascii="Arial" w:eastAsia="Arial" w:hAnsi="Arial" w:cs="Arial"/>
        </w:rPr>
        <w:t xml:space="preserve"> </w:t>
      </w:r>
    </w:p>
    <w:p w:rsidR="004D6F0E" w:rsidRDefault="00490F21">
      <w:pPr>
        <w:spacing w:after="168"/>
        <w:ind w:left="190" w:right="13" w:hanging="10"/>
      </w:pPr>
      <w:r>
        <w:rPr>
          <w:rFonts w:ascii="Arial" w:eastAsia="Arial" w:hAnsi="Arial" w:cs="Arial"/>
          <w:sz w:val="18"/>
        </w:rPr>
        <w:t xml:space="preserve">(4bis) (i) </w:t>
      </w:r>
      <w:r>
        <w:rPr>
          <w:sz w:val="18"/>
        </w:rPr>
        <w:t>在不損害投資限制</w:t>
      </w:r>
      <w:r>
        <w:rPr>
          <w:rFonts w:ascii="Arial" w:eastAsia="Arial" w:hAnsi="Arial" w:cs="Arial"/>
          <w:sz w:val="18"/>
        </w:rPr>
        <w:t xml:space="preserve"> (6)  </w:t>
      </w:r>
      <w:r>
        <w:rPr>
          <w:sz w:val="18"/>
        </w:rPr>
        <w:t>所載限制情況下，倘本認購章程所述有關基金的投資政策旨為複製某一股票或債券指數的組成架構，則投資限制</w:t>
      </w:r>
      <w:r>
        <w:rPr>
          <w:rFonts w:ascii="Arial" w:eastAsia="Arial" w:hAnsi="Arial" w:cs="Arial"/>
          <w:sz w:val="18"/>
        </w:rPr>
        <w:t>(4)</w:t>
      </w:r>
      <w:r>
        <w:rPr>
          <w:sz w:val="18"/>
        </w:rPr>
        <w:t>所載對同一機構所發行股份及／或債務證券的最大投資限制可提升為</w:t>
      </w:r>
      <w:r>
        <w:rPr>
          <w:sz w:val="18"/>
        </w:rPr>
        <w:t xml:space="preserve"> </w:t>
      </w:r>
      <w:r>
        <w:rPr>
          <w:rFonts w:ascii="Arial" w:eastAsia="Arial" w:hAnsi="Arial" w:cs="Arial"/>
          <w:sz w:val="18"/>
        </w:rPr>
        <w:t>20%</w:t>
      </w:r>
      <w:r>
        <w:rPr>
          <w:sz w:val="18"/>
        </w:rPr>
        <w:t>，而該等用以複製的股票或債務證券指數乃獲盧森堡</w:t>
      </w:r>
      <w:r>
        <w:t>金融業監管委員會</w:t>
      </w:r>
      <w:r>
        <w:rPr>
          <w:sz w:val="18"/>
        </w:rPr>
        <w:t>（「</w:t>
      </w:r>
      <w:r>
        <w:rPr>
          <w:rFonts w:ascii="Arial" w:eastAsia="Arial" w:hAnsi="Arial" w:cs="Arial"/>
          <w:sz w:val="18"/>
        </w:rPr>
        <w:t>CSSF</w:t>
      </w:r>
      <w:r>
        <w:rPr>
          <w:sz w:val="18"/>
        </w:rPr>
        <w:t>」）按以下基礎所認可﹕</w:t>
      </w:r>
      <w:r>
        <w:rPr>
          <w:rFonts w:ascii="Arial" w:eastAsia="Arial" w:hAnsi="Arial" w:cs="Arial"/>
          <w:sz w:val="18"/>
        </w:rPr>
        <w:t xml:space="preserve"> </w:t>
      </w:r>
    </w:p>
    <w:p w:rsidR="004D6F0E" w:rsidRDefault="00490F21">
      <w:pPr>
        <w:numPr>
          <w:ilvl w:val="0"/>
          <w:numId w:val="42"/>
        </w:numPr>
        <w:spacing w:after="165"/>
        <w:ind w:right="2" w:hanging="360"/>
      </w:pPr>
      <w:r>
        <w:t>指數成份充分多元化，</w:t>
      </w:r>
      <w:r>
        <w:rPr>
          <w:rFonts w:ascii="Arial" w:eastAsia="Arial" w:hAnsi="Arial" w:cs="Arial"/>
        </w:rPr>
        <w:t xml:space="preserve"> </w:t>
      </w:r>
    </w:p>
    <w:p w:rsidR="004D6F0E" w:rsidRDefault="00490F21">
      <w:pPr>
        <w:numPr>
          <w:ilvl w:val="0"/>
          <w:numId w:val="42"/>
        </w:numPr>
        <w:spacing w:after="162"/>
        <w:ind w:right="2" w:hanging="360"/>
      </w:pPr>
      <w:r>
        <w:t>指數為該指數所屬市場的合適基準，</w:t>
      </w:r>
      <w:r>
        <w:rPr>
          <w:rFonts w:ascii="Arial" w:eastAsia="Arial" w:hAnsi="Arial" w:cs="Arial"/>
        </w:rPr>
        <w:t xml:space="preserve"> </w:t>
      </w:r>
    </w:p>
    <w:p w:rsidR="004D6F0E" w:rsidRDefault="00490F21">
      <w:pPr>
        <w:numPr>
          <w:ilvl w:val="0"/>
          <w:numId w:val="42"/>
        </w:numPr>
        <w:spacing w:after="165"/>
        <w:ind w:right="2" w:hanging="360"/>
      </w:pPr>
      <w:r>
        <w:t>指數以合適的方式公佈。</w:t>
      </w:r>
      <w:r>
        <w:rPr>
          <w:rFonts w:ascii="Arial" w:eastAsia="Arial" w:hAnsi="Arial" w:cs="Arial"/>
        </w:rPr>
        <w:t xml:space="preserve"> </w:t>
      </w:r>
    </w:p>
    <w:p w:rsidR="004D6F0E" w:rsidRDefault="00490F21">
      <w:pPr>
        <w:spacing w:after="165" w:line="273" w:lineRule="auto"/>
        <w:ind w:left="540" w:right="41" w:hanging="360"/>
        <w:jc w:val="both"/>
      </w:pPr>
      <w:r>
        <w:rPr>
          <w:rFonts w:ascii="Arial" w:eastAsia="Arial" w:hAnsi="Arial" w:cs="Arial"/>
        </w:rPr>
        <w:t xml:space="preserve">(ii) </w:t>
      </w:r>
      <w:r>
        <w:t>倘出現異常的市況，尤其是在被若干可轉讓證券或貨幣市場工具主導的受監管市場上，第</w:t>
      </w:r>
      <w:r>
        <w:rPr>
          <w:rFonts w:ascii="Arial" w:eastAsia="Arial" w:hAnsi="Arial" w:cs="Arial"/>
        </w:rPr>
        <w:t xml:space="preserve"> (i)</w:t>
      </w:r>
      <w:r>
        <w:t>項所規定的限制最高可提升至</w:t>
      </w:r>
      <w:r>
        <w:t xml:space="preserve"> </w:t>
      </w:r>
      <w:r>
        <w:rPr>
          <w:rFonts w:ascii="Arial" w:eastAsia="Arial" w:hAnsi="Arial" w:cs="Arial"/>
        </w:rPr>
        <w:t>35%</w:t>
      </w:r>
      <w:r>
        <w:t>。僅允許對一間單一發行人的投資可達至此限制。</w:t>
      </w:r>
      <w:r>
        <w:rPr>
          <w:rFonts w:ascii="Arial" w:eastAsia="Arial" w:hAnsi="Arial" w:cs="Arial"/>
        </w:rPr>
        <w:t xml:space="preserve"> </w:t>
      </w:r>
    </w:p>
    <w:p w:rsidR="004D6F0E" w:rsidRDefault="00490F21">
      <w:pPr>
        <w:ind w:left="362" w:right="2" w:hanging="360"/>
      </w:pPr>
      <w:r>
        <w:rPr>
          <w:rFonts w:ascii="Arial" w:eastAsia="Arial" w:hAnsi="Arial" w:cs="Arial"/>
        </w:rPr>
        <w:t xml:space="preserve">(5) </w:t>
      </w:r>
      <w:r>
        <w:t>本傘子基金或許不能代表某個基金將其超過</w:t>
      </w:r>
      <w:r>
        <w:t xml:space="preserve"> </w:t>
      </w:r>
      <w:r>
        <w:rPr>
          <w:rFonts w:ascii="Arial" w:eastAsia="Arial" w:hAnsi="Arial" w:cs="Arial"/>
        </w:rPr>
        <w:t>10%</w:t>
      </w:r>
      <w:r>
        <w:t>的資產投資於可轉讓證</w:t>
      </w:r>
      <w:r>
        <w:t>券及貨幣市場工具，惟下列情況除外：</w:t>
      </w:r>
      <w:r>
        <w:rPr>
          <w:rFonts w:ascii="Arial" w:eastAsia="Arial" w:hAnsi="Arial" w:cs="Arial"/>
        </w:rPr>
        <w:t xml:space="preserve"> </w:t>
      </w:r>
    </w:p>
    <w:p w:rsidR="004D6F0E" w:rsidRDefault="00490F21">
      <w:pPr>
        <w:numPr>
          <w:ilvl w:val="0"/>
          <w:numId w:val="43"/>
        </w:numPr>
        <w:spacing w:after="163"/>
        <w:ind w:right="2" w:hanging="360"/>
      </w:pPr>
      <w:r>
        <w:t>獲納入受監管市場買賣或交易的可轉讓證券及貨幣市場工具；</w:t>
      </w:r>
      <w:r>
        <w:rPr>
          <w:rFonts w:ascii="Arial" w:eastAsia="Arial" w:hAnsi="Arial" w:cs="Arial"/>
        </w:rPr>
        <w:t xml:space="preserve"> </w:t>
      </w:r>
    </w:p>
    <w:p w:rsidR="004D6F0E" w:rsidRDefault="00490F21">
      <w:pPr>
        <w:numPr>
          <w:ilvl w:val="0"/>
          <w:numId w:val="43"/>
        </w:numPr>
        <w:spacing w:after="160"/>
        <w:ind w:right="2" w:hanging="360"/>
      </w:pPr>
      <w:r>
        <w:t>在歐盟成員國的另一個市場交易﹙該市場受到監管，定期營運，被認可及對公眾開放﹚的可轉讓證券及貨幣市場工具；</w:t>
      </w:r>
      <w:r>
        <w:rPr>
          <w:rFonts w:ascii="Arial" w:eastAsia="Arial" w:hAnsi="Arial" w:cs="Arial"/>
        </w:rPr>
        <w:t xml:space="preserve"> </w:t>
      </w:r>
    </w:p>
    <w:p w:rsidR="004D6F0E" w:rsidRDefault="00490F21">
      <w:pPr>
        <w:numPr>
          <w:ilvl w:val="0"/>
          <w:numId w:val="43"/>
        </w:numPr>
        <w:spacing w:after="164"/>
        <w:ind w:right="2" w:hanging="360"/>
      </w:pPr>
      <w:r>
        <w:t>在非歐盟成員國的證券交易所獲准正式上市或在非歐盟成員國的另一個市場交易﹙該市場受到監管，定期營運，被認可及對公眾開放﹚的可轉讓證券及貨幣市場工具，前提為可轉讓證券集體投資企業的章程文件須已規定有關證券交易所或市場的選擇；</w:t>
      </w:r>
      <w:r>
        <w:rPr>
          <w:rFonts w:ascii="Arial" w:eastAsia="Arial" w:hAnsi="Arial" w:cs="Arial"/>
        </w:rPr>
        <w:t xml:space="preserve"> </w:t>
      </w:r>
    </w:p>
    <w:p w:rsidR="004D6F0E" w:rsidRDefault="00490F21">
      <w:pPr>
        <w:numPr>
          <w:ilvl w:val="0"/>
          <w:numId w:val="43"/>
        </w:numPr>
        <w:spacing w:after="164"/>
        <w:ind w:right="2" w:hanging="360"/>
      </w:pPr>
      <w:r>
        <w:t>近期發行的可轉讓證券及貨幣市場工具，惟：</w:t>
      </w:r>
      <w:r>
        <w:rPr>
          <w:rFonts w:ascii="Arial" w:eastAsia="Arial" w:hAnsi="Arial" w:cs="Arial"/>
        </w:rPr>
        <w:t xml:space="preserve"> </w:t>
      </w:r>
    </w:p>
    <w:p w:rsidR="004D6F0E" w:rsidRDefault="00490F21">
      <w:pPr>
        <w:numPr>
          <w:ilvl w:val="0"/>
          <w:numId w:val="44"/>
        </w:numPr>
        <w:spacing w:after="161"/>
        <w:ind w:right="2" w:hanging="360"/>
      </w:pPr>
      <w:r>
        <w:t>發行條款包括承諾申請在一家證券交易所或另一個受監管市場﹙該市場定期營運，被認可及對公眾開放﹚正式上市，前提為可轉讓證券集體投資企業的章程文件須已規定有關證券交易所或市場的選擇；</w:t>
      </w:r>
      <w:r>
        <w:rPr>
          <w:rFonts w:ascii="Arial" w:eastAsia="Arial" w:hAnsi="Arial" w:cs="Arial"/>
        </w:rPr>
        <w:t xml:space="preserve"> </w:t>
      </w:r>
    </w:p>
    <w:p w:rsidR="004D6F0E" w:rsidRDefault="00490F21">
      <w:pPr>
        <w:numPr>
          <w:ilvl w:val="0"/>
          <w:numId w:val="44"/>
        </w:numPr>
        <w:spacing w:after="165"/>
        <w:ind w:right="2" w:hanging="360"/>
      </w:pPr>
      <w:r>
        <w:t>保證在發行後一年內獲准上市；</w:t>
      </w:r>
      <w:r>
        <w:rPr>
          <w:rFonts w:ascii="Arial" w:eastAsia="Arial" w:hAnsi="Arial" w:cs="Arial"/>
        </w:rPr>
        <w:t xml:space="preserve"> </w:t>
      </w:r>
    </w:p>
    <w:p w:rsidR="004D6F0E" w:rsidRDefault="00490F21">
      <w:pPr>
        <w:spacing w:after="160"/>
        <w:ind w:left="540" w:right="2" w:hanging="360"/>
      </w:pPr>
      <w:r>
        <w:rPr>
          <w:rFonts w:ascii="Arial" w:eastAsia="Arial" w:hAnsi="Arial" w:cs="Arial"/>
        </w:rPr>
        <w:t xml:space="preserve">(e) </w:t>
      </w:r>
      <w:r>
        <w:t>倘貨幣市場工具的發行或其</w:t>
      </w:r>
      <w:r>
        <w:t>發行人本身因保護投資者及儲蓄而受到監管，則為除在受監管市場交易及符合《二零一零年法律》第一條所指的貨幣市場工具外的該等工具，前提為該等工具是：</w:t>
      </w:r>
      <w:r>
        <w:rPr>
          <w:rFonts w:ascii="Arial" w:eastAsia="Arial" w:hAnsi="Arial" w:cs="Arial"/>
        </w:rPr>
        <w:t xml:space="preserve"> </w:t>
      </w:r>
    </w:p>
    <w:p w:rsidR="004D6F0E" w:rsidRDefault="00490F21">
      <w:pPr>
        <w:numPr>
          <w:ilvl w:val="0"/>
          <w:numId w:val="45"/>
        </w:numPr>
        <w:spacing w:after="165"/>
        <w:ind w:right="2" w:hanging="360"/>
      </w:pPr>
      <w:r>
        <w:t>由歐盟成員國的中央政府、地區、地方當局或中央銀行、歐洲中央銀行、歐盟或歐洲投資銀行、非歐盟國家或某一聯邦成員（就實行聯邦制的國家而言）或包含一個或多個歐盟成員國的公共國際組織發行或擔保，或</w:t>
      </w:r>
      <w:r>
        <w:rPr>
          <w:rFonts w:ascii="Arial" w:eastAsia="Arial" w:hAnsi="Arial" w:cs="Arial"/>
        </w:rPr>
        <w:t xml:space="preserve"> </w:t>
      </w:r>
    </w:p>
    <w:p w:rsidR="004D6F0E" w:rsidRDefault="00490F21">
      <w:pPr>
        <w:numPr>
          <w:ilvl w:val="0"/>
          <w:numId w:val="45"/>
        </w:numPr>
        <w:spacing w:after="163"/>
        <w:ind w:right="2" w:hanging="360"/>
      </w:pPr>
      <w:r>
        <w:t>由一間擔保機構發行，而該機構的任何證券於</w:t>
      </w:r>
      <w:r>
        <w:rPr>
          <w:rFonts w:ascii="Arial" w:eastAsia="Arial" w:hAnsi="Arial" w:cs="Arial"/>
        </w:rPr>
        <w:t xml:space="preserve"> (a)</w:t>
      </w:r>
      <w:r>
        <w:t>、</w:t>
      </w:r>
      <w:r>
        <w:rPr>
          <w:rFonts w:ascii="Arial" w:eastAsia="Arial" w:hAnsi="Arial" w:cs="Arial"/>
        </w:rPr>
        <w:t>(b)</w:t>
      </w:r>
      <w:r>
        <w:t>或</w:t>
      </w:r>
      <w:r>
        <w:rPr>
          <w:rFonts w:ascii="Arial" w:eastAsia="Arial" w:hAnsi="Arial" w:cs="Arial"/>
        </w:rPr>
        <w:t xml:space="preserve">(c) </w:t>
      </w:r>
      <w:r>
        <w:t>分段所述受監管市場買賣，或</w:t>
      </w:r>
      <w:r>
        <w:rPr>
          <w:rFonts w:ascii="Arial" w:eastAsia="Arial" w:hAnsi="Arial" w:cs="Arial"/>
        </w:rPr>
        <w:t xml:space="preserve"> </w:t>
      </w:r>
    </w:p>
    <w:p w:rsidR="004D6F0E" w:rsidRDefault="00490F21">
      <w:pPr>
        <w:numPr>
          <w:ilvl w:val="0"/>
          <w:numId w:val="45"/>
        </w:numPr>
        <w:spacing w:after="162"/>
        <w:ind w:right="2" w:hanging="360"/>
      </w:pPr>
      <w:r>
        <w:t>由根據歐洲共同體法律所界定的標準受到審慎監管的機構發行或擔保，或由受限於及遵守</w:t>
      </w:r>
      <w:r>
        <w:t>有關審慎規則的機構發行或擔保，而該等規則是獲盧森堡金融業監管委員</w:t>
      </w:r>
      <w:r>
        <w:rPr>
          <w:rFonts w:ascii="Arial" w:eastAsia="Arial" w:hAnsi="Arial" w:cs="Arial"/>
        </w:rPr>
        <w:t>(CSSF)</w:t>
      </w:r>
      <w:r>
        <w:t>會視為至少與歐洲共同體法律所規定的標準同樣嚴格的；或</w:t>
      </w:r>
      <w:r>
        <w:rPr>
          <w:rFonts w:ascii="Arial" w:eastAsia="Arial" w:hAnsi="Arial" w:cs="Arial"/>
        </w:rPr>
        <w:t xml:space="preserve"> </w:t>
      </w:r>
    </w:p>
    <w:p w:rsidR="004D6F0E" w:rsidRDefault="00490F21">
      <w:pPr>
        <w:numPr>
          <w:ilvl w:val="0"/>
          <w:numId w:val="45"/>
        </w:numPr>
        <w:spacing w:after="162" w:line="273" w:lineRule="auto"/>
        <w:ind w:right="2" w:hanging="360"/>
      </w:pPr>
      <w:r>
        <w:t>由其他所屬類別為盧森堡金融業監管委員</w:t>
      </w:r>
      <w:r>
        <w:rPr>
          <w:rFonts w:ascii="Arial" w:eastAsia="Arial" w:hAnsi="Arial" w:cs="Arial"/>
        </w:rPr>
        <w:t>(CSSF)</w:t>
      </w:r>
      <w:r>
        <w:t>會批准的類別的機構發行，惟對該等工具的投資受到與上述第一、二、三款所載相同的投資者保障，同時，該發行人為一間資本及儲備至少達</w:t>
      </w:r>
      <w:r>
        <w:t xml:space="preserve"> </w:t>
      </w:r>
      <w:r>
        <w:rPr>
          <w:rFonts w:ascii="Arial" w:eastAsia="Arial" w:hAnsi="Arial" w:cs="Arial"/>
        </w:rPr>
        <w:t xml:space="preserve">10,000,000 </w:t>
      </w:r>
      <w:r>
        <w:t>歐元的公司，並根據歐共體指令</w:t>
      </w:r>
      <w:r>
        <w:t xml:space="preserve"> </w:t>
      </w:r>
      <w:r>
        <w:rPr>
          <w:rFonts w:ascii="Arial" w:eastAsia="Arial" w:hAnsi="Arial" w:cs="Arial"/>
        </w:rPr>
        <w:t xml:space="preserve">78/660/EEC </w:t>
      </w:r>
      <w:r>
        <w:t>呈報及刊發其年度帳目，或屬於擁有一個或多個上市公司的公司集團下的一間實體，且致力於為該集團融資，或是一間致力為受益於銀行流動融資的證</w:t>
      </w:r>
      <w:r>
        <w:t>券化工具融資的公司。</w:t>
      </w:r>
      <w:r>
        <w:rPr>
          <w:rFonts w:ascii="Arial" w:eastAsia="Arial" w:hAnsi="Arial" w:cs="Arial"/>
        </w:rPr>
        <w:t xml:space="preserve"> </w:t>
      </w:r>
    </w:p>
    <w:p w:rsidR="004D6F0E" w:rsidRDefault="00490F21">
      <w:pPr>
        <w:spacing w:after="159" w:line="273" w:lineRule="auto"/>
        <w:ind w:left="365" w:right="41" w:hanging="360"/>
        <w:jc w:val="both"/>
      </w:pPr>
      <w:r>
        <w:rPr>
          <w:rFonts w:ascii="Arial" w:eastAsia="Arial" w:hAnsi="Arial" w:cs="Arial"/>
        </w:rPr>
        <w:t>(6)  (i)</w:t>
      </w:r>
      <w:r>
        <w:t>倘本傘子基金向某一發行人購買證券致使本傘子基金擁有由該發行人發行的任何類別的證券超出</w:t>
      </w:r>
      <w:r>
        <w:t xml:space="preserve"> </w:t>
      </w:r>
      <w:r>
        <w:rPr>
          <w:rFonts w:ascii="Arial" w:eastAsia="Arial" w:hAnsi="Arial" w:cs="Arial"/>
        </w:rPr>
        <w:t>10%</w:t>
      </w:r>
      <w:r>
        <w:t>，或者由於此等購買行為管理公司可對發行人的管理施加重要影響，則本傘子基金不得購買該發行人發行的證券。</w:t>
      </w:r>
      <w:r>
        <w:rPr>
          <w:rFonts w:ascii="Arial" w:eastAsia="Arial" w:hAnsi="Arial" w:cs="Arial"/>
        </w:rPr>
        <w:t xml:space="preserve"> </w:t>
      </w:r>
    </w:p>
    <w:p w:rsidR="004D6F0E" w:rsidRDefault="00490F21">
      <w:pPr>
        <w:spacing w:after="169"/>
        <w:ind w:left="189" w:right="2"/>
      </w:pPr>
      <w:r>
        <w:rPr>
          <w:rFonts w:ascii="Arial" w:eastAsia="Arial" w:hAnsi="Arial" w:cs="Arial"/>
        </w:rPr>
        <w:t xml:space="preserve">(ii) </w:t>
      </w:r>
      <w:r>
        <w:t>此外，本傘子基金不得收購超出以下數額的投資：</w:t>
      </w:r>
      <w:r>
        <w:rPr>
          <w:rFonts w:ascii="Arial" w:eastAsia="Arial" w:hAnsi="Arial" w:cs="Arial"/>
        </w:rPr>
        <w:t xml:space="preserve"> </w:t>
      </w:r>
    </w:p>
    <w:p w:rsidR="004D6F0E" w:rsidRDefault="00490F21">
      <w:pPr>
        <w:numPr>
          <w:ilvl w:val="0"/>
          <w:numId w:val="46"/>
        </w:numPr>
        <w:ind w:right="2" w:hanging="360"/>
      </w:pPr>
      <w:r>
        <w:t>同一發行人所發行債務證券的</w:t>
      </w:r>
      <w:r>
        <w:t xml:space="preserve"> </w:t>
      </w:r>
      <w:r>
        <w:rPr>
          <w:rFonts w:ascii="Arial" w:eastAsia="Arial" w:hAnsi="Arial" w:cs="Arial"/>
        </w:rPr>
        <w:t xml:space="preserve">10% </w:t>
      </w:r>
    </w:p>
    <w:p w:rsidR="004D6F0E" w:rsidRDefault="00490F21">
      <w:pPr>
        <w:numPr>
          <w:ilvl w:val="0"/>
          <w:numId w:val="46"/>
        </w:numPr>
        <w:spacing w:after="166"/>
        <w:ind w:right="2" w:hanging="360"/>
      </w:pPr>
      <w:r>
        <w:t>任何單一集體投資企業所發行單位的</w:t>
      </w:r>
      <w:r>
        <w:t xml:space="preserve"> </w:t>
      </w:r>
      <w:r>
        <w:rPr>
          <w:rFonts w:ascii="Arial" w:eastAsia="Arial" w:hAnsi="Arial" w:cs="Arial"/>
        </w:rPr>
        <w:t>25%</w:t>
      </w:r>
      <w:r>
        <w:t>，惟與合併或兼併有關者除外</w:t>
      </w:r>
      <w:r>
        <w:rPr>
          <w:rFonts w:ascii="Arial" w:eastAsia="Arial" w:hAnsi="Arial" w:cs="Arial"/>
        </w:rPr>
        <w:t xml:space="preserve"> </w:t>
      </w:r>
    </w:p>
    <w:p w:rsidR="004D6F0E" w:rsidRDefault="00490F21">
      <w:pPr>
        <w:numPr>
          <w:ilvl w:val="0"/>
          <w:numId w:val="46"/>
        </w:numPr>
        <w:spacing w:after="167"/>
        <w:ind w:right="2" w:hanging="360"/>
      </w:pPr>
      <w:r>
        <w:t>任何單一發行機構所發行貨幣市場工具的</w:t>
      </w:r>
      <w:r>
        <w:t xml:space="preserve"> </w:t>
      </w:r>
      <w:r>
        <w:rPr>
          <w:rFonts w:ascii="Arial" w:eastAsia="Arial" w:hAnsi="Arial" w:cs="Arial"/>
        </w:rPr>
        <w:t xml:space="preserve">10% </w:t>
      </w:r>
    </w:p>
    <w:p w:rsidR="004D6F0E" w:rsidRDefault="00490F21">
      <w:pPr>
        <w:spacing w:after="165"/>
        <w:ind w:left="189" w:right="2"/>
      </w:pPr>
      <w:r>
        <w:t>倘作出收購時貨幣市場工具或上述債務證券或已發行證券淨額不可計算，則上述條款所規定限制可不予理會。</w:t>
      </w:r>
      <w:r>
        <w:rPr>
          <w:rFonts w:ascii="Arial" w:eastAsia="Arial" w:hAnsi="Arial" w:cs="Arial"/>
        </w:rPr>
        <w:t xml:space="preserve"> </w:t>
      </w:r>
    </w:p>
    <w:p w:rsidR="004D6F0E" w:rsidRDefault="00490F21">
      <w:pPr>
        <w:spacing w:after="159" w:line="273" w:lineRule="auto"/>
        <w:ind w:left="538" w:right="130" w:hanging="358"/>
        <w:jc w:val="both"/>
      </w:pPr>
      <w:r>
        <w:rPr>
          <w:rFonts w:ascii="Arial" w:eastAsia="Arial" w:hAnsi="Arial" w:cs="Arial"/>
        </w:rPr>
        <w:t xml:space="preserve">(iii) </w:t>
      </w:r>
      <w:r>
        <w:t>第</w:t>
      </w:r>
      <w:r>
        <w:rPr>
          <w:rFonts w:ascii="Arial" w:eastAsia="Arial" w:hAnsi="Arial" w:cs="Arial"/>
        </w:rPr>
        <w:t xml:space="preserve"> (i)</w:t>
      </w:r>
      <w:r>
        <w:t>及</w:t>
      </w:r>
      <w:r>
        <w:rPr>
          <w:rFonts w:ascii="Arial" w:eastAsia="Arial" w:hAnsi="Arial" w:cs="Arial"/>
        </w:rPr>
        <w:t>(ii)</w:t>
      </w:r>
      <w:r>
        <w:t>所載限制不適用於：</w:t>
      </w:r>
      <w:r>
        <w:rPr>
          <w:rFonts w:ascii="Arial" w:eastAsia="Arial" w:hAnsi="Arial" w:cs="Arial"/>
        </w:rPr>
        <w:t>(i)</w:t>
      </w:r>
      <w:r>
        <w:t>由歐盟成員國或其當地機構、包括一個或多個歐盟成員國的公共國際機構，或經合組織的成員國發行或擔保的可轉讓證券或貨幣市場工具，或者</w:t>
      </w:r>
      <w:r>
        <w:rPr>
          <w:rFonts w:ascii="Arial" w:eastAsia="Arial" w:hAnsi="Arial" w:cs="Arial"/>
        </w:rPr>
        <w:t xml:space="preserve">(ii) </w:t>
      </w:r>
      <w:r>
        <w:t>本傘子基金在一非歐洲聯盟成員國國家註冊成立的公司資本持有的股份，而該公司資產主要投資於註冊辦事處設於該國的發行機構的證券，並且根據該國法律，以上持股方式是本傘子基金可以投資於該國的發行機構的證券的唯一方式。但是，只有在有</w:t>
      </w:r>
      <w:r>
        <w:t>關非歐洲聯盟成員國國家註冊公司的投資政策符合《二零一零年法律》第</w:t>
      </w:r>
      <w:r>
        <w:t xml:space="preserve"> </w:t>
      </w:r>
      <w:r>
        <w:rPr>
          <w:rFonts w:ascii="Arial" w:eastAsia="Arial" w:hAnsi="Arial" w:cs="Arial"/>
        </w:rPr>
        <w:t>43</w:t>
      </w:r>
      <w:r>
        <w:t>、</w:t>
      </w:r>
      <w:r>
        <w:rPr>
          <w:rFonts w:ascii="Arial" w:eastAsia="Arial" w:hAnsi="Arial" w:cs="Arial"/>
        </w:rPr>
        <w:t>46</w:t>
      </w:r>
      <w:r>
        <w:t>、</w:t>
      </w:r>
      <w:r>
        <w:rPr>
          <w:rFonts w:ascii="Arial" w:eastAsia="Arial" w:hAnsi="Arial" w:cs="Arial"/>
        </w:rPr>
        <w:t>48(1)</w:t>
      </w:r>
      <w:r>
        <w:t>及</w:t>
      </w:r>
      <w:r>
        <w:rPr>
          <w:rFonts w:ascii="Arial" w:eastAsia="Arial" w:hAnsi="Arial" w:cs="Arial"/>
        </w:rPr>
        <w:t>(2)</w:t>
      </w:r>
      <w:r>
        <w:t>條所定限制的情況下，此項例外方能適用；或</w:t>
      </w:r>
      <w:r>
        <w:rPr>
          <w:rFonts w:ascii="Arial" w:eastAsia="Arial" w:hAnsi="Arial" w:cs="Arial"/>
        </w:rPr>
        <w:t xml:space="preserve">(iii) </w:t>
      </w:r>
      <w:r>
        <w:t>由一家投資公司或多家投資公司應僅代表其或彼等單位持有人的要求購回單位而持有附屬公司的資本中的股份</w:t>
      </w:r>
      <w:r>
        <w:rPr>
          <w:rFonts w:ascii="Arial" w:eastAsia="Arial" w:hAnsi="Arial" w:cs="Arial"/>
        </w:rPr>
        <w:t>(</w:t>
      </w:r>
      <w:r>
        <w:t>該附屬公司僅於其所在國家從事管理、諮詢或營銷業務</w:t>
      </w:r>
      <w:r>
        <w:rPr>
          <w:rFonts w:ascii="Arial" w:eastAsia="Arial" w:hAnsi="Arial" w:cs="Arial"/>
        </w:rPr>
        <w:t>)</w:t>
      </w:r>
      <w:r>
        <w:t>。</w:t>
      </w:r>
      <w:r>
        <w:rPr>
          <w:rFonts w:ascii="Arial" w:eastAsia="Arial" w:hAnsi="Arial" w:cs="Arial"/>
        </w:rPr>
        <w:t xml:space="preserve"> </w:t>
      </w:r>
    </w:p>
    <w:p w:rsidR="004D6F0E" w:rsidRDefault="00490F21">
      <w:pPr>
        <w:numPr>
          <w:ilvl w:val="0"/>
          <w:numId w:val="47"/>
        </w:numPr>
        <w:spacing w:after="163"/>
        <w:ind w:left="362" w:right="2" w:hanging="360"/>
      </w:pPr>
      <w:r>
        <w:t>本傘子基金不得擔任其他發行商的證券包銷商或分包銷商，但是在處理基金證券時，本傘子基金可以根據適用證券法例被視作包銷商；</w:t>
      </w:r>
      <w:r>
        <w:rPr>
          <w:rFonts w:ascii="Arial" w:eastAsia="Arial" w:hAnsi="Arial" w:cs="Arial"/>
        </w:rPr>
        <w:t xml:space="preserve"> </w:t>
      </w:r>
    </w:p>
    <w:p w:rsidR="004D6F0E" w:rsidRDefault="00490F21">
      <w:pPr>
        <w:numPr>
          <w:ilvl w:val="0"/>
          <w:numId w:val="47"/>
        </w:numPr>
        <w:spacing w:after="165"/>
        <w:ind w:left="362" w:right="2" w:hanging="360"/>
      </w:pPr>
      <w:r>
        <w:t>本傘子基金不得購買其他開放式集體投資企業的證券，除非符合以下條件：</w:t>
      </w:r>
      <w:r>
        <w:rPr>
          <w:rFonts w:ascii="Arial" w:eastAsia="Arial" w:hAnsi="Arial" w:cs="Arial"/>
        </w:rPr>
        <w:t xml:space="preserve"> </w:t>
      </w:r>
    </w:p>
    <w:p w:rsidR="004D6F0E" w:rsidRDefault="00490F21">
      <w:pPr>
        <w:numPr>
          <w:ilvl w:val="0"/>
          <w:numId w:val="48"/>
        </w:numPr>
        <w:spacing w:after="7" w:line="273" w:lineRule="auto"/>
        <w:ind w:right="175" w:hanging="360"/>
        <w:jc w:val="both"/>
      </w:pPr>
      <w:r>
        <w:t>本傘子基金可投資於符合</w:t>
      </w:r>
      <w:r>
        <w:t xml:space="preserve"> </w:t>
      </w:r>
      <w:r>
        <w:rPr>
          <w:rFonts w:ascii="Arial" w:eastAsia="Arial" w:hAnsi="Arial" w:cs="Arial"/>
        </w:rPr>
        <w:t xml:space="preserve">UCITS </w:t>
      </w:r>
      <w:r>
        <w:t>指令經特准的可轉讓證券集體投資企業資格的集體投資企業，及／或</w:t>
      </w:r>
      <w:r>
        <w:t xml:space="preserve"> </w:t>
      </w:r>
      <w:r>
        <w:rPr>
          <w:rFonts w:ascii="Arial" w:eastAsia="Arial" w:hAnsi="Arial" w:cs="Arial"/>
        </w:rPr>
        <w:t xml:space="preserve">UCITS </w:t>
      </w:r>
      <w:r>
        <w:t>指令第</w:t>
      </w:r>
      <w:r>
        <w:t xml:space="preserve"> </w:t>
      </w:r>
      <w:r>
        <w:rPr>
          <w:rFonts w:ascii="Arial" w:eastAsia="Arial" w:hAnsi="Arial" w:cs="Arial"/>
        </w:rPr>
        <w:t>1(2)</w:t>
      </w:r>
      <w:r>
        <w:t>條中第一及第二款所定義的集體投資企業，不論該等集體投資企業是否位於歐盟成員國﹐惟前提是</w:t>
      </w:r>
    </w:p>
    <w:p w:rsidR="004D6F0E" w:rsidRDefault="00490F21">
      <w:pPr>
        <w:spacing w:after="161"/>
        <w:ind w:left="369" w:right="2"/>
      </w:pPr>
      <w:r>
        <w:t>：</w:t>
      </w:r>
      <w:r>
        <w:rPr>
          <w:rFonts w:ascii="Arial" w:eastAsia="Arial" w:hAnsi="Arial" w:cs="Arial"/>
        </w:rPr>
        <w:t xml:space="preserve"> </w:t>
      </w:r>
    </w:p>
    <w:p w:rsidR="004D6F0E" w:rsidRDefault="00490F21">
      <w:pPr>
        <w:numPr>
          <w:ilvl w:val="0"/>
          <w:numId w:val="48"/>
        </w:numPr>
        <w:spacing w:after="163"/>
        <w:ind w:right="175" w:hanging="360"/>
        <w:jc w:val="both"/>
      </w:pPr>
      <w:r>
        <w:t>該等集體投資企業須獲有關法律授權，而有關法律規定該等企業須受到視為與歐洲共同體法律相類似的監管，且須</w:t>
      </w:r>
      <w:r>
        <w:t>確保有關當局之間緊密合作；</w:t>
      </w:r>
      <w:r>
        <w:rPr>
          <w:rFonts w:ascii="Arial" w:eastAsia="Arial" w:hAnsi="Arial" w:cs="Arial"/>
        </w:rPr>
        <w:t xml:space="preserve"> </w:t>
      </w:r>
    </w:p>
    <w:p w:rsidR="004D6F0E" w:rsidRDefault="00490F21">
      <w:pPr>
        <w:numPr>
          <w:ilvl w:val="0"/>
          <w:numId w:val="48"/>
        </w:numPr>
        <w:spacing w:after="158" w:line="273" w:lineRule="auto"/>
        <w:ind w:right="175" w:hanging="360"/>
        <w:jc w:val="both"/>
      </w:pPr>
      <w:r>
        <w:t>該等集體投資企業對單位持有人的保障程度須與於某一歐盟成員國所註冊的集體投資企業對單位持有人所規定的保障，尤其是，與資產分離、借款、貸款及無擔保出售可轉讓證券及貨幣市場工具有關的規則，須與</w:t>
      </w:r>
      <w:r>
        <w:t xml:space="preserve"> </w:t>
      </w:r>
      <w:r>
        <w:rPr>
          <w:rFonts w:ascii="Arial" w:eastAsia="Arial" w:hAnsi="Arial" w:cs="Arial"/>
        </w:rPr>
        <w:t xml:space="preserve">UCITS </w:t>
      </w:r>
      <w:r>
        <w:t>指令所作要求相當；</w:t>
      </w:r>
      <w:r>
        <w:rPr>
          <w:rFonts w:ascii="Arial" w:eastAsia="Arial" w:hAnsi="Arial" w:cs="Arial"/>
        </w:rPr>
        <w:t xml:space="preserve"> </w:t>
      </w:r>
    </w:p>
    <w:p w:rsidR="004D6F0E" w:rsidRDefault="00490F21">
      <w:pPr>
        <w:numPr>
          <w:ilvl w:val="0"/>
          <w:numId w:val="48"/>
        </w:numPr>
        <w:spacing w:after="163"/>
        <w:ind w:right="175" w:hanging="360"/>
        <w:jc w:val="both"/>
      </w:pPr>
      <w:r>
        <w:t>該等集體投資企業的業務須以半年度報告及年度報告形式申報，以便對報告期間的資產負債、收入及經營情況作出評估；</w:t>
      </w:r>
      <w:r>
        <w:rPr>
          <w:rFonts w:ascii="Arial" w:eastAsia="Arial" w:hAnsi="Arial" w:cs="Arial"/>
        </w:rPr>
        <w:t xml:space="preserve"> </w:t>
      </w:r>
    </w:p>
    <w:p w:rsidR="004D6F0E" w:rsidRDefault="00490F21">
      <w:pPr>
        <w:numPr>
          <w:ilvl w:val="0"/>
          <w:numId w:val="48"/>
        </w:numPr>
        <w:spacing w:after="164" w:line="273" w:lineRule="auto"/>
        <w:ind w:right="175" w:hanging="360"/>
        <w:jc w:val="both"/>
      </w:pPr>
      <w:r>
        <w:t>就擬考慮作出收購的一項集體投資企業而言，根據其組織章程文件，不得將合共其</w:t>
      </w:r>
      <w:r>
        <w:t xml:space="preserve"> </w:t>
      </w:r>
      <w:r>
        <w:rPr>
          <w:rFonts w:ascii="Arial" w:eastAsia="Arial" w:hAnsi="Arial" w:cs="Arial"/>
        </w:rPr>
        <w:t>10%</w:t>
      </w:r>
      <w:r>
        <w:t>以上資產投資於其他集體投資企業的單位，及／或</w:t>
      </w:r>
      <w:r>
        <w:rPr>
          <w:rFonts w:ascii="Arial" w:eastAsia="Arial" w:hAnsi="Arial" w:cs="Arial"/>
        </w:rPr>
        <w:t xml:space="preserve"> </w:t>
      </w:r>
    </w:p>
    <w:p w:rsidR="004D6F0E" w:rsidRDefault="00490F21">
      <w:pPr>
        <w:spacing w:after="171"/>
        <w:ind w:left="11" w:right="2"/>
      </w:pPr>
      <w:r>
        <w:t>惟本傘子基金不得將一項基金淨資產</w:t>
      </w:r>
      <w:r>
        <w:t xml:space="preserve"> </w:t>
      </w:r>
      <w:r>
        <w:rPr>
          <w:rFonts w:ascii="Arial" w:eastAsia="Arial" w:hAnsi="Arial" w:cs="Arial"/>
        </w:rPr>
        <w:t>10%</w:t>
      </w:r>
      <w:r>
        <w:t>以上投資於上述單一集體投資項目中的單位或股份；倘本傘子基金投資其他可轉讓證券集體投資企業及／或其他集體投資企業，而該等其他企業乃由管理公司或與管理公司透過共同管理或控制，或重大的直接或間接控股相聯的任何其他公司直接或委託管理，則管理公司或其他公司不得就收購或出售該等其他集體投資企業的單位收取認購或贖回費。</w:t>
      </w:r>
      <w:r>
        <w:rPr>
          <w:rFonts w:ascii="Arial" w:eastAsia="Arial" w:hAnsi="Arial" w:cs="Arial"/>
        </w:rPr>
        <w:t xml:space="preserve"> </w:t>
      </w:r>
    </w:p>
    <w:p w:rsidR="004D6F0E" w:rsidRDefault="00490F21">
      <w:pPr>
        <w:spacing w:after="160"/>
        <w:ind w:left="362" w:right="2" w:hanging="360"/>
      </w:pPr>
      <w:r>
        <w:rPr>
          <w:rFonts w:ascii="Arial" w:eastAsia="Arial" w:hAnsi="Arial" w:cs="Arial"/>
        </w:rPr>
        <w:t xml:space="preserve">(9) </w:t>
      </w:r>
      <w:r>
        <w:t>本傘子基金不得從事證券或貨幣市場工具期權交易，除非遵守以下限制：</w:t>
      </w:r>
      <w:r>
        <w:rPr>
          <w:rFonts w:ascii="Arial" w:eastAsia="Arial" w:hAnsi="Arial" w:cs="Arial"/>
        </w:rPr>
        <w:t xml:space="preserve"> </w:t>
      </w:r>
    </w:p>
    <w:p w:rsidR="004D6F0E" w:rsidRDefault="00490F21">
      <w:pPr>
        <w:numPr>
          <w:ilvl w:val="0"/>
          <w:numId w:val="49"/>
        </w:numPr>
        <w:spacing w:after="163"/>
        <w:ind w:right="2" w:hanging="360"/>
      </w:pPr>
      <w:r>
        <w:t>對每次購買認購或認沽期權或沽出認購期權</w:t>
      </w:r>
      <w:r>
        <w:t>實施限制，以使在其行使期權時不至違反上述任何限制；</w:t>
      </w:r>
      <w:r>
        <w:rPr>
          <w:rFonts w:ascii="Arial" w:eastAsia="Arial" w:hAnsi="Arial" w:cs="Arial"/>
        </w:rPr>
        <w:t xml:space="preserve"> </w:t>
      </w:r>
    </w:p>
    <w:p w:rsidR="004D6F0E" w:rsidRDefault="00490F21">
      <w:pPr>
        <w:numPr>
          <w:ilvl w:val="0"/>
          <w:numId w:val="49"/>
        </w:numPr>
        <w:spacing w:after="163"/>
        <w:ind w:right="2" w:hanging="360"/>
      </w:pPr>
      <w:r>
        <w:t>本傘子基金可以沽出認沽期權，但必須撥出足夠流動資產，直至上述認沽期權到期，以便彌補本傘子基金按本文件購買證券時須就行使期權所支付的總行使價格；</w:t>
      </w:r>
      <w:r>
        <w:rPr>
          <w:rFonts w:ascii="Arial" w:eastAsia="Arial" w:hAnsi="Arial" w:cs="Arial"/>
        </w:rPr>
        <w:t xml:space="preserve"> </w:t>
      </w:r>
    </w:p>
    <w:p w:rsidR="004D6F0E" w:rsidRDefault="00490F21">
      <w:pPr>
        <w:numPr>
          <w:ilvl w:val="0"/>
          <w:numId w:val="49"/>
        </w:numPr>
        <w:spacing w:after="161"/>
        <w:ind w:right="2" w:hanging="360"/>
      </w:pPr>
      <w:r>
        <w:t>認購期權僅在不會導致平倉的情況下方可沽出；在此種情況下，本傘子基金在本傘子基金授予的有關認購期權到期之前將在有關基金內保持持有基礎證券，惟本傘子基金可在下列情況下於跌市中出售上述證券：</w:t>
      </w:r>
      <w:r>
        <w:rPr>
          <w:rFonts w:ascii="Arial" w:eastAsia="Arial" w:hAnsi="Arial" w:cs="Arial"/>
        </w:rPr>
        <w:t xml:space="preserve"> </w:t>
      </w:r>
    </w:p>
    <w:p w:rsidR="004D6F0E" w:rsidRDefault="00490F21">
      <w:pPr>
        <w:numPr>
          <w:ilvl w:val="0"/>
          <w:numId w:val="50"/>
        </w:numPr>
        <w:spacing w:after="163"/>
        <w:ind w:right="2" w:hanging="360"/>
      </w:pPr>
      <w:r>
        <w:t>市場必須具有足夠流動資金，以使本傘子基金可隨時平倉；</w:t>
      </w:r>
      <w:r>
        <w:rPr>
          <w:rFonts w:ascii="Arial" w:eastAsia="Arial" w:hAnsi="Arial" w:cs="Arial"/>
        </w:rPr>
        <w:t xml:space="preserve"> </w:t>
      </w:r>
    </w:p>
    <w:p w:rsidR="004D6F0E" w:rsidRDefault="00490F21">
      <w:pPr>
        <w:numPr>
          <w:ilvl w:val="0"/>
          <w:numId w:val="50"/>
        </w:numPr>
        <w:spacing w:after="165"/>
        <w:ind w:right="2" w:hanging="360"/>
      </w:pPr>
      <w:r>
        <w:t>沽出期權下所應支付的行使價格總額不得超過各有關基金淨資產的</w:t>
      </w:r>
      <w:r>
        <w:t xml:space="preserve"> </w:t>
      </w:r>
      <w:r>
        <w:rPr>
          <w:rFonts w:ascii="Arial" w:eastAsia="Arial" w:hAnsi="Arial" w:cs="Arial"/>
        </w:rPr>
        <w:t>25%</w:t>
      </w:r>
      <w:r>
        <w:t>；</w:t>
      </w:r>
      <w:r>
        <w:t>及</w:t>
      </w:r>
      <w:r>
        <w:rPr>
          <w:rFonts w:ascii="Arial" w:eastAsia="Arial" w:hAnsi="Arial" w:cs="Arial"/>
        </w:rPr>
        <w:t xml:space="preserve"> </w:t>
      </w:r>
    </w:p>
    <w:p w:rsidR="004D6F0E" w:rsidRDefault="00490F21">
      <w:pPr>
        <w:numPr>
          <w:ilvl w:val="0"/>
          <w:numId w:val="50"/>
        </w:numPr>
        <w:spacing w:after="167" w:line="273" w:lineRule="auto"/>
        <w:ind w:right="2" w:hanging="360"/>
      </w:pPr>
      <w:r>
        <w:t>除非期權在證券交易所上市或於受監管市場買賣，否則概不能買賣任何期權，且緊隨購入後，本傘子基金持有的所有期權購入價總額（按已支付期權金計算）不得超過各有關基金淨資產的</w:t>
      </w:r>
      <w:r>
        <w:t xml:space="preserve"> </w:t>
      </w:r>
      <w:r>
        <w:rPr>
          <w:rFonts w:ascii="Arial" w:eastAsia="Arial" w:hAnsi="Arial" w:cs="Arial"/>
        </w:rPr>
        <w:t>15%</w:t>
      </w:r>
      <w:r>
        <w:t>；</w:t>
      </w:r>
      <w:r>
        <w:rPr>
          <w:rFonts w:ascii="Arial" w:eastAsia="Arial" w:hAnsi="Arial" w:cs="Arial"/>
        </w:rPr>
        <w:t xml:space="preserve"> </w:t>
      </w:r>
    </w:p>
    <w:p w:rsidR="004D6F0E" w:rsidRDefault="00490F21">
      <w:pPr>
        <w:numPr>
          <w:ilvl w:val="0"/>
          <w:numId w:val="51"/>
        </w:numPr>
        <w:spacing w:after="161"/>
        <w:ind w:left="362" w:right="2" w:hanging="360"/>
      </w:pPr>
      <w:r>
        <w:t>本傘子基金可因對沖貨幣風險而持有遠期貨幣合約或貨幣期貨或購買貨幣期權，惟金額分別不得超出各有關基金中以某一貨幣計價的證券及其他資產總值，但本傘子基金還可以通過交叉盤買賣（與同一對手方訂立）購買有關貨幣，或在同等限度內訂立貨幣掉期協議，前提是交換成本對本傘子基金更為有利。貨幣合約必須在證券交易所上市或在受監管市場交易，但本傘子基金可以與獲得高評級的金融機構訂立貨幣遠期合約或掉期協議；</w:t>
      </w:r>
      <w:r>
        <w:rPr>
          <w:rFonts w:ascii="Arial" w:eastAsia="Arial" w:hAnsi="Arial" w:cs="Arial"/>
        </w:rPr>
        <w:t xml:space="preserve"> </w:t>
      </w:r>
    </w:p>
    <w:p w:rsidR="004D6F0E" w:rsidRDefault="00490F21">
      <w:pPr>
        <w:numPr>
          <w:ilvl w:val="0"/>
          <w:numId w:val="51"/>
        </w:numPr>
        <w:spacing w:after="167"/>
        <w:ind w:left="362" w:right="2" w:hanging="360"/>
      </w:pPr>
      <w:r>
        <w:t>除下列情況外，本傘子基金不得從事指數期權交易：</w:t>
      </w:r>
      <w:r>
        <w:rPr>
          <w:rFonts w:ascii="Arial" w:eastAsia="Arial" w:hAnsi="Arial" w:cs="Arial"/>
        </w:rPr>
        <w:t xml:space="preserve"> </w:t>
      </w:r>
    </w:p>
    <w:p w:rsidR="004D6F0E" w:rsidRDefault="00490F21">
      <w:pPr>
        <w:numPr>
          <w:ilvl w:val="1"/>
          <w:numId w:val="51"/>
        </w:numPr>
        <w:spacing w:after="166"/>
        <w:ind w:left="964" w:right="2" w:hanging="585"/>
      </w:pPr>
      <w:r>
        <w:t>為對沖基金內證券價值波動的風險，本傘子基金可代表該基金出售股票指數認購期權</w:t>
      </w:r>
      <w:r>
        <w:t>或收購股票指數認沽期權。在該等情況下，有關股票指數期權中包含的基礎證券價值加上用於同一目的的尚未支付金融期貨合約承擔額不得超出有關基金資產中涉及有關對沖部分的總價值；及</w:t>
      </w:r>
      <w:r>
        <w:rPr>
          <w:rFonts w:ascii="Arial" w:eastAsia="Arial" w:hAnsi="Arial" w:cs="Arial"/>
        </w:rPr>
        <w:t xml:space="preserve"> </w:t>
      </w:r>
    </w:p>
    <w:p w:rsidR="004D6F0E" w:rsidRDefault="00490F21">
      <w:pPr>
        <w:numPr>
          <w:ilvl w:val="1"/>
          <w:numId w:val="51"/>
        </w:numPr>
        <w:spacing w:after="170"/>
        <w:ind w:left="964" w:right="2" w:hanging="585"/>
      </w:pPr>
      <w:r>
        <w:t>為有效管理證券基金，本傘子基金可以購買股票指數認購期權，主要為促進基金資產在不同市場之間的分配變化，或者利用於當前或預期發生的某一市場部門證券價格大幅上揚，惟基金內須有足夠的無指定用途現金儲備、短期債務證券及可供按照預定價格出售的投資工具或證券可用於彌補基礎股票指數認購期權中包括的基礎證券的價值；上述股票指數期貨期權必須在交易所上市或在受</w:t>
      </w:r>
      <w:r>
        <w:t>監管市場交易，但倘該等交易對本傘子基金更為有利或本傘子基金無法獲得具有關特徵的上市期權，本傘子基金可以購買或出售金融證券場外交易期權，惟交易對手方須獲得高評級並專門從事此類交易。另外，所有證券期權以及本傘子基金以非對沖目的購買的證券利率期貨期權及其他金融證券期權的總購買成本（按照支付的期權金計算），不得超出每個有關基金淨資產</w:t>
      </w:r>
      <w:r>
        <w:t xml:space="preserve"> </w:t>
      </w:r>
      <w:r>
        <w:rPr>
          <w:rFonts w:ascii="Arial" w:eastAsia="Arial" w:hAnsi="Arial" w:cs="Arial"/>
        </w:rPr>
        <w:t>15%</w:t>
      </w:r>
      <w:r>
        <w:t>；</w:t>
      </w:r>
      <w:r>
        <w:rPr>
          <w:rFonts w:ascii="Arial" w:eastAsia="Arial" w:hAnsi="Arial" w:cs="Arial"/>
        </w:rPr>
        <w:t xml:space="preserve"> </w:t>
      </w:r>
    </w:p>
    <w:p w:rsidR="004D6F0E" w:rsidRDefault="00490F21">
      <w:pPr>
        <w:numPr>
          <w:ilvl w:val="0"/>
          <w:numId w:val="51"/>
        </w:numPr>
        <w:spacing w:after="163"/>
        <w:ind w:left="362" w:right="2" w:hanging="360"/>
      </w:pPr>
      <w:r>
        <w:t>本傘子基金不得訂立利率期貨合約、買賣利率期權或訂立利率掉期交易，惟以下情況除外：</w:t>
      </w:r>
      <w:r>
        <w:rPr>
          <w:rFonts w:ascii="Arial" w:eastAsia="Arial" w:hAnsi="Arial" w:cs="Arial"/>
        </w:rPr>
        <w:t xml:space="preserve"> </w:t>
      </w:r>
    </w:p>
    <w:p w:rsidR="004D6F0E" w:rsidRDefault="00490F21">
      <w:pPr>
        <w:numPr>
          <w:ilvl w:val="1"/>
          <w:numId w:val="51"/>
        </w:numPr>
        <w:spacing w:after="166"/>
        <w:ind w:left="964" w:right="2" w:hanging="585"/>
      </w:pPr>
      <w:r>
        <w:t>為對沖基金內資產價值波動的風險，本傘子基金可出售利率期貨或沽出利率認購期權或購買利率認沽</w:t>
      </w:r>
      <w:r>
        <w:t>期權或訂立利率掉期。此類合約或期權必須以有關基金資產估價所用貨幣計價，或者採用波動狀況相彷的貨幣計價，並且上述合約或期權必須在交易所上市或在受監管市場交易，條件是︰本傘子基金可以與獲得高評級的金融機構私下訂立協議進行利率掉期交易；及</w:t>
      </w:r>
      <w:r>
        <w:rPr>
          <w:rFonts w:ascii="Arial" w:eastAsia="Arial" w:hAnsi="Arial" w:cs="Arial"/>
        </w:rPr>
        <w:t xml:space="preserve"> </w:t>
      </w:r>
    </w:p>
    <w:p w:rsidR="004D6F0E" w:rsidRDefault="00490F21">
      <w:pPr>
        <w:numPr>
          <w:ilvl w:val="1"/>
          <w:numId w:val="51"/>
        </w:numPr>
        <w:spacing w:after="160"/>
        <w:ind w:left="964" w:right="2" w:hanging="585"/>
      </w:pPr>
      <w:r>
        <w:t>為有效管理基金，本傘子基金可以訂立利率期貨購買合約或購買利率期貨認購期權，主要為促進基金資產在較短期或較長期市場之間的分配變化，以便利用於當前或即將發生的某一市場部門證券價格大幅上揚，或令短期投資中擁有長期投資因素，惟凡進行上述交易時，必須隨時備有足夠的無指定用途現金儲備、短</w:t>
      </w:r>
      <w:r>
        <w:t>期債務證券或可供按照預定價值出售的（投資）工具或證券，其金額應當等於上述兩種期貨持倉量所受相關風險的彌補金額外加為同一目的及同一基金購買的利率期貨認購期權中包含的基礎證券價值；</w:t>
      </w:r>
      <w:r>
        <w:rPr>
          <w:rFonts w:ascii="Arial" w:eastAsia="Arial" w:hAnsi="Arial" w:cs="Arial"/>
        </w:rPr>
        <w:t xml:space="preserve"> </w:t>
      </w:r>
    </w:p>
    <w:p w:rsidR="004D6F0E" w:rsidRDefault="00490F21">
      <w:pPr>
        <w:spacing w:after="169"/>
        <w:ind w:left="11" w:right="2"/>
      </w:pPr>
      <w:r>
        <w:t>上述利率期貨期權必須在交易所上市或在受監管市場交易，但倘交易對本傘子基金更為有利或本傘子基金無法獲得具有有關特徵的上市期權，本傘子基金可以購買或出售金融證券場外交易期貨，惟交易對手方須獲得高評級並專門從事此類交易。另外，所有證券期權以及本傘子基金為非對沖目的購買的證券利率期貨期權及其他金融證券期權的總購買成本（按照支付的期權金計算</w:t>
      </w:r>
      <w:r>
        <w:t>），不得超出各有關基金淨資產</w:t>
      </w:r>
      <w:r>
        <w:t xml:space="preserve"> </w:t>
      </w:r>
      <w:r>
        <w:rPr>
          <w:rFonts w:ascii="Arial" w:eastAsia="Arial" w:hAnsi="Arial" w:cs="Arial"/>
        </w:rPr>
        <w:t>15%</w:t>
      </w:r>
      <w:r>
        <w:t>；</w:t>
      </w:r>
      <w:r>
        <w:rPr>
          <w:rFonts w:ascii="Arial" w:eastAsia="Arial" w:hAnsi="Arial" w:cs="Arial"/>
        </w:rPr>
        <w:t xml:space="preserve"> </w:t>
      </w:r>
    </w:p>
    <w:p w:rsidR="004D6F0E" w:rsidRDefault="00490F21">
      <w:pPr>
        <w:numPr>
          <w:ilvl w:val="0"/>
          <w:numId w:val="51"/>
        </w:numPr>
        <w:spacing w:after="165"/>
        <w:ind w:left="362" w:right="2" w:hanging="360"/>
      </w:pPr>
      <w:r>
        <w:t>除下列情況外，本傘子基金不得從事股票指數期貨交易：</w:t>
      </w:r>
      <w:r>
        <w:rPr>
          <w:rFonts w:ascii="Arial" w:eastAsia="Arial" w:hAnsi="Arial" w:cs="Arial"/>
        </w:rPr>
        <w:t xml:space="preserve"> </w:t>
      </w:r>
    </w:p>
    <w:p w:rsidR="004D6F0E" w:rsidRDefault="00490F21">
      <w:pPr>
        <w:numPr>
          <w:ilvl w:val="1"/>
          <w:numId w:val="51"/>
        </w:numPr>
        <w:spacing w:after="166"/>
        <w:ind w:left="964" w:right="2" w:hanging="585"/>
      </w:pPr>
      <w:r>
        <w:t>為對沖某基金資產價值波動的風險，本傘子基金可代表該基金就指數期貨出售合約作出尚未支付的承擔額，但此等承擔額不得超出上述資產中相應部分涉及價值波動的風險；及</w:t>
      </w:r>
      <w:r>
        <w:rPr>
          <w:rFonts w:ascii="Arial" w:eastAsia="Arial" w:hAnsi="Arial" w:cs="Arial"/>
        </w:rPr>
        <w:t xml:space="preserve"> </w:t>
      </w:r>
    </w:p>
    <w:p w:rsidR="004D6F0E" w:rsidRDefault="00490F21">
      <w:pPr>
        <w:numPr>
          <w:ilvl w:val="1"/>
          <w:numId w:val="51"/>
        </w:numPr>
        <w:spacing w:after="164"/>
        <w:ind w:left="964" w:right="2" w:hanging="585"/>
      </w:pPr>
      <w:r>
        <w:t>為有效管理基金，本傘子基金可訂立指數期貨購買合約，主要為促進基金資產在不同市場之間的分配的變化，或者利用於當前或預期發生的某一市場部門證券價格大幅上揚，惟須有足夠的無指定用途的現金儲備、有關基金擁有的短期債務證券或工具、或可供有關基金按照預定價值出售的證券，並且其金額相當於上述兩種期貨持倉量所承受相關風險的彌補金額外加為同一目的所購買的股票指數認購期權包含的基礎證券價值；惟同時，所有該等指數期貨須為於一間證券交易所上市或於一個受監管市場買賣；</w:t>
      </w:r>
      <w:r>
        <w:rPr>
          <w:rFonts w:ascii="Arial" w:eastAsia="Arial" w:hAnsi="Arial" w:cs="Arial"/>
        </w:rPr>
        <w:t xml:space="preserve"> </w:t>
      </w:r>
    </w:p>
    <w:p w:rsidR="004D6F0E" w:rsidRDefault="00490F21">
      <w:pPr>
        <w:numPr>
          <w:ilvl w:val="0"/>
          <w:numId w:val="51"/>
        </w:numPr>
        <w:spacing w:after="161"/>
        <w:ind w:left="362" w:right="2" w:hanging="360"/>
      </w:pPr>
      <w:r>
        <w:t>本傘子基金不得借出基金投資，除非在借出時由享有高評級的金融機構</w:t>
      </w:r>
      <w:r>
        <w:t>提供足夠銀行擔保，或者由經合組織會員國政府以現金或其發行的證券作足夠質抵。借出證券必須透過認可的結算所或享有高評級並且專門從事此類交易的金融機構進行，並且借出證券不得超出每一基金中證券價值的二分之一，借出期限不得超出三十日；</w:t>
      </w:r>
      <w:r>
        <w:rPr>
          <w:rFonts w:ascii="Arial" w:eastAsia="Arial" w:hAnsi="Arial" w:cs="Arial"/>
        </w:rPr>
        <w:t xml:space="preserve"> </w:t>
      </w:r>
    </w:p>
    <w:p w:rsidR="004D6F0E" w:rsidRDefault="00490F21">
      <w:pPr>
        <w:numPr>
          <w:ilvl w:val="0"/>
          <w:numId w:val="51"/>
        </w:numPr>
        <w:spacing w:after="163"/>
        <w:ind w:left="362" w:right="2" w:hanging="360"/>
      </w:pPr>
      <w:r>
        <w:t>本傘子基金不得購買地產，但是本傘子基金可以投資於對進行地產投資或擁有地產的公司；</w:t>
      </w:r>
      <w:r>
        <w:rPr>
          <w:rFonts w:ascii="Arial" w:eastAsia="Arial" w:hAnsi="Arial" w:cs="Arial"/>
        </w:rPr>
        <w:t xml:space="preserve"> </w:t>
      </w:r>
    </w:p>
    <w:p w:rsidR="004D6F0E" w:rsidRDefault="00490F21">
      <w:pPr>
        <w:numPr>
          <w:ilvl w:val="0"/>
          <w:numId w:val="51"/>
        </w:numPr>
        <w:spacing w:after="12" w:line="273" w:lineRule="auto"/>
        <w:ind w:left="362" w:right="2" w:hanging="360"/>
      </w:pPr>
      <w:r>
        <w:t>本傘子基金訂立的交易不得涉及商品、商品合約或代表銷售品或銷售品權的證券，在本文意義內商品包括貴重金屬，但本傘子基金可以購買及出售以商品作抵押的證券，以及買賣投資於商品或從事商品交易的公司證券，也可訂立</w:t>
      </w:r>
      <w:r>
        <w:t>商品指數衍生工具交易合約，惟此等金融指數須符合二零零八年二月八日大公國條例第</w:t>
      </w:r>
      <w:r>
        <w:t xml:space="preserve"> </w:t>
      </w:r>
      <w:r>
        <w:rPr>
          <w:rFonts w:ascii="Arial" w:eastAsia="Arial" w:hAnsi="Arial" w:cs="Arial"/>
        </w:rPr>
        <w:t xml:space="preserve">9 </w:t>
      </w:r>
      <w:r>
        <w:t>條就《二零一零年法律》的某些定義所規限的標準以及二零零八年二月十九日盧森堡金融業監管委員會（</w:t>
      </w:r>
      <w:r>
        <w:rPr>
          <w:rFonts w:ascii="Arial" w:eastAsia="Arial" w:hAnsi="Arial" w:cs="Arial"/>
        </w:rPr>
        <w:t>CSSF</w:t>
      </w:r>
      <w:r>
        <w:t>）</w:t>
      </w:r>
      <w:r>
        <w:rPr>
          <w:rFonts w:ascii="Arial" w:eastAsia="Arial" w:hAnsi="Arial" w:cs="Arial"/>
        </w:rPr>
        <w:t xml:space="preserve">08/339 </w:t>
      </w:r>
      <w:r>
        <w:t>號公告就歐洲證券管理機構委員會（</w:t>
      </w:r>
    </w:p>
    <w:p w:rsidR="004D6F0E" w:rsidRDefault="00490F21">
      <w:pPr>
        <w:spacing w:after="168"/>
        <w:ind w:left="369" w:right="2"/>
      </w:pPr>
      <w:r>
        <w:rPr>
          <w:rFonts w:ascii="Arial" w:eastAsia="Arial" w:hAnsi="Arial" w:cs="Arial"/>
        </w:rPr>
        <w:t>CESR</w:t>
      </w:r>
      <w:r>
        <w:t>）有關</w:t>
      </w:r>
      <w:r>
        <w:t xml:space="preserve"> </w:t>
      </w:r>
      <w:r>
        <w:rPr>
          <w:rFonts w:ascii="Arial" w:eastAsia="Arial" w:hAnsi="Arial" w:cs="Arial"/>
        </w:rPr>
        <w:t xml:space="preserve">UCITS </w:t>
      </w:r>
      <w:r>
        <w:t>合格投資資產指引所規限的標準；及</w:t>
      </w:r>
      <w:r>
        <w:rPr>
          <w:rFonts w:ascii="Arial" w:eastAsia="Arial" w:hAnsi="Arial" w:cs="Arial"/>
        </w:rPr>
        <w:t xml:space="preserve"> </w:t>
      </w:r>
    </w:p>
    <w:p w:rsidR="004D6F0E" w:rsidRDefault="00490F21">
      <w:pPr>
        <w:numPr>
          <w:ilvl w:val="0"/>
          <w:numId w:val="51"/>
        </w:numPr>
        <w:spacing w:after="162" w:line="273" w:lineRule="auto"/>
        <w:ind w:left="362" w:right="2" w:hanging="360"/>
      </w:pPr>
      <w:r>
        <w:t>本傘子基金不得以保證金形式購買任何證券（但是本傘子基金可為基金證券買賣的結算而獲取必要短期信貸）或者從事證券賣空或持有平倉，但本傘子基金可為期貨及遠期合約</w:t>
      </w:r>
      <w:r>
        <w:rPr>
          <w:rFonts w:ascii="Arial" w:eastAsia="Arial" w:hAnsi="Arial" w:cs="Arial"/>
        </w:rPr>
        <w:t xml:space="preserve"> </w:t>
      </w:r>
      <w:r>
        <w:t>（及其期權）繳納開倉及維持保證金。</w:t>
      </w:r>
      <w:r>
        <w:rPr>
          <w:rFonts w:ascii="Arial" w:eastAsia="Arial" w:hAnsi="Arial" w:cs="Arial"/>
        </w:rPr>
        <w:t xml:space="preserve"> </w:t>
      </w:r>
    </w:p>
    <w:p w:rsidR="004D6F0E" w:rsidRDefault="00490F21">
      <w:pPr>
        <w:numPr>
          <w:ilvl w:val="0"/>
          <w:numId w:val="51"/>
        </w:numPr>
        <w:spacing w:after="162"/>
        <w:ind w:left="362" w:right="2" w:hanging="360"/>
      </w:pPr>
      <w:r>
        <w:t>本傘子基金須採用一項風</w:t>
      </w:r>
      <w:r>
        <w:t>險管理程序，以便隨時監控及衡量有關持倉的風險及該等風險對各基金整體風險狀況的影響；本傘子基金亦須採用可對場外交易衍生工具價值進行精確及獨立評估的的程序。</w:t>
      </w:r>
      <w:r>
        <w:rPr>
          <w:rFonts w:ascii="Arial" w:eastAsia="Arial" w:hAnsi="Arial" w:cs="Arial"/>
        </w:rPr>
        <w:t xml:space="preserve"> </w:t>
      </w:r>
    </w:p>
    <w:p w:rsidR="004D6F0E" w:rsidRDefault="00490F21">
      <w:pPr>
        <w:spacing w:after="166"/>
        <w:ind w:left="367" w:right="2"/>
      </w:pPr>
      <w:r>
        <w:t>無論在任何情況下，該等操作均不得導致本傘子基金偏離有關基金說明所載投資目標（詳見第</w:t>
      </w:r>
      <w:r>
        <w:t xml:space="preserve"> </w:t>
      </w:r>
      <w:r>
        <w:rPr>
          <w:rFonts w:ascii="Arial" w:eastAsia="Arial" w:hAnsi="Arial" w:cs="Arial"/>
        </w:rPr>
        <w:t xml:space="preserve">I </w:t>
      </w:r>
      <w:r>
        <w:t>部分）。</w:t>
      </w:r>
      <w:r>
        <w:rPr>
          <w:rFonts w:ascii="Arial" w:eastAsia="Arial" w:hAnsi="Arial" w:cs="Arial"/>
        </w:rPr>
        <w:t xml:space="preserve"> </w:t>
      </w:r>
    </w:p>
    <w:p w:rsidR="004D6F0E" w:rsidRDefault="00490F21">
      <w:pPr>
        <w:spacing w:after="163"/>
        <w:ind w:left="367" w:right="2"/>
      </w:pPr>
      <w:r>
        <w:t>本傘子基金須確保各基金衍生工具的全球風險不超出有關證券基金的淨值總額。</w:t>
      </w:r>
      <w:r>
        <w:rPr>
          <w:rFonts w:ascii="Arial" w:eastAsia="Arial" w:hAnsi="Arial" w:cs="Arial"/>
        </w:rPr>
        <w:t xml:space="preserve"> </w:t>
      </w:r>
    </w:p>
    <w:p w:rsidR="004D6F0E" w:rsidRDefault="00490F21">
      <w:pPr>
        <w:spacing w:after="160"/>
        <w:ind w:left="367" w:right="2"/>
      </w:pPr>
      <w:r>
        <w:t>計算風險時已計及基礎資產的現有價值、對手方風險、日後市場變動以及可供平倉的時間等因素。本段亦適用於以下分段。</w:t>
      </w:r>
      <w:r>
        <w:rPr>
          <w:rFonts w:ascii="Arial" w:eastAsia="Arial" w:hAnsi="Arial" w:cs="Arial"/>
        </w:rPr>
        <w:t xml:space="preserve"> </w:t>
      </w:r>
    </w:p>
    <w:p w:rsidR="004D6F0E" w:rsidRDefault="00490F21">
      <w:pPr>
        <w:spacing w:after="162"/>
        <w:ind w:left="367" w:right="2"/>
      </w:pPr>
      <w:r>
        <w:t>本傘子基金亦可投資於金融衍生工具，惟就基礎資產所承受的風險合共不得超出投資限制第</w:t>
      </w:r>
      <w:r>
        <w:rPr>
          <w:rFonts w:ascii="Arial" w:eastAsia="Arial" w:hAnsi="Arial" w:cs="Arial"/>
        </w:rPr>
        <w:t>(4)</w:t>
      </w:r>
      <w:r>
        <w:t>條所載限制。當本傘子基金投資以指數為本的金融衍生工具時，該等投資毋須就投資限制第</w:t>
      </w:r>
      <w:r>
        <w:rPr>
          <w:rFonts w:ascii="Arial" w:eastAsia="Arial" w:hAnsi="Arial" w:cs="Arial"/>
        </w:rPr>
        <w:t>(4)</w:t>
      </w:r>
      <w:r>
        <w:t>條所載限制目的而合併計算。</w:t>
      </w:r>
      <w:r>
        <w:rPr>
          <w:rFonts w:ascii="Arial" w:eastAsia="Arial" w:hAnsi="Arial" w:cs="Arial"/>
        </w:rPr>
        <w:t xml:space="preserve"> </w:t>
      </w:r>
    </w:p>
    <w:p w:rsidR="004D6F0E" w:rsidRDefault="00490F21">
      <w:pPr>
        <w:spacing w:after="169"/>
        <w:ind w:left="367" w:right="2"/>
      </w:pPr>
      <w:r>
        <w:t>當一項可轉讓證券或貨幣市場工具附有衍生工具時，則在決定是否符合投資限制第</w:t>
      </w:r>
      <w:r>
        <w:t xml:space="preserve"> </w:t>
      </w:r>
      <w:r>
        <w:rPr>
          <w:rFonts w:ascii="Arial" w:eastAsia="Arial" w:hAnsi="Arial" w:cs="Arial"/>
        </w:rPr>
        <w:t xml:space="preserve">18 </w:t>
      </w:r>
      <w:r>
        <w:t>條時須計及該等衍生工具。</w:t>
      </w:r>
      <w:r>
        <w:rPr>
          <w:rFonts w:ascii="Arial" w:eastAsia="Arial" w:hAnsi="Arial" w:cs="Arial"/>
        </w:rPr>
        <w:t xml:space="preserve"> </w:t>
      </w:r>
    </w:p>
    <w:p w:rsidR="004D6F0E" w:rsidRDefault="00490F21">
      <w:pPr>
        <w:spacing w:after="131"/>
        <w:ind w:left="482" w:right="2" w:hanging="480"/>
      </w:pPr>
      <w:r>
        <w:rPr>
          <w:rFonts w:ascii="Arial" w:eastAsia="Arial" w:hAnsi="Arial" w:cs="Arial"/>
        </w:rPr>
        <w:t xml:space="preserve">(19) </w:t>
      </w:r>
      <w:r>
        <w:t>本傘子基金可能投資於金融衍生工具，包括在獲監管市場以現金等價物結算的金融工具及／</w:t>
      </w:r>
      <w:r>
        <w:t>或在場外市場交易的金融衍生工具（「場外市場衍生工具」），惟﹕</w:t>
      </w:r>
      <w:r>
        <w:rPr>
          <w:rFonts w:ascii="Arial" w:eastAsia="Arial" w:hAnsi="Arial" w:cs="Arial"/>
        </w:rPr>
        <w:t xml:space="preserve"> </w:t>
      </w:r>
    </w:p>
    <w:p w:rsidR="004D6F0E" w:rsidRDefault="00490F21">
      <w:pPr>
        <w:numPr>
          <w:ilvl w:val="0"/>
          <w:numId w:val="52"/>
        </w:numPr>
        <w:ind w:right="2" w:hanging="286"/>
      </w:pPr>
      <w:r>
        <w:t>相關證券包含《二零一零年法律》第</w:t>
      </w:r>
      <w:r>
        <w:t xml:space="preserve"> </w:t>
      </w:r>
      <w:r>
        <w:rPr>
          <w:rFonts w:ascii="Arial" w:eastAsia="Arial" w:hAnsi="Arial" w:cs="Arial"/>
        </w:rPr>
        <w:t>41 (1)</w:t>
      </w:r>
      <w:r>
        <w:t>條涵蓋的證券、金融指數、利率、匯率或貨幣，而各基金可按其投資目標作出投資；</w:t>
      </w:r>
      <w:r>
        <w:rPr>
          <w:rFonts w:ascii="Arial" w:eastAsia="Arial" w:hAnsi="Arial" w:cs="Arial"/>
        </w:rPr>
        <w:t xml:space="preserve"> </w:t>
      </w:r>
    </w:p>
    <w:p w:rsidR="004D6F0E" w:rsidRDefault="00490F21">
      <w:pPr>
        <w:numPr>
          <w:ilvl w:val="0"/>
          <w:numId w:val="52"/>
        </w:numPr>
        <w:ind w:right="2" w:hanging="286"/>
      </w:pPr>
      <w:r>
        <w:t>場外市場衍生工具交易對手方是受審慎監督的機構，並屬於盧森堡監管機構核准的類別。</w:t>
      </w:r>
      <w:r>
        <w:rPr>
          <w:rFonts w:ascii="Arial" w:eastAsia="Arial" w:hAnsi="Arial" w:cs="Arial"/>
        </w:rPr>
        <w:t xml:space="preserve"> </w:t>
      </w:r>
    </w:p>
    <w:p w:rsidR="004D6F0E" w:rsidRDefault="00490F21">
      <w:pPr>
        <w:numPr>
          <w:ilvl w:val="0"/>
          <w:numId w:val="52"/>
        </w:numPr>
        <w:spacing w:after="125"/>
        <w:ind w:right="2" w:hanging="286"/>
      </w:pPr>
      <w:r>
        <w:t>場外市場衍生工具須每日接受可靠和可驗證的評估，而且本傘子基金可隨時提出透過對沖交易以公平價格賣出，清盤或結清此等工具。</w:t>
      </w:r>
      <w:r>
        <w:rPr>
          <w:rFonts w:ascii="Arial" w:eastAsia="Arial" w:hAnsi="Arial" w:cs="Arial"/>
        </w:rPr>
        <w:t xml:space="preserve"> </w:t>
      </w:r>
    </w:p>
    <w:p w:rsidR="004D6F0E" w:rsidRDefault="00490F21">
      <w:pPr>
        <w:spacing w:after="121"/>
        <w:ind w:left="11" w:right="2"/>
      </w:pPr>
      <w:r>
        <w:t>如果本認購章程第</w:t>
      </w:r>
      <w:r>
        <w:t xml:space="preserve"> </w:t>
      </w:r>
      <w:r>
        <w:rPr>
          <w:rFonts w:ascii="Arial" w:eastAsia="Arial" w:hAnsi="Arial" w:cs="Arial"/>
        </w:rPr>
        <w:t xml:space="preserve">I </w:t>
      </w:r>
      <w:r>
        <w:t>部分對任何具體基金另有規定，則本傘子基金可投資於金融衍生工具。</w:t>
      </w:r>
      <w:r>
        <w:rPr>
          <w:rFonts w:ascii="Arial" w:eastAsia="Arial" w:hAnsi="Arial" w:cs="Arial"/>
        </w:rPr>
        <w:t xml:space="preserve"> </w:t>
      </w:r>
    </w:p>
    <w:p w:rsidR="004D6F0E" w:rsidRDefault="00490F21">
      <w:pPr>
        <w:spacing w:after="82"/>
        <w:ind w:left="11" w:right="2"/>
      </w:pPr>
      <w:r>
        <w:t>如果某項基金投資於金融衍生工具，</w:t>
      </w:r>
      <w:r>
        <w:t>相關基金的投資政策將說明擬使用的金融衍生工具。</w:t>
      </w:r>
      <w:r>
        <w:rPr>
          <w:rFonts w:ascii="Arial" w:eastAsia="Arial" w:hAnsi="Arial" w:cs="Arial"/>
          <w:sz w:val="24"/>
        </w:rPr>
        <w:t xml:space="preserve"> </w:t>
      </w:r>
    </w:p>
    <w:p w:rsidR="004D6F0E" w:rsidRDefault="00490F21">
      <w:pPr>
        <w:ind w:left="429" w:right="2" w:hanging="427"/>
      </w:pPr>
      <w:r>
        <w:rPr>
          <w:rFonts w:ascii="Arial" w:eastAsia="Arial" w:hAnsi="Arial" w:cs="Arial"/>
        </w:rPr>
        <w:t xml:space="preserve">(20) </w:t>
      </w:r>
      <w:r>
        <w:t>本傘子基金的基金可認購、購入及／或持有本傘子基金一項或以上基金（「目標基金」）的將發行或已發行股份</w:t>
      </w:r>
    </w:p>
    <w:p w:rsidR="004D6F0E" w:rsidRDefault="00490F21">
      <w:pPr>
        <w:spacing w:after="129"/>
        <w:ind w:left="437" w:right="2"/>
      </w:pPr>
      <w:r>
        <w:t>，條件是：</w:t>
      </w:r>
      <w:r>
        <w:rPr>
          <w:rFonts w:ascii="Arial" w:eastAsia="Arial" w:hAnsi="Arial" w:cs="Arial"/>
        </w:rPr>
        <w:t xml:space="preserve"> </w:t>
      </w:r>
    </w:p>
    <w:p w:rsidR="004D6F0E" w:rsidRDefault="00490F21">
      <w:pPr>
        <w:numPr>
          <w:ilvl w:val="0"/>
          <w:numId w:val="53"/>
        </w:numPr>
        <w:ind w:right="2" w:hanging="286"/>
      </w:pPr>
      <w:r>
        <w:t>目標基金本身並無投資於基金；</w:t>
      </w:r>
      <w:r>
        <w:rPr>
          <w:rFonts w:ascii="Arial" w:eastAsia="Arial" w:hAnsi="Arial" w:cs="Arial"/>
        </w:rPr>
        <w:t xml:space="preserve"> </w:t>
      </w:r>
    </w:p>
    <w:p w:rsidR="004D6F0E" w:rsidRDefault="00490F21">
      <w:pPr>
        <w:numPr>
          <w:ilvl w:val="0"/>
          <w:numId w:val="53"/>
        </w:numPr>
        <w:ind w:right="2" w:hanging="286"/>
      </w:pPr>
      <w:r>
        <w:t>擬購入的目標基金可將不多於</w:t>
      </w:r>
      <w:r>
        <w:t xml:space="preserve"> </w:t>
      </w:r>
      <w:r>
        <w:rPr>
          <w:rFonts w:ascii="Arial" w:eastAsia="Arial" w:hAnsi="Arial" w:cs="Arial"/>
        </w:rPr>
        <w:t>10%</w:t>
      </w:r>
      <w:r>
        <w:t>的資產投資於其他基金的單位；</w:t>
      </w:r>
      <w:r>
        <w:rPr>
          <w:rFonts w:ascii="Arial" w:eastAsia="Arial" w:hAnsi="Arial" w:cs="Arial"/>
        </w:rPr>
        <w:t xml:space="preserve"> </w:t>
      </w:r>
    </w:p>
    <w:p w:rsidR="004D6F0E" w:rsidRDefault="00490F21">
      <w:pPr>
        <w:numPr>
          <w:ilvl w:val="0"/>
          <w:numId w:val="53"/>
        </w:numPr>
        <w:ind w:right="2" w:hanging="286"/>
      </w:pPr>
      <w:r>
        <w:t>無論如何，只要基金仍然持有該等股份，為核實《二零一零年法律》所實施的淨資產最低限額而計算本傘子基金淨資產時其價值不予計算；及</w:t>
      </w:r>
      <w:r>
        <w:rPr>
          <w:rFonts w:ascii="Arial" w:eastAsia="Arial" w:hAnsi="Arial" w:cs="Arial"/>
        </w:rPr>
        <w:t xml:space="preserve"> </w:t>
      </w:r>
    </w:p>
    <w:p w:rsidR="004D6F0E" w:rsidRDefault="00490F21">
      <w:pPr>
        <w:numPr>
          <w:ilvl w:val="0"/>
          <w:numId w:val="53"/>
        </w:numPr>
        <w:spacing w:after="122"/>
        <w:ind w:right="2" w:hanging="286"/>
      </w:pPr>
      <w:r>
        <w:t>在基金及目標基金層面上，概不重複收取管理／認購或贖回費。</w:t>
      </w:r>
      <w:r>
        <w:rPr>
          <w:rFonts w:ascii="Arial" w:eastAsia="Arial" w:hAnsi="Arial" w:cs="Arial"/>
        </w:rPr>
        <w:t xml:space="preserve"> </w:t>
      </w:r>
    </w:p>
    <w:p w:rsidR="004D6F0E" w:rsidRDefault="00490F21">
      <w:pPr>
        <w:spacing w:after="129"/>
        <w:ind w:left="11" w:right="2"/>
      </w:pPr>
      <w:r>
        <w:t>主體聯接體架構。儘管上文有所規定以及根據《二零一零年法律》所訂明的條件及條例，各基金可作為</w:t>
      </w:r>
      <w:r>
        <w:t xml:space="preserve"> </w:t>
      </w:r>
      <w:r>
        <w:rPr>
          <w:rFonts w:ascii="Arial" w:eastAsia="Arial" w:hAnsi="Arial" w:cs="Arial"/>
        </w:rPr>
        <w:t xml:space="preserve">UCITS </w:t>
      </w:r>
      <w:r>
        <w:t>或該</w:t>
      </w:r>
      <w:r>
        <w:t xml:space="preserve"> </w:t>
      </w:r>
      <w:r>
        <w:rPr>
          <w:rFonts w:ascii="Arial" w:eastAsia="Arial" w:hAnsi="Arial" w:cs="Arial"/>
        </w:rPr>
        <w:t xml:space="preserve">UCITS </w:t>
      </w:r>
      <w:r>
        <w:t>的基金（「主體」）的聯接基金（「聯接體」），惟主體本身不得為聯接基金或持有聯接基金的單位／股份。在此情況下聯接體須將其資產至少</w:t>
      </w:r>
      <w:r>
        <w:t xml:space="preserve"> </w:t>
      </w:r>
      <w:r>
        <w:rPr>
          <w:rFonts w:ascii="Arial" w:eastAsia="Arial" w:hAnsi="Arial" w:cs="Arial"/>
        </w:rPr>
        <w:t>85%</w:t>
      </w:r>
      <w:r>
        <w:t>投資於主體的股份／單位。聯接體不得投資多於其資產的</w:t>
      </w:r>
      <w:r>
        <w:t xml:space="preserve"> </w:t>
      </w:r>
      <w:r>
        <w:rPr>
          <w:rFonts w:ascii="Arial" w:eastAsia="Arial" w:hAnsi="Arial" w:cs="Arial"/>
        </w:rPr>
        <w:t>15%</w:t>
      </w:r>
      <w:r>
        <w:t>於以下一項</w:t>
      </w:r>
      <w:r>
        <w:t>或多項：</w:t>
      </w:r>
      <w:r>
        <w:rPr>
          <w:rFonts w:ascii="Arial" w:eastAsia="Arial" w:hAnsi="Arial" w:cs="Arial"/>
        </w:rPr>
        <w:t xml:space="preserve"> </w:t>
      </w:r>
    </w:p>
    <w:p w:rsidR="004D6F0E" w:rsidRDefault="00490F21">
      <w:pPr>
        <w:numPr>
          <w:ilvl w:val="0"/>
          <w:numId w:val="54"/>
        </w:numPr>
        <w:spacing w:after="128"/>
        <w:ind w:left="11" w:right="2"/>
      </w:pPr>
      <w:r>
        <w:t>《二零一零年法律》第</w:t>
      </w:r>
      <w:r>
        <w:t xml:space="preserve"> </w:t>
      </w:r>
      <w:r>
        <w:rPr>
          <w:rFonts w:ascii="Arial" w:eastAsia="Arial" w:hAnsi="Arial" w:cs="Arial"/>
        </w:rPr>
        <w:t>41 (2)</w:t>
      </w:r>
      <w:r>
        <w:t>條第二段所指的附屬流動資產；</w:t>
      </w:r>
      <w:r>
        <w:rPr>
          <w:rFonts w:ascii="Arial" w:eastAsia="Arial" w:hAnsi="Arial" w:cs="Arial"/>
        </w:rPr>
        <w:t xml:space="preserve"> </w:t>
      </w:r>
    </w:p>
    <w:p w:rsidR="004D6F0E" w:rsidRDefault="00490F21">
      <w:pPr>
        <w:numPr>
          <w:ilvl w:val="0"/>
          <w:numId w:val="54"/>
        </w:numPr>
        <w:spacing w:after="121"/>
        <w:ind w:left="11" w:right="2"/>
      </w:pPr>
      <w:r>
        <w:t>《二零一零年法律》第</w:t>
      </w:r>
      <w:r>
        <w:t xml:space="preserve"> </w:t>
      </w:r>
      <w:r>
        <w:rPr>
          <w:rFonts w:ascii="Arial" w:eastAsia="Arial" w:hAnsi="Arial" w:cs="Arial"/>
        </w:rPr>
        <w:t>41 (1) g)</w:t>
      </w:r>
      <w:r>
        <w:t>條及第</w:t>
      </w:r>
      <w:r>
        <w:t xml:space="preserve"> </w:t>
      </w:r>
      <w:r>
        <w:rPr>
          <w:rFonts w:ascii="Arial" w:eastAsia="Arial" w:hAnsi="Arial" w:cs="Arial"/>
        </w:rPr>
        <w:t>42 (2)</w:t>
      </w:r>
      <w:r>
        <w:t>和</w:t>
      </w:r>
      <w:r>
        <w:rPr>
          <w:rFonts w:ascii="Arial" w:eastAsia="Arial" w:hAnsi="Arial" w:cs="Arial"/>
        </w:rPr>
        <w:t>(3)</w:t>
      </w:r>
      <w:r>
        <w:t>條所指的金融衍生工具（只可用作對沖用途）；</w:t>
      </w:r>
      <w:r>
        <w:rPr>
          <w:rFonts w:ascii="Arial" w:eastAsia="Arial" w:hAnsi="Arial" w:cs="Arial"/>
        </w:rPr>
        <w:t xml:space="preserve"> </w:t>
      </w:r>
    </w:p>
    <w:p w:rsidR="004D6F0E" w:rsidRDefault="00490F21">
      <w:pPr>
        <w:spacing w:after="35"/>
        <w:ind w:left="11" w:right="2"/>
      </w:pPr>
      <w:r>
        <w:t>當合資格作為聯接體的基金投資於主體的股份／單位時，主體不得因基金投資於主體的股份／單位而收取認購或贖回費。倘基金合資格作為聯接體，聯接體藉投資於主體的股份／單位而應付的一切酬金及償付費用，以及聯接體和主體的收費總額</w:t>
      </w:r>
    </w:p>
    <w:p w:rsidR="004D6F0E" w:rsidRDefault="00490F21">
      <w:pPr>
        <w:spacing w:after="72"/>
        <w:ind w:left="11" w:right="2"/>
      </w:pPr>
      <w:r>
        <w:t>，須於認購章程有關該基金的相關章節中披露。</w:t>
      </w:r>
      <w:r>
        <w:rPr>
          <w:rFonts w:ascii="Arial" w:eastAsia="Arial" w:hAnsi="Arial" w:cs="Arial"/>
          <w:sz w:val="24"/>
        </w:rPr>
        <w:t xml:space="preserve"> </w:t>
      </w:r>
    </w:p>
    <w:p w:rsidR="004D6F0E" w:rsidRDefault="00490F21">
      <w:pPr>
        <w:spacing w:after="160"/>
        <w:ind w:left="11" w:right="2"/>
      </w:pPr>
      <w:r>
        <w:t>投資限制附註。管理公司在行使構成本傘子基金資產一部分的可轉</w:t>
      </w:r>
      <w:r>
        <w:t>讓證券所具有的認購權時，無須遵守以上規定的投資限制百分比。</w:t>
      </w:r>
      <w:r>
        <w:rPr>
          <w:rFonts w:ascii="Arial" w:eastAsia="Arial" w:hAnsi="Arial" w:cs="Arial"/>
        </w:rPr>
        <w:t xml:space="preserve"> </w:t>
      </w:r>
    </w:p>
    <w:p w:rsidR="004D6F0E" w:rsidRDefault="00490F21">
      <w:pPr>
        <w:spacing w:after="163"/>
        <w:ind w:left="11" w:right="2"/>
      </w:pPr>
      <w:r>
        <w:t>倘由於本傘子基金資產總值後來發生波動或者由於行使認購權而違反上文規定的投資限制百分比，在證券出售時應當將糾正此種情況作為首要任務，同時應適當考慮股東利益。</w:t>
      </w:r>
      <w:r>
        <w:rPr>
          <w:rFonts w:ascii="Arial" w:eastAsia="Arial" w:hAnsi="Arial" w:cs="Arial"/>
        </w:rPr>
        <w:t xml:space="preserve"> </w:t>
      </w:r>
    </w:p>
    <w:p w:rsidR="004D6F0E" w:rsidRDefault="00490F21">
      <w:pPr>
        <w:spacing w:after="166"/>
        <w:ind w:left="11" w:right="2"/>
      </w:pPr>
      <w:r>
        <w:t>為符合股份出售所在國的法規，管理公司可不時施加符合股東利益的進一步投資限制。</w:t>
      </w:r>
      <w:r>
        <w:rPr>
          <w:rFonts w:ascii="Arial" w:eastAsia="Arial" w:hAnsi="Arial" w:cs="Arial"/>
        </w:rPr>
        <w:t xml:space="preserve"> </w:t>
      </w:r>
    </w:p>
    <w:p w:rsidR="004D6F0E" w:rsidRDefault="00490F21">
      <w:pPr>
        <w:spacing w:after="173" w:line="273" w:lineRule="auto"/>
        <w:ind w:left="14" w:right="41"/>
        <w:jc w:val="both"/>
      </w:pPr>
      <w:r>
        <w:t>倘若本認購章程第</w:t>
      </w:r>
      <w:r>
        <w:t xml:space="preserve"> </w:t>
      </w:r>
      <w:r>
        <w:rPr>
          <w:rFonts w:ascii="Arial" w:eastAsia="Arial" w:hAnsi="Arial" w:cs="Arial"/>
        </w:rPr>
        <w:t xml:space="preserve">I </w:t>
      </w:r>
      <w:r>
        <w:t>部分對任何特定基金另有規定，本傘子基金可能放鬆上述投資限制，惟放鬆的程度不得超過</w:t>
      </w:r>
      <w:r>
        <w:t xml:space="preserve"> </w:t>
      </w:r>
      <w:r>
        <w:rPr>
          <w:rFonts w:ascii="Arial" w:eastAsia="Arial" w:hAnsi="Arial" w:cs="Arial"/>
        </w:rPr>
        <w:t xml:space="preserve">UCITS </w:t>
      </w:r>
      <w:r>
        <w:t>指令規定的投資限制。</w:t>
      </w:r>
      <w:r>
        <w:t>台灣投資限制。在台灣證券期貨局註冊的基金，除應遵守本認購章程所載的投資限制外，以下規定亦適用。衍生工具的非沖銷淡倉總值不會超過基金所持有的相關證券的總市值。衍生工具的非沖銷長倉總值則不應超過該基金（根據台灣證券期貨局的任何適用詮釋決定）資產淨值的</w:t>
      </w:r>
      <w:r>
        <w:t xml:space="preserve"> </w:t>
      </w:r>
      <w:r>
        <w:rPr>
          <w:rFonts w:ascii="Arial" w:eastAsia="Arial" w:hAnsi="Arial" w:cs="Arial"/>
        </w:rPr>
        <w:t>40%</w:t>
      </w:r>
      <w:r>
        <w:t>，惟獲得台灣證券期貨局批准豁免遵守該</w:t>
      </w:r>
      <w:r>
        <w:t xml:space="preserve"> </w:t>
      </w:r>
      <w:r>
        <w:rPr>
          <w:rFonts w:ascii="Arial" w:eastAsia="Arial" w:hAnsi="Arial" w:cs="Arial"/>
        </w:rPr>
        <w:t>40%</w:t>
      </w:r>
      <w:r>
        <w:t>衍生工具限制則作別論。</w:t>
      </w:r>
      <w:r>
        <w:rPr>
          <w:rFonts w:ascii="Arial" w:eastAsia="Arial" w:hAnsi="Arial" w:cs="Arial"/>
        </w:rPr>
        <w:t xml:space="preserve"> </w:t>
      </w:r>
    </w:p>
    <w:p w:rsidR="004D6F0E" w:rsidRDefault="00490F21">
      <w:pPr>
        <w:spacing w:after="163" w:line="273" w:lineRule="auto"/>
        <w:ind w:left="14" w:right="41"/>
        <w:jc w:val="both"/>
      </w:pPr>
      <w:r>
        <w:t>此外，以下限制適用於與中國有關的投資：</w:t>
      </w:r>
      <w:r>
        <w:rPr>
          <w:rFonts w:ascii="Arial" w:eastAsia="Arial" w:hAnsi="Arial" w:cs="Arial"/>
        </w:rPr>
        <w:t xml:space="preserve"> </w:t>
      </w:r>
      <w:r>
        <w:t>基金對於中國證券市場發行的證券的直接投資限於上市證券及於中國銀行間債券市場交易的證券，且此等投資不得超過該基金資產淨值的</w:t>
      </w:r>
      <w:r>
        <w:t xml:space="preserve"> </w:t>
      </w:r>
      <w:r>
        <w:rPr>
          <w:rFonts w:ascii="Arial" w:eastAsia="Arial" w:hAnsi="Arial" w:cs="Arial"/>
        </w:rPr>
        <w:t>20%</w:t>
      </w:r>
      <w:r>
        <w:t>，惟獲得台灣證券期貨</w:t>
      </w:r>
      <w:r>
        <w:t>局批准將該限制提高至</w:t>
      </w:r>
      <w:r>
        <w:t xml:space="preserve"> </w:t>
      </w:r>
      <w:r>
        <w:rPr>
          <w:rFonts w:ascii="Arial" w:eastAsia="Arial" w:hAnsi="Arial" w:cs="Arial"/>
        </w:rPr>
        <w:t>40%</w:t>
      </w:r>
      <w:r>
        <w:t>則作別論。</w:t>
      </w:r>
      <w:r>
        <w:rPr>
          <w:rFonts w:ascii="Arial" w:eastAsia="Arial" w:hAnsi="Arial" w:cs="Arial"/>
        </w:rPr>
        <w:t xml:space="preserve"> </w:t>
      </w:r>
    </w:p>
    <w:p w:rsidR="004D6F0E" w:rsidRDefault="00490F21">
      <w:pPr>
        <w:spacing w:after="162"/>
        <w:ind w:left="11" w:right="2"/>
      </w:pPr>
      <w:r>
        <w:t>俄羅斯投資限制。目前，俄羅斯若干市場在本傘子基金投資限制情況下，未合資格成為受監管市場，因此，對在該等市場上交易的證券所作的投資受限於上文第﹙</w:t>
      </w:r>
      <w:r>
        <w:rPr>
          <w:rFonts w:ascii="Arial" w:eastAsia="Arial" w:hAnsi="Arial" w:cs="Arial"/>
        </w:rPr>
        <w:t>5</w:t>
      </w:r>
      <w:r>
        <w:t>﹚段所載</w:t>
      </w:r>
      <w:r>
        <w:t xml:space="preserve"> </w:t>
      </w:r>
      <w:r>
        <w:rPr>
          <w:rFonts w:ascii="Arial" w:eastAsia="Arial" w:hAnsi="Arial" w:cs="Arial"/>
        </w:rPr>
        <w:t>10%</w:t>
      </w:r>
      <w:r>
        <w:t>限額的規定﹙</w:t>
      </w:r>
      <w:r>
        <w:t xml:space="preserve"> </w:t>
      </w:r>
      <w:r>
        <w:t>但是，透過其他受監管市場對俄羅斯所作投資不受此限制﹚。截至本認購章程日期，俄羅斯證券交易所及莫斯科銀行同業貨幣交易所在本傘子基金投資限制情況下，符合資格成為受監管市場。</w:t>
      </w:r>
      <w:r>
        <w:rPr>
          <w:rFonts w:ascii="Arial" w:eastAsia="Arial" w:hAnsi="Arial" w:cs="Arial"/>
        </w:rPr>
        <w:t xml:space="preserve"> </w:t>
      </w:r>
    </w:p>
    <w:p w:rsidR="004D6F0E" w:rsidRDefault="00490F21">
      <w:pPr>
        <w:spacing w:after="165"/>
        <w:ind w:left="11" w:right="2"/>
      </w:pPr>
      <w:r>
        <w:t>韓國投資限制。對於在韓國金融服務委員會註冊的基金而言，該基金於韓圜計價資產的投資不得超過其淨資產的</w:t>
      </w:r>
      <w:r>
        <w:t xml:space="preserve"> </w:t>
      </w:r>
      <w:r>
        <w:rPr>
          <w:rFonts w:ascii="Arial" w:eastAsia="Arial" w:hAnsi="Arial" w:cs="Arial"/>
        </w:rPr>
        <w:t>40%</w:t>
      </w:r>
      <w:r>
        <w:t>。</w:t>
      </w:r>
      <w:r>
        <w:rPr>
          <w:rFonts w:ascii="Arial" w:eastAsia="Arial" w:hAnsi="Arial" w:cs="Arial"/>
        </w:rPr>
        <w:t xml:space="preserve"> </w:t>
      </w:r>
    </w:p>
    <w:p w:rsidR="004D6F0E" w:rsidRDefault="00490F21">
      <w:pPr>
        <w:ind w:left="11" w:right="2"/>
      </w:pPr>
      <w:r>
        <w:t>香港投資限制</w:t>
      </w:r>
      <w:r>
        <w:t>。就獲證券及期貨事務監察委員會認可的基金而言，除非基金投資目標及政策中另有特別指明，否則除認購章程所載之投資限制外，以下條件亦適用。基金對證券及期貨事務監察委員會界定之損失吸納產品（包括但不限於或有可轉換證券）的投資參與須少於其淨資產的</w:t>
      </w:r>
      <w:r>
        <w:t xml:space="preserve"> </w:t>
      </w:r>
      <w:r>
        <w:rPr>
          <w:rFonts w:ascii="Arial" w:eastAsia="Arial" w:hAnsi="Arial" w:cs="Arial"/>
        </w:rPr>
        <w:t>30%</w:t>
      </w:r>
      <w:r>
        <w:t>。</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2" w:line="273" w:lineRule="auto"/>
        <w:ind w:left="14" w:right="41"/>
        <w:jc w:val="both"/>
      </w:pPr>
      <w:r>
        <w:t>環境、社會及管治整合政策。環境、社會及管治</w:t>
      </w:r>
      <w:r>
        <w:rPr>
          <w:rFonts w:ascii="Arial" w:eastAsia="Arial" w:hAnsi="Arial" w:cs="Arial"/>
        </w:rPr>
        <w:t>(ESG)</w:t>
      </w:r>
      <w:r>
        <w:t>考慮因素須透過聯博盡責管理方法納入到投資管理人的研究及投資流程當中。投資管理人的研究分析師為其所負責的特定行業及公司和發行人領域的專家。通過投資管理人研究協作平台內匯集的自身專有研究、第三方研究及透過其他資源獲得的研究成果，投資管理人對公司及發行人的</w:t>
      </w:r>
      <w:r>
        <w:t xml:space="preserve"> </w:t>
      </w:r>
      <w:r>
        <w:rPr>
          <w:rFonts w:ascii="Arial" w:eastAsia="Arial" w:hAnsi="Arial" w:cs="Arial"/>
        </w:rPr>
        <w:t xml:space="preserve">ESG </w:t>
      </w:r>
      <w:r>
        <w:t>實踐進行分析，以識別可因個別公司及發行人而有分別的潛在重大</w:t>
      </w:r>
      <w:r>
        <w:t xml:space="preserve"> </w:t>
      </w:r>
      <w:r>
        <w:rPr>
          <w:rFonts w:ascii="Arial" w:eastAsia="Arial" w:hAnsi="Arial" w:cs="Arial"/>
        </w:rPr>
        <w:t xml:space="preserve">ESG </w:t>
      </w:r>
      <w:r>
        <w:t>考慮因素。</w:t>
      </w:r>
      <w:r>
        <w:rPr>
          <w:rFonts w:ascii="Arial" w:eastAsia="Arial" w:hAnsi="Arial" w:cs="Arial"/>
        </w:rPr>
        <w:t xml:space="preserve">ESG </w:t>
      </w:r>
      <w:r>
        <w:t>考慮因素被納入到投資管理人的研究及投資流程當中，為作出投資決策的眾多考慮因素之一。考慮所有</w:t>
      </w:r>
      <w:r>
        <w:t xml:space="preserve"> </w:t>
      </w:r>
      <w:r>
        <w:rPr>
          <w:rFonts w:ascii="Arial" w:eastAsia="Arial" w:hAnsi="Arial" w:cs="Arial"/>
        </w:rPr>
        <w:t xml:space="preserve">ESG </w:t>
      </w:r>
      <w:r>
        <w:t>考慮因素（包括可能對發行人或公司證券造成負面影響）後，投資管理人仍</w:t>
      </w:r>
      <w:r>
        <w:t>可買入該證券及／或於基金中保留該證券。</w:t>
      </w:r>
      <w:r>
        <w:rPr>
          <w:rFonts w:ascii="Arial" w:eastAsia="Arial" w:hAnsi="Arial" w:cs="Arial"/>
        </w:rPr>
        <w:t xml:space="preserve">ESG </w:t>
      </w:r>
      <w:r>
        <w:t>考慮因素可能不適合所有類型的工具或投資。分析師亦可能監控投資管理人已投資或擬投資的公司或發行人並與其接觸。有關聯博盡責管理方法的更多資料，可瀏覽管理公司網站負責任投資章節。</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爭議性武器政策。管理公司會安排在全球篩查有關公司的活動有否涉及人員殺傷地雷、集束彈藥及／或以貧鈾製造的彈藥。一經查實公司涉及上述活動，管理公司的政策是不允許本傘子基金投資有關公司發行的證券。</w:t>
      </w:r>
      <w:r>
        <w:rPr>
          <w:rFonts w:ascii="Arial" w:eastAsia="Arial" w:hAnsi="Arial" w:cs="Arial"/>
          <w:sz w:val="24"/>
        </w:rPr>
        <w:t xml:space="preserve"> </w:t>
      </w:r>
      <w:r>
        <w:br w:type="page"/>
      </w:r>
    </w:p>
    <w:p w:rsidR="004D6F0E" w:rsidRDefault="00490F21">
      <w:pPr>
        <w:pStyle w:val="Heading4"/>
        <w:ind w:left="14"/>
      </w:pPr>
      <w:r>
        <w:t>附錄</w:t>
      </w:r>
      <w:r>
        <w:t xml:space="preserve"> </w:t>
      </w:r>
      <w:r>
        <w:rPr>
          <w:rFonts w:ascii="Arial" w:eastAsia="Arial" w:hAnsi="Arial" w:cs="Arial"/>
        </w:rPr>
        <w:t>B</w:t>
      </w:r>
      <w:r>
        <w:t>：過度及短線交易的政策及程序</w:t>
      </w:r>
      <w:r>
        <w:rPr>
          <w:rFonts w:ascii="Arial" w:eastAsia="Arial" w:hAnsi="Arial" w:cs="Arial"/>
        </w:rPr>
        <w:t xml:space="preserve"> </w:t>
      </w:r>
    </w:p>
    <w:p w:rsidR="004D6F0E" w:rsidRDefault="00490F21">
      <w:pPr>
        <w:spacing w:after="100"/>
        <w:ind w:left="11" w:right="2"/>
      </w:pPr>
      <w:r>
        <w:t>股份購買及交換應僅可以投資目的作出。本傘子基金管理</w:t>
      </w:r>
      <w:r>
        <w:t>公司不允許進行選時交易或其他過度交易。過度、短線交易操作可能擾亂基金管理策略及損及基金表現。管理公司保留以任何理由，不經事前通知而限制、拒絕或取消任何申購或轉換股份的權利（包括限制、拒絕或取消股東的金融中介機構已接受的申購或轉換的請求）。</w:t>
      </w:r>
      <w:r>
        <w:rPr>
          <w:rFonts w:ascii="Arial" w:eastAsia="Arial" w:hAnsi="Arial" w:cs="Arial"/>
        </w:rPr>
        <w:t xml:space="preserve"> </w:t>
      </w:r>
    </w:p>
    <w:p w:rsidR="004D6F0E" w:rsidRDefault="00490F21">
      <w:pPr>
        <w:spacing w:after="98"/>
        <w:ind w:left="11" w:right="2"/>
      </w:pPr>
      <w:r>
        <w:t>管理公司將不會對因拒絕指令而產生的任何虧損承擔責任。監控程序。本傘子基金的管理公司採納政策及程序，旨在監測及阻止可能不利於長期投資者利益的頻繁買賣及贖回股份或過度或短線交易。為監察股份的過度或短線交易，管理公司透過其代理貫徹監控程序。該監控程序針對幾個因素﹐當中包括詳查</w:t>
      </w:r>
      <w:r>
        <w:t>任何於特定時期內，超過特定金額上下限或次數限制的股份交易。為監控此等交易，管理公司將對由共同人士擁有、控制或影響的多重戶口的交易活動一併考量。倘交易活動被其中一項或多項的上述因素或從當時其他實際取得的資訊中確定，則將評估此交易活動是否構成過度或短線交易。儘管管理公司及其代理人將會盡力監測股份的過度或短線交易操作，惟概不保證管理公司將有能力識別該等股東或削減其交易操作。</w:t>
      </w:r>
      <w:r>
        <w:rPr>
          <w:rFonts w:ascii="Arial" w:eastAsia="Arial" w:hAnsi="Arial" w:cs="Arial"/>
        </w:rPr>
        <w:t xml:space="preserve"> </w:t>
      </w:r>
    </w:p>
    <w:p w:rsidR="004D6F0E" w:rsidRDefault="00490F21">
      <w:pPr>
        <w:spacing w:after="102" w:line="273" w:lineRule="auto"/>
        <w:ind w:left="14" w:right="41"/>
        <w:jc w:val="both"/>
      </w:pPr>
      <w:r>
        <w:t>凍結戶口程序。倘管理公司透過交易監控程序全權酌情認定某宗特定交易或多宗交易的模式性質上屬於過度或短線交易，則相關聯博基金帳戶將會即時「凍結」，且不會允許於未來作出購買或轉換活動。然而，贖回將繼續依照章程的條款進行。通常而言，被凍結的戶口將會一直凍結，除非及直到戶口持有人或相關金融中介人能夠向管理公司提供其可以接受的證據或保證，證明戶口持有人沒有或將來不會進行過度或短線交易。對綜合戶口應用監控程序及限制。綜合戶口安排為持有股份的普遍形式，尤其是對金融中介人而言。管理公司試圖對該等綜合戶口安排實施監控程序。管理</w:t>
      </w:r>
      <w:r>
        <w:t>公司將監測綜合戶口中因購買及贖回活動而引致的資產流動。倘管理公司或其代理商認為已察覺出現過度的交投，則管理公司將知會金融中介人，並要求該中介人就過度或短線交易活動核查個別帳戶交易，並採取適當措施減少該等活動，具體措施可包括凍結戶口以禁止其將來購買及轉換股份。管理公司將繼續監測金融中介人的綜合戶口安排的交投量，倘金融中介人無法證明已採取適當措施，則管理公司或會考慮是否終止與該中介人的合作關係。</w:t>
      </w:r>
      <w:r>
        <w:rPr>
          <w:rFonts w:ascii="Arial" w:eastAsia="Arial" w:hAnsi="Arial" w:cs="Arial"/>
        </w:rPr>
        <w:t xml:space="preserve"> </w:t>
      </w:r>
    </w:p>
    <w:p w:rsidR="004D6F0E" w:rsidRDefault="00490F21">
      <w:pPr>
        <w:ind w:left="11" w:right="2"/>
      </w:pPr>
      <w:r>
        <w:t>監測及削減過度交易操作的能力限制。儘管管理公司將會嘗試使用所採取的程序防止選時交易，惟該等程序可能無法成功識別或阻</w:t>
      </w:r>
      <w:r>
        <w:t>止過度或短線交易操作。試圖從事過度或短線交易活動的股東或會採取多種策略以規避監察，而儘管管理公司及其代理盡力監察過度或短線股份交易活動，但無法保證管理公司能識別此類股東或減少彼等的交易操作。</w:t>
      </w:r>
      <w:r>
        <w:rPr>
          <w:rFonts w:ascii="Arial" w:eastAsia="Arial" w:hAnsi="Arial" w:cs="Arial"/>
          <w:b/>
          <w:sz w:val="24"/>
        </w:rPr>
        <w:t xml:space="preserve"> </w:t>
      </w:r>
      <w:r>
        <w:br w:type="page"/>
      </w:r>
    </w:p>
    <w:tbl>
      <w:tblPr>
        <w:tblStyle w:val="TableGrid"/>
        <w:tblpPr w:vertAnchor="text" w:horzAnchor="margin"/>
        <w:tblOverlap w:val="never"/>
        <w:tblW w:w="10896" w:type="dxa"/>
        <w:tblInd w:w="0" w:type="dxa"/>
        <w:tblCellMar>
          <w:top w:w="0" w:type="dxa"/>
          <w:left w:w="0" w:type="dxa"/>
          <w:bottom w:w="0" w:type="dxa"/>
          <w:right w:w="115" w:type="dxa"/>
        </w:tblCellMar>
        <w:tblLook w:val="04A0" w:firstRow="1" w:lastRow="0" w:firstColumn="1" w:lastColumn="0" w:noHBand="0" w:noVBand="1"/>
      </w:tblPr>
      <w:tblGrid>
        <w:gridCol w:w="10896"/>
      </w:tblGrid>
      <w:tr w:rsidR="004D6F0E">
        <w:trPr>
          <w:trHeight w:val="501"/>
        </w:trPr>
        <w:tc>
          <w:tcPr>
            <w:tcW w:w="7637" w:type="dxa"/>
            <w:tcBorders>
              <w:top w:val="nil"/>
              <w:left w:val="nil"/>
              <w:bottom w:val="nil"/>
              <w:right w:val="nil"/>
            </w:tcBorders>
          </w:tcPr>
          <w:p w:rsidR="004D6F0E" w:rsidRDefault="00490F21">
            <w:pPr>
              <w:spacing w:after="0" w:line="259" w:lineRule="auto"/>
              <w:ind w:left="-263" w:firstLine="0"/>
            </w:pPr>
            <w:r>
              <w:rPr>
                <w:rFonts w:ascii="Times New Roman" w:eastAsia="Times New Roman" w:hAnsi="Times New Roman" w:cs="Times New Roman"/>
                <w:sz w:val="24"/>
              </w:rPr>
              <w:t xml:space="preserve"> </w:t>
            </w:r>
          </w:p>
          <w:p w:rsidR="004D6F0E" w:rsidRDefault="00490F21">
            <w:pPr>
              <w:spacing w:after="0" w:line="259" w:lineRule="auto"/>
              <w:ind w:left="20" w:firstLine="0"/>
            </w:pPr>
            <w:r>
              <w:rPr>
                <w:sz w:val="23"/>
              </w:rPr>
              <w:t>附錄</w:t>
            </w:r>
            <w:r>
              <w:rPr>
                <w:sz w:val="23"/>
              </w:rPr>
              <w:t xml:space="preserve"> </w:t>
            </w:r>
            <w:r>
              <w:rPr>
                <w:rFonts w:ascii="Arial" w:eastAsia="Arial" w:hAnsi="Arial" w:cs="Arial"/>
                <w:sz w:val="23"/>
              </w:rPr>
              <w:t>C</w:t>
            </w:r>
            <w:r>
              <w:rPr>
                <w:sz w:val="23"/>
              </w:rPr>
              <w:t>：有關金融衍生工具、金融技術及工具以及抵押品管理的額外資料</w:t>
            </w:r>
          </w:p>
        </w:tc>
      </w:tr>
    </w:tbl>
    <w:p w:rsidR="004D6F0E" w:rsidRDefault="00490F21">
      <w:pPr>
        <w:spacing w:after="202" w:line="220" w:lineRule="auto"/>
        <w:ind w:left="285" w:right="2"/>
      </w:pPr>
      <w:r>
        <w:t>以下條文適用於如下文所述投資金融衍生工具及／或訂立金融技術及工具的本傘子基金旗下各基金。</w:t>
      </w:r>
      <w:r>
        <w:rPr>
          <w:rFonts w:ascii="Arial" w:eastAsia="Arial" w:hAnsi="Arial" w:cs="Arial"/>
          <w:sz w:val="24"/>
        </w:rPr>
        <w:t xml:space="preserve"> </w:t>
      </w:r>
    </w:p>
    <w:p w:rsidR="004D6F0E" w:rsidRDefault="00490F21">
      <w:pPr>
        <w:spacing w:after="244"/>
        <w:ind w:left="285" w:right="2"/>
      </w:pPr>
      <w:r>
        <w:t>金融衍生工具</w:t>
      </w:r>
      <w:r>
        <w:rPr>
          <w:rFonts w:ascii="Arial" w:eastAsia="Arial" w:hAnsi="Arial" w:cs="Arial"/>
          <w:b/>
        </w:rPr>
        <w:t xml:space="preserve"> </w:t>
      </w:r>
    </w:p>
    <w:p w:rsidR="004D6F0E" w:rsidRDefault="00490F21">
      <w:pPr>
        <w:pStyle w:val="Heading5"/>
        <w:ind w:left="264"/>
      </w:pPr>
      <w:r>
        <w:t>一般事項</w:t>
      </w:r>
      <w:r>
        <w:rPr>
          <w:rFonts w:ascii="Arial" w:eastAsia="Arial" w:hAnsi="Arial" w:cs="Arial"/>
          <w:i/>
          <w:sz w:val="19"/>
        </w:rPr>
        <w:t xml:space="preserve"> </w:t>
      </w:r>
    </w:p>
    <w:p w:rsidR="004D6F0E" w:rsidRDefault="00490F21">
      <w:pPr>
        <w:spacing w:after="101"/>
        <w:ind w:left="285" w:right="2"/>
      </w:pPr>
      <w:r>
        <w:t>在其投資政策有所訂明的範圍內，基金可在</w:t>
      </w:r>
      <w:r>
        <w:rPr>
          <w:rFonts w:ascii="Arial" w:eastAsia="Arial" w:hAnsi="Arial" w:cs="Arial"/>
        </w:rPr>
        <w:t>(i)</w:t>
      </w:r>
      <w:r>
        <w:t>附錄</w:t>
      </w:r>
      <w:r>
        <w:t xml:space="preserve"> </w:t>
      </w:r>
      <w:r>
        <w:rPr>
          <w:rFonts w:ascii="Arial" w:eastAsia="Arial" w:hAnsi="Arial" w:cs="Arial"/>
        </w:rPr>
        <w:t>A</w:t>
      </w:r>
      <w:r>
        <w:t>「投資限制」及</w:t>
      </w:r>
      <w:r>
        <w:rPr>
          <w:rFonts w:ascii="Arial" w:eastAsia="Arial" w:hAnsi="Arial" w:cs="Arial"/>
        </w:rPr>
        <w:t>(ii)</w:t>
      </w:r>
      <w:r>
        <w:t>認購章程第</w:t>
      </w:r>
      <w:r>
        <w:t xml:space="preserve"> </w:t>
      </w:r>
      <w:r>
        <w:rPr>
          <w:rFonts w:ascii="Arial" w:eastAsia="Arial" w:hAnsi="Arial" w:cs="Arial"/>
        </w:rPr>
        <w:t xml:space="preserve">I </w:t>
      </w:r>
      <w:r>
        <w:t>部分有關該基金的相關部分所載的限</w:t>
      </w:r>
      <w:r>
        <w:t>制內，投資金融衍生工具。</w:t>
      </w:r>
      <w:r>
        <w:rPr>
          <w:rFonts w:ascii="Arial" w:eastAsia="Arial" w:hAnsi="Arial" w:cs="Arial"/>
        </w:rPr>
        <w:t xml:space="preserve"> </w:t>
      </w:r>
    </w:p>
    <w:p w:rsidR="004D6F0E" w:rsidRDefault="00490F21">
      <w:pPr>
        <w:spacing w:after="100"/>
        <w:ind w:left="286" w:right="2"/>
      </w:pPr>
      <w:r>
        <w:t>基金可使用金融衍生工具作對沖、有效基金管理及（在其投資政策容許的範圍內）投資目的。無論如何，使用該等金融衍生工具不得導致基金偏離其投資政策或目標。</w:t>
      </w:r>
      <w:r>
        <w:rPr>
          <w:rFonts w:ascii="Arial" w:eastAsia="Arial" w:hAnsi="Arial" w:cs="Arial"/>
        </w:rPr>
        <w:t xml:space="preserve"> </w:t>
      </w:r>
    </w:p>
    <w:p w:rsidR="004D6F0E" w:rsidRDefault="00490F21">
      <w:pPr>
        <w:spacing w:after="102"/>
        <w:ind w:left="286" w:right="2"/>
      </w:pPr>
      <w:r>
        <w:t>當基金投資金融衍生工具且其相關投資項目為合資格指數，釐定附錄</w:t>
      </w:r>
      <w:r>
        <w:t xml:space="preserve"> </w:t>
      </w:r>
      <w:r>
        <w:rPr>
          <w:rFonts w:ascii="Arial" w:eastAsia="Arial" w:hAnsi="Arial" w:cs="Arial"/>
        </w:rPr>
        <w:t>A</w:t>
      </w:r>
      <w:r>
        <w:t>「投資限制」所載集中度限制及投資限制時不會計算該項投資。</w:t>
      </w:r>
      <w:r>
        <w:rPr>
          <w:rFonts w:ascii="Arial" w:eastAsia="Arial" w:hAnsi="Arial" w:cs="Arial"/>
        </w:rPr>
        <w:t xml:space="preserve"> </w:t>
      </w:r>
    </w:p>
    <w:p w:rsidR="004D6F0E" w:rsidRDefault="00490F21">
      <w:pPr>
        <w:spacing w:after="105"/>
        <w:ind w:left="286" w:right="2"/>
      </w:pPr>
      <w:r>
        <w:t>除非其投資政策另有規定，否則基金不得訂立其對手方可承擔對金融衍生工具的相關組成擁有任何酌情權的金融衍生工具。</w:t>
      </w:r>
      <w:r>
        <w:rPr>
          <w:rFonts w:ascii="Arial" w:eastAsia="Arial" w:hAnsi="Arial" w:cs="Arial"/>
        </w:rPr>
        <w:t xml:space="preserve"> </w:t>
      </w:r>
    </w:p>
    <w:p w:rsidR="004D6F0E" w:rsidRDefault="00490F21">
      <w:pPr>
        <w:spacing w:after="102" w:line="273" w:lineRule="auto"/>
        <w:ind w:left="286" w:right="41"/>
        <w:jc w:val="both"/>
      </w:pPr>
      <w:r>
        <w:t>當可轉讓證券或貨幣市場工具內嵌金融衍生工具，遵守附錄</w:t>
      </w:r>
      <w:r>
        <w:t xml:space="preserve"> </w:t>
      </w:r>
      <w:r>
        <w:rPr>
          <w:rFonts w:ascii="Arial" w:eastAsia="Arial" w:hAnsi="Arial" w:cs="Arial"/>
        </w:rPr>
        <w:t xml:space="preserve">A </w:t>
      </w:r>
      <w:r>
        <w:t>「投資限制」或認購章程第</w:t>
      </w:r>
      <w:r>
        <w:t xml:space="preserve"> </w:t>
      </w:r>
      <w:r>
        <w:rPr>
          <w:rFonts w:ascii="Arial" w:eastAsia="Arial" w:hAnsi="Arial" w:cs="Arial"/>
        </w:rPr>
        <w:t xml:space="preserve">I </w:t>
      </w:r>
      <w:r>
        <w:t>部分有關特定基金的相關部分所載限制時必須計入該金融衍生工具。</w:t>
      </w:r>
      <w:r>
        <w:rPr>
          <w:rFonts w:ascii="Arial" w:eastAsia="Arial" w:hAnsi="Arial" w:cs="Arial"/>
        </w:rPr>
        <w:t xml:space="preserve"> </w:t>
      </w:r>
    </w:p>
    <w:p w:rsidR="004D6F0E" w:rsidRDefault="00490F21">
      <w:pPr>
        <w:spacing w:after="242"/>
        <w:ind w:left="286" w:right="2"/>
      </w:pPr>
      <w:r>
        <w:t>每當基金訂立金融衍生工具，其須確保持有充足流動資產以隨時彌補該等金融衍生工具所引致的基金債務。</w:t>
      </w:r>
      <w:r>
        <w:rPr>
          <w:rFonts w:ascii="Arial" w:eastAsia="Arial" w:hAnsi="Arial" w:cs="Arial"/>
        </w:rPr>
        <w:t xml:space="preserve"> </w:t>
      </w:r>
    </w:p>
    <w:p w:rsidR="004D6F0E" w:rsidRDefault="00490F21">
      <w:pPr>
        <w:pStyle w:val="Heading5"/>
        <w:ind w:left="264"/>
      </w:pPr>
      <w:r>
        <w:t>場外衍生工具的協議</w:t>
      </w:r>
      <w:r>
        <w:rPr>
          <w:rFonts w:ascii="Arial" w:eastAsia="Arial" w:hAnsi="Arial" w:cs="Arial"/>
          <w:i/>
          <w:sz w:val="19"/>
        </w:rPr>
        <w:t xml:space="preserve"> </w:t>
      </w:r>
    </w:p>
    <w:p w:rsidR="004D6F0E" w:rsidRDefault="00490F21">
      <w:pPr>
        <w:ind w:left="286" w:right="2"/>
      </w:pPr>
      <w:r>
        <w:t>除非其投資政策另有規定，否則基金可訂立場外衍生工具交易，惟該等交易的對手方須為受審慎監督的信貸機構或投資公司，並屬於盧森堡金融業</w:t>
      </w:r>
      <w:r>
        <w:t>監管委員會</w:t>
      </w:r>
      <w:r>
        <w:rPr>
          <w:rFonts w:ascii="Arial" w:eastAsia="Arial" w:hAnsi="Arial" w:cs="Arial"/>
        </w:rPr>
        <w:t>(CSSF)</w:t>
      </w:r>
      <w:r>
        <w:t>所批准的類別。各對手方乃基於以下綜合準則選擇：監管狀況、當地法律所提供的保障、操作程序及信譽分析，包括審閱可得的信貸息差及</w:t>
      </w:r>
    </w:p>
    <w:p w:rsidR="004D6F0E" w:rsidRDefault="00490F21">
      <w:pPr>
        <w:spacing w:after="102"/>
        <w:ind w:left="286" w:right="2"/>
      </w:pPr>
      <w:r>
        <w:t>／或外界信貸評級。</w:t>
      </w:r>
      <w:r>
        <w:rPr>
          <w:rFonts w:ascii="Arial" w:eastAsia="Arial" w:hAnsi="Arial" w:cs="Arial"/>
        </w:rPr>
        <w:t xml:space="preserve"> </w:t>
      </w:r>
    </w:p>
    <w:p w:rsidR="004D6F0E" w:rsidRDefault="00490F21">
      <w:pPr>
        <w:spacing w:after="243"/>
        <w:ind w:left="286" w:right="2"/>
      </w:pPr>
      <w:r>
        <w:t>對手方的身份將於本傘子基金的年報中披露。</w:t>
      </w:r>
      <w:r>
        <w:rPr>
          <w:rFonts w:ascii="Arial" w:eastAsia="Arial" w:hAnsi="Arial" w:cs="Arial"/>
        </w:rPr>
        <w:t xml:space="preserve"> </w:t>
      </w:r>
    </w:p>
    <w:p w:rsidR="004D6F0E" w:rsidRDefault="00490F21">
      <w:pPr>
        <w:spacing w:after="244" w:line="273" w:lineRule="auto"/>
        <w:ind w:left="286" w:right="41"/>
        <w:jc w:val="both"/>
      </w:pPr>
      <w:r>
        <w:t>最後，透過場外金融衍生工具及有效基金管理技術對單一對手方產生的風險承擔不得超過基金資產的</w:t>
      </w:r>
      <w:r>
        <w:t xml:space="preserve"> </w:t>
      </w:r>
      <w:r>
        <w:rPr>
          <w:rFonts w:ascii="Arial" w:eastAsia="Arial" w:hAnsi="Arial" w:cs="Arial"/>
        </w:rPr>
        <w:t>10%</w:t>
      </w:r>
      <w:r>
        <w:t>（當對手方為《二零一零年法律》第</w:t>
      </w:r>
      <w:r>
        <w:t xml:space="preserve"> </w:t>
      </w:r>
      <w:r>
        <w:rPr>
          <w:rFonts w:ascii="Arial" w:eastAsia="Arial" w:hAnsi="Arial" w:cs="Arial"/>
        </w:rPr>
        <w:t>41(1)(f)</w:t>
      </w:r>
      <w:r>
        <w:t>條所指的信貸機構）或基金資產的</w:t>
      </w:r>
      <w:r>
        <w:t xml:space="preserve"> </w:t>
      </w:r>
      <w:r>
        <w:rPr>
          <w:rFonts w:ascii="Arial" w:eastAsia="Arial" w:hAnsi="Arial" w:cs="Arial"/>
        </w:rPr>
        <w:t>5%</w:t>
      </w:r>
      <w:r>
        <w:t>（在其他情況下）。</w:t>
      </w:r>
      <w:r>
        <w:rPr>
          <w:rFonts w:ascii="Arial" w:eastAsia="Arial" w:hAnsi="Arial" w:cs="Arial"/>
        </w:rPr>
        <w:t xml:space="preserve"> </w:t>
      </w:r>
    </w:p>
    <w:p w:rsidR="004D6F0E" w:rsidRDefault="00490F21">
      <w:pPr>
        <w:pStyle w:val="Heading5"/>
        <w:ind w:left="264"/>
      </w:pPr>
      <w:r>
        <w:t>總回報掉期及具類似特徵的其他金融衍生工具</w:t>
      </w:r>
      <w:r>
        <w:rPr>
          <w:rFonts w:ascii="Arial" w:eastAsia="Arial" w:hAnsi="Arial" w:cs="Arial"/>
          <w:i/>
          <w:sz w:val="19"/>
        </w:rPr>
        <w:t xml:space="preserve"> </w:t>
      </w:r>
    </w:p>
    <w:p w:rsidR="004D6F0E" w:rsidRDefault="00490F21">
      <w:pPr>
        <w:spacing w:after="111"/>
        <w:ind w:left="285" w:right="2"/>
      </w:pPr>
      <w:r>
        <w:t>總回報掉期為一方（總回報支付方）轉讓參考債務的總經濟</w:t>
      </w:r>
      <w:r>
        <w:t>表現予另一方（總回報接收方）的協議。總經濟表現包括利息及費用收入、市場變動盈虧及信貸虧損。該等交易的對手方須受盧森堡金融業監管委員會</w:t>
      </w:r>
      <w:r>
        <w:rPr>
          <w:rFonts w:ascii="Arial" w:eastAsia="Arial" w:hAnsi="Arial" w:cs="Arial"/>
        </w:rPr>
        <w:t>(CSSF)</w:t>
      </w:r>
      <w:r>
        <w:t>認為等同歐洲共同體法律所規定者的審慎監督規則規管。各對手方乃基於以下綜合準則選擇：監管狀況、當地法律所提供的保障、操作程序及信譽分析，包括審閱可得的信貸息差及／或外界信貸評級。基金所訂立的總回報掉期可以是已付款及／或未付款掉期的形式。總回報掉期原則上為未付款。然而，投資管理人保留權力訂立已付款掉期。未付款掉期指總回報接收方於開始時並無預支款項的掉期。已付款掉期指總回</w:t>
      </w:r>
      <w:r>
        <w:t>報接收方預支款項以換取參考資產的總回報的掉期，因此成本可因預支款項要求而較高。</w:t>
      </w:r>
      <w:r>
        <w:rPr>
          <w:rFonts w:ascii="Arial" w:eastAsia="Arial" w:hAnsi="Arial" w:cs="Arial"/>
        </w:rPr>
        <w:t xml:space="preserve"> </w:t>
      </w:r>
    </w:p>
    <w:p w:rsidR="004D6F0E" w:rsidRDefault="00490F21">
      <w:pPr>
        <w:spacing w:after="95"/>
        <w:ind w:left="11" w:right="2"/>
      </w:pPr>
      <w:r>
        <w:t>倘特定基金訂立總回報掉期及／或具類似特徵的其他金融衍生工具（「</w:t>
      </w:r>
      <w:r>
        <w:rPr>
          <w:rFonts w:ascii="Arial" w:eastAsia="Arial" w:hAnsi="Arial" w:cs="Arial"/>
          <w:b/>
          <w:i/>
        </w:rPr>
        <w:t>TRS</w:t>
      </w:r>
      <w:r>
        <w:t>」），則透過該等</w:t>
      </w:r>
      <w:r>
        <w:t xml:space="preserve"> </w:t>
      </w:r>
      <w:r>
        <w:rPr>
          <w:rFonts w:ascii="Arial" w:eastAsia="Arial" w:hAnsi="Arial" w:cs="Arial"/>
        </w:rPr>
        <w:t xml:space="preserve">TRS </w:t>
      </w:r>
      <w:r>
        <w:t>所投資的相關資產類別須遵守本認購章程第</w:t>
      </w:r>
      <w:r>
        <w:t xml:space="preserve"> </w:t>
      </w:r>
      <w:r>
        <w:rPr>
          <w:rFonts w:ascii="Arial" w:eastAsia="Arial" w:hAnsi="Arial" w:cs="Arial"/>
        </w:rPr>
        <w:t xml:space="preserve">I </w:t>
      </w:r>
      <w:r>
        <w:t>部分內相關基金的投資政策。倘特定基金訂立</w:t>
      </w:r>
      <w:r>
        <w:t xml:space="preserve"> </w:t>
      </w:r>
      <w:r>
        <w:rPr>
          <w:rFonts w:ascii="Arial" w:eastAsia="Arial" w:hAnsi="Arial" w:cs="Arial"/>
        </w:rPr>
        <w:t>TRS</w:t>
      </w:r>
      <w:r>
        <w:t>，則該基金可投資</w:t>
      </w:r>
      <w:r>
        <w:t xml:space="preserve"> </w:t>
      </w:r>
      <w:r>
        <w:rPr>
          <w:rFonts w:ascii="Arial" w:eastAsia="Arial" w:hAnsi="Arial" w:cs="Arial"/>
        </w:rPr>
        <w:t xml:space="preserve">TRS </w:t>
      </w:r>
      <w:r>
        <w:t>的管理資產的最高及預期比例於第</w:t>
      </w:r>
      <w:r>
        <w:t xml:space="preserve"> </w:t>
      </w:r>
      <w:r>
        <w:rPr>
          <w:rFonts w:ascii="Arial" w:eastAsia="Arial" w:hAnsi="Arial" w:cs="Arial"/>
        </w:rPr>
        <w:t xml:space="preserve">I </w:t>
      </w:r>
      <w:r>
        <w:t>部分有關該基金的相關部分披露。有關特定基金的全部</w:t>
      </w:r>
      <w:r>
        <w:t xml:space="preserve"> </w:t>
      </w:r>
      <w:r>
        <w:rPr>
          <w:rFonts w:ascii="Arial" w:eastAsia="Arial" w:hAnsi="Arial" w:cs="Arial"/>
        </w:rPr>
        <w:t xml:space="preserve">TRS </w:t>
      </w:r>
      <w:r>
        <w:t>所得收益均分配予該基金，投資管理人及管理公司不會從該等收益中收取任何費用。</w:t>
      </w:r>
      <w:r>
        <w:rPr>
          <w:rFonts w:ascii="Arial" w:eastAsia="Arial" w:hAnsi="Arial" w:cs="Arial"/>
        </w:rPr>
        <w:t xml:space="preserve"> </w:t>
      </w:r>
    </w:p>
    <w:p w:rsidR="004D6F0E" w:rsidRDefault="00490F21">
      <w:pPr>
        <w:pStyle w:val="Heading5"/>
        <w:ind w:left="3"/>
      </w:pPr>
      <w:r>
        <w:t>全球風險</w:t>
      </w:r>
      <w:r>
        <w:rPr>
          <w:rFonts w:ascii="Arial" w:eastAsia="Arial" w:hAnsi="Arial" w:cs="Arial"/>
          <w:i/>
          <w:sz w:val="19"/>
        </w:rPr>
        <w:t xml:space="preserve"> </w:t>
      </w:r>
    </w:p>
    <w:p w:rsidR="004D6F0E" w:rsidRDefault="00490F21">
      <w:pPr>
        <w:spacing w:after="102" w:line="259" w:lineRule="auto"/>
        <w:ind w:left="3" w:firstLine="3"/>
      </w:pPr>
      <w:r>
        <w:t>根據《二零一零年法律》第</w:t>
      </w:r>
      <w:r>
        <w:t xml:space="preserve"> </w:t>
      </w:r>
      <w:r>
        <w:rPr>
          <w:rFonts w:ascii="Arial" w:eastAsia="Arial" w:hAnsi="Arial" w:cs="Arial"/>
        </w:rPr>
        <w:t>42(3)</w:t>
      </w:r>
      <w:r>
        <w:t>條，基金「</w:t>
      </w:r>
      <w:r>
        <w:rPr>
          <w:sz w:val="20"/>
        </w:rPr>
        <w:t>須確保其有關衍生工具的全球風險並無超出其組合的總淨值。計算風險時會計入相關資產的目前價值、對手方風險、未來市場變動及平倉可用的時間</w:t>
      </w:r>
      <w:r>
        <w:t>」。</w:t>
      </w:r>
      <w:r>
        <w:rPr>
          <w:rFonts w:ascii="Arial" w:eastAsia="Arial" w:hAnsi="Arial" w:cs="Arial"/>
          <w:i/>
        </w:rPr>
        <w:t xml:space="preserve"> </w:t>
      </w:r>
    </w:p>
    <w:p w:rsidR="004D6F0E" w:rsidRDefault="00490F21">
      <w:pPr>
        <w:spacing w:after="107"/>
        <w:ind w:left="11" w:right="2"/>
      </w:pPr>
      <w:r>
        <w:t>管理公司須確保各基金有關金融衍生工具的全球風險並無超出該基金的淨資產總值。基金的整體風險承擔因此不得超過其淨資產總值的</w:t>
      </w:r>
      <w:r>
        <w:t xml:space="preserve"> </w:t>
      </w:r>
      <w:r>
        <w:rPr>
          <w:rFonts w:ascii="Arial" w:eastAsia="Arial" w:hAnsi="Arial" w:cs="Arial"/>
        </w:rPr>
        <w:t>200%</w:t>
      </w:r>
      <w:r>
        <w:t>。此整體風險上限可透過臨時借貸的方式增加</w:t>
      </w:r>
      <w:r>
        <w:t xml:space="preserve"> </w:t>
      </w:r>
      <w:r>
        <w:rPr>
          <w:rFonts w:ascii="Arial" w:eastAsia="Arial" w:hAnsi="Arial" w:cs="Arial"/>
        </w:rPr>
        <w:t>10%</w:t>
      </w:r>
      <w:r>
        <w:t>。</w:t>
      </w:r>
      <w:r>
        <w:rPr>
          <w:rFonts w:ascii="Arial" w:eastAsia="Arial" w:hAnsi="Arial" w:cs="Arial"/>
        </w:rPr>
        <w:t xml:space="preserve"> </w:t>
      </w:r>
    </w:p>
    <w:p w:rsidR="004D6F0E" w:rsidRDefault="00490F21">
      <w:pPr>
        <w:spacing w:after="242"/>
        <w:ind w:left="11" w:right="2"/>
      </w:pPr>
      <w:r>
        <w:t>基金有關金融衍生工具的全球風險可透過「風險值」或「承擔」法計算。</w:t>
      </w:r>
      <w:r>
        <w:rPr>
          <w:rFonts w:ascii="Arial" w:eastAsia="Arial" w:hAnsi="Arial" w:cs="Arial"/>
        </w:rPr>
        <w:t xml:space="preserve"> </w:t>
      </w:r>
    </w:p>
    <w:p w:rsidR="004D6F0E" w:rsidRDefault="00490F21">
      <w:pPr>
        <w:pStyle w:val="Heading5"/>
        <w:ind w:left="3"/>
      </w:pPr>
      <w:r>
        <w:t>「風險值」方法</w:t>
      </w:r>
      <w:r>
        <w:rPr>
          <w:rFonts w:ascii="Arial" w:eastAsia="Arial" w:hAnsi="Arial" w:cs="Arial"/>
          <w:i/>
          <w:sz w:val="19"/>
        </w:rPr>
        <w:t xml:space="preserve"> </w:t>
      </w:r>
    </w:p>
    <w:p w:rsidR="004D6F0E" w:rsidRDefault="00490F21">
      <w:pPr>
        <w:spacing w:after="104"/>
        <w:ind w:left="11" w:right="2"/>
      </w:pPr>
      <w:r>
        <w:t>「風險值」（「</w:t>
      </w:r>
      <w:r>
        <w:rPr>
          <w:rFonts w:ascii="Arial" w:eastAsia="Arial" w:hAnsi="Arial" w:cs="Arial"/>
          <w:b/>
          <w:i/>
        </w:rPr>
        <w:t>VaR</w:t>
      </w:r>
      <w:r>
        <w:t>」）方法乃基於在正常市況下於特定時期內在某信心水平可產生的最高潛在虧損計算全球風險的方法。</w:t>
      </w:r>
      <w:r>
        <w:rPr>
          <w:rFonts w:ascii="Arial" w:eastAsia="Arial" w:hAnsi="Arial" w:cs="Arial"/>
        </w:rPr>
        <w:t xml:space="preserve"> </w:t>
      </w:r>
    </w:p>
    <w:p w:rsidR="004D6F0E" w:rsidRDefault="00490F21">
      <w:pPr>
        <w:spacing w:after="111"/>
        <w:ind w:left="11" w:right="2"/>
      </w:pPr>
      <w:r>
        <w:t>將根據以下標準每日製作和監視</w:t>
      </w:r>
      <w:r>
        <w:t xml:space="preserve"> </w:t>
      </w:r>
      <w:r>
        <w:rPr>
          <w:rFonts w:ascii="Arial" w:eastAsia="Arial" w:hAnsi="Arial" w:cs="Arial"/>
        </w:rPr>
        <w:t xml:space="preserve">VaR </w:t>
      </w:r>
      <w:r>
        <w:t>報告：</w:t>
      </w:r>
      <w:r>
        <w:rPr>
          <w:rFonts w:ascii="Arial" w:eastAsia="Arial" w:hAnsi="Arial" w:cs="Arial"/>
        </w:rPr>
        <w:t xml:space="preserve"> </w:t>
      </w:r>
    </w:p>
    <w:p w:rsidR="004D6F0E" w:rsidRDefault="00490F21">
      <w:pPr>
        <w:numPr>
          <w:ilvl w:val="0"/>
          <w:numId w:val="55"/>
        </w:numPr>
        <w:spacing w:after="108"/>
        <w:ind w:right="2" w:hanging="269"/>
      </w:pPr>
      <w:r>
        <w:t>一個月持股期；</w:t>
      </w:r>
      <w:r>
        <w:rPr>
          <w:rFonts w:ascii="Arial" w:eastAsia="Arial" w:hAnsi="Arial" w:cs="Arial"/>
        </w:rPr>
        <w:t xml:space="preserve"> </w:t>
      </w:r>
    </w:p>
    <w:p w:rsidR="004D6F0E" w:rsidRDefault="00490F21">
      <w:pPr>
        <w:numPr>
          <w:ilvl w:val="0"/>
          <w:numId w:val="55"/>
        </w:numPr>
        <w:spacing w:after="102"/>
        <w:ind w:right="2" w:hanging="269"/>
      </w:pPr>
      <w:r>
        <w:rPr>
          <w:rFonts w:ascii="Arial" w:eastAsia="Arial" w:hAnsi="Arial" w:cs="Arial"/>
        </w:rPr>
        <w:t>99%</w:t>
      </w:r>
      <w:r>
        <w:t>信心水平；及</w:t>
      </w:r>
      <w:r>
        <w:rPr>
          <w:rFonts w:ascii="Arial" w:eastAsia="Arial" w:hAnsi="Arial" w:cs="Arial"/>
        </w:rPr>
        <w:t xml:space="preserve"> </w:t>
      </w:r>
    </w:p>
    <w:p w:rsidR="004D6F0E" w:rsidRDefault="00490F21">
      <w:pPr>
        <w:numPr>
          <w:ilvl w:val="0"/>
          <w:numId w:val="55"/>
        </w:numPr>
        <w:spacing w:after="109"/>
        <w:ind w:right="2" w:hanging="269"/>
      </w:pPr>
      <w:r>
        <w:t>還將根據特定情況使用壓力測試。</w:t>
      </w:r>
      <w:r>
        <w:rPr>
          <w:rFonts w:ascii="Arial" w:eastAsia="Arial" w:hAnsi="Arial" w:cs="Arial"/>
        </w:rPr>
        <w:t xml:space="preserve"> </w:t>
      </w:r>
    </w:p>
    <w:p w:rsidR="004D6F0E" w:rsidRDefault="00490F21">
      <w:pPr>
        <w:ind w:left="11" w:right="2"/>
      </w:pPr>
      <w:r>
        <w:rPr>
          <w:rFonts w:ascii="Arial" w:eastAsia="Arial" w:hAnsi="Arial" w:cs="Arial"/>
        </w:rPr>
        <w:t xml:space="preserve">VaR </w:t>
      </w:r>
      <w:r>
        <w:t>可以絕對值（「</w:t>
      </w:r>
      <w:r>
        <w:rPr>
          <w:sz w:val="20"/>
        </w:rPr>
        <w:t>絕對</w:t>
      </w:r>
      <w:r>
        <w:rPr>
          <w:rFonts w:ascii="Arial" w:eastAsia="Arial" w:hAnsi="Arial" w:cs="Arial"/>
          <w:b/>
          <w:i/>
        </w:rPr>
        <w:t>VaR</w:t>
      </w:r>
      <w:r>
        <w:t>」）或相對值表示，在相對值表示中，基金的</w:t>
      </w:r>
      <w:r>
        <w:t xml:space="preserve"> </w:t>
      </w:r>
      <w:r>
        <w:rPr>
          <w:rFonts w:ascii="Arial" w:eastAsia="Arial" w:hAnsi="Arial" w:cs="Arial"/>
        </w:rPr>
        <w:t xml:space="preserve">VaR </w:t>
      </w:r>
      <w:r>
        <w:t>會與該基金基準的</w:t>
      </w:r>
      <w:r>
        <w:t xml:space="preserve"> </w:t>
      </w:r>
      <w:r>
        <w:rPr>
          <w:rFonts w:ascii="Arial" w:eastAsia="Arial" w:hAnsi="Arial" w:cs="Arial"/>
        </w:rPr>
        <w:t xml:space="preserve">VaR </w:t>
      </w:r>
      <w:r>
        <w:t>比對（「</w:t>
      </w:r>
      <w:r>
        <w:rPr>
          <w:sz w:val="20"/>
        </w:rPr>
        <w:t>相對</w:t>
      </w:r>
    </w:p>
    <w:p w:rsidR="004D6F0E" w:rsidRDefault="00490F21">
      <w:pPr>
        <w:spacing w:after="109"/>
        <w:ind w:left="11" w:right="2"/>
      </w:pPr>
      <w:r>
        <w:rPr>
          <w:rFonts w:ascii="Arial" w:eastAsia="Arial" w:hAnsi="Arial" w:cs="Arial"/>
          <w:b/>
          <w:i/>
        </w:rPr>
        <w:t>VaR</w:t>
      </w:r>
      <w:r>
        <w:t>」）。</w:t>
      </w:r>
      <w:r>
        <w:rPr>
          <w:rFonts w:ascii="Arial" w:eastAsia="Arial" w:hAnsi="Arial" w:cs="Arial"/>
        </w:rPr>
        <w:t xml:space="preserve"> </w:t>
      </w:r>
    </w:p>
    <w:p w:rsidR="004D6F0E" w:rsidRDefault="00490F21">
      <w:pPr>
        <w:spacing w:after="102" w:line="273" w:lineRule="auto"/>
        <w:ind w:left="14" w:right="138"/>
        <w:jc w:val="both"/>
      </w:pPr>
      <w:r>
        <w:rPr>
          <w:sz w:val="20"/>
        </w:rPr>
        <w:t>絕對</w:t>
      </w:r>
      <w:r>
        <w:rPr>
          <w:rFonts w:ascii="Arial" w:eastAsia="Arial" w:hAnsi="Arial" w:cs="Arial"/>
          <w:i/>
        </w:rPr>
        <w:t>VaR —</w:t>
      </w:r>
      <w:r>
        <w:t>絕對</w:t>
      </w:r>
      <w:r>
        <w:t xml:space="preserve"> </w:t>
      </w:r>
      <w:r>
        <w:rPr>
          <w:rFonts w:ascii="Arial" w:eastAsia="Arial" w:hAnsi="Arial" w:cs="Arial"/>
        </w:rPr>
        <w:t xml:space="preserve">VaR </w:t>
      </w:r>
      <w:r>
        <w:t>方法一般於欠缺可識別參考基金或基準時使用。根據絕對</w:t>
      </w:r>
      <w:r>
        <w:t xml:space="preserve"> </w:t>
      </w:r>
      <w:r>
        <w:rPr>
          <w:rFonts w:ascii="Arial" w:eastAsia="Arial" w:hAnsi="Arial" w:cs="Arial"/>
        </w:rPr>
        <w:t xml:space="preserve">VaR </w:t>
      </w:r>
      <w:r>
        <w:t>方法，上限設定為該基金資產淨值的某個百分比。使用絕對</w:t>
      </w:r>
      <w:r>
        <w:t xml:space="preserve"> </w:t>
      </w:r>
      <w:r>
        <w:rPr>
          <w:rFonts w:ascii="Arial" w:eastAsia="Arial" w:hAnsi="Arial" w:cs="Arial"/>
        </w:rPr>
        <w:t xml:space="preserve">VaR </w:t>
      </w:r>
      <w:r>
        <w:t>方法的基金上限設定為該基金資產淨值的</w:t>
      </w:r>
      <w:r>
        <w:t xml:space="preserve"> </w:t>
      </w:r>
      <w:r>
        <w:rPr>
          <w:rFonts w:ascii="Arial" w:eastAsia="Arial" w:hAnsi="Arial" w:cs="Arial"/>
        </w:rPr>
        <w:t>20%</w:t>
      </w:r>
      <w:r>
        <w:t>。</w:t>
      </w:r>
      <w:r>
        <w:rPr>
          <w:rFonts w:ascii="Arial" w:eastAsia="Arial" w:hAnsi="Arial" w:cs="Arial"/>
        </w:rPr>
        <w:t xml:space="preserve"> </w:t>
      </w:r>
    </w:p>
    <w:p w:rsidR="004D6F0E" w:rsidRDefault="00490F21">
      <w:pPr>
        <w:spacing w:after="102" w:line="273" w:lineRule="auto"/>
        <w:ind w:left="14" w:right="138"/>
        <w:jc w:val="both"/>
      </w:pPr>
      <w:r>
        <w:rPr>
          <w:sz w:val="20"/>
        </w:rPr>
        <w:t>相對</w:t>
      </w:r>
      <w:r>
        <w:rPr>
          <w:rFonts w:ascii="Arial" w:eastAsia="Arial" w:hAnsi="Arial" w:cs="Arial"/>
          <w:i/>
        </w:rPr>
        <w:t>VaR —</w:t>
      </w:r>
      <w:r>
        <w:t>相對</w:t>
      </w:r>
      <w:r>
        <w:t xml:space="preserve"> </w:t>
      </w:r>
      <w:r>
        <w:rPr>
          <w:rFonts w:ascii="Arial" w:eastAsia="Arial" w:hAnsi="Arial" w:cs="Arial"/>
        </w:rPr>
        <w:t xml:space="preserve">VaR </w:t>
      </w:r>
      <w:r>
        <w:t>方法可供任何基金使用，只要反映該基金的投資策略的基準可予識別及可供使用。根據相對</w:t>
      </w:r>
      <w:r>
        <w:t xml:space="preserve"> </w:t>
      </w:r>
      <w:r>
        <w:rPr>
          <w:rFonts w:ascii="Arial" w:eastAsia="Arial" w:hAnsi="Arial" w:cs="Arial"/>
        </w:rPr>
        <w:t xml:space="preserve">VaR </w:t>
      </w:r>
      <w:r>
        <w:t>方法，上限設定為基準或參考基金的</w:t>
      </w:r>
      <w:r>
        <w:t xml:space="preserve"> </w:t>
      </w:r>
      <w:r>
        <w:rPr>
          <w:rFonts w:ascii="Arial" w:eastAsia="Arial" w:hAnsi="Arial" w:cs="Arial"/>
        </w:rPr>
        <w:t xml:space="preserve">VaR </w:t>
      </w:r>
      <w:r>
        <w:t>的某個百分比。使用相對</w:t>
      </w:r>
      <w:r>
        <w:t xml:space="preserve"> </w:t>
      </w:r>
      <w:r>
        <w:rPr>
          <w:rFonts w:ascii="Arial" w:eastAsia="Arial" w:hAnsi="Arial" w:cs="Arial"/>
        </w:rPr>
        <w:t xml:space="preserve">VaR </w:t>
      </w:r>
      <w:r>
        <w:t>方法的基金的最高</w:t>
      </w:r>
      <w:r>
        <w:t xml:space="preserve"> </w:t>
      </w:r>
      <w:r>
        <w:rPr>
          <w:rFonts w:ascii="Arial" w:eastAsia="Arial" w:hAnsi="Arial" w:cs="Arial"/>
        </w:rPr>
        <w:t xml:space="preserve">VaR </w:t>
      </w:r>
      <w:r>
        <w:t>上限設定為該基金基準（於認購章程第</w:t>
      </w:r>
      <w:r>
        <w:t xml:space="preserve"> </w:t>
      </w:r>
      <w:r>
        <w:rPr>
          <w:rFonts w:ascii="Arial" w:eastAsia="Arial" w:hAnsi="Arial" w:cs="Arial"/>
        </w:rPr>
        <w:t xml:space="preserve">I </w:t>
      </w:r>
      <w:r>
        <w:t>部分的相關部分披露）的</w:t>
      </w:r>
      <w:r>
        <w:t xml:space="preserve"> </w:t>
      </w:r>
      <w:r>
        <w:rPr>
          <w:rFonts w:ascii="Arial" w:eastAsia="Arial" w:hAnsi="Arial" w:cs="Arial"/>
        </w:rPr>
        <w:t>200%</w:t>
      </w:r>
      <w:r>
        <w:t>。</w:t>
      </w:r>
      <w:r>
        <w:rPr>
          <w:rFonts w:ascii="Arial" w:eastAsia="Arial" w:hAnsi="Arial" w:cs="Arial"/>
        </w:rPr>
        <w:t xml:space="preserve"> </w:t>
      </w:r>
    </w:p>
    <w:p w:rsidR="004D6F0E" w:rsidRDefault="004D6F0E">
      <w:pPr>
        <w:sectPr w:rsidR="004D6F0E">
          <w:headerReference w:type="even" r:id="rId345"/>
          <w:headerReference w:type="default" r:id="rId346"/>
          <w:footerReference w:type="even" r:id="rId347"/>
          <w:footerReference w:type="default" r:id="rId348"/>
          <w:headerReference w:type="first" r:id="rId349"/>
          <w:footerReference w:type="first" r:id="rId350"/>
          <w:pgSz w:w="12240" w:h="15840"/>
          <w:pgMar w:top="986" w:right="620" w:bottom="577" w:left="432" w:header="745" w:footer="577" w:gutter="0"/>
          <w:cols w:num="2" w:space="720" w:equalWidth="0">
            <w:col w:w="5423" w:space="678"/>
            <w:col w:w="5087"/>
          </w:cols>
          <w:titlePg/>
        </w:sectPr>
      </w:pPr>
    </w:p>
    <w:p w:rsidR="004D6F0E" w:rsidRDefault="00490F21">
      <w:pPr>
        <w:pStyle w:val="Heading5"/>
        <w:ind w:left="3"/>
      </w:pPr>
      <w:r>
        <w:t>承擔法</w:t>
      </w:r>
      <w:r>
        <w:rPr>
          <w:rFonts w:ascii="Arial" w:eastAsia="Arial" w:hAnsi="Arial" w:cs="Arial"/>
          <w:i/>
          <w:sz w:val="19"/>
        </w:rPr>
        <w:t xml:space="preserve"> </w:t>
      </w:r>
    </w:p>
    <w:p w:rsidR="004D6F0E" w:rsidRDefault="00490F21">
      <w:pPr>
        <w:ind w:left="11" w:right="2"/>
      </w:pPr>
      <w:r>
        <w:t>承擔法將金融衍生工具轉換為該等金融衍生工具的相關資產的等額持倉（計及對銷及對沖安排後），而相關證券持倉的市值可以與相同相關持倉有關的其他承擔抵銷。根據承擔法，基金只涉及金融衍生工具的全球風險不得超過該基金淨資產總值的</w:t>
      </w:r>
      <w:r>
        <w:t xml:space="preserve"> </w:t>
      </w:r>
      <w:r>
        <w:rPr>
          <w:rFonts w:ascii="Arial" w:eastAsia="Arial" w:hAnsi="Arial" w:cs="Arial"/>
        </w:rPr>
        <w:t>100%</w:t>
      </w:r>
      <w:r>
        <w:t>。</w:t>
      </w:r>
      <w:r>
        <w:rPr>
          <w:rFonts w:ascii="Arial" w:eastAsia="Arial" w:hAnsi="Arial" w:cs="Arial"/>
        </w:rPr>
        <w:t xml:space="preserve"> </w:t>
      </w:r>
    </w:p>
    <w:p w:rsidR="004D6F0E" w:rsidRDefault="00490F21">
      <w:pPr>
        <w:spacing w:line="259" w:lineRule="auto"/>
        <w:ind w:left="13" w:firstLine="0"/>
      </w:pPr>
      <w:r>
        <w:rPr>
          <w:rFonts w:ascii="Arial" w:eastAsia="Arial" w:hAnsi="Arial" w:cs="Arial"/>
        </w:rPr>
        <w:t xml:space="preserve"> </w:t>
      </w:r>
    </w:p>
    <w:p w:rsidR="004D6F0E" w:rsidRDefault="00490F21">
      <w:pPr>
        <w:ind w:left="11" w:right="2"/>
      </w:pPr>
      <w:r>
        <w:t>有效基金管理技術</w:t>
      </w:r>
      <w:r>
        <w:rPr>
          <w:rFonts w:ascii="Arial" w:eastAsia="Arial" w:hAnsi="Arial" w:cs="Arial"/>
          <w:b/>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受制於《二零一零年法律》以及盧森堡金融業監管委員會</w:t>
      </w:r>
      <w:r>
        <w:rPr>
          <w:rFonts w:ascii="Arial" w:eastAsia="Arial" w:hAnsi="Arial" w:cs="Arial"/>
        </w:rPr>
        <w:t xml:space="preserve">    </w:t>
      </w:r>
    </w:p>
    <w:p w:rsidR="004D6F0E" w:rsidRDefault="00490F21">
      <w:pPr>
        <w:ind w:left="11" w:right="148"/>
      </w:pPr>
      <w:r>
        <w:t>（</w:t>
      </w:r>
      <w:r>
        <w:rPr>
          <w:rFonts w:ascii="Arial" w:eastAsia="Arial" w:hAnsi="Arial" w:cs="Arial"/>
        </w:rPr>
        <w:t>CSSF</w:t>
      </w:r>
      <w:r>
        <w:t>）不時發出的任何公告所載的條件及限制，尤其是盧森堡金融業監管委員會（</w:t>
      </w:r>
      <w:r>
        <w:rPr>
          <w:rFonts w:ascii="Arial" w:eastAsia="Arial" w:hAnsi="Arial" w:cs="Arial"/>
        </w:rPr>
        <w:t>CSSF</w:t>
      </w:r>
      <w:r>
        <w:t>）</w:t>
      </w:r>
      <w:r>
        <w:rPr>
          <w:rFonts w:ascii="Arial" w:eastAsia="Arial" w:hAnsi="Arial" w:cs="Arial"/>
        </w:rPr>
        <w:t xml:space="preserve">14/592 </w:t>
      </w:r>
      <w:r>
        <w:t>號公告就主管機構和</w:t>
      </w:r>
      <w:r>
        <w:t xml:space="preserve"> </w:t>
      </w:r>
      <w:r>
        <w:rPr>
          <w:rFonts w:ascii="Arial" w:eastAsia="Arial" w:hAnsi="Arial" w:cs="Arial"/>
        </w:rPr>
        <w:t xml:space="preserve">UCITS </w:t>
      </w:r>
      <w:r>
        <w:t>管理公司移調歐洲證券和市場管理局（</w:t>
      </w:r>
      <w:r>
        <w:rPr>
          <w:rFonts w:ascii="Arial" w:eastAsia="Arial" w:hAnsi="Arial" w:cs="Arial"/>
        </w:rPr>
        <w:t>ESMA</w:t>
      </w:r>
      <w:r>
        <w:t>）</w:t>
      </w:r>
    </w:p>
    <w:p w:rsidR="004D6F0E" w:rsidRDefault="00490F21">
      <w:pPr>
        <w:ind w:left="11" w:right="2"/>
      </w:pPr>
      <w:r>
        <w:rPr>
          <w:rFonts w:ascii="Arial" w:eastAsia="Arial" w:hAnsi="Arial" w:cs="Arial"/>
        </w:rPr>
        <w:t xml:space="preserve">/2014/937 </w:t>
      </w:r>
      <w:r>
        <w:t>指引</w:t>
      </w:r>
      <w:r>
        <w:rPr>
          <w:rFonts w:ascii="Arial" w:eastAsia="Arial" w:hAnsi="Arial" w:cs="Arial"/>
        </w:rPr>
        <w:t>—</w:t>
      </w:r>
      <w:r>
        <w:t>交易所交易基金及其他</w:t>
      </w:r>
      <w:r>
        <w:t xml:space="preserve"> </w:t>
      </w:r>
      <w:r>
        <w:rPr>
          <w:rFonts w:ascii="Arial" w:eastAsia="Arial" w:hAnsi="Arial" w:cs="Arial"/>
        </w:rPr>
        <w:t xml:space="preserve">UCITS </w:t>
      </w:r>
      <w:r>
        <w:t>事宜指引</w:t>
      </w:r>
      <w:r>
        <w:rPr>
          <w:rFonts w:ascii="Arial" w:eastAsia="Arial" w:hAnsi="Arial" w:cs="Arial"/>
        </w:rPr>
        <w:t xml:space="preserve">  </w:t>
      </w:r>
    </w:p>
    <w:p w:rsidR="004D6F0E" w:rsidRDefault="00490F21">
      <w:pPr>
        <w:spacing w:after="163"/>
        <w:ind w:left="11" w:right="2"/>
      </w:pPr>
      <w:r>
        <w:t>（「歐洲證券和市場管理局指引」）所載者，基金可運用與可轉讓證券及貨幣市場工具有關的技術及工具，如借出證券及回購協議交易，惟有關技術及工具乃用於有效基金管理目的。此等技術將根據相關基金的投資政策使用，以尋求實現投資目標及／或增加基金的財務回報。證券借出將持續使用。當投資管理人認為機會出現時，將使用其他證券融資交易。</w:t>
      </w:r>
      <w:r>
        <w:rPr>
          <w:rFonts w:ascii="Arial" w:eastAsia="Arial" w:hAnsi="Arial" w:cs="Arial"/>
        </w:rPr>
        <w:t xml:space="preserve"> </w:t>
      </w:r>
    </w:p>
    <w:p w:rsidR="004D6F0E" w:rsidRDefault="00490F21">
      <w:pPr>
        <w:spacing w:after="162"/>
        <w:ind w:left="11" w:right="2"/>
      </w:pPr>
      <w:r>
        <w:t>無論在任何情況下，該等操作均不得導致基金偏離本章程第</w:t>
      </w:r>
      <w:r>
        <w:t xml:space="preserve"> </w:t>
      </w:r>
      <w:r>
        <w:rPr>
          <w:rFonts w:ascii="Arial" w:eastAsia="Arial" w:hAnsi="Arial" w:cs="Arial"/>
        </w:rPr>
        <w:t xml:space="preserve">I </w:t>
      </w:r>
      <w:r>
        <w:t>部分相關內容所訂</w:t>
      </w:r>
      <w:r>
        <w:t>明的投資目標，亦不得引致任何重大的附帶風險。</w:t>
      </w:r>
      <w:r>
        <w:rPr>
          <w:rFonts w:ascii="Arial" w:eastAsia="Arial" w:hAnsi="Arial" w:cs="Arial"/>
        </w:rPr>
        <w:t xml:space="preserve"> </w:t>
      </w:r>
    </w:p>
    <w:p w:rsidR="004D6F0E" w:rsidRDefault="00490F21">
      <w:pPr>
        <w:spacing w:after="161"/>
        <w:ind w:left="11" w:right="2"/>
      </w:pPr>
      <w:r>
        <w:t>有效基金管理技術產生的所有收入，經扣除直接及間接操作成本及費用後，將撥歸有關基金所有。該等成本及費用不應包括隱藏收入。</w:t>
      </w:r>
      <w:r>
        <w:rPr>
          <w:rFonts w:ascii="Arial" w:eastAsia="Arial" w:hAnsi="Arial" w:cs="Arial"/>
        </w:rPr>
        <w:t xml:space="preserve"> </w:t>
      </w:r>
    </w:p>
    <w:p w:rsidR="004D6F0E" w:rsidRDefault="00490F21">
      <w:pPr>
        <w:spacing w:after="150"/>
        <w:ind w:left="11" w:right="2"/>
      </w:pPr>
      <w:r>
        <w:t>本傘子基金的年報須載有以下詳情：</w:t>
      </w:r>
      <w:r>
        <w:rPr>
          <w:rFonts w:ascii="Arial" w:eastAsia="Arial" w:hAnsi="Arial" w:cs="Arial"/>
        </w:rPr>
        <w:t>(i)</w:t>
      </w:r>
      <w:r>
        <w:t>有效基金管理技術於整個報告期內產生的收入連同</w:t>
      </w:r>
      <w:r>
        <w:rPr>
          <w:rFonts w:ascii="Arial" w:eastAsia="Arial" w:hAnsi="Arial" w:cs="Arial"/>
        </w:rPr>
        <w:t>(ii)</w:t>
      </w:r>
      <w:r>
        <w:t>各基金就此招致的直接及間接操作成本及費用，以及收取有關成本及費用的實體身份和彼等與存管人、投資管理人或管理公司可能擁有的任何聯屬關係（如適用）。</w:t>
      </w:r>
      <w:r>
        <w:rPr>
          <w:rFonts w:ascii="Arial" w:eastAsia="Arial" w:hAnsi="Arial" w:cs="Arial"/>
        </w:rPr>
        <w:t xml:space="preserve"> </w:t>
      </w:r>
    </w:p>
    <w:p w:rsidR="004D6F0E" w:rsidRDefault="00490F21">
      <w:pPr>
        <w:ind w:left="11" w:right="2"/>
      </w:pPr>
      <w:r>
        <w:t>管理公司會將該等交易量維持於其能夠隨時滿足贖回要求的水平。</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spacing w:after="163"/>
        <w:ind w:left="11" w:right="2"/>
      </w:pPr>
      <w:r>
        <w:rPr>
          <w:sz w:val="20"/>
        </w:rPr>
        <w:t>借出證券交易。</w:t>
      </w:r>
      <w:r>
        <w:t>基金可訂立借出證券交易，</w:t>
      </w:r>
      <w:r>
        <w:t>此乃基金向另一方（借方）借出其證券，而借方有合約責任於協定期間結束時歸還等同證券的交易。雖然證券已獲外借，但借方向有關基金支付</w:t>
      </w:r>
      <w:r>
        <w:rPr>
          <w:rFonts w:ascii="Arial" w:eastAsia="Arial" w:hAnsi="Arial" w:cs="Arial"/>
        </w:rPr>
        <w:t>(i)</w:t>
      </w:r>
      <w:r>
        <w:t>借貸費用及</w:t>
      </w:r>
      <w:r>
        <w:rPr>
          <w:rFonts w:ascii="Arial" w:eastAsia="Arial" w:hAnsi="Arial" w:cs="Arial"/>
        </w:rPr>
        <w:t>(ii)</w:t>
      </w:r>
      <w:r>
        <w:t>證券的任何收入。基金僅可在遵守以下規則的情況下訂立借出證券交易：</w:t>
      </w:r>
      <w:r>
        <w:rPr>
          <w:rFonts w:ascii="Arial" w:eastAsia="Arial" w:hAnsi="Arial" w:cs="Arial"/>
        </w:rPr>
        <w:t xml:space="preserve"> </w:t>
      </w:r>
    </w:p>
    <w:p w:rsidR="004D6F0E" w:rsidRDefault="00490F21">
      <w:pPr>
        <w:numPr>
          <w:ilvl w:val="0"/>
          <w:numId w:val="56"/>
        </w:numPr>
        <w:spacing w:after="161"/>
        <w:ind w:right="2" w:hanging="425"/>
      </w:pPr>
      <w:r>
        <w:t>基金可直接向借方借出證券，或透過認可結算機構設立的標準化系統或受盧森堡金融業監管委員會（</w:t>
      </w:r>
      <w:r>
        <w:t xml:space="preserve"> </w:t>
      </w:r>
      <w:r>
        <w:rPr>
          <w:rFonts w:ascii="Arial" w:eastAsia="Arial" w:hAnsi="Arial" w:cs="Arial"/>
        </w:rPr>
        <w:t>CSSF</w:t>
      </w:r>
      <w:r>
        <w:t>）認為等同於歐洲共同體法律所規定標準的審慎監督且專門從事此類交易的金融機構設立的借貸系統向借方借出證券；</w:t>
      </w:r>
      <w:r>
        <w:rPr>
          <w:rFonts w:ascii="Arial" w:eastAsia="Arial" w:hAnsi="Arial" w:cs="Arial"/>
        </w:rPr>
        <w:t xml:space="preserve"> </w:t>
      </w:r>
    </w:p>
    <w:p w:rsidR="004D6F0E" w:rsidRDefault="00490F21">
      <w:pPr>
        <w:numPr>
          <w:ilvl w:val="0"/>
          <w:numId w:val="56"/>
        </w:numPr>
        <w:spacing w:after="165"/>
        <w:ind w:right="2" w:hanging="425"/>
      </w:pPr>
      <w:r>
        <w:t>借出證券協議的對手方必須受盧森堡金融業監管委員會（</w:t>
      </w:r>
      <w:r>
        <w:rPr>
          <w:rFonts w:ascii="Arial" w:eastAsia="Arial" w:hAnsi="Arial" w:cs="Arial"/>
        </w:rPr>
        <w:t>CSSF</w:t>
      </w:r>
      <w:r>
        <w:t>）認為等同於歐洲共同體法律所規定標準的審慎監督。借出證券的對手方位於經合組織國家，由借貸代理選擇，並接受借貸代理的信貸審閱。各對手方乃基於以下綜合準則選擇：監管狀況、當地法律所提供的保障、操作程序及信譽分析，包括審閱可得的信貸息差及／或外界信貸評級；</w:t>
      </w:r>
      <w:r>
        <w:rPr>
          <w:rFonts w:ascii="Arial" w:eastAsia="Arial" w:hAnsi="Arial" w:cs="Arial"/>
        </w:rPr>
        <w:t xml:space="preserve"> </w:t>
      </w:r>
    </w:p>
    <w:p w:rsidR="004D6F0E" w:rsidRDefault="00490F21">
      <w:pPr>
        <w:numPr>
          <w:ilvl w:val="0"/>
          <w:numId w:val="56"/>
        </w:numPr>
        <w:spacing w:after="153" w:line="273" w:lineRule="auto"/>
        <w:ind w:right="2" w:hanging="425"/>
      </w:pPr>
      <w:r>
        <w:t>透過借出證券交易或其他有效基金管理技術及場外金融衍生工具產生的單一對手方風險，如該對手方為《</w:t>
      </w:r>
      <w:r>
        <w:t>二零一零年法律》第</w:t>
      </w:r>
      <w:r>
        <w:t xml:space="preserve"> </w:t>
      </w:r>
      <w:r>
        <w:rPr>
          <w:rFonts w:ascii="Arial" w:eastAsia="Arial" w:hAnsi="Arial" w:cs="Arial"/>
        </w:rPr>
        <w:t>41(1)(f)</w:t>
      </w:r>
      <w:r>
        <w:t>條所述的信貸機構，不得超過基金資產的</w:t>
      </w:r>
      <w:r>
        <w:t xml:space="preserve"> </w:t>
      </w:r>
      <w:r>
        <w:rPr>
          <w:rFonts w:ascii="Arial" w:eastAsia="Arial" w:hAnsi="Arial" w:cs="Arial"/>
        </w:rPr>
        <w:t>10%</w:t>
      </w:r>
      <w:r>
        <w:t>，或在其他情況下，不得超過基金資產的</w:t>
      </w:r>
      <w:r>
        <w:t xml:space="preserve"> </w:t>
      </w:r>
      <w:r>
        <w:rPr>
          <w:rFonts w:ascii="Arial" w:eastAsia="Arial" w:hAnsi="Arial" w:cs="Arial"/>
        </w:rPr>
        <w:t>5%</w:t>
      </w:r>
      <w:r>
        <w:t>。</w:t>
      </w:r>
      <w:r>
        <w:rPr>
          <w:rFonts w:ascii="Arial" w:eastAsia="Arial" w:hAnsi="Arial" w:cs="Arial"/>
        </w:rPr>
        <w:t xml:space="preserve"> </w:t>
      </w:r>
    </w:p>
    <w:p w:rsidR="004D6F0E" w:rsidRDefault="00490F21">
      <w:pPr>
        <w:ind w:left="11" w:right="2"/>
      </w:pPr>
      <w:r>
        <w:t>證券借出將用於產生收益，而此收益僅來自借入方向基金支付的費用。</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管理公司將為參與借出證券計劃的各基金收取至少相等於所借出證券價值</w:t>
      </w:r>
      <w:r>
        <w:t xml:space="preserve"> </w:t>
      </w:r>
      <w:r>
        <w:rPr>
          <w:rFonts w:ascii="Arial" w:eastAsia="Arial" w:hAnsi="Arial" w:cs="Arial"/>
        </w:rPr>
        <w:t>105%</w:t>
      </w:r>
      <w:r>
        <w:t>的抵押品。</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34"/>
        <w:ind w:left="11" w:right="2"/>
      </w:pPr>
      <w:r>
        <w:t>基金僅可在符合下列條件下訂立證券借貸交易：</w:t>
      </w:r>
      <w:r>
        <w:rPr>
          <w:rFonts w:ascii="Arial" w:eastAsia="Arial" w:hAnsi="Arial" w:cs="Arial"/>
        </w:rPr>
        <w:t xml:space="preserve"> (i)</w:t>
      </w:r>
      <w:r>
        <w:t>其在任何時候有權要求歸還借出的證券或終止任何證券借貸交易及</w:t>
      </w:r>
      <w:r>
        <w:rPr>
          <w:rFonts w:ascii="Arial" w:eastAsia="Arial" w:hAnsi="Arial" w:cs="Arial"/>
        </w:rPr>
        <w:t xml:space="preserve"> (ii) </w:t>
      </w:r>
      <w:r>
        <w:t>該等交易並無損及基金資產根據其投資政策進行管理。</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倘特定基金訂立借出證券交易，則該基金可進行借出證券交易的管理資產的最高及預期比例於認購章程第</w:t>
      </w:r>
      <w:r>
        <w:t xml:space="preserve"> </w:t>
      </w:r>
      <w:r>
        <w:rPr>
          <w:rFonts w:ascii="Arial" w:eastAsia="Arial" w:hAnsi="Arial" w:cs="Arial"/>
        </w:rPr>
        <w:t xml:space="preserve">I </w:t>
      </w:r>
      <w:r>
        <w:t>部分有關該基金的相關部分披露。</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35" w:line="273" w:lineRule="auto"/>
        <w:ind w:left="14" w:right="41"/>
        <w:jc w:val="both"/>
      </w:pPr>
      <w:r>
        <w:t>管理公司代表本傘子基金已委任辦事處位於馬薩諸塞州波士頓的紐約有限責任合夥</w:t>
      </w:r>
      <w:r>
        <w:t xml:space="preserve"> </w:t>
      </w:r>
      <w:r>
        <w:rPr>
          <w:rFonts w:ascii="Arial" w:eastAsia="Arial" w:hAnsi="Arial" w:cs="Arial"/>
        </w:rPr>
        <w:t>Brown Brothers Harriman &amp; Co.,</w:t>
      </w:r>
      <w:r>
        <w:t>（「借貸代理」）進行借出證券交易，尤其是選擇對手方（須由管理公司事先批准）及管理抵押品。倘基金訂立借出證券交易，其將收取所產生相關收益的</w:t>
      </w:r>
      <w:r>
        <w:t xml:space="preserve"> </w:t>
      </w:r>
      <w:r>
        <w:rPr>
          <w:rFonts w:ascii="Arial" w:eastAsia="Arial" w:hAnsi="Arial" w:cs="Arial"/>
        </w:rPr>
        <w:t>80%</w:t>
      </w:r>
      <w:r>
        <w:t>。餘下</w:t>
      </w:r>
      <w:r>
        <w:t xml:space="preserve"> </w:t>
      </w:r>
      <w:r>
        <w:rPr>
          <w:rFonts w:ascii="Arial" w:eastAsia="Arial" w:hAnsi="Arial" w:cs="Arial"/>
        </w:rPr>
        <w:t>20%</w:t>
      </w:r>
      <w:r>
        <w:t>將分配予借貸代理作為提供服務及保證的代價。由於借出證券收益分成不會增加基金的營運成本</w:t>
      </w:r>
      <w:r>
        <w:t>，故分配予借貸代理的金額已從持續收費中剔除。</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rPr>
          <w:sz w:val="20"/>
        </w:rPr>
        <w:t>回購及逆回購協議。</w:t>
      </w:r>
      <w:r>
        <w:t>倘其投資政策容許，基金可訂立逆回購協議或回購協議。回購協議交易乃基金向對手方出售證券並同時承諾於協定日期按協定價格向對手方回購證券的交易。回購協議將主要用於融資目的。逆回購協議將用於把握證券「交易出現特殊」情況時的機會。逆回購協議乃基金向對手方買入證券並同時承諾於協定日期按協定價格向對手方售回證券的交易。</w:t>
      </w:r>
    </w:p>
    <w:p w:rsidR="004D6F0E" w:rsidRDefault="00490F21">
      <w:pPr>
        <w:ind w:left="11" w:right="2"/>
      </w:pPr>
      <w:r>
        <w:t>基金可訂立回購及逆回購協議，惟須遵守以下規則：</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numPr>
          <w:ilvl w:val="0"/>
          <w:numId w:val="57"/>
        </w:numPr>
        <w:ind w:left="429" w:right="2" w:hanging="427"/>
      </w:pPr>
      <w:r>
        <w:t>該等交易的對手方必須受盧森堡金融業監管委員會</w:t>
      </w:r>
      <w:r>
        <w:rPr>
          <w:rFonts w:ascii="Arial" w:eastAsia="Arial" w:hAnsi="Arial" w:cs="Arial"/>
        </w:rPr>
        <w:t xml:space="preserve">     </w:t>
      </w:r>
    </w:p>
    <w:p w:rsidR="004D6F0E" w:rsidRDefault="00490F21">
      <w:pPr>
        <w:ind w:left="449" w:right="2"/>
      </w:pPr>
      <w:r>
        <w:t>（</w:t>
      </w:r>
      <w:r>
        <w:rPr>
          <w:rFonts w:ascii="Arial" w:eastAsia="Arial" w:hAnsi="Arial" w:cs="Arial"/>
        </w:rPr>
        <w:t>CSSF</w:t>
      </w:r>
      <w:r>
        <w:t>）認為等同於歐洲共同體法律所規定標準的審慎監督。各對手方乃基於以下綜合準則選擇：監管狀況、當地法律所提供的保障、操作程序及信譽分析，包括審閱可得的信貸息差及／或外界信貸評級；</w:t>
      </w:r>
      <w:r>
        <w:rPr>
          <w:rFonts w:ascii="Arial" w:eastAsia="Arial" w:hAnsi="Arial" w:cs="Arial"/>
          <w:sz w:val="18"/>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numPr>
          <w:ilvl w:val="0"/>
          <w:numId w:val="57"/>
        </w:numPr>
        <w:ind w:left="429" w:right="2" w:hanging="427"/>
      </w:pPr>
      <w:r>
        <w:t>購買附帶回購選擇權的證券或透過逆回購協議交易購買的證券必須符合相關盧森堡金融業監管委員會（</w:t>
      </w:r>
      <w:r>
        <w:rPr>
          <w:rFonts w:ascii="Arial" w:eastAsia="Arial" w:hAnsi="Arial" w:cs="Arial"/>
        </w:rPr>
        <w:t>CSSF</w:t>
      </w:r>
      <w:r>
        <w:t>）公告及基金的投資政策，並且連同基金持有的其他證券必須遵守基金的投資限制；</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numPr>
          <w:ilvl w:val="0"/>
          <w:numId w:val="57"/>
        </w:numPr>
        <w:ind w:left="429" w:right="2" w:hanging="427"/>
      </w:pPr>
      <w:r>
        <w:t>透過該等交易或其他有效基金管理技術及場外金融衍生工具產生的對手方風險，如該對手方為《</w:t>
      </w:r>
      <w:r>
        <w:t>二零一零年法律》第</w:t>
      </w:r>
      <w:r>
        <w:t xml:space="preserve"> </w:t>
      </w:r>
      <w:r>
        <w:rPr>
          <w:rFonts w:ascii="Arial" w:eastAsia="Arial" w:hAnsi="Arial" w:cs="Arial"/>
        </w:rPr>
        <w:t>41(1)(f)</w:t>
      </w:r>
      <w:r>
        <w:t>條所述的信貸機構，不得超過基金資產的</w:t>
      </w:r>
      <w:r>
        <w:t xml:space="preserve"> </w:t>
      </w:r>
      <w:r>
        <w:rPr>
          <w:rFonts w:ascii="Arial" w:eastAsia="Arial" w:hAnsi="Arial" w:cs="Arial"/>
        </w:rPr>
        <w:t>10%</w:t>
      </w:r>
      <w:r>
        <w:t>，或在其他情況下不得超過基金資產的</w:t>
      </w:r>
      <w:r>
        <w:t xml:space="preserve"> </w:t>
      </w:r>
      <w:r>
        <w:rPr>
          <w:rFonts w:ascii="Arial" w:eastAsia="Arial" w:hAnsi="Arial" w:cs="Arial"/>
        </w:rPr>
        <w:t>5%</w:t>
      </w:r>
      <w:r>
        <w:t>。</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基金可訂立</w:t>
      </w:r>
      <w:r>
        <w:rPr>
          <w:rFonts w:ascii="Arial" w:eastAsia="Arial" w:hAnsi="Arial" w:cs="Arial"/>
        </w:rPr>
        <w:t>(i)</w:t>
      </w:r>
      <w:r>
        <w:t>回購協議，惟基金必須能夠隨時收回任何證券或終止協議，及</w:t>
      </w:r>
      <w:r>
        <w:rPr>
          <w:rFonts w:ascii="Arial" w:eastAsia="Arial" w:hAnsi="Arial" w:cs="Arial"/>
        </w:rPr>
        <w:t>(ii)</w:t>
      </w:r>
      <w:r>
        <w:t>逆回購協議，惟基金必須能夠隨時悉數收回現金或終止協議，無論按應計基準或按市值基準，而倘現金可隨時按市值基準收回，則逆回購協議的按市值計算價值應用於計算資產淨值。</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不超過七日的固定期限回購及逆回購協議被視為其條款令基金可隨時收回資產的安排。</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有關特定基金的全部回購及逆回購協議所得收益均分配予該</w:t>
      </w:r>
      <w:r>
        <w:t>基金。</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倘特定基金訂立回購協議及／或逆回購協議，則該基金可進行該等交易的管理資產的最高及預期比例於認購章程第</w:t>
      </w:r>
      <w:r>
        <w:t xml:space="preserve"> </w:t>
      </w:r>
      <w:r>
        <w:rPr>
          <w:rFonts w:ascii="Arial" w:eastAsia="Arial" w:hAnsi="Arial" w:cs="Arial"/>
        </w:rPr>
        <w:t xml:space="preserve">I </w:t>
      </w:r>
      <w:r>
        <w:t>部</w:t>
      </w:r>
    </w:p>
    <w:p w:rsidR="004D6F0E" w:rsidRDefault="00490F21">
      <w:pPr>
        <w:ind w:left="11" w:right="2"/>
      </w:pPr>
      <w:r>
        <w:t>分有關該基金的相關部分披露。</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line="217" w:lineRule="auto"/>
        <w:ind w:left="11" w:right="2"/>
      </w:pPr>
      <w:r>
        <w:t>有關場外衍生工具交易所接收的抵押品管理及有效基金管理技術</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根據歐洲證券和市場管理局指引，於計算《二零一零年法</w:t>
      </w:r>
      <w:r>
        <w:rPr>
          <w:rFonts w:ascii="Arial" w:eastAsia="Arial" w:hAnsi="Arial" w:cs="Arial"/>
        </w:rPr>
        <w:t xml:space="preserve">   </w:t>
      </w:r>
      <w:r>
        <w:t>律》第</w:t>
      </w:r>
      <w:r>
        <w:t xml:space="preserve"> </w:t>
      </w:r>
      <w:r>
        <w:rPr>
          <w:rFonts w:ascii="Arial" w:eastAsia="Arial" w:hAnsi="Arial" w:cs="Arial"/>
        </w:rPr>
        <w:t xml:space="preserve">43 </w:t>
      </w:r>
      <w:r>
        <w:t>條所指的交易對手風險限制時，應結合場外衍生工具交易及有效基金管理技術所產生的對手方風險。</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就場外衍生工具交易或有效基金管理技術而言，基金接收的所有資產應視為抵押品，並符合下文所規定的所有標準。</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ind w:left="11" w:right="2"/>
      </w:pPr>
      <w:r>
        <w:t>倘基金進行場外衍生工具交易及應用有效基金管理技術，用於減少有關基金的對手方風險的所有抵押品應於任何時候符合下列標準：</w:t>
      </w:r>
      <w:r>
        <w:rPr>
          <w:rFonts w:ascii="Arial" w:eastAsia="Arial" w:hAnsi="Arial" w:cs="Arial"/>
          <w:sz w:val="24"/>
        </w:rPr>
        <w:t xml:space="preserve"> </w:t>
      </w:r>
    </w:p>
    <w:p w:rsidR="004D6F0E" w:rsidRDefault="00490F21">
      <w:pPr>
        <w:spacing w:after="0" w:line="259" w:lineRule="auto"/>
        <w:ind w:left="13" w:firstLine="0"/>
      </w:pPr>
      <w:r>
        <w:rPr>
          <w:rFonts w:ascii="Arial" w:eastAsia="Arial" w:hAnsi="Arial" w:cs="Arial"/>
          <w:sz w:val="24"/>
        </w:rPr>
        <w:t xml:space="preserve"> </w:t>
      </w:r>
    </w:p>
    <w:p w:rsidR="004D6F0E" w:rsidRDefault="00490F21">
      <w:pPr>
        <w:numPr>
          <w:ilvl w:val="0"/>
          <w:numId w:val="58"/>
        </w:numPr>
        <w:spacing w:after="15" w:line="273" w:lineRule="auto"/>
        <w:ind w:left="280" w:right="2" w:hanging="278"/>
      </w:pPr>
      <w:r>
        <w:rPr>
          <w:sz w:val="20"/>
        </w:rPr>
        <w:t>流動性</w:t>
      </w:r>
      <w:r>
        <w:rPr>
          <w:rFonts w:ascii="Arial" w:eastAsia="Arial" w:hAnsi="Arial" w:cs="Arial"/>
        </w:rPr>
        <w:t>—</w:t>
      </w:r>
      <w:r>
        <w:t>所接收現金以外的任何抵押品應具有高度流動性並按透明的定價機制於受監管市場或多邊交易設施進行交易，以確保可按接近售前估值的價格迅速售出。所接收的抵押品亦應遵守《二零一零年法律》第</w:t>
      </w:r>
      <w:r>
        <w:t xml:space="preserve"> </w:t>
      </w:r>
      <w:r>
        <w:rPr>
          <w:rFonts w:ascii="Arial" w:eastAsia="Arial" w:hAnsi="Arial" w:cs="Arial"/>
        </w:rPr>
        <w:t xml:space="preserve">43 </w:t>
      </w:r>
      <w:r>
        <w:t>條的規定。</w:t>
      </w:r>
      <w:r>
        <w:rPr>
          <w:rFonts w:ascii="Arial" w:eastAsia="Arial" w:hAnsi="Arial" w:cs="Arial"/>
        </w:rPr>
        <w:t xml:space="preserve"> </w:t>
      </w:r>
    </w:p>
    <w:p w:rsidR="004D6F0E" w:rsidRDefault="00490F21">
      <w:pPr>
        <w:spacing w:after="0" w:line="259" w:lineRule="auto"/>
        <w:ind w:left="17" w:firstLine="0"/>
      </w:pPr>
      <w:r>
        <w:rPr>
          <w:rFonts w:ascii="Arial" w:eastAsia="Arial" w:hAnsi="Arial" w:cs="Arial"/>
        </w:rPr>
        <w:t xml:space="preserve"> </w:t>
      </w:r>
    </w:p>
    <w:p w:rsidR="004D6F0E" w:rsidRDefault="00490F21">
      <w:pPr>
        <w:numPr>
          <w:ilvl w:val="0"/>
          <w:numId w:val="58"/>
        </w:numPr>
        <w:ind w:left="280" w:right="2" w:hanging="278"/>
      </w:pPr>
      <w:r>
        <w:rPr>
          <w:sz w:val="20"/>
        </w:rPr>
        <w:t>估值</w:t>
      </w:r>
      <w:r>
        <w:rPr>
          <w:rFonts w:ascii="Arial" w:eastAsia="Arial" w:hAnsi="Arial" w:cs="Arial"/>
        </w:rPr>
        <w:t>—</w:t>
      </w:r>
      <w:r>
        <w:t>所接收的抵押品應至少按每日基準進行估值，表現出高價格波動的資產不應該被接受為抵押品，除非作出適當保守的扣減。</w:t>
      </w:r>
      <w:r>
        <w:rPr>
          <w:rFonts w:ascii="Arial" w:eastAsia="Arial" w:hAnsi="Arial" w:cs="Arial"/>
        </w:rPr>
        <w:t xml:space="preserve"> </w:t>
      </w:r>
    </w:p>
    <w:p w:rsidR="004D6F0E" w:rsidRDefault="00490F21">
      <w:pPr>
        <w:spacing w:after="0" w:line="259" w:lineRule="auto"/>
        <w:ind w:left="17" w:firstLine="0"/>
      </w:pPr>
      <w:r>
        <w:rPr>
          <w:rFonts w:ascii="Arial" w:eastAsia="Arial" w:hAnsi="Arial" w:cs="Arial"/>
        </w:rPr>
        <w:t xml:space="preserve"> </w:t>
      </w:r>
    </w:p>
    <w:p w:rsidR="004D6F0E" w:rsidRDefault="00490F21">
      <w:pPr>
        <w:numPr>
          <w:ilvl w:val="0"/>
          <w:numId w:val="58"/>
        </w:numPr>
        <w:ind w:left="280" w:right="2" w:hanging="278"/>
      </w:pPr>
      <w:r>
        <w:rPr>
          <w:sz w:val="20"/>
        </w:rPr>
        <w:t>發行人信貸質素</w:t>
      </w:r>
      <w:r>
        <w:rPr>
          <w:rFonts w:ascii="Arial" w:eastAsia="Arial" w:hAnsi="Arial" w:cs="Arial"/>
        </w:rPr>
        <w:t>—</w:t>
      </w:r>
      <w:r>
        <w:t>所接收的抵押品應具有高質素。</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numPr>
          <w:ilvl w:val="0"/>
          <w:numId w:val="58"/>
        </w:numPr>
        <w:spacing w:after="6" w:line="273" w:lineRule="auto"/>
        <w:ind w:left="280" w:right="2" w:hanging="278"/>
      </w:pPr>
      <w:r>
        <w:rPr>
          <w:sz w:val="20"/>
        </w:rPr>
        <w:t>相關性</w:t>
      </w:r>
      <w:r>
        <w:rPr>
          <w:rFonts w:ascii="Arial" w:eastAsia="Arial" w:hAnsi="Arial" w:cs="Arial"/>
        </w:rPr>
        <w:t>—</w:t>
      </w:r>
      <w:r>
        <w:t>基金所接收的抵押品應由獨立於對手方的實體發行，並預期不會顯示出與有關對手方表現的高度相關性。</w:t>
      </w:r>
      <w:r>
        <w:rPr>
          <w:rFonts w:ascii="Arial" w:eastAsia="Arial" w:hAnsi="Arial" w:cs="Arial"/>
        </w:rPr>
        <w:t xml:space="preserve"> </w:t>
      </w:r>
    </w:p>
    <w:p w:rsidR="004D6F0E" w:rsidRDefault="00490F21">
      <w:pPr>
        <w:spacing w:after="0" w:line="259" w:lineRule="auto"/>
        <w:ind w:left="17" w:firstLine="0"/>
      </w:pPr>
      <w:r>
        <w:rPr>
          <w:rFonts w:ascii="Arial" w:eastAsia="Arial" w:hAnsi="Arial" w:cs="Arial"/>
        </w:rPr>
        <w:t xml:space="preserve"> </w:t>
      </w:r>
    </w:p>
    <w:p w:rsidR="004D6F0E" w:rsidRDefault="00490F21">
      <w:pPr>
        <w:numPr>
          <w:ilvl w:val="0"/>
          <w:numId w:val="58"/>
        </w:numPr>
        <w:spacing w:after="13" w:line="273" w:lineRule="auto"/>
        <w:ind w:left="280" w:right="2" w:hanging="278"/>
      </w:pPr>
      <w:r>
        <w:rPr>
          <w:sz w:val="20"/>
        </w:rPr>
        <w:t>抵押品多元化（資產集中）</w:t>
      </w:r>
      <w:r>
        <w:rPr>
          <w:rFonts w:ascii="Arial" w:eastAsia="Arial" w:hAnsi="Arial" w:cs="Arial"/>
        </w:rPr>
        <w:t>—</w:t>
      </w:r>
      <w:r>
        <w:t>所</w:t>
      </w:r>
      <w:r>
        <w:t>接收的抵押品應於國家、市場及發行人範圍內充分多元化。根據歐洲證券和市場管理局指引，倘基金獲得有效基金管理及場外衍生工具交易的對手方的一籃子抵押品的最大風險為既定發行人資產淨值的</w:t>
      </w:r>
      <w:r>
        <w:t xml:space="preserve"> </w:t>
      </w:r>
      <w:r>
        <w:rPr>
          <w:rFonts w:ascii="Arial" w:eastAsia="Arial" w:hAnsi="Arial" w:cs="Arial"/>
        </w:rPr>
        <w:t>20</w:t>
      </w:r>
      <w:r>
        <w:t>％，則有關發行人集中足夠多元化的標準視為得以遵守。此外，倘基金面臨不同的對手方，不同籃子的抵押品應合共計算面臨單一發行人</w:t>
      </w:r>
      <w:r>
        <w:t xml:space="preserve"> </w:t>
      </w:r>
      <w:r>
        <w:rPr>
          <w:rFonts w:ascii="Arial" w:eastAsia="Arial" w:hAnsi="Arial" w:cs="Arial"/>
        </w:rPr>
        <w:t>20</w:t>
      </w:r>
      <w:r>
        <w:t>％的上限風險。儘管有上述規定，基金可透過由主權國或其他政府發行人發行或擔保的至少獲一家主要公認評級機構給予短期信貸評級至少為</w:t>
      </w:r>
      <w:r>
        <w:t xml:space="preserve"> </w:t>
      </w:r>
      <w:r>
        <w:rPr>
          <w:rFonts w:ascii="Arial" w:eastAsia="Arial" w:hAnsi="Arial" w:cs="Arial"/>
        </w:rPr>
        <w:t>A-1+</w:t>
      </w:r>
      <w:r>
        <w:t>或等同評級的可轉讓證券及貨幣市場工具完全抵押，惟有關投資組合須收取至少</w:t>
      </w:r>
      <w:r>
        <w:t>六名不同發行人的證券且各發行人的證券不得超出該基金總資產的</w:t>
      </w:r>
      <w:r>
        <w:t xml:space="preserve"> </w:t>
      </w:r>
      <w:r>
        <w:rPr>
          <w:rFonts w:ascii="Arial" w:eastAsia="Arial" w:hAnsi="Arial" w:cs="Arial"/>
        </w:rPr>
        <w:t>30%</w:t>
      </w:r>
      <w:r>
        <w:t>。</w:t>
      </w:r>
      <w:r>
        <w:rPr>
          <w:rFonts w:ascii="Arial" w:eastAsia="Arial" w:hAnsi="Arial" w:cs="Arial"/>
          <w:sz w:val="18"/>
        </w:rPr>
        <w:t xml:space="preserve"> </w:t>
      </w:r>
    </w:p>
    <w:p w:rsidR="004D6F0E" w:rsidRDefault="00490F21">
      <w:pPr>
        <w:spacing w:after="0" w:line="259" w:lineRule="auto"/>
        <w:ind w:left="5" w:firstLine="0"/>
      </w:pPr>
      <w:r>
        <w:rPr>
          <w:rFonts w:ascii="Arial" w:eastAsia="Arial" w:hAnsi="Arial" w:cs="Arial"/>
          <w:sz w:val="18"/>
        </w:rPr>
        <w:t xml:space="preserve"> </w:t>
      </w:r>
    </w:p>
    <w:p w:rsidR="004D6F0E" w:rsidRDefault="00490F21">
      <w:pPr>
        <w:numPr>
          <w:ilvl w:val="0"/>
          <w:numId w:val="58"/>
        </w:numPr>
        <w:ind w:left="280" w:right="2" w:hanging="278"/>
      </w:pPr>
      <w:r>
        <w:rPr>
          <w:sz w:val="20"/>
        </w:rPr>
        <w:t>與抵押品管理有關的風險</w:t>
      </w:r>
      <w:r>
        <w:rPr>
          <w:rFonts w:ascii="Arial" w:eastAsia="Arial" w:hAnsi="Arial" w:cs="Arial"/>
        </w:rPr>
        <w:t>—</w:t>
      </w:r>
      <w:r>
        <w:t>與抵押品管理有關的風險（如營運及法律風險等）應透過風險管理過程加以識別、管理及降低。</w:t>
      </w:r>
      <w:r>
        <w:rPr>
          <w:rFonts w:ascii="Arial" w:eastAsia="Arial" w:hAnsi="Arial" w:cs="Arial"/>
          <w:sz w:val="24"/>
        </w:rPr>
        <w:t xml:space="preserve"> </w:t>
      </w:r>
    </w:p>
    <w:p w:rsidR="004D6F0E" w:rsidRDefault="00490F21">
      <w:pPr>
        <w:spacing w:after="0" w:line="259" w:lineRule="auto"/>
        <w:ind w:left="5" w:firstLine="0"/>
      </w:pPr>
      <w:r>
        <w:rPr>
          <w:rFonts w:ascii="Arial" w:eastAsia="Arial" w:hAnsi="Arial" w:cs="Arial"/>
        </w:rPr>
        <w:t xml:space="preserve"> </w:t>
      </w:r>
    </w:p>
    <w:p w:rsidR="004D6F0E" w:rsidRDefault="00490F21">
      <w:pPr>
        <w:numPr>
          <w:ilvl w:val="0"/>
          <w:numId w:val="58"/>
        </w:numPr>
        <w:ind w:left="280" w:right="2" w:hanging="278"/>
      </w:pPr>
      <w:r>
        <w:rPr>
          <w:sz w:val="20"/>
        </w:rPr>
        <w:t>轉讓抵押品的所有權</w:t>
      </w:r>
      <w:r>
        <w:rPr>
          <w:rFonts w:ascii="Arial" w:eastAsia="Arial" w:hAnsi="Arial" w:cs="Arial"/>
        </w:rPr>
        <w:t>—</w:t>
      </w:r>
      <w:r>
        <w:t>倘所有權轉讓，所接收的抵押品應由基金託管人持有。就其他類別的抵押品安排而言，抵押品可由受到審慎監管但與抵押品的提供者無關的第三方託管持有。</w:t>
      </w:r>
      <w:r>
        <w:rPr>
          <w:rFonts w:ascii="Arial" w:eastAsia="Arial" w:hAnsi="Arial" w:cs="Arial"/>
        </w:rPr>
        <w:t xml:space="preserve"> </w:t>
      </w:r>
    </w:p>
    <w:p w:rsidR="004D6F0E" w:rsidRDefault="00490F21">
      <w:pPr>
        <w:spacing w:after="0" w:line="259" w:lineRule="auto"/>
        <w:ind w:left="5" w:firstLine="0"/>
      </w:pPr>
      <w:r>
        <w:rPr>
          <w:rFonts w:ascii="Arial" w:eastAsia="Arial" w:hAnsi="Arial" w:cs="Arial"/>
        </w:rPr>
        <w:t xml:space="preserve"> </w:t>
      </w:r>
    </w:p>
    <w:p w:rsidR="004D6F0E" w:rsidRDefault="00490F21">
      <w:pPr>
        <w:numPr>
          <w:ilvl w:val="0"/>
          <w:numId w:val="58"/>
        </w:numPr>
        <w:ind w:left="280" w:right="2" w:hanging="278"/>
      </w:pPr>
      <w:r>
        <w:rPr>
          <w:sz w:val="20"/>
        </w:rPr>
        <w:t>接收的抵押品</w:t>
      </w:r>
      <w:r>
        <w:t>應該能夠被基金隨時全面強制執行，而無需告知對手方或徵得其批准。</w:t>
      </w:r>
      <w:r>
        <w:rPr>
          <w:rFonts w:ascii="Arial" w:eastAsia="Arial" w:hAnsi="Arial" w:cs="Arial"/>
        </w:rPr>
        <w:t xml:space="preserve"> </w:t>
      </w:r>
    </w:p>
    <w:p w:rsidR="004D6F0E" w:rsidRDefault="00490F21">
      <w:pPr>
        <w:spacing w:after="0" w:line="259" w:lineRule="auto"/>
        <w:ind w:left="5" w:firstLine="0"/>
      </w:pPr>
      <w:r>
        <w:rPr>
          <w:rFonts w:ascii="Arial" w:eastAsia="Arial" w:hAnsi="Arial" w:cs="Arial"/>
        </w:rPr>
        <w:t xml:space="preserve"> </w:t>
      </w:r>
    </w:p>
    <w:p w:rsidR="004D6F0E" w:rsidRDefault="00490F21">
      <w:pPr>
        <w:numPr>
          <w:ilvl w:val="0"/>
          <w:numId w:val="58"/>
        </w:numPr>
        <w:ind w:left="280" w:right="2" w:hanging="278"/>
      </w:pPr>
      <w:r>
        <w:rPr>
          <w:sz w:val="20"/>
        </w:rPr>
        <w:t>接收的非現金抵押品</w:t>
      </w:r>
      <w:r>
        <w:t>不得出售、再投資或抵押。</w:t>
      </w:r>
      <w:r>
        <w:rPr>
          <w:rFonts w:ascii="Arial" w:eastAsia="Arial" w:hAnsi="Arial" w:cs="Arial"/>
        </w:rPr>
        <w:t xml:space="preserve"> </w:t>
      </w:r>
    </w:p>
    <w:p w:rsidR="004D6F0E" w:rsidRDefault="00490F21">
      <w:pPr>
        <w:spacing w:after="0" w:line="259" w:lineRule="auto"/>
        <w:ind w:left="5" w:firstLine="0"/>
      </w:pPr>
      <w:r>
        <w:rPr>
          <w:rFonts w:ascii="Arial" w:eastAsia="Arial" w:hAnsi="Arial" w:cs="Arial"/>
        </w:rPr>
        <w:t xml:space="preserve"> </w:t>
      </w:r>
    </w:p>
    <w:p w:rsidR="004D6F0E" w:rsidRDefault="00490F21">
      <w:pPr>
        <w:numPr>
          <w:ilvl w:val="0"/>
          <w:numId w:val="58"/>
        </w:numPr>
        <w:ind w:left="280" w:right="2" w:hanging="278"/>
      </w:pPr>
      <w:r>
        <w:t>接收的</w:t>
      </w:r>
      <w:r>
        <w:rPr>
          <w:sz w:val="20"/>
        </w:rPr>
        <w:t>現金抵押品</w:t>
      </w:r>
      <w:r>
        <w:t>應該僅為：</w:t>
      </w:r>
      <w:r>
        <w:rPr>
          <w:rFonts w:ascii="Arial" w:eastAsia="Arial" w:hAnsi="Arial" w:cs="Arial"/>
          <w:i/>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numPr>
          <w:ilvl w:val="0"/>
          <w:numId w:val="59"/>
        </w:numPr>
        <w:ind w:right="2" w:hanging="271"/>
      </w:pPr>
      <w:r>
        <w:t>作為存款存放於《二零一零年法律》第</w:t>
      </w:r>
      <w:r>
        <w:t xml:space="preserve"> </w:t>
      </w:r>
      <w:r>
        <w:rPr>
          <w:rFonts w:ascii="Arial" w:eastAsia="Arial" w:hAnsi="Arial" w:cs="Arial"/>
        </w:rPr>
        <w:t>41 (f)</w:t>
      </w:r>
      <w:r>
        <w:t>條所述的機構；</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59"/>
        </w:numPr>
        <w:ind w:right="2" w:hanging="271"/>
      </w:pPr>
      <w:r>
        <w:t>投資於優質政府債券；</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numPr>
          <w:ilvl w:val="0"/>
          <w:numId w:val="59"/>
        </w:numPr>
        <w:ind w:right="2" w:hanging="271"/>
      </w:pPr>
      <w:r>
        <w:t>用於逆回購交易目的，但相關交易須與受審慎監管的信貸機構進行，且基金能夠隨時按應計基準收回全部現金</w:t>
      </w:r>
    </w:p>
    <w:p w:rsidR="004D6F0E" w:rsidRDefault="00490F21">
      <w:pPr>
        <w:ind w:left="369" w:right="2"/>
      </w:pPr>
      <w:r>
        <w:t>﹔及</w:t>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numPr>
          <w:ilvl w:val="0"/>
          <w:numId w:val="59"/>
        </w:numPr>
        <w:spacing w:after="8" w:line="273" w:lineRule="auto"/>
        <w:ind w:right="2" w:hanging="271"/>
      </w:pPr>
      <w:r>
        <w:t>投資於短期貨幣市場基金（定義見歐洲證券管理機構委員會（</w:t>
      </w:r>
      <w:r>
        <w:rPr>
          <w:rFonts w:ascii="Arial" w:eastAsia="Arial" w:hAnsi="Arial" w:cs="Arial"/>
        </w:rPr>
        <w:t>CESR</w:t>
      </w:r>
      <w:r>
        <w:t>）</w:t>
      </w:r>
      <w:r>
        <w:rPr>
          <w:rFonts w:ascii="Arial" w:eastAsia="Arial" w:hAnsi="Arial" w:cs="Arial"/>
        </w:rPr>
        <w:t xml:space="preserve">10-049 </w:t>
      </w:r>
      <w:r>
        <w:t>號指引關於歐洲貨幣市場基金的通常定義）。</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只要符合上述條件，抵押品可包括</w:t>
      </w:r>
      <w:r>
        <w:rPr>
          <w:rFonts w:ascii="Arial" w:eastAsia="Arial" w:hAnsi="Arial" w:cs="Arial"/>
        </w:rPr>
        <w:t>(i)</w:t>
      </w:r>
      <w:r>
        <w:t>現金，</w:t>
      </w:r>
      <w:r>
        <w:rPr>
          <w:rFonts w:ascii="Arial" w:eastAsia="Arial" w:hAnsi="Arial" w:cs="Arial"/>
        </w:rPr>
        <w:t>(ii)</w:t>
      </w:r>
      <w:r>
        <w:t>企業債券及／或</w:t>
      </w:r>
    </w:p>
    <w:p w:rsidR="004D6F0E" w:rsidRDefault="00490F21">
      <w:pPr>
        <w:ind w:left="11" w:right="2"/>
      </w:pPr>
      <w:r>
        <w:rPr>
          <w:rFonts w:ascii="Arial" w:eastAsia="Arial" w:hAnsi="Arial" w:cs="Arial"/>
        </w:rPr>
        <w:t>(iii)</w:t>
      </w:r>
      <w:r>
        <w:t>債務證券（於下表進一步描述）。</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4" w:line="273" w:lineRule="auto"/>
        <w:ind w:left="14" w:right="123"/>
        <w:jc w:val="both"/>
      </w:pPr>
      <w:r>
        <w:t>管理公司將為參與借出證券計劃的各基金收取相當於所借出證券價值至少</w:t>
      </w:r>
      <w:r>
        <w:t xml:space="preserve"> </w:t>
      </w:r>
      <w:r>
        <w:rPr>
          <w:rFonts w:ascii="Arial" w:eastAsia="Arial" w:hAnsi="Arial" w:cs="Arial"/>
        </w:rPr>
        <w:t>105%</w:t>
      </w:r>
      <w:r>
        <w:t>的抵押品。就雙邊場外金融衍生工具而言，有關工具的估值必須每日按市值計算。基於有關估值，在最低轉讓數量的規限下，當對手方責任的市值增加時，對手方必</w:t>
      </w:r>
    </w:p>
    <w:p w:rsidR="004D6F0E" w:rsidRDefault="00490F21">
      <w:pPr>
        <w:ind w:left="11" w:right="2"/>
      </w:pPr>
      <w:r>
        <w:t>須提供額外抵押品，而在減少時則可移除抵押品。</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sz w:val="24"/>
        </w:rPr>
        <w:t xml:space="preserve"> </w:t>
      </w:r>
    </w:p>
    <w:p w:rsidR="004D6F0E" w:rsidRDefault="00490F21">
      <w:pPr>
        <w:ind w:left="11" w:right="2"/>
      </w:pPr>
      <w:r>
        <w:t>現金抵押品再投資應該依據適用於非現金抵押品的多元化規定予以多元化。截至本認購章程日期，本傘子基金並無對現金抵押品進行再投資。若本傘子基金日後決定對特定基金的現金抵押品進行再投資，接下來的認購章程更新將反映該再投資政策。</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D6F0E">
      <w:pPr>
        <w:sectPr w:rsidR="004D6F0E">
          <w:headerReference w:type="even" r:id="rId351"/>
          <w:headerReference w:type="default" r:id="rId352"/>
          <w:footerReference w:type="even" r:id="rId353"/>
          <w:footerReference w:type="default" r:id="rId354"/>
          <w:headerReference w:type="first" r:id="rId355"/>
          <w:footerReference w:type="first" r:id="rId356"/>
          <w:pgSz w:w="12240" w:h="15840"/>
          <w:pgMar w:top="1461" w:right="655" w:bottom="1599" w:left="695" w:header="750" w:footer="721" w:gutter="0"/>
          <w:cols w:num="2" w:space="386"/>
        </w:sectPr>
      </w:pPr>
    </w:p>
    <w:p w:rsidR="004D6F0E" w:rsidRDefault="00490F21">
      <w:pPr>
        <w:ind w:left="11" w:right="2"/>
      </w:pPr>
      <w:r>
        <w:t>在基金為其至少</w:t>
      </w:r>
      <w:r>
        <w:t xml:space="preserve"> </w:t>
      </w:r>
      <w:r>
        <w:rPr>
          <w:rFonts w:ascii="Arial" w:eastAsia="Arial" w:hAnsi="Arial" w:cs="Arial"/>
        </w:rPr>
        <w:t>30%</w:t>
      </w:r>
      <w:r>
        <w:t>資產接收抵押品的情況下，管理公司將</w:t>
      </w:r>
      <w:r>
        <w:tab/>
      </w:r>
      <w:r>
        <w:rPr>
          <w:rFonts w:ascii="Arial" w:eastAsia="Arial" w:hAnsi="Arial" w:cs="Arial"/>
        </w:rPr>
        <w:t xml:space="preserve"> </w:t>
      </w:r>
      <w:r>
        <w:t>設置一項適當的壓力測試政策，確保在正常和特殊流動性條</w:t>
      </w:r>
      <w:r>
        <w:tab/>
      </w:r>
      <w:r>
        <w:rPr>
          <w:rFonts w:ascii="Arial" w:eastAsia="Arial" w:hAnsi="Arial" w:cs="Arial"/>
        </w:rPr>
        <w:t xml:space="preserve"> </w:t>
      </w:r>
      <w:r>
        <w:t>件下進行定期壓力測試，以令管理公司能夠評估該基金附於</w:t>
      </w:r>
      <w:r>
        <w:tab/>
      </w:r>
      <w:r>
        <w:rPr>
          <w:rFonts w:ascii="Arial" w:eastAsia="Arial" w:hAnsi="Arial" w:cs="Arial"/>
          <w:sz w:val="29"/>
          <w:vertAlign w:val="superscript"/>
        </w:rPr>
        <w:t xml:space="preserve"> </w:t>
      </w:r>
      <w:r>
        <w:t>抵押品的流動性風險。最後，管理公司對有關場外衍生工具交</w:t>
      </w:r>
      <w:r>
        <w:tab/>
      </w:r>
      <w:r>
        <w:rPr>
          <w:rFonts w:ascii="Arial" w:eastAsia="Arial" w:hAnsi="Arial" w:cs="Arial"/>
          <w:sz w:val="29"/>
          <w:vertAlign w:val="superscript"/>
        </w:rPr>
        <w:t xml:space="preserve"> </w:t>
      </w:r>
    </w:p>
    <w:p w:rsidR="004D6F0E" w:rsidRDefault="00490F21">
      <w:pPr>
        <w:spacing w:after="1" w:line="265" w:lineRule="auto"/>
        <w:ind w:right="4291" w:hanging="10"/>
        <w:jc w:val="right"/>
      </w:pPr>
      <w:r>
        <w:rPr>
          <w:rFonts w:ascii="Arial" w:eastAsia="Arial" w:hAnsi="Arial" w:cs="Arial"/>
        </w:rPr>
        <w:t xml:space="preserve"> </w:t>
      </w:r>
      <w:r>
        <w:t>易及有效基金管理技術而接收作為抵押品的各類資產應用估</w:t>
      </w:r>
    </w:p>
    <w:p w:rsidR="004D6F0E" w:rsidRDefault="00490F21">
      <w:pPr>
        <w:ind w:left="2" w:right="1632" w:firstLine="5748"/>
      </w:pPr>
      <w:r>
        <w:rPr>
          <w:rFonts w:ascii="Arial" w:eastAsia="Arial" w:hAnsi="Arial" w:cs="Arial"/>
        </w:rPr>
        <w:t xml:space="preserve"> </w:t>
      </w:r>
      <w:r>
        <w:t>值折扣政策。估值折扣指從作為抵押品接收的資產市值中扣</w:t>
      </w:r>
      <w:r>
        <w:tab/>
      </w:r>
      <w:r>
        <w:rPr>
          <w:rFonts w:ascii="Arial" w:eastAsia="Arial" w:hAnsi="Arial" w:cs="Arial"/>
          <w:sz w:val="29"/>
          <w:vertAlign w:val="subscript"/>
        </w:rPr>
        <w:t xml:space="preserve"> </w:t>
      </w:r>
      <w:r>
        <w:t>減的某個百分比，用以反映與持有資產相關的已知風險。估值</w:t>
      </w:r>
      <w:r>
        <w:tab/>
      </w:r>
      <w:r>
        <w:rPr>
          <w:rFonts w:ascii="Arial" w:eastAsia="Arial" w:hAnsi="Arial" w:cs="Arial"/>
        </w:rPr>
        <w:t xml:space="preserve"> </w:t>
      </w:r>
      <w:r>
        <w:t>折扣政策的執行計及作為抵押品接收的有關證券的特徵，如</w:t>
      </w:r>
      <w:r>
        <w:tab/>
      </w:r>
      <w:r>
        <w:rPr>
          <w:rFonts w:ascii="Arial" w:eastAsia="Arial" w:hAnsi="Arial" w:cs="Arial"/>
        </w:rPr>
        <w:t xml:space="preserve"> </w:t>
      </w:r>
      <w:r>
        <w:t>到期時間、有關證券發行人的信用評級、該證券的歷史價格波</w:t>
      </w:r>
      <w:r>
        <w:tab/>
      </w:r>
      <w:r>
        <w:rPr>
          <w:rFonts w:ascii="Arial" w:eastAsia="Arial" w:hAnsi="Arial" w:cs="Arial"/>
        </w:rPr>
        <w:t xml:space="preserve"> </w:t>
      </w:r>
      <w:r>
        <w:t>幅，以及不時根據歐洲證券和市場管理局指引設定的規則而</w:t>
      </w:r>
      <w:r>
        <w:tab/>
      </w:r>
      <w:r>
        <w:rPr>
          <w:rFonts w:ascii="Arial" w:eastAsia="Arial" w:hAnsi="Arial" w:cs="Arial"/>
        </w:rPr>
        <w:t xml:space="preserve"> </w:t>
      </w:r>
      <w:r>
        <w:t>可能進行的任何壓力測試結果。</w:t>
      </w:r>
      <w:r>
        <w:rPr>
          <w:rFonts w:ascii="Arial" w:eastAsia="Arial" w:hAnsi="Arial" w:cs="Arial"/>
        </w:rPr>
        <w:t xml:space="preserve"> </w:t>
      </w:r>
      <w:r>
        <w:rPr>
          <w:rFonts w:ascii="Arial" w:eastAsia="Arial" w:hAnsi="Arial" w:cs="Arial"/>
        </w:rPr>
        <w:tab/>
      </w:r>
      <w:r>
        <w:rPr>
          <w:rFonts w:ascii="Arial" w:eastAsia="Arial" w:hAnsi="Arial" w:cs="Arial"/>
          <w:sz w:val="29"/>
          <w:vertAlign w:val="superscript"/>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4565"/>
      </w:pPr>
      <w:r>
        <w:t>管理公司使用以下場外衍生工具交易抵押品估值折扣與對手方磋商。一般而言於相關衍生工具交易文件中界定的與對手方的最終安排將符合該等估值折扣範圍（管理公司保留權利隨時更改此政策，並將在實際可行的情況下盡快更新認購章程）：</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tbl>
      <w:tblPr>
        <w:tblStyle w:val="TableGrid"/>
        <w:tblW w:w="10061" w:type="dxa"/>
        <w:tblInd w:w="5" w:type="dxa"/>
        <w:tblCellMar>
          <w:top w:w="31" w:type="dxa"/>
          <w:left w:w="108" w:type="dxa"/>
          <w:bottom w:w="0" w:type="dxa"/>
          <w:right w:w="108" w:type="dxa"/>
        </w:tblCellMar>
        <w:tblLook w:val="04A0" w:firstRow="1" w:lastRow="0" w:firstColumn="1" w:lastColumn="0" w:noHBand="0" w:noVBand="1"/>
      </w:tblPr>
      <w:tblGrid>
        <w:gridCol w:w="8405"/>
        <w:gridCol w:w="626"/>
        <w:gridCol w:w="523"/>
        <w:gridCol w:w="523"/>
      </w:tblGrid>
      <w:tr w:rsidR="004D6F0E">
        <w:trPr>
          <w:trHeight w:val="257"/>
        </w:trPr>
        <w:tc>
          <w:tcPr>
            <w:tcW w:w="410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抵押品</w:t>
            </w:r>
            <w:r>
              <w:rPr>
                <w:rFonts w:ascii="Arial" w:eastAsia="Arial" w:hAnsi="Arial" w:cs="Arial"/>
                <w:b/>
              </w:rPr>
              <w:t xml:space="preserve"> </w:t>
            </w:r>
          </w:p>
        </w:tc>
        <w:tc>
          <w:tcPr>
            <w:tcW w:w="1985" w:type="dxa"/>
            <w:tcBorders>
              <w:top w:val="single" w:sz="4" w:space="0" w:color="000000"/>
              <w:left w:val="single" w:sz="4" w:space="0" w:color="000000"/>
              <w:bottom w:val="single" w:sz="4" w:space="0" w:color="000000"/>
              <w:right w:val="nil"/>
            </w:tcBorders>
          </w:tcPr>
          <w:p w:rsidR="004D6F0E" w:rsidRDefault="00490F21">
            <w:pPr>
              <w:spacing w:after="0" w:line="259" w:lineRule="auto"/>
              <w:ind w:left="0" w:firstLine="0"/>
            </w:pPr>
            <w:r>
              <w:t>估值折扣</w:t>
            </w:r>
            <w:r>
              <w:rPr>
                <w:rFonts w:ascii="Arial" w:eastAsia="Arial" w:hAnsi="Arial" w:cs="Arial"/>
                <w:b/>
              </w:rPr>
              <w:t xml:space="preserve"> </w:t>
            </w:r>
          </w:p>
        </w:tc>
        <w:tc>
          <w:tcPr>
            <w:tcW w:w="1843" w:type="dxa"/>
            <w:tcBorders>
              <w:top w:val="single" w:sz="4" w:space="0" w:color="000000"/>
              <w:left w:val="nil"/>
              <w:bottom w:val="single" w:sz="4" w:space="0" w:color="000000"/>
              <w:right w:val="nil"/>
            </w:tcBorders>
          </w:tcPr>
          <w:p w:rsidR="004D6F0E" w:rsidRDefault="004D6F0E">
            <w:pPr>
              <w:spacing w:after="160" w:line="259" w:lineRule="auto"/>
              <w:ind w:left="0" w:firstLine="0"/>
            </w:pPr>
          </w:p>
        </w:tc>
        <w:tc>
          <w:tcPr>
            <w:tcW w:w="2126" w:type="dxa"/>
            <w:tcBorders>
              <w:top w:val="single" w:sz="4" w:space="0" w:color="000000"/>
              <w:left w:val="nil"/>
              <w:bottom w:val="single" w:sz="4" w:space="0" w:color="000000"/>
              <w:right w:val="single" w:sz="4" w:space="0" w:color="000000"/>
            </w:tcBorders>
          </w:tcPr>
          <w:p w:rsidR="004D6F0E" w:rsidRDefault="004D6F0E">
            <w:pPr>
              <w:spacing w:after="160" w:line="259" w:lineRule="auto"/>
              <w:ind w:left="0" w:firstLine="0"/>
            </w:pPr>
          </w:p>
        </w:tc>
      </w:tr>
      <w:tr w:rsidR="004D6F0E">
        <w:trPr>
          <w:trHeight w:val="257"/>
        </w:trPr>
        <w:tc>
          <w:tcPr>
            <w:tcW w:w="410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 </w:t>
            </w:r>
            <w:r>
              <w:t>現金</w:t>
            </w:r>
            <w:r>
              <w:rPr>
                <w:rFonts w:ascii="Arial" w:eastAsia="Arial" w:hAnsi="Arial" w:cs="Arial"/>
              </w:rPr>
              <w:t xml:space="preserve"> </w:t>
            </w:r>
          </w:p>
        </w:tc>
        <w:tc>
          <w:tcPr>
            <w:tcW w:w="1985" w:type="dxa"/>
            <w:tcBorders>
              <w:top w:val="single" w:sz="4" w:space="0" w:color="000000"/>
              <w:left w:val="single" w:sz="4" w:space="0" w:color="000000"/>
              <w:bottom w:val="single" w:sz="4" w:space="0" w:color="000000"/>
              <w:right w:val="nil"/>
            </w:tcBorders>
          </w:tcPr>
          <w:p w:rsidR="004D6F0E" w:rsidRDefault="00490F21">
            <w:pPr>
              <w:spacing w:after="0" w:line="259" w:lineRule="auto"/>
              <w:ind w:left="0" w:firstLine="0"/>
            </w:pPr>
            <w:r>
              <w:rPr>
                <w:rFonts w:ascii="Arial" w:eastAsia="Arial" w:hAnsi="Arial" w:cs="Arial"/>
              </w:rPr>
              <w:t xml:space="preserve">0% - 1% </w:t>
            </w:r>
          </w:p>
        </w:tc>
        <w:tc>
          <w:tcPr>
            <w:tcW w:w="1843" w:type="dxa"/>
            <w:tcBorders>
              <w:top w:val="single" w:sz="4" w:space="0" w:color="000000"/>
              <w:left w:val="nil"/>
              <w:bottom w:val="single" w:sz="4" w:space="0" w:color="000000"/>
              <w:right w:val="nil"/>
            </w:tcBorders>
          </w:tcPr>
          <w:p w:rsidR="004D6F0E" w:rsidRDefault="004D6F0E">
            <w:pPr>
              <w:spacing w:after="160" w:line="259" w:lineRule="auto"/>
              <w:ind w:left="0" w:firstLine="0"/>
            </w:pPr>
          </w:p>
        </w:tc>
        <w:tc>
          <w:tcPr>
            <w:tcW w:w="2126" w:type="dxa"/>
            <w:tcBorders>
              <w:top w:val="single" w:sz="4" w:space="0" w:color="000000"/>
              <w:left w:val="nil"/>
              <w:bottom w:val="single" w:sz="4" w:space="0" w:color="000000"/>
              <w:right w:val="single" w:sz="4" w:space="0" w:color="000000"/>
            </w:tcBorders>
          </w:tcPr>
          <w:p w:rsidR="004D6F0E" w:rsidRDefault="004D6F0E">
            <w:pPr>
              <w:spacing w:after="160" w:line="259" w:lineRule="auto"/>
              <w:ind w:left="0" w:firstLine="0"/>
            </w:pPr>
          </w:p>
        </w:tc>
      </w:tr>
      <w:tr w:rsidR="004D6F0E">
        <w:trPr>
          <w:trHeight w:val="257"/>
        </w:trPr>
        <w:tc>
          <w:tcPr>
            <w:tcW w:w="410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 </w:t>
            </w:r>
            <w:r>
              <w:t>外界信貸評級為</w:t>
            </w:r>
            <w:r>
              <w:t xml:space="preserve"> </w:t>
            </w:r>
            <w:r>
              <w:rPr>
                <w:rFonts w:ascii="Arial" w:eastAsia="Arial" w:hAnsi="Arial" w:cs="Arial"/>
              </w:rPr>
              <w:t xml:space="preserve">A </w:t>
            </w:r>
            <w:r>
              <w:t>或以上的貨幣市場工具</w:t>
            </w:r>
            <w:r>
              <w:rPr>
                <w:rFonts w:ascii="Arial" w:eastAsia="Arial" w:hAnsi="Arial" w:cs="Arial"/>
              </w:rPr>
              <w:t xml:space="preserve"> </w:t>
            </w:r>
          </w:p>
        </w:tc>
        <w:tc>
          <w:tcPr>
            <w:tcW w:w="1985" w:type="dxa"/>
            <w:tcBorders>
              <w:top w:val="single" w:sz="4" w:space="0" w:color="000000"/>
              <w:left w:val="single" w:sz="4" w:space="0" w:color="000000"/>
              <w:bottom w:val="single" w:sz="4" w:space="0" w:color="000000"/>
              <w:right w:val="nil"/>
            </w:tcBorders>
          </w:tcPr>
          <w:p w:rsidR="004D6F0E" w:rsidRDefault="00490F21">
            <w:pPr>
              <w:spacing w:after="0" w:line="259" w:lineRule="auto"/>
              <w:ind w:left="0" w:firstLine="0"/>
            </w:pPr>
            <w:r>
              <w:rPr>
                <w:rFonts w:ascii="Arial" w:eastAsia="Arial" w:hAnsi="Arial" w:cs="Arial"/>
              </w:rPr>
              <w:t xml:space="preserve">0% - 2%  </w:t>
            </w:r>
          </w:p>
        </w:tc>
        <w:tc>
          <w:tcPr>
            <w:tcW w:w="1843" w:type="dxa"/>
            <w:tcBorders>
              <w:top w:val="single" w:sz="4" w:space="0" w:color="000000"/>
              <w:left w:val="nil"/>
              <w:bottom w:val="single" w:sz="4" w:space="0" w:color="000000"/>
              <w:right w:val="nil"/>
            </w:tcBorders>
          </w:tcPr>
          <w:p w:rsidR="004D6F0E" w:rsidRDefault="004D6F0E">
            <w:pPr>
              <w:spacing w:after="160" w:line="259" w:lineRule="auto"/>
              <w:ind w:left="0" w:firstLine="0"/>
            </w:pPr>
          </w:p>
        </w:tc>
        <w:tc>
          <w:tcPr>
            <w:tcW w:w="2126" w:type="dxa"/>
            <w:tcBorders>
              <w:top w:val="single" w:sz="4" w:space="0" w:color="000000"/>
              <w:left w:val="nil"/>
              <w:bottom w:val="single" w:sz="4" w:space="0" w:color="000000"/>
              <w:right w:val="single" w:sz="4" w:space="0" w:color="000000"/>
            </w:tcBorders>
          </w:tcPr>
          <w:p w:rsidR="004D6F0E" w:rsidRDefault="004D6F0E">
            <w:pPr>
              <w:spacing w:after="160" w:line="259" w:lineRule="auto"/>
              <w:ind w:left="0" w:firstLine="0"/>
            </w:pPr>
          </w:p>
        </w:tc>
      </w:tr>
      <w:tr w:rsidR="004D6F0E">
        <w:trPr>
          <w:trHeight w:val="257"/>
        </w:trPr>
        <w:tc>
          <w:tcPr>
            <w:tcW w:w="4106" w:type="dxa"/>
            <w:vMerge w:val="restart"/>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180" w:hanging="180"/>
            </w:pPr>
            <w:r>
              <w:rPr>
                <w:rFonts w:ascii="Arial" w:eastAsia="Arial" w:hAnsi="Arial" w:cs="Arial"/>
              </w:rPr>
              <w:t xml:space="preserve">3. </w:t>
            </w:r>
            <w:r>
              <w:t>由中央、地區或地方機關或由合資格司法管轄區（如為聯邦國家，則由組成聯邦的其中一名成員）的中央銀行或由一個或以上合資格司法管轄區所屬公共國際團體發行或擔保的債券</w:t>
            </w:r>
            <w:r>
              <w:rPr>
                <w:rFonts w:ascii="Arial" w:eastAsia="Arial" w:hAnsi="Arial" w:cs="Arial"/>
              </w:rPr>
              <w:t xml:space="preserve"> </w:t>
            </w:r>
          </w:p>
        </w:tc>
        <w:tc>
          <w:tcPr>
            <w:tcW w:w="1985" w:type="dxa"/>
            <w:tcBorders>
              <w:top w:val="single" w:sz="4" w:space="0" w:color="000000"/>
              <w:left w:val="single" w:sz="4" w:space="0" w:color="000000"/>
              <w:bottom w:val="single" w:sz="4" w:space="0" w:color="000000"/>
              <w:right w:val="nil"/>
            </w:tcBorders>
          </w:tcPr>
          <w:p w:rsidR="004D6F0E" w:rsidRDefault="00490F21">
            <w:pPr>
              <w:spacing w:after="0" w:line="259" w:lineRule="auto"/>
              <w:ind w:left="0" w:firstLine="0"/>
            </w:pPr>
            <w:r>
              <w:t>剩餘年期</w:t>
            </w:r>
            <w:r>
              <w:rPr>
                <w:rFonts w:ascii="Arial" w:eastAsia="Arial" w:hAnsi="Arial" w:cs="Arial"/>
                <w:b/>
              </w:rPr>
              <w:t xml:space="preserve"> </w:t>
            </w:r>
          </w:p>
        </w:tc>
        <w:tc>
          <w:tcPr>
            <w:tcW w:w="1843" w:type="dxa"/>
            <w:tcBorders>
              <w:top w:val="single" w:sz="4" w:space="0" w:color="000000"/>
              <w:left w:val="nil"/>
              <w:bottom w:val="single" w:sz="4" w:space="0" w:color="000000"/>
              <w:right w:val="nil"/>
            </w:tcBorders>
          </w:tcPr>
          <w:p w:rsidR="004D6F0E" w:rsidRDefault="004D6F0E">
            <w:pPr>
              <w:spacing w:after="160" w:line="259" w:lineRule="auto"/>
              <w:ind w:left="0" w:firstLine="0"/>
            </w:pPr>
          </w:p>
        </w:tc>
        <w:tc>
          <w:tcPr>
            <w:tcW w:w="2126" w:type="dxa"/>
            <w:tcBorders>
              <w:top w:val="single" w:sz="4" w:space="0" w:color="000000"/>
              <w:left w:val="nil"/>
              <w:bottom w:val="single" w:sz="4" w:space="0" w:color="000000"/>
              <w:right w:val="single" w:sz="4" w:space="0" w:color="000000"/>
            </w:tcBorders>
          </w:tcPr>
          <w:p w:rsidR="004D6F0E" w:rsidRDefault="004D6F0E">
            <w:pPr>
              <w:spacing w:after="160" w:line="259" w:lineRule="auto"/>
              <w:ind w:left="0" w:firstLine="0"/>
            </w:pPr>
          </w:p>
        </w:tc>
      </w:tr>
      <w:tr w:rsidR="004D6F0E">
        <w:trPr>
          <w:trHeight w:val="257"/>
        </w:trPr>
        <w:tc>
          <w:tcPr>
            <w:tcW w:w="0" w:type="auto"/>
            <w:vMerge/>
            <w:tcBorders>
              <w:top w:val="nil"/>
              <w:left w:val="single" w:sz="4" w:space="0" w:color="000000"/>
              <w:bottom w:val="nil"/>
              <w:right w:val="single" w:sz="4" w:space="0" w:color="000000"/>
            </w:tcBorders>
          </w:tcPr>
          <w:p w:rsidR="004D6F0E" w:rsidRDefault="004D6F0E">
            <w:pPr>
              <w:spacing w:after="160" w:line="259" w:lineRule="auto"/>
              <w:ind w:left="0" w:firstLine="0"/>
            </w:pPr>
          </w:p>
        </w:tc>
        <w:tc>
          <w:tcPr>
            <w:tcW w:w="1985"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 </w:t>
            </w:r>
            <w:r>
              <w:t>至</w:t>
            </w:r>
            <w:r>
              <w:t xml:space="preserve"> </w:t>
            </w:r>
            <w:r>
              <w:rPr>
                <w:rFonts w:ascii="Arial" w:eastAsia="Arial" w:hAnsi="Arial" w:cs="Arial"/>
              </w:rPr>
              <w:t xml:space="preserve">5 </w:t>
            </w:r>
            <w:r>
              <w:t>年</w:t>
            </w:r>
            <w:r>
              <w:rPr>
                <w:rFonts w:ascii="Arial" w:eastAsia="Arial" w:hAnsi="Arial" w:cs="Arial"/>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5 </w:t>
            </w:r>
            <w:r>
              <w:t>至</w:t>
            </w:r>
            <w:r>
              <w:t xml:space="preserve"> </w:t>
            </w:r>
            <w:r>
              <w:rPr>
                <w:rFonts w:ascii="Arial" w:eastAsia="Arial" w:hAnsi="Arial" w:cs="Arial"/>
              </w:rPr>
              <w:t xml:space="preserve">10 </w:t>
            </w:r>
            <w:r>
              <w:t>年</w:t>
            </w:r>
            <w:r>
              <w:rPr>
                <w:rFonts w:ascii="Arial" w:eastAsia="Arial" w:hAnsi="Arial" w:cs="Arial"/>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超過</w:t>
            </w:r>
            <w:r>
              <w:t xml:space="preserve"> </w:t>
            </w:r>
            <w:r>
              <w:rPr>
                <w:rFonts w:ascii="Arial" w:eastAsia="Arial" w:hAnsi="Arial" w:cs="Arial"/>
              </w:rPr>
              <w:t xml:space="preserve">10 </w:t>
            </w:r>
            <w:r>
              <w:t>年</w:t>
            </w:r>
            <w:r>
              <w:rPr>
                <w:rFonts w:ascii="Arial" w:eastAsia="Arial" w:hAnsi="Arial" w:cs="Arial"/>
              </w:rPr>
              <w:t xml:space="preserve"> </w:t>
            </w:r>
          </w:p>
        </w:tc>
      </w:tr>
      <w:tr w:rsidR="004D6F0E">
        <w:trPr>
          <w:trHeight w:val="485"/>
        </w:trPr>
        <w:tc>
          <w:tcPr>
            <w:tcW w:w="0" w:type="auto"/>
            <w:vMerge/>
            <w:tcBorders>
              <w:top w:val="nil"/>
              <w:left w:val="single" w:sz="4" w:space="0" w:color="000000"/>
              <w:bottom w:val="single" w:sz="4" w:space="0" w:color="000000"/>
              <w:right w:val="single" w:sz="4" w:space="0" w:color="000000"/>
            </w:tcBorders>
          </w:tcPr>
          <w:p w:rsidR="004D6F0E" w:rsidRDefault="004D6F0E">
            <w:pPr>
              <w:spacing w:after="160" w:line="259" w:lineRule="auto"/>
              <w:ind w:left="0" w:firstLine="0"/>
            </w:pPr>
          </w:p>
        </w:tc>
        <w:tc>
          <w:tcPr>
            <w:tcW w:w="1985"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 - 5% </w:t>
            </w:r>
          </w:p>
          <w:p w:rsidR="004D6F0E" w:rsidRDefault="00490F21">
            <w:pPr>
              <w:spacing w:after="0" w:line="259" w:lineRule="auto"/>
              <w:ind w:left="0" w:firstLine="0"/>
            </w:pPr>
            <w:r>
              <w:rPr>
                <w:rFonts w:ascii="Arial" w:eastAsia="Arial" w:hAnsi="Arial" w:cs="Arial"/>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 - 10% </w:t>
            </w:r>
          </w:p>
        </w:tc>
        <w:tc>
          <w:tcPr>
            <w:tcW w:w="212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3% - 25%  </w:t>
            </w:r>
          </w:p>
        </w:tc>
      </w:tr>
      <w:tr w:rsidR="004D6F0E">
        <w:trPr>
          <w:trHeight w:val="257"/>
        </w:trPr>
        <w:tc>
          <w:tcPr>
            <w:tcW w:w="4106" w:type="dxa"/>
            <w:vMerge w:val="restart"/>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4. </w:t>
            </w:r>
            <w:r>
              <w:t>企業債務工具（美元計價）</w:t>
            </w:r>
            <w:r>
              <w:rPr>
                <w:rFonts w:ascii="Arial" w:eastAsia="Arial" w:hAnsi="Arial" w:cs="Arial"/>
              </w:rPr>
              <w:t xml:space="preserve"> </w:t>
            </w:r>
          </w:p>
        </w:tc>
        <w:tc>
          <w:tcPr>
            <w:tcW w:w="1985" w:type="dxa"/>
            <w:tcBorders>
              <w:top w:val="single" w:sz="4" w:space="0" w:color="000000"/>
              <w:left w:val="single" w:sz="4" w:space="0" w:color="000000"/>
              <w:bottom w:val="single" w:sz="4" w:space="0" w:color="000000"/>
              <w:right w:val="nil"/>
            </w:tcBorders>
          </w:tcPr>
          <w:p w:rsidR="004D6F0E" w:rsidRDefault="00490F21">
            <w:pPr>
              <w:spacing w:after="0" w:line="259" w:lineRule="auto"/>
              <w:ind w:left="0" w:firstLine="0"/>
            </w:pPr>
            <w:r>
              <w:t>信貸評級</w:t>
            </w:r>
            <w:r>
              <w:rPr>
                <w:rFonts w:ascii="Arial" w:eastAsia="Arial" w:hAnsi="Arial" w:cs="Arial"/>
                <w:b/>
              </w:rPr>
              <w:t xml:space="preserve"> </w:t>
            </w:r>
          </w:p>
        </w:tc>
        <w:tc>
          <w:tcPr>
            <w:tcW w:w="1843" w:type="dxa"/>
            <w:tcBorders>
              <w:top w:val="single" w:sz="4" w:space="0" w:color="000000"/>
              <w:left w:val="nil"/>
              <w:bottom w:val="single" w:sz="4" w:space="0" w:color="000000"/>
              <w:right w:val="nil"/>
            </w:tcBorders>
          </w:tcPr>
          <w:p w:rsidR="004D6F0E" w:rsidRDefault="004D6F0E">
            <w:pPr>
              <w:spacing w:after="160" w:line="259" w:lineRule="auto"/>
              <w:ind w:left="0" w:firstLine="0"/>
            </w:pPr>
          </w:p>
        </w:tc>
        <w:tc>
          <w:tcPr>
            <w:tcW w:w="2126" w:type="dxa"/>
            <w:tcBorders>
              <w:top w:val="single" w:sz="4" w:space="0" w:color="000000"/>
              <w:left w:val="nil"/>
              <w:bottom w:val="single" w:sz="4" w:space="0" w:color="000000"/>
              <w:right w:val="single" w:sz="4" w:space="0" w:color="000000"/>
            </w:tcBorders>
          </w:tcPr>
          <w:p w:rsidR="004D6F0E" w:rsidRDefault="004D6F0E">
            <w:pPr>
              <w:spacing w:after="160" w:line="259" w:lineRule="auto"/>
              <w:ind w:left="0" w:firstLine="0"/>
            </w:pPr>
          </w:p>
        </w:tc>
      </w:tr>
      <w:tr w:rsidR="004D6F0E">
        <w:trPr>
          <w:trHeight w:val="259"/>
        </w:trPr>
        <w:tc>
          <w:tcPr>
            <w:tcW w:w="0" w:type="auto"/>
            <w:vMerge/>
            <w:tcBorders>
              <w:top w:val="nil"/>
              <w:left w:val="single" w:sz="4" w:space="0" w:color="000000"/>
              <w:bottom w:val="nil"/>
              <w:right w:val="single" w:sz="4" w:space="0" w:color="000000"/>
            </w:tcBorders>
          </w:tcPr>
          <w:p w:rsidR="004D6F0E" w:rsidRDefault="004D6F0E">
            <w:pPr>
              <w:spacing w:after="160" w:line="259" w:lineRule="auto"/>
              <w:ind w:left="0" w:firstLine="0"/>
            </w:pPr>
          </w:p>
        </w:tc>
        <w:tc>
          <w:tcPr>
            <w:tcW w:w="1985"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至少</w:t>
            </w:r>
            <w:r>
              <w:t xml:space="preserve"> </w:t>
            </w:r>
            <w:r>
              <w:rPr>
                <w:rFonts w:ascii="Arial" w:eastAsia="Arial" w:hAnsi="Arial" w:cs="Arial"/>
              </w:rPr>
              <w:t xml:space="preserve">AA </w:t>
            </w:r>
            <w:r>
              <w:t>或同級</w:t>
            </w:r>
            <w:r>
              <w:rPr>
                <w:rFonts w:ascii="Arial" w:eastAsia="Arial" w:hAnsi="Arial" w:cs="Arial"/>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至少</w:t>
            </w:r>
            <w:r>
              <w:t xml:space="preserve"> </w:t>
            </w:r>
            <w:r>
              <w:rPr>
                <w:rFonts w:ascii="Arial" w:eastAsia="Arial" w:hAnsi="Arial" w:cs="Arial"/>
              </w:rPr>
              <w:t xml:space="preserve">A </w:t>
            </w:r>
            <w:r>
              <w:t>或同級</w:t>
            </w:r>
            <w:r>
              <w:rPr>
                <w:rFonts w:ascii="Arial" w:eastAsia="Arial" w:hAnsi="Arial" w:cs="Arial"/>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t>至少</w:t>
            </w:r>
            <w:r>
              <w:t xml:space="preserve"> </w:t>
            </w:r>
            <w:r>
              <w:rPr>
                <w:rFonts w:ascii="Arial" w:eastAsia="Arial" w:hAnsi="Arial" w:cs="Arial"/>
              </w:rPr>
              <w:t xml:space="preserve">BBB </w:t>
            </w:r>
            <w:r>
              <w:t>或同級</w:t>
            </w:r>
            <w:r>
              <w:rPr>
                <w:rFonts w:ascii="Arial" w:eastAsia="Arial" w:hAnsi="Arial" w:cs="Arial"/>
              </w:rPr>
              <w:t xml:space="preserve"> </w:t>
            </w:r>
          </w:p>
        </w:tc>
      </w:tr>
      <w:tr w:rsidR="004D6F0E">
        <w:trPr>
          <w:trHeight w:val="446"/>
        </w:trPr>
        <w:tc>
          <w:tcPr>
            <w:tcW w:w="0" w:type="auto"/>
            <w:vMerge/>
            <w:tcBorders>
              <w:top w:val="nil"/>
              <w:left w:val="single" w:sz="4" w:space="0" w:color="000000"/>
              <w:bottom w:val="single" w:sz="4" w:space="0" w:color="000000"/>
              <w:right w:val="single" w:sz="4" w:space="0" w:color="000000"/>
            </w:tcBorders>
          </w:tcPr>
          <w:p w:rsidR="004D6F0E" w:rsidRDefault="004D6F0E">
            <w:pPr>
              <w:spacing w:after="160" w:line="259" w:lineRule="auto"/>
              <w:ind w:left="0" w:firstLine="0"/>
            </w:pPr>
          </w:p>
        </w:tc>
        <w:tc>
          <w:tcPr>
            <w:tcW w:w="1985"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6% - 10% </w:t>
            </w:r>
          </w:p>
          <w:p w:rsidR="004D6F0E" w:rsidRDefault="00490F21">
            <w:pPr>
              <w:spacing w:after="0" w:line="259" w:lineRule="auto"/>
              <w:ind w:left="0" w:firstLine="0"/>
            </w:pPr>
            <w:r>
              <w:rPr>
                <w:rFonts w:ascii="Arial" w:eastAsia="Arial" w:hAnsi="Arial" w:cs="Arial"/>
              </w:rPr>
              <w:t xml:space="preserve"> </w:t>
            </w:r>
          </w:p>
        </w:tc>
        <w:tc>
          <w:tcPr>
            <w:tcW w:w="1843"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10% - 15% </w:t>
            </w:r>
          </w:p>
        </w:tc>
        <w:tc>
          <w:tcPr>
            <w:tcW w:w="212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20% - 25% </w:t>
            </w:r>
          </w:p>
        </w:tc>
      </w:tr>
      <w:tr w:rsidR="004D6F0E">
        <w:trPr>
          <w:trHeight w:val="629"/>
        </w:trPr>
        <w:tc>
          <w:tcPr>
            <w:tcW w:w="4106"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rPr>
              <w:t xml:space="preserve">5. </w:t>
            </w:r>
            <w:r>
              <w:t>主要市場指數一部分的股本證券</w:t>
            </w:r>
            <w:r>
              <w:rPr>
                <w:rFonts w:ascii="Arial" w:eastAsia="Arial" w:hAnsi="Arial" w:cs="Arial"/>
              </w:rPr>
              <w:t xml:space="preserve"> </w:t>
            </w:r>
          </w:p>
        </w:tc>
        <w:tc>
          <w:tcPr>
            <w:tcW w:w="1985" w:type="dxa"/>
            <w:tcBorders>
              <w:top w:val="single" w:sz="4" w:space="0" w:color="000000"/>
              <w:left w:val="single" w:sz="4" w:space="0" w:color="000000"/>
              <w:bottom w:val="single" w:sz="4" w:space="0" w:color="000000"/>
              <w:right w:val="nil"/>
            </w:tcBorders>
          </w:tcPr>
          <w:p w:rsidR="004D6F0E" w:rsidRDefault="00490F21">
            <w:pPr>
              <w:spacing w:after="0" w:line="259" w:lineRule="auto"/>
              <w:ind w:left="0" w:firstLine="0"/>
            </w:pPr>
            <w:r>
              <w:rPr>
                <w:rFonts w:ascii="Arial" w:eastAsia="Arial" w:hAnsi="Arial" w:cs="Arial"/>
              </w:rPr>
              <w:t xml:space="preserve">10% -30% </w:t>
            </w:r>
          </w:p>
        </w:tc>
        <w:tc>
          <w:tcPr>
            <w:tcW w:w="1843" w:type="dxa"/>
            <w:tcBorders>
              <w:top w:val="single" w:sz="4" w:space="0" w:color="000000"/>
              <w:left w:val="nil"/>
              <w:bottom w:val="single" w:sz="4" w:space="0" w:color="000000"/>
              <w:right w:val="nil"/>
            </w:tcBorders>
          </w:tcPr>
          <w:p w:rsidR="004D6F0E" w:rsidRDefault="004D6F0E">
            <w:pPr>
              <w:spacing w:after="160" w:line="259" w:lineRule="auto"/>
              <w:ind w:left="0" w:firstLine="0"/>
            </w:pPr>
          </w:p>
        </w:tc>
        <w:tc>
          <w:tcPr>
            <w:tcW w:w="2126" w:type="dxa"/>
            <w:tcBorders>
              <w:top w:val="single" w:sz="4" w:space="0" w:color="000000"/>
              <w:left w:val="nil"/>
              <w:bottom w:val="single" w:sz="4" w:space="0" w:color="000000"/>
              <w:right w:val="single" w:sz="4" w:space="0" w:color="000000"/>
            </w:tcBorders>
          </w:tcPr>
          <w:p w:rsidR="004D6F0E" w:rsidRDefault="004D6F0E">
            <w:pPr>
              <w:spacing w:after="160" w:line="259" w:lineRule="auto"/>
              <w:ind w:left="0" w:firstLine="0"/>
            </w:pPr>
          </w:p>
        </w:tc>
      </w:tr>
    </w:tbl>
    <w:p w:rsidR="004D6F0E" w:rsidRDefault="00490F21">
      <w:pPr>
        <w:spacing w:after="0" w:line="259" w:lineRule="auto"/>
        <w:ind w:left="0" w:firstLine="0"/>
      </w:pPr>
      <w:r>
        <w:rPr>
          <w:rFonts w:ascii="Arial" w:eastAsia="Arial" w:hAnsi="Arial" w:cs="Arial"/>
        </w:rPr>
        <w:t xml:space="preserve"> </w:t>
      </w:r>
    </w:p>
    <w:p w:rsidR="004D6F0E" w:rsidRDefault="00490F21">
      <w:pPr>
        <w:spacing w:line="219" w:lineRule="auto"/>
        <w:ind w:left="11" w:right="4370"/>
      </w:pPr>
      <w:r>
        <w:t>與場外衍生工具交易及有效基金管理技術有關的風險及潛在利益衝突</w:t>
      </w:r>
      <w:r>
        <w:rPr>
          <w:rFonts w:ascii="Arial" w:eastAsia="Arial" w:hAnsi="Arial" w:cs="Arial"/>
          <w:sz w:val="24"/>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1337"/>
      </w:pPr>
      <w:r>
        <w:t>場外衍生工具交易、有效基金管理技術及與該等活動有關的抵押品管理涉及若干風險。如欲進一步瞭解適用於此類交易的風險，投資者應參閱本認購章程「風險因素」，尤其是當中「衍生工具風險」及「利益衝突」的說明。</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D6F0E">
      <w:pPr>
        <w:sectPr w:rsidR="004D6F0E">
          <w:type w:val="continuous"/>
          <w:pgSz w:w="12240" w:h="15840"/>
          <w:pgMar w:top="1440" w:right="1440" w:bottom="1440" w:left="708" w:header="720" w:footer="720" w:gutter="0"/>
          <w:cols w:space="720"/>
        </w:sectPr>
      </w:pPr>
    </w:p>
    <w:p w:rsidR="004D6F0E" w:rsidRDefault="00490F21">
      <w:pPr>
        <w:pStyle w:val="Heading4"/>
        <w:spacing w:after="11"/>
        <w:ind w:left="14"/>
      </w:pPr>
      <w:r>
        <w:t>附錄</w:t>
      </w:r>
      <w:r>
        <w:t xml:space="preserve"> </w:t>
      </w:r>
      <w:r>
        <w:rPr>
          <w:rFonts w:ascii="Arial" w:eastAsia="Arial" w:hAnsi="Arial" w:cs="Arial"/>
        </w:rPr>
        <w:t>D</w:t>
      </w:r>
      <w:r>
        <w:t>：英國投資者附加資料</w:t>
      </w:r>
      <w:r>
        <w:rPr>
          <w:rFonts w:ascii="Arial" w:eastAsia="Arial" w:hAnsi="Arial" w:cs="Arial"/>
        </w:rPr>
        <w:t xml:space="preserve"> </w:t>
      </w:r>
    </w:p>
    <w:p w:rsidR="004D6F0E" w:rsidRDefault="00490F21">
      <w:pPr>
        <w:spacing w:after="15" w:line="259" w:lineRule="auto"/>
        <w:ind w:left="13" w:firstLine="0"/>
      </w:pPr>
      <w:r>
        <w:rPr>
          <w:rFonts w:ascii="Arial" w:eastAsia="Arial" w:hAnsi="Arial" w:cs="Arial"/>
          <w:sz w:val="16"/>
        </w:rPr>
        <w:t xml:space="preserve"> </w:t>
      </w:r>
    </w:p>
    <w:p w:rsidR="004D6F0E" w:rsidRDefault="00490F21">
      <w:pPr>
        <w:ind w:left="11" w:right="2"/>
      </w:pPr>
      <w:r>
        <w:t>一般資料</w:t>
      </w:r>
      <w:r>
        <w:rPr>
          <w:rFonts w:ascii="Arial" w:eastAsia="Arial" w:hAnsi="Arial" w:cs="Arial"/>
          <w:b/>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本補充資料應與本傘子基金認購章程一併閱讀，本補充資料是該認購章程的組成部分。凡提及「認購章程」之處，皆指經本文補充或修訂的文件。</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潛在投資者應留意，本傘子基金的投資具有投資於股份和其他證券的固有風險。投資於本傘子基金的相關風險載列於本認購章程第</w:t>
      </w:r>
      <w:r>
        <w:t xml:space="preserve"> </w:t>
      </w:r>
      <w:r>
        <w:rPr>
          <w:rFonts w:ascii="Arial" w:eastAsia="Arial" w:hAnsi="Arial" w:cs="Arial"/>
        </w:rPr>
        <w:t xml:space="preserve">II </w:t>
      </w:r>
      <w:r>
        <w:t>部分題為「風險因素」的分節中。</w:t>
      </w:r>
      <w:r>
        <w:rPr>
          <w:rFonts w:ascii="Arial" w:eastAsia="Arial" w:hAnsi="Arial" w:cs="Arial"/>
        </w:rPr>
        <w:t xml:space="preserve"> </w:t>
      </w:r>
    </w:p>
    <w:p w:rsidR="004D6F0E" w:rsidRDefault="00490F21">
      <w:pPr>
        <w:spacing w:after="0" w:line="259" w:lineRule="auto"/>
        <w:ind w:left="12" w:firstLine="0"/>
      </w:pPr>
      <w:r>
        <w:rPr>
          <w:rFonts w:ascii="Arial" w:eastAsia="Arial" w:hAnsi="Arial" w:cs="Arial"/>
        </w:rPr>
        <w:t xml:space="preserve"> </w:t>
      </w:r>
    </w:p>
    <w:p w:rsidR="004D6F0E" w:rsidRDefault="00490F21">
      <w:pPr>
        <w:ind w:left="11" w:right="2"/>
      </w:pPr>
      <w:r>
        <w:t>投資的價值及其收入和由此而產生的各股份類別的價值和收入既可能下降也可能上升，投資者可能無法收回投資金額。貨</w:t>
      </w:r>
    </w:p>
    <w:p w:rsidR="004D6F0E" w:rsidRDefault="00490F21">
      <w:pPr>
        <w:ind w:left="11" w:right="2"/>
      </w:pPr>
      <w:r>
        <w:t>幣匯率的變化也可導致投資價值減損或增加。</w:t>
      </w:r>
      <w:r>
        <w:rPr>
          <w:rFonts w:ascii="Arial" w:eastAsia="Arial" w:hAnsi="Arial" w:cs="Arial"/>
          <w:sz w:val="24"/>
        </w:rPr>
        <w:t xml:space="preserve"> </w:t>
      </w:r>
    </w:p>
    <w:p w:rsidR="004D6F0E" w:rsidRDefault="00490F21">
      <w:pPr>
        <w:spacing w:after="106" w:line="259" w:lineRule="auto"/>
        <w:ind w:left="13" w:firstLine="0"/>
      </w:pPr>
      <w:r>
        <w:rPr>
          <w:rFonts w:ascii="Arial" w:eastAsia="Arial" w:hAnsi="Arial" w:cs="Arial"/>
          <w:b/>
        </w:rPr>
        <w:t xml:space="preserve"> </w:t>
      </w:r>
    </w:p>
    <w:p w:rsidR="004D6F0E" w:rsidRDefault="00490F21">
      <w:pPr>
        <w:spacing w:after="123"/>
        <w:ind w:left="11" w:right="2"/>
      </w:pPr>
      <w:r>
        <w:t>英國稅項</w:t>
      </w:r>
      <w:r>
        <w:rPr>
          <w:rFonts w:ascii="Arial" w:eastAsia="Arial" w:hAnsi="Arial" w:cs="Arial"/>
          <w:b/>
        </w:rPr>
        <w:t xml:space="preserve"> </w:t>
      </w:r>
    </w:p>
    <w:p w:rsidR="004D6F0E" w:rsidRDefault="00490F21">
      <w:pPr>
        <w:spacing w:after="107"/>
        <w:ind w:left="11" w:right="2"/>
      </w:pPr>
      <w:r>
        <w:t>以下概要旨在為居於英國及以英國為居籍為（如屬個人</w:t>
      </w:r>
      <w:r>
        <w:t>）且為其股份實益擁有人的股東適用的預期英國稅務待遇提供的一般簡介。</w:t>
      </w:r>
      <w:r>
        <w:rPr>
          <w:rFonts w:ascii="Arial" w:eastAsia="Arial" w:hAnsi="Arial" w:cs="Arial"/>
        </w:rPr>
        <w:t xml:space="preserve"> </w:t>
      </w:r>
    </w:p>
    <w:p w:rsidR="004D6F0E" w:rsidRDefault="00490F21">
      <w:pPr>
        <w:ind w:left="11" w:right="2"/>
      </w:pPr>
      <w:r>
        <w:rPr>
          <w:sz w:val="20"/>
        </w:rPr>
        <w:t>本傘子基金。</w:t>
      </w:r>
      <w:r>
        <w:t>作為盧森堡互惠投資基金</w:t>
      </w:r>
      <w:r>
        <w:rPr>
          <w:rFonts w:ascii="Arial" w:eastAsia="Arial" w:hAnsi="Arial" w:cs="Arial"/>
        </w:rPr>
        <w:t>(</w:t>
      </w:r>
      <w:r>
        <w:rPr>
          <w:rFonts w:ascii="Arial" w:eastAsia="Arial" w:hAnsi="Arial" w:cs="Arial"/>
          <w:i/>
        </w:rPr>
        <w:t>fonds commun de placement</w:t>
      </w:r>
      <w:r>
        <w:rPr>
          <w:rFonts w:ascii="Arial" w:eastAsia="Arial" w:hAnsi="Arial" w:cs="Arial"/>
        </w:rPr>
        <w:t>)</w:t>
      </w:r>
      <w:r>
        <w:t>，本傘子基金就英國收入的所得稅及企業稅而言</w:t>
      </w:r>
      <w:r>
        <w:rPr>
          <w:rFonts w:ascii="Arial" w:eastAsia="Arial" w:hAnsi="Arial" w:cs="Arial"/>
        </w:rPr>
        <w:t xml:space="preserve">  </w:t>
      </w:r>
    </w:p>
    <w:p w:rsidR="004D6F0E" w:rsidRDefault="00490F21">
      <w:pPr>
        <w:spacing w:after="100"/>
        <w:ind w:left="11" w:right="2"/>
      </w:pPr>
      <w:r>
        <w:t>（但並非就英國應課稅收益的資本增益稅或企業稅而言，有關詳情請參閱下文）將被視為「稅收透明」的實體。因此，本傘子基金無須就其收入繳納英國稅項（儘管其或會收到已於源頭預扣英國所得稅的利息及若干其他種類的收入（倘該收入有英國源頭））。</w:t>
      </w:r>
      <w:r>
        <w:rPr>
          <w:rFonts w:ascii="Arial" w:eastAsia="Arial" w:hAnsi="Arial" w:cs="Arial"/>
        </w:rPr>
        <w:t xml:space="preserve"> </w:t>
      </w:r>
    </w:p>
    <w:p w:rsidR="004D6F0E" w:rsidRDefault="00490F21">
      <w:pPr>
        <w:spacing w:after="102"/>
        <w:ind w:left="11" w:right="2"/>
      </w:pPr>
      <w:r>
        <w:t>就英國應課稅收益的資本增益稅及企業稅而言，本傘子基金作為就英國稅務而言屬「離岸基金」但並非公司、合夥商行或單位信託計劃的實體，將被視為猶如一間「稅收不透明」的公司。本傘子基金的管理公司擬以本傘子基金並非英國稅務居民亦非於英國經營業務的方式處理本傘子基金的事務。在此情況下，本傘子基</w:t>
      </w:r>
      <w:r>
        <w:t>金將無須就出售其資產所產生的資本增益繳納英國稅項。</w:t>
      </w:r>
      <w:r>
        <w:rPr>
          <w:rFonts w:ascii="Arial" w:eastAsia="Arial" w:hAnsi="Arial" w:cs="Arial"/>
        </w:rPr>
        <w:t xml:space="preserve"> </w:t>
      </w:r>
    </w:p>
    <w:p w:rsidR="004D6F0E" w:rsidRDefault="00490F21">
      <w:pPr>
        <w:ind w:left="11" w:right="2"/>
      </w:pPr>
      <w:r>
        <w:t>管理公司已於本認購章程日期就本傘子基金的以下股份類別取得英國申報基金身份並擬於日後遵守該體制（儘管概不能保證將會繼續擁有該身份）：</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tbl>
      <w:tblPr>
        <w:tblStyle w:val="TableGrid"/>
        <w:tblW w:w="5256" w:type="dxa"/>
        <w:tblInd w:w="15" w:type="dxa"/>
        <w:tblCellMar>
          <w:top w:w="28" w:type="dxa"/>
          <w:left w:w="108" w:type="dxa"/>
          <w:bottom w:w="0" w:type="dxa"/>
          <w:right w:w="91" w:type="dxa"/>
        </w:tblCellMar>
        <w:tblLook w:val="04A0" w:firstRow="1" w:lastRow="0" w:firstColumn="1" w:lastColumn="0" w:noHBand="0" w:noVBand="1"/>
      </w:tblPr>
      <w:tblGrid>
        <w:gridCol w:w="2530"/>
        <w:gridCol w:w="1007"/>
        <w:gridCol w:w="1719"/>
      </w:tblGrid>
      <w:tr w:rsidR="004D6F0E">
        <w:trPr>
          <w:trHeight w:val="492"/>
        </w:trPr>
        <w:tc>
          <w:tcPr>
            <w:tcW w:w="2698"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t>基金</w:t>
            </w:r>
            <w:r>
              <w:rPr>
                <w:rFonts w:ascii="Arial" w:eastAsia="Arial" w:hAnsi="Arial" w:cs="Arial"/>
                <w:b/>
              </w:rPr>
              <w:t xml:space="preserve"> </w:t>
            </w:r>
          </w:p>
        </w:tc>
        <w:tc>
          <w:tcPr>
            <w:tcW w:w="1166"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t>股份類別</w:t>
            </w:r>
            <w:r>
              <w:rPr>
                <w:rFonts w:ascii="Arial" w:eastAsia="Arial" w:hAnsi="Arial" w:cs="Arial"/>
                <w:b/>
              </w:rPr>
              <w:t xml:space="preserve"> </w:t>
            </w:r>
          </w:p>
        </w:tc>
        <w:tc>
          <w:tcPr>
            <w:tcW w:w="1392"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t>貨幣</w:t>
            </w:r>
            <w:r>
              <w:rPr>
                <w:rFonts w:ascii="Arial" w:eastAsia="Arial" w:hAnsi="Arial" w:cs="Arial"/>
                <w:b/>
              </w:rPr>
              <w:t xml:space="preserve"> </w:t>
            </w:r>
          </w:p>
        </w:tc>
      </w:tr>
      <w:tr w:rsidR="004D6F0E">
        <w:trPr>
          <w:trHeight w:val="499"/>
        </w:trPr>
        <w:tc>
          <w:tcPr>
            <w:tcW w:w="2698" w:type="dxa"/>
            <w:tcBorders>
              <w:top w:val="single" w:sz="2" w:space="0" w:color="000000"/>
              <w:left w:val="single" w:sz="2" w:space="0" w:color="000000"/>
              <w:bottom w:val="single" w:sz="2" w:space="0" w:color="000000"/>
              <w:right w:val="single" w:sz="2" w:space="0" w:color="000000"/>
            </w:tcBorders>
          </w:tcPr>
          <w:p w:rsidR="004D6F0E" w:rsidRDefault="00490F21">
            <w:pPr>
              <w:spacing w:after="10" w:line="259" w:lineRule="auto"/>
              <w:ind w:left="0" w:firstLine="0"/>
            </w:pPr>
            <w:r>
              <w:t>亞洲（日本以外）股票基金</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b/>
              </w:rPr>
              <w:t xml:space="preserve"> </w:t>
            </w:r>
          </w:p>
        </w:tc>
        <w:tc>
          <w:tcPr>
            <w:tcW w:w="1166"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rPr>
                <w:rFonts w:ascii="Arial" w:eastAsia="Arial" w:hAnsi="Arial" w:cs="Arial"/>
              </w:rPr>
              <w:t>I</w:t>
            </w:r>
            <w:r>
              <w:rPr>
                <w:rFonts w:ascii="Arial" w:eastAsia="Arial" w:hAnsi="Arial" w:cs="Arial"/>
                <w:b/>
              </w:rPr>
              <w:t xml:space="preserve"> </w:t>
            </w:r>
          </w:p>
        </w:tc>
        <w:tc>
          <w:tcPr>
            <w:tcW w:w="1392"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t>美元英鎊（計價）</w:t>
            </w:r>
            <w:r>
              <w:rPr>
                <w:rFonts w:ascii="Arial" w:eastAsia="Arial" w:hAnsi="Arial" w:cs="Arial"/>
              </w:rPr>
              <w:t xml:space="preserve"> </w:t>
            </w:r>
          </w:p>
        </w:tc>
      </w:tr>
      <w:tr w:rsidR="004D6F0E">
        <w:trPr>
          <w:trHeight w:val="470"/>
        </w:trPr>
        <w:tc>
          <w:tcPr>
            <w:tcW w:w="2698" w:type="dxa"/>
            <w:tcBorders>
              <w:top w:val="single" w:sz="2" w:space="0" w:color="000000"/>
              <w:left w:val="single" w:sz="2" w:space="0" w:color="000000"/>
              <w:bottom w:val="single" w:sz="2" w:space="0" w:color="000000"/>
              <w:right w:val="single" w:sz="2" w:space="0" w:color="000000"/>
            </w:tcBorders>
          </w:tcPr>
          <w:p w:rsidR="004D6F0E" w:rsidRDefault="00490F21">
            <w:pPr>
              <w:spacing w:after="12" w:line="259" w:lineRule="auto"/>
              <w:ind w:left="0" w:firstLine="0"/>
            </w:pPr>
            <w:r>
              <w:t>新興市場增長基金</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tc>
        <w:tc>
          <w:tcPr>
            <w:tcW w:w="1166"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rPr>
                <w:rFonts w:ascii="Arial" w:eastAsia="Arial" w:hAnsi="Arial" w:cs="Arial"/>
              </w:rPr>
              <w:t xml:space="preserve">I </w:t>
            </w:r>
          </w:p>
        </w:tc>
        <w:tc>
          <w:tcPr>
            <w:tcW w:w="1392"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t>美元</w:t>
            </w:r>
            <w:r>
              <w:rPr>
                <w:rFonts w:ascii="Arial" w:eastAsia="Arial" w:hAnsi="Arial" w:cs="Arial"/>
              </w:rPr>
              <w:t xml:space="preserve"> </w:t>
            </w:r>
          </w:p>
        </w:tc>
      </w:tr>
      <w:tr w:rsidR="004D6F0E">
        <w:trPr>
          <w:trHeight w:val="470"/>
        </w:trPr>
        <w:tc>
          <w:tcPr>
            <w:tcW w:w="2698" w:type="dxa"/>
            <w:tcBorders>
              <w:top w:val="single" w:sz="2" w:space="0" w:color="000000"/>
              <w:left w:val="single" w:sz="2" w:space="0" w:color="000000"/>
              <w:bottom w:val="single" w:sz="2" w:space="0" w:color="000000"/>
              <w:right w:val="single" w:sz="2" w:space="0" w:color="000000"/>
            </w:tcBorders>
          </w:tcPr>
          <w:p w:rsidR="004D6F0E" w:rsidRDefault="00490F21">
            <w:pPr>
              <w:spacing w:after="12" w:line="259" w:lineRule="auto"/>
              <w:ind w:left="0" w:firstLine="0"/>
            </w:pPr>
            <w:r>
              <w:t>日本策略價值基金</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tc>
        <w:tc>
          <w:tcPr>
            <w:tcW w:w="1166"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rPr>
                <w:rFonts w:ascii="Arial" w:eastAsia="Arial" w:hAnsi="Arial" w:cs="Arial"/>
              </w:rPr>
              <w:t xml:space="preserve">I </w:t>
            </w:r>
          </w:p>
        </w:tc>
        <w:tc>
          <w:tcPr>
            <w:tcW w:w="1392" w:type="dxa"/>
            <w:tcBorders>
              <w:top w:val="single" w:sz="2" w:space="0" w:color="000000"/>
              <w:left w:val="single" w:sz="2" w:space="0" w:color="000000"/>
              <w:bottom w:val="single" w:sz="2" w:space="0" w:color="000000"/>
              <w:right w:val="single" w:sz="2" w:space="0" w:color="000000"/>
            </w:tcBorders>
          </w:tcPr>
          <w:p w:rsidR="004D6F0E" w:rsidRDefault="00490F21">
            <w:pPr>
              <w:spacing w:after="0" w:line="259" w:lineRule="auto"/>
              <w:ind w:left="0" w:firstLine="0"/>
            </w:pPr>
            <w:r>
              <w:t>日圓</w:t>
            </w:r>
            <w:r>
              <w:rPr>
                <w:rFonts w:ascii="Arial" w:eastAsia="Arial" w:hAnsi="Arial" w:cs="Arial"/>
              </w:rPr>
              <w:t xml:space="preserve"> </w:t>
            </w:r>
          </w:p>
        </w:tc>
      </w:tr>
    </w:tbl>
    <w:p w:rsidR="004D6F0E" w:rsidRDefault="00490F21">
      <w:pPr>
        <w:spacing w:after="86" w:line="259" w:lineRule="auto"/>
        <w:ind w:left="13" w:firstLine="0"/>
      </w:pPr>
      <w:r>
        <w:rPr>
          <w:rFonts w:ascii="Arial" w:eastAsia="Arial" w:hAnsi="Arial" w:cs="Arial"/>
        </w:rPr>
        <w:t xml:space="preserve"> </w:t>
      </w:r>
    </w:p>
    <w:p w:rsidR="004D6F0E" w:rsidRDefault="00490F21">
      <w:pPr>
        <w:spacing w:after="55"/>
        <w:ind w:left="11" w:right="2"/>
      </w:pPr>
      <w:r>
        <w:t>倘股東出售股份的類別於股東持有該等股份的整段期間一直擁有「申報基金」身份，以及在有關股份並非作為買賣股票持有的前提下，股東出售該等股份所實現的收益，須繳納資本增益稅（如屬個人股東（在此情況下，股東的應課稅收益金額或可減去年度</w:t>
      </w:r>
      <w:r>
        <w:t xml:space="preserve"> </w:t>
      </w:r>
      <w:r>
        <w:rPr>
          <w:rFonts w:ascii="Arial" w:eastAsia="Arial" w:hAnsi="Arial" w:cs="Arial"/>
        </w:rPr>
        <w:t xml:space="preserve">CGT </w:t>
      </w:r>
      <w:r>
        <w:t>寬免））或就應課稅收益繳納企業稅（如屬</w:t>
      </w:r>
    </w:p>
    <w:p w:rsidR="004D6F0E" w:rsidRDefault="00490F21">
      <w:pPr>
        <w:spacing w:after="3" w:line="259" w:lineRule="auto"/>
        <w:ind w:right="46" w:hanging="10"/>
        <w:jc w:val="right"/>
      </w:pPr>
      <w:r>
        <w:rPr>
          <w:rFonts w:ascii="Times New Roman" w:eastAsia="Times New Roman" w:hAnsi="Times New Roman" w:cs="Times New Roman"/>
          <w:sz w:val="20"/>
        </w:rPr>
        <w:t xml:space="preserve">II-63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98"/>
        <w:ind w:left="11" w:right="2"/>
      </w:pPr>
      <w:r>
        <w:t>法人實體（在此情況下，股東的應課稅收益金額或可減去指數化免稅額））。出售股份的虧損將合資格作資本增益虧損寬減。然而，股東應留意，「申報基金」身份必須於股東持股的整段期間內維持，以令股東可獲得該資本增益待遇。倘股東持有股份的類別並非於持股的整段期間內一直擁有「申報基金」身份，則出售股份所實現的全部收益將作為「離岸收入收益」按適用於收入的稅率而非作為資本增益納稅。</w:t>
      </w:r>
      <w:r>
        <w:rPr>
          <w:rFonts w:ascii="Arial" w:eastAsia="Arial" w:hAnsi="Arial" w:cs="Arial"/>
        </w:rPr>
        <w:t xml:space="preserve"> </w:t>
      </w:r>
    </w:p>
    <w:p w:rsidR="004D6F0E" w:rsidRDefault="00490F21">
      <w:pPr>
        <w:spacing w:after="103"/>
        <w:ind w:left="11" w:right="2"/>
      </w:pPr>
      <w:r>
        <w:t>只要一類股份擁有「申報基金」身份，本傘子基金須（作為「申報基金」體制的一項條件）每年計算相關股份類別應佔的「可申報收入」（不包括資本增益），並將該</w:t>
      </w:r>
      <w:r>
        <w:t>收入向持有該類股份的股東「申報」。「可申報收入」的計算方法載於二零零九年離岸基金（稅收）規例（「規例」）。根據規例向股東申報的「可申報收入」將被視為猶如已獲實際分派。因此，於期內最後一日在股東名冊持有相關類別股份的股東須就此於「基金分派日期」（即申報期間最後一日後六個月當日）或所申報收入於股東帳戶確認的較早日期的視作分派納稅。當股東最終計算其出售股份的資本增益時，該已申報但未分派的收入可獲得寬減，致令有關金額無須再次繳納英國稅項。</w:t>
      </w:r>
      <w:r>
        <w:rPr>
          <w:rFonts w:ascii="Arial" w:eastAsia="Arial" w:hAnsi="Arial" w:cs="Arial"/>
        </w:rPr>
        <w:t xml:space="preserve"> </w:t>
      </w:r>
    </w:p>
    <w:p w:rsidR="004D6F0E" w:rsidRDefault="00490F21">
      <w:pPr>
        <w:spacing w:after="100"/>
        <w:ind w:left="11" w:right="2"/>
      </w:pPr>
      <w:r>
        <w:t>特別規則適用於若干類別的英國投資者，包括退休基金、保險公司、投資信託、認可單位信託及開放式投資公司。該等投資者應諮詢彼等的法律顧問以取得進一步資料。</w:t>
      </w:r>
      <w:r>
        <w:rPr>
          <w:rFonts w:ascii="Arial" w:eastAsia="Arial" w:hAnsi="Arial" w:cs="Arial"/>
        </w:rPr>
        <w:t xml:space="preserve"> </w:t>
      </w:r>
    </w:p>
    <w:p w:rsidR="004D6F0E" w:rsidRDefault="00490F21">
      <w:pPr>
        <w:spacing w:after="123"/>
        <w:ind w:left="11" w:right="2"/>
      </w:pPr>
      <w:r>
        <w:t>重要事項</w:t>
      </w:r>
      <w:r>
        <w:rPr>
          <w:rFonts w:ascii="Arial" w:eastAsia="Arial" w:hAnsi="Arial" w:cs="Arial"/>
          <w:b/>
        </w:rPr>
        <w:t xml:space="preserve"> </w:t>
      </w:r>
    </w:p>
    <w:p w:rsidR="004D6F0E" w:rsidRDefault="00490F21">
      <w:pPr>
        <w:spacing w:after="119"/>
        <w:ind w:left="11" w:right="2"/>
      </w:pPr>
      <w:r>
        <w:t>依照認購章程認購股份的英國投資者與本傘子基金訂立投資協議將無權根據金融服務管理局（「</w:t>
      </w:r>
      <w:r>
        <w:rPr>
          <w:rFonts w:ascii="Arial" w:eastAsia="Arial" w:hAnsi="Arial" w:cs="Arial"/>
        </w:rPr>
        <w:t>FSA</w:t>
      </w:r>
      <w:r>
        <w:t>」）制訂的取消規則取消該協議。本傘子基金接受訂單後，該協議即有約束力。本傘子基金並不從英國的永久性營業地點從事任何受監管活動，因此英國投資者應注意，英國監管制度提供的多數保障並不適用於本傘子基金投資。本傘子基金股東可能並不受英國建立的金融服務補償機制的保障。</w:t>
      </w:r>
      <w:r>
        <w:t>管理公司的註冊地址載列於認購章程「目錄」章節。</w:t>
      </w:r>
      <w:r>
        <w:rPr>
          <w:rFonts w:ascii="Arial" w:eastAsia="Arial" w:hAnsi="Arial" w:cs="Arial"/>
        </w:rPr>
        <w:t xml:space="preserve"> </w:t>
      </w:r>
    </w:p>
    <w:p w:rsidR="004D6F0E" w:rsidRDefault="00490F21">
      <w:pPr>
        <w:spacing w:after="129"/>
        <w:ind w:left="11" w:right="2"/>
      </w:pPr>
      <w:r>
        <w:t>交易安排及資料</w:t>
      </w:r>
      <w:r>
        <w:rPr>
          <w:rFonts w:ascii="Arial" w:eastAsia="Arial" w:hAnsi="Arial" w:cs="Arial"/>
          <w:b/>
        </w:rPr>
        <w:t xml:space="preserve"> </w:t>
      </w:r>
    </w:p>
    <w:p w:rsidR="004D6F0E" w:rsidRDefault="00490F21">
      <w:pPr>
        <w:spacing w:after="116" w:line="278" w:lineRule="auto"/>
        <w:ind w:left="-3" w:right="28" w:firstLine="3"/>
        <w:jc w:val="both"/>
      </w:pPr>
      <w:r>
        <w:rPr>
          <w:rFonts w:ascii="Arial" w:eastAsia="Arial" w:hAnsi="Arial" w:cs="Arial"/>
        </w:rPr>
        <w:t>AllianceBernstein Limited</w:t>
      </w:r>
      <w:r>
        <w:t>（「融通代理」）將作為本傘子基金在英國的融通代理，並已同意在其辦事處（</w:t>
      </w:r>
      <w:r>
        <w:rPr>
          <w:rFonts w:ascii="Arial" w:eastAsia="Arial" w:hAnsi="Arial" w:cs="Arial"/>
        </w:rPr>
        <w:t>60 London Wall, London, EC2M 5SJ, United Kingdom</w:t>
      </w:r>
      <w:r>
        <w:t>）提供與本傘子基金相關的某些融通。</w:t>
      </w:r>
      <w:r>
        <w:rPr>
          <w:rFonts w:ascii="Arial" w:eastAsia="Arial" w:hAnsi="Arial" w:cs="Arial"/>
        </w:rPr>
        <w:t xml:space="preserve"> </w:t>
      </w:r>
    </w:p>
    <w:p w:rsidR="004D6F0E" w:rsidRDefault="00490F21">
      <w:pPr>
        <w:spacing w:after="123"/>
        <w:ind w:left="11" w:right="2"/>
      </w:pPr>
      <w:r>
        <w:t>資料公佈</w:t>
      </w:r>
      <w:r>
        <w:rPr>
          <w:rFonts w:ascii="Arial" w:eastAsia="Arial" w:hAnsi="Arial" w:cs="Arial"/>
          <w:b/>
        </w:rPr>
        <w:t xml:space="preserve"> </w:t>
      </w:r>
    </w:p>
    <w:p w:rsidR="004D6F0E" w:rsidRDefault="00490F21">
      <w:pPr>
        <w:spacing w:after="121"/>
        <w:ind w:left="11" w:right="2"/>
      </w:pPr>
      <w:r>
        <w:t>各股份類別的每股資產淨值可於各營業日在管理公司註冊辦事處查閱，也可致電</w:t>
      </w:r>
      <w:r>
        <w:rPr>
          <w:rFonts w:ascii="Arial" w:eastAsia="Arial" w:hAnsi="Arial" w:cs="Arial"/>
        </w:rPr>
        <w:t xml:space="preserve">+44-207-470-0100 </w:t>
      </w:r>
      <w:r>
        <w:t>向融通代理及於其上述辦事處查詢。釐定每股資產淨值的詳情載列於認購章程第</w:t>
      </w:r>
      <w:r>
        <w:t xml:space="preserve"> </w:t>
      </w:r>
      <w:r>
        <w:rPr>
          <w:rFonts w:ascii="Arial" w:eastAsia="Arial" w:hAnsi="Arial" w:cs="Arial"/>
        </w:rPr>
        <w:t>I</w:t>
      </w:r>
      <w:r>
        <w:rPr>
          <w:rFonts w:ascii="Arial" w:eastAsia="Arial" w:hAnsi="Arial" w:cs="Arial"/>
        </w:rPr>
        <w:t xml:space="preserve">I </w:t>
      </w:r>
      <w:r>
        <w:t>部分「附加資料」分節中「股份資產淨值的釐定」一段。</w:t>
      </w:r>
      <w:r>
        <w:rPr>
          <w:rFonts w:ascii="Arial" w:eastAsia="Arial" w:hAnsi="Arial" w:cs="Arial"/>
        </w:rPr>
        <w:t xml:space="preserve"> </w:t>
      </w:r>
    </w:p>
    <w:p w:rsidR="004D6F0E" w:rsidRDefault="00490F21">
      <w:pPr>
        <w:spacing w:after="126"/>
        <w:ind w:left="11" w:right="2"/>
      </w:pPr>
      <w:r>
        <w:t>認購和贖回程序</w:t>
      </w:r>
      <w:r>
        <w:rPr>
          <w:rFonts w:ascii="Arial" w:eastAsia="Arial" w:hAnsi="Arial" w:cs="Arial"/>
          <w:b/>
        </w:rPr>
        <w:t xml:space="preserve"> </w:t>
      </w:r>
    </w:p>
    <w:p w:rsidR="004D6F0E" w:rsidRDefault="00490F21">
      <w:pPr>
        <w:spacing w:after="102" w:line="273" w:lineRule="auto"/>
        <w:ind w:left="14" w:right="41"/>
        <w:jc w:val="both"/>
      </w:pPr>
      <w:r>
        <w:t>投資者應留意認購章程第</w:t>
      </w:r>
      <w:r>
        <w:t xml:space="preserve"> </w:t>
      </w:r>
      <w:r>
        <w:rPr>
          <w:rFonts w:ascii="Arial" w:eastAsia="Arial" w:hAnsi="Arial" w:cs="Arial"/>
        </w:rPr>
        <w:t xml:space="preserve">II </w:t>
      </w:r>
      <w:r>
        <w:t>部分「如何購買股份」和「如何贖回股份」分節載列的認購和贖回程序，尤其是於交易日接受認購股份指示或贖回股份要求的截止時間。認購股份指示和贖回要求須送至管理公司的過戶代理部，相關詳情載列於認購章程目錄章節，另外，也可直接向融通代理的上述辦事處下達贖回要求，收件人：</w:t>
      </w:r>
      <w:r>
        <w:rPr>
          <w:rFonts w:ascii="Arial" w:eastAsia="Arial" w:hAnsi="Arial" w:cs="Arial"/>
        </w:rPr>
        <w:t xml:space="preserve">Managing Director of AllianceBernstein Global </w:t>
      </w:r>
    </w:p>
    <w:p w:rsidR="004D6F0E" w:rsidRDefault="004D6F0E">
      <w:pPr>
        <w:sectPr w:rsidR="004D6F0E">
          <w:headerReference w:type="even" r:id="rId357"/>
          <w:headerReference w:type="default" r:id="rId358"/>
          <w:footerReference w:type="even" r:id="rId359"/>
          <w:footerReference w:type="default" r:id="rId360"/>
          <w:headerReference w:type="first" r:id="rId361"/>
          <w:footerReference w:type="first" r:id="rId362"/>
          <w:pgSz w:w="12240" w:h="15840"/>
          <w:pgMar w:top="1440" w:right="675" w:bottom="1440" w:left="707" w:header="750" w:footer="720" w:gutter="0"/>
          <w:cols w:num="2" w:space="720" w:equalWidth="0">
            <w:col w:w="5658" w:space="111"/>
            <w:col w:w="5089"/>
          </w:cols>
          <w:titlePg/>
        </w:sectPr>
      </w:pPr>
    </w:p>
    <w:p w:rsidR="004D6F0E" w:rsidRDefault="00490F21">
      <w:pPr>
        <w:tabs>
          <w:tab w:val="center" w:pos="6140"/>
        </w:tabs>
        <w:spacing w:after="36" w:line="250" w:lineRule="auto"/>
        <w:ind w:left="0" w:firstLine="0"/>
      </w:pPr>
      <w:r>
        <w:rPr>
          <w:rFonts w:ascii="Arial" w:eastAsia="Arial" w:hAnsi="Arial" w:cs="Arial"/>
        </w:rPr>
        <w:t>Wealth Management</w:t>
      </w:r>
      <w:r>
        <w:t>，電話號碼：</w:t>
      </w:r>
      <w:r>
        <w:rPr>
          <w:rFonts w:ascii="Arial" w:eastAsia="Arial" w:hAnsi="Arial" w:cs="Arial"/>
        </w:rPr>
        <w:t>0207 959 4900</w:t>
      </w:r>
      <w:r>
        <w:t>，傳真號碼</w:t>
      </w:r>
      <w:r>
        <w:t>：</w:t>
      </w:r>
      <w:r>
        <w:tab/>
      </w:r>
      <w:r>
        <w:t>備查文件</w:t>
      </w:r>
      <w:r>
        <w:rPr>
          <w:rFonts w:ascii="Arial" w:eastAsia="Arial" w:hAnsi="Arial" w:cs="Arial"/>
          <w:b/>
        </w:rPr>
        <w:t xml:space="preserve"> </w:t>
      </w:r>
    </w:p>
    <w:p w:rsidR="004D6F0E" w:rsidRDefault="00490F21">
      <w:pPr>
        <w:spacing w:line="250" w:lineRule="auto"/>
        <w:ind w:hanging="10"/>
      </w:pPr>
      <w:r>
        <w:rPr>
          <w:rFonts w:ascii="Arial" w:eastAsia="Arial" w:hAnsi="Arial" w:cs="Arial"/>
        </w:rPr>
        <w:t>0207 1980854</w:t>
      </w:r>
      <w:r>
        <w:t>。</w:t>
      </w:r>
      <w:r>
        <w:rPr>
          <w:rFonts w:ascii="Arial" w:eastAsia="Arial" w:hAnsi="Arial" w:cs="Arial"/>
        </w:rPr>
        <w:t xml:space="preserve"> </w:t>
      </w:r>
    </w:p>
    <w:p w:rsidR="004D6F0E" w:rsidRDefault="00490F21">
      <w:pPr>
        <w:spacing w:after="123"/>
        <w:ind w:left="5769" w:right="2"/>
      </w:pPr>
      <w:r>
        <w:t>下列文件可於任何工作日（星期六和公眾假期除外）正常營業時間在融通代理辦事處免費查閱︰</w:t>
      </w:r>
      <w:r>
        <w:rPr>
          <w:rFonts w:ascii="Arial" w:eastAsia="Arial" w:hAnsi="Arial" w:cs="Arial"/>
        </w:rPr>
        <w:t xml:space="preserve"> </w:t>
      </w:r>
    </w:p>
    <w:p w:rsidR="004D6F0E" w:rsidRDefault="00490F21">
      <w:pPr>
        <w:numPr>
          <w:ilvl w:val="0"/>
          <w:numId w:val="60"/>
        </w:numPr>
        <w:spacing w:after="124"/>
        <w:ind w:right="2" w:hanging="360"/>
      </w:pPr>
      <w:r>
        <w:t>本傘子基金的管理條例及其任何修訂；</w:t>
      </w:r>
      <w:r>
        <w:rPr>
          <w:rFonts w:ascii="Arial" w:eastAsia="Arial" w:hAnsi="Arial" w:cs="Arial"/>
        </w:rPr>
        <w:t xml:space="preserve"> </w:t>
      </w:r>
    </w:p>
    <w:p w:rsidR="004D6F0E" w:rsidRDefault="00490F21">
      <w:pPr>
        <w:numPr>
          <w:ilvl w:val="0"/>
          <w:numId w:val="60"/>
        </w:numPr>
        <w:spacing w:after="124"/>
        <w:ind w:right="2" w:hanging="360"/>
      </w:pPr>
      <w:r>
        <w:t>管理公司的公司章程及其任何修訂；</w:t>
      </w:r>
      <w:r>
        <w:rPr>
          <w:rFonts w:ascii="Arial" w:eastAsia="Arial" w:hAnsi="Arial" w:cs="Arial"/>
        </w:rPr>
        <w:t xml:space="preserve"> </w:t>
      </w:r>
    </w:p>
    <w:p w:rsidR="004D6F0E" w:rsidRDefault="00490F21">
      <w:pPr>
        <w:numPr>
          <w:ilvl w:val="0"/>
          <w:numId w:val="60"/>
        </w:numPr>
        <w:spacing w:after="124"/>
        <w:ind w:right="2" w:hanging="360"/>
      </w:pPr>
      <w:r>
        <w:t>本傘子基金最新發佈的認購章程及任何補充文件；</w:t>
      </w:r>
      <w:r>
        <w:rPr>
          <w:rFonts w:ascii="Arial" w:eastAsia="Arial" w:hAnsi="Arial" w:cs="Arial"/>
        </w:rPr>
        <w:t xml:space="preserve"> </w:t>
      </w:r>
    </w:p>
    <w:p w:rsidR="004D6F0E" w:rsidRDefault="00490F21">
      <w:pPr>
        <w:numPr>
          <w:ilvl w:val="0"/>
          <w:numId w:val="60"/>
        </w:numPr>
        <w:spacing w:after="3" w:line="405" w:lineRule="auto"/>
        <w:ind w:right="2" w:hanging="360"/>
      </w:pPr>
      <w:r>
        <w:t>本傘子基金最新發佈的投資者重要資訊文件；及</w:t>
      </w:r>
      <w:r>
        <w:rPr>
          <w:rFonts w:ascii="Arial" w:eastAsia="Arial" w:hAnsi="Arial" w:cs="Arial"/>
        </w:rPr>
        <w:t xml:space="preserve"> (e) </w:t>
      </w:r>
      <w:r>
        <w:t>最新發佈的本傘子基金相關年報及半年度報告。</w:t>
      </w:r>
      <w:r>
        <w:rPr>
          <w:rFonts w:ascii="Arial" w:eastAsia="Arial" w:hAnsi="Arial" w:cs="Arial"/>
        </w:rPr>
        <w:t xml:space="preserve"> </w:t>
      </w:r>
    </w:p>
    <w:p w:rsidR="004D6F0E" w:rsidRDefault="00490F21">
      <w:pPr>
        <w:spacing w:after="123"/>
        <w:ind w:left="5769" w:right="2"/>
      </w:pPr>
      <w:r>
        <w:t>上述文件可應要求遞送予有興趣的投資者。</w:t>
      </w:r>
      <w:r>
        <w:rPr>
          <w:rFonts w:ascii="Arial" w:eastAsia="Arial" w:hAnsi="Arial" w:cs="Arial"/>
        </w:rPr>
        <w:t xml:space="preserve"> </w:t>
      </w:r>
    </w:p>
    <w:p w:rsidR="004D6F0E" w:rsidRDefault="00490F21">
      <w:pPr>
        <w:spacing w:after="116"/>
        <w:ind w:left="5769" w:right="2"/>
      </w:pPr>
      <w:r>
        <w:t>融通代理辦事處可提供的融通（以英文提供）包括：</w:t>
      </w:r>
      <w:r>
        <w:rPr>
          <w:rFonts w:ascii="Arial" w:eastAsia="Arial" w:hAnsi="Arial" w:cs="Arial"/>
          <w:sz w:val="20"/>
        </w:rPr>
        <w:t xml:space="preserve"> </w:t>
      </w:r>
      <w:r>
        <w:rPr>
          <w:rFonts w:ascii="Arial" w:eastAsia="Arial" w:hAnsi="Arial" w:cs="Arial"/>
        </w:rPr>
        <w:t xml:space="preserve"> </w:t>
      </w:r>
    </w:p>
    <w:p w:rsidR="004D6F0E" w:rsidRDefault="00490F21">
      <w:pPr>
        <w:numPr>
          <w:ilvl w:val="1"/>
          <w:numId w:val="60"/>
        </w:numPr>
        <w:ind w:right="1947" w:hanging="360"/>
        <w:jc w:val="center"/>
      </w:pPr>
      <w:r>
        <w:t>贖回要求及支付贖回所得款項的安排</w:t>
      </w:r>
      <w:r>
        <w:rPr>
          <w:rFonts w:ascii="Arial" w:eastAsia="Arial" w:hAnsi="Arial" w:cs="Arial"/>
        </w:rPr>
        <w:t xml:space="preserve"> </w:t>
      </w:r>
    </w:p>
    <w:p w:rsidR="004D6F0E" w:rsidRDefault="00490F21">
      <w:pPr>
        <w:numPr>
          <w:ilvl w:val="1"/>
          <w:numId w:val="60"/>
        </w:numPr>
        <w:spacing w:after="3" w:line="259" w:lineRule="auto"/>
        <w:ind w:right="1947" w:hanging="360"/>
        <w:jc w:val="center"/>
      </w:pPr>
      <w:r>
        <w:t>支付股息</w:t>
      </w:r>
      <w:r>
        <w:rPr>
          <w:rFonts w:ascii="Arial" w:eastAsia="Arial" w:hAnsi="Arial" w:cs="Arial"/>
        </w:rPr>
        <w:t xml:space="preserve"> </w:t>
      </w:r>
    </w:p>
    <w:p w:rsidR="004D6F0E" w:rsidRDefault="00490F21">
      <w:pPr>
        <w:numPr>
          <w:ilvl w:val="1"/>
          <w:numId w:val="60"/>
        </w:numPr>
        <w:ind w:right="1947" w:hanging="360"/>
        <w:jc w:val="center"/>
      </w:pPr>
      <w:r>
        <w:t>向參與者提供的通知的詳情／副本</w:t>
      </w:r>
      <w:r>
        <w:rPr>
          <w:rFonts w:ascii="Arial" w:eastAsia="Arial" w:hAnsi="Arial" w:cs="Arial"/>
        </w:rPr>
        <w:t xml:space="preserve"> </w:t>
      </w:r>
    </w:p>
    <w:p w:rsidR="004D6F0E" w:rsidRDefault="00490F21">
      <w:pPr>
        <w:numPr>
          <w:ilvl w:val="1"/>
          <w:numId w:val="60"/>
        </w:numPr>
        <w:spacing w:after="3" w:line="259" w:lineRule="auto"/>
        <w:ind w:right="1947" w:hanging="360"/>
        <w:jc w:val="center"/>
      </w:pPr>
      <w:r>
        <w:t>股份所代表的權利性質</w:t>
      </w:r>
      <w:r>
        <w:rPr>
          <w:rFonts w:ascii="Arial" w:eastAsia="Arial" w:hAnsi="Arial" w:cs="Arial"/>
        </w:rPr>
        <w:t xml:space="preserve"> </w:t>
      </w:r>
    </w:p>
    <w:p w:rsidR="004D6F0E" w:rsidRDefault="00490F21">
      <w:pPr>
        <w:numPr>
          <w:ilvl w:val="1"/>
          <w:numId w:val="60"/>
        </w:numPr>
        <w:spacing w:after="3" w:line="259" w:lineRule="auto"/>
        <w:ind w:right="1947" w:hanging="360"/>
        <w:jc w:val="center"/>
      </w:pPr>
      <w:r>
        <w:t>投票權的詳情</w:t>
      </w:r>
      <w:r>
        <w:rPr>
          <w:rFonts w:ascii="Arial" w:eastAsia="Arial" w:hAnsi="Arial" w:cs="Arial"/>
        </w:rPr>
        <w:t xml:space="preserve"> </w:t>
      </w:r>
    </w:p>
    <w:p w:rsidR="004D6F0E" w:rsidRDefault="00490F21">
      <w:pPr>
        <w:numPr>
          <w:ilvl w:val="1"/>
          <w:numId w:val="60"/>
        </w:numPr>
        <w:spacing w:after="3" w:line="259" w:lineRule="auto"/>
        <w:ind w:right="1947" w:hanging="360"/>
        <w:jc w:val="center"/>
      </w:pPr>
      <w:r>
        <w:t>資產淨值資料</w:t>
      </w:r>
      <w:r>
        <w:rPr>
          <w:rFonts w:ascii="Arial" w:eastAsia="Arial" w:hAnsi="Arial" w:cs="Arial"/>
        </w:rPr>
        <w:t xml:space="preserve"> </w:t>
      </w:r>
    </w:p>
    <w:p w:rsidR="004D6F0E" w:rsidRDefault="00490F21">
      <w:pPr>
        <w:numPr>
          <w:ilvl w:val="1"/>
          <w:numId w:val="60"/>
        </w:numPr>
        <w:spacing w:after="7528"/>
        <w:ind w:right="1947" w:hanging="360"/>
        <w:jc w:val="center"/>
      </w:pPr>
      <w:r>
        <w:t>收到投訴（對本傘子基金營運的投訴可直接呈遞至本傘子基金的管理公司或透過位於上述地址的融通代理呈遞）。</w:t>
      </w:r>
    </w:p>
    <w:p w:rsidR="004D6F0E" w:rsidRDefault="00490F21">
      <w:pPr>
        <w:spacing w:after="3" w:line="259" w:lineRule="auto"/>
        <w:ind w:right="4" w:hanging="10"/>
        <w:jc w:val="center"/>
      </w:pPr>
      <w:r>
        <w:rPr>
          <w:rFonts w:ascii="Times New Roman" w:eastAsia="Times New Roman" w:hAnsi="Times New Roman" w:cs="Times New Roman"/>
          <w:sz w:val="20"/>
        </w:rPr>
        <w:t xml:space="preserve">II-64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D6F0E">
      <w:pPr>
        <w:sectPr w:rsidR="004D6F0E">
          <w:type w:val="continuous"/>
          <w:pgSz w:w="12240" w:h="15840"/>
          <w:pgMar w:top="1440" w:right="719" w:bottom="1440" w:left="720" w:header="720" w:footer="720" w:gutter="0"/>
          <w:cols w:space="720"/>
        </w:sectPr>
      </w:pPr>
    </w:p>
    <w:p w:rsidR="004D6F0E" w:rsidRDefault="00490F21">
      <w:pPr>
        <w:pStyle w:val="Heading4"/>
        <w:spacing w:after="185"/>
        <w:ind w:left="14"/>
      </w:pPr>
      <w:r>
        <w:t>附錄</w:t>
      </w:r>
      <w:r>
        <w:t xml:space="preserve"> </w:t>
      </w:r>
      <w:r>
        <w:rPr>
          <w:rFonts w:ascii="Arial" w:eastAsia="Arial" w:hAnsi="Arial" w:cs="Arial"/>
        </w:rPr>
        <w:t>E</w:t>
      </w:r>
      <w:r>
        <w:t>：</w:t>
      </w:r>
      <w:r>
        <w:rPr>
          <w:rFonts w:ascii="Arial" w:eastAsia="Arial" w:hAnsi="Arial" w:cs="Arial"/>
        </w:rPr>
        <w:t xml:space="preserve">SFDR </w:t>
      </w:r>
      <w:r>
        <w:t>訂約前相關披露</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23"/>
        </w:rPr>
        <w:t xml:space="preserve"> </w:t>
      </w:r>
    </w:p>
    <w:p w:rsidR="004D6F0E" w:rsidRDefault="00490F21">
      <w:pPr>
        <w:ind w:left="11" w:right="2"/>
      </w:pPr>
      <w:r>
        <w:t>下列披露乃根據規例（歐盟）</w:t>
      </w:r>
      <w:r>
        <w:rPr>
          <w:rFonts w:ascii="Arial" w:eastAsia="Arial" w:hAnsi="Arial" w:cs="Arial"/>
        </w:rPr>
        <w:t>2019/2088 (</w:t>
      </w:r>
      <w:r>
        <w:t>「</w:t>
      </w:r>
      <w:r>
        <w:rPr>
          <w:rFonts w:ascii="Arial" w:eastAsia="Arial" w:hAnsi="Arial" w:cs="Arial"/>
          <w:b/>
        </w:rPr>
        <w:t>SFDR</w:t>
      </w:r>
      <w:r>
        <w:t>」</w:t>
      </w:r>
      <w:r>
        <w:rPr>
          <w:rFonts w:ascii="Arial" w:eastAsia="Arial" w:hAnsi="Arial" w:cs="Arial"/>
        </w:rPr>
        <w:t xml:space="preserve">) </w:t>
      </w:r>
      <w:r>
        <w:t>（經不時修訂及補充）及為其目的而作出，並非意在提供關於基金是否</w:t>
      </w:r>
    </w:p>
    <w:p w:rsidR="004D6F0E" w:rsidRDefault="00490F21">
      <w:pPr>
        <w:ind w:left="11" w:right="2"/>
      </w:pPr>
      <w:r>
        <w:t>適合有意投資者的投資需要的詳盡資料。</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有關管理公司的可持續性相關披露的更多資料，請參閱管理公司網站。</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0" w:line="273" w:lineRule="auto"/>
        <w:ind w:left="14" w:right="515"/>
        <w:jc w:val="both"/>
      </w:pPr>
      <w:r>
        <w:t>本附錄對「聯博」的任何提述均指投資管理人、管理公司及／或直接或間接向基金提供投資管理服務的另一</w:t>
      </w:r>
      <w:r>
        <w:t xml:space="preserve"> </w:t>
      </w:r>
      <w:r>
        <w:rPr>
          <w:rFonts w:ascii="Arial" w:eastAsia="Arial" w:hAnsi="Arial" w:cs="Arial"/>
        </w:rPr>
        <w:t xml:space="preserve">ABLP </w:t>
      </w:r>
      <w:r>
        <w:t>附屬公司（視情況而定）。對於歸類為</w:t>
      </w:r>
      <w:r>
        <w:t xml:space="preserve"> </w:t>
      </w:r>
      <w:r>
        <w:rPr>
          <w:rFonts w:ascii="Arial" w:eastAsia="Arial" w:hAnsi="Arial" w:cs="Arial"/>
        </w:rPr>
        <w:t xml:space="preserve">SFDR </w:t>
      </w:r>
      <w:r>
        <w:t>第</w:t>
      </w:r>
      <w:r>
        <w:t xml:space="preserve"> </w:t>
      </w:r>
      <w:r>
        <w:rPr>
          <w:rFonts w:ascii="Arial" w:eastAsia="Arial" w:hAnsi="Arial" w:cs="Arial"/>
        </w:rPr>
        <w:t xml:space="preserve">8 </w:t>
      </w:r>
      <w:r>
        <w:t>條或第</w:t>
      </w:r>
      <w:r>
        <w:t xml:space="preserve"> </w:t>
      </w:r>
      <w:r>
        <w:rPr>
          <w:rFonts w:ascii="Arial" w:eastAsia="Arial" w:hAnsi="Arial" w:cs="Arial"/>
        </w:rPr>
        <w:t xml:space="preserve">9 </w:t>
      </w:r>
      <w:r>
        <w:t>條的基金，聯博已評估與其各自的投資策略相關的可持續性風險的影響，並認為該等風險與環境、社會或管治事件或狀況相關，倘若發生，會對其投資價值造成實際或潛在的重大負面影響。可持續性風險的可能影響將因投資目標、策略及政策而異，但鑑於相關投資領域，聯博認為環境、社會或管治事件可能</w:t>
      </w:r>
      <w:r>
        <w:t>對（其中包括）某證券的價值、質素及／或穩定性、投資對象發行人的財務健康狀況、發行人的信貸質素，及／或債務發行人支付票息或履</w:t>
      </w:r>
    </w:p>
    <w:p w:rsidR="004D6F0E" w:rsidRDefault="00490F21">
      <w:pPr>
        <w:ind w:left="11" w:right="2"/>
      </w:pPr>
      <w:r>
        <w:t>行其他義務的能力造成重大負面影響。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ind w:left="11" w:right="2"/>
      </w:pPr>
      <w:r>
        <w:t>主要釋義</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b/>
        </w:rPr>
        <w:t xml:space="preserve"> </w:t>
      </w:r>
    </w:p>
    <w:tbl>
      <w:tblPr>
        <w:tblStyle w:val="TableGrid"/>
        <w:tblW w:w="5174" w:type="dxa"/>
        <w:tblInd w:w="5" w:type="dxa"/>
        <w:tblCellMar>
          <w:top w:w="151" w:type="dxa"/>
          <w:left w:w="108" w:type="dxa"/>
          <w:bottom w:w="0" w:type="dxa"/>
          <w:right w:w="62" w:type="dxa"/>
        </w:tblCellMar>
        <w:tblLook w:val="04A0" w:firstRow="1" w:lastRow="0" w:firstColumn="1" w:lastColumn="0" w:noHBand="0" w:noVBand="1"/>
      </w:tblPr>
      <w:tblGrid>
        <w:gridCol w:w="419"/>
        <w:gridCol w:w="4798"/>
      </w:tblGrid>
      <w:tr w:rsidR="004D6F0E">
        <w:trPr>
          <w:trHeight w:val="950"/>
        </w:trPr>
        <w:tc>
          <w:tcPr>
            <w:tcW w:w="1697"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jc w:val="both"/>
            </w:pPr>
            <w:r>
              <w:rPr>
                <w:sz w:val="18"/>
              </w:rPr>
              <w:t>聯博盡責管理方法</w:t>
            </w:r>
            <w:r>
              <w:rPr>
                <w:rFonts w:ascii="Arial" w:eastAsia="Arial" w:hAnsi="Arial" w:cs="Arial"/>
                <w:b/>
                <w:sz w:val="18"/>
              </w:rPr>
              <w:t xml:space="preserve">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pPr>
            <w:r>
              <w:rPr>
                <w:sz w:val="18"/>
              </w:rPr>
              <w:t>聯博環球盡責管理聲明：聯博關於負責任投資、</w:t>
            </w:r>
            <w:r>
              <w:rPr>
                <w:rFonts w:ascii="Arial" w:eastAsia="Arial" w:hAnsi="Arial" w:cs="Arial"/>
                <w:sz w:val="18"/>
              </w:rPr>
              <w:t xml:space="preserve">ESG </w:t>
            </w:r>
            <w:r>
              <w:rPr>
                <w:sz w:val="18"/>
              </w:rPr>
              <w:t>整合、議合及合作的政策可於下文提供的概要查閱。</w:t>
            </w:r>
            <w:r>
              <w:rPr>
                <w:rFonts w:ascii="Arial" w:eastAsia="Arial" w:hAnsi="Arial" w:cs="Arial"/>
                <w:sz w:val="18"/>
              </w:rPr>
              <w:t xml:space="preserve">   </w:t>
            </w:r>
          </w:p>
        </w:tc>
      </w:tr>
      <w:tr w:rsidR="004D6F0E">
        <w:trPr>
          <w:trHeight w:val="485"/>
        </w:trPr>
        <w:tc>
          <w:tcPr>
            <w:tcW w:w="1697"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pPr>
            <w:r>
              <w:rPr>
                <w:rFonts w:ascii="Arial" w:eastAsia="Arial" w:hAnsi="Arial" w:cs="Arial"/>
                <w:b/>
                <w:sz w:val="18"/>
              </w:rPr>
              <w:t xml:space="preserve">ESG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pPr>
            <w:r>
              <w:rPr>
                <w:sz w:val="18"/>
              </w:rPr>
              <w:t>環境、社會及／或管治</w:t>
            </w:r>
            <w:r>
              <w:rPr>
                <w:rFonts w:ascii="Arial" w:eastAsia="Arial" w:hAnsi="Arial" w:cs="Arial"/>
                <w:sz w:val="18"/>
              </w:rPr>
              <w:t xml:space="preserve"> </w:t>
            </w:r>
          </w:p>
        </w:tc>
      </w:tr>
      <w:tr w:rsidR="004D6F0E">
        <w:trPr>
          <w:trHeight w:val="720"/>
        </w:trPr>
        <w:tc>
          <w:tcPr>
            <w:tcW w:w="1697"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rFonts w:ascii="Arial" w:eastAsia="Arial" w:hAnsi="Arial" w:cs="Arial"/>
                <w:b/>
                <w:sz w:val="18"/>
              </w:rPr>
              <w:t xml:space="preserve">ESG </w:t>
            </w:r>
            <w:r>
              <w:rPr>
                <w:sz w:val="18"/>
              </w:rPr>
              <w:t>因素</w:t>
            </w:r>
            <w:r>
              <w:rPr>
                <w:rFonts w:ascii="Arial" w:eastAsia="Arial" w:hAnsi="Arial" w:cs="Arial"/>
                <w:b/>
                <w:sz w:val="18"/>
              </w:rPr>
              <w:t xml:space="preserve">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19" w:line="259" w:lineRule="auto"/>
              <w:ind w:left="0" w:firstLine="0"/>
            </w:pPr>
            <w:r>
              <w:rPr>
                <w:sz w:val="18"/>
              </w:rPr>
              <w:t>可能構成風險或機會及可持續性風險的</w:t>
            </w:r>
          </w:p>
          <w:p w:rsidR="004D6F0E" w:rsidRDefault="00490F21">
            <w:pPr>
              <w:spacing w:after="0" w:line="259" w:lineRule="auto"/>
              <w:ind w:left="0" w:firstLine="0"/>
            </w:pPr>
            <w:r>
              <w:rPr>
                <w:rFonts w:ascii="Arial" w:eastAsia="Arial" w:hAnsi="Arial" w:cs="Arial"/>
                <w:sz w:val="18"/>
              </w:rPr>
              <w:t xml:space="preserve">ESG </w:t>
            </w:r>
            <w:r>
              <w:rPr>
                <w:sz w:val="18"/>
              </w:rPr>
              <w:t>事宜。</w:t>
            </w:r>
            <w:r>
              <w:rPr>
                <w:rFonts w:ascii="Arial" w:eastAsia="Arial" w:hAnsi="Arial" w:cs="Arial"/>
                <w:sz w:val="18"/>
              </w:rPr>
              <w:t xml:space="preserve"> </w:t>
            </w:r>
          </w:p>
        </w:tc>
      </w:tr>
      <w:tr w:rsidR="004D6F0E">
        <w:trPr>
          <w:trHeight w:val="1421"/>
        </w:trPr>
        <w:tc>
          <w:tcPr>
            <w:tcW w:w="1697" w:type="dxa"/>
            <w:tcBorders>
              <w:top w:val="single" w:sz="4" w:space="0" w:color="000000"/>
              <w:left w:val="single" w:sz="4" w:space="0" w:color="000000"/>
              <w:bottom w:val="single" w:sz="4" w:space="0" w:color="000000"/>
              <w:right w:val="single" w:sz="4" w:space="0" w:color="000000"/>
            </w:tcBorders>
          </w:tcPr>
          <w:p w:rsidR="004D6F0E" w:rsidRDefault="00490F21">
            <w:pPr>
              <w:spacing w:after="125" w:line="259" w:lineRule="auto"/>
              <w:ind w:left="0" w:firstLine="0"/>
            </w:pPr>
            <w:r>
              <w:rPr>
                <w:sz w:val="18"/>
              </w:rPr>
              <w:t>排除政策</w:t>
            </w:r>
            <w:r>
              <w:rPr>
                <w:rFonts w:ascii="Arial" w:eastAsia="Arial" w:hAnsi="Arial" w:cs="Arial"/>
                <w:b/>
                <w:sz w:val="18"/>
              </w:rPr>
              <w:t xml:space="preserve"> </w:t>
            </w:r>
          </w:p>
          <w:p w:rsidR="004D6F0E" w:rsidRDefault="00490F21">
            <w:pPr>
              <w:spacing w:after="0" w:line="259" w:lineRule="auto"/>
              <w:ind w:left="0" w:firstLine="0"/>
            </w:pPr>
            <w:r>
              <w:rPr>
                <w:rFonts w:ascii="Arial" w:eastAsia="Arial" w:hAnsi="Arial" w:cs="Arial"/>
                <w:b/>
                <w:sz w:val="18"/>
              </w:rPr>
              <w:t xml:space="preserve">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pPr>
            <w:r>
              <w:rPr>
                <w:sz w:val="18"/>
              </w:rPr>
              <w:t>基金的個別排除政策，兼具基於各項指標的排除條件，以及與基金投資策略有關之符合性準則的詳情。排除政策的一般目的為識別基金的可投資範圍，從中挑選可持續投資。</w:t>
            </w:r>
            <w:r>
              <w:rPr>
                <w:rFonts w:ascii="Arial" w:eastAsia="Arial" w:hAnsi="Arial" w:cs="Arial"/>
                <w:sz w:val="18"/>
              </w:rPr>
              <w:t xml:space="preserve">  </w:t>
            </w:r>
          </w:p>
        </w:tc>
      </w:tr>
      <w:tr w:rsidR="004D6F0E">
        <w:trPr>
          <w:trHeight w:val="1186"/>
        </w:trPr>
        <w:tc>
          <w:tcPr>
            <w:tcW w:w="1697"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sz w:val="18"/>
              </w:rPr>
              <w:t>可持續投資</w:t>
            </w:r>
            <w:r>
              <w:rPr>
                <w:rFonts w:ascii="Arial" w:eastAsia="Arial" w:hAnsi="Arial" w:cs="Arial"/>
                <w:b/>
                <w:sz w:val="18"/>
              </w:rPr>
              <w:t xml:space="preserve">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pPr>
            <w:r>
              <w:rPr>
                <w:sz w:val="18"/>
              </w:rPr>
              <w:t>有助達致環境及／或社會目標的經濟活動，惟該等相應投資不得對任何適用的環境及／或社會目標造成重大損害及投資對象發行人須遵循良好的管治實務。</w:t>
            </w:r>
            <w:r>
              <w:rPr>
                <w:rFonts w:ascii="Arial" w:eastAsia="Arial" w:hAnsi="Arial" w:cs="Arial"/>
                <w:sz w:val="18"/>
              </w:rPr>
              <w:t xml:space="preserve"> </w:t>
            </w:r>
          </w:p>
        </w:tc>
      </w:tr>
      <w:tr w:rsidR="004D6F0E">
        <w:trPr>
          <w:trHeight w:val="2359"/>
        </w:trPr>
        <w:tc>
          <w:tcPr>
            <w:tcW w:w="1697"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sz w:val="18"/>
              </w:rPr>
              <w:t>可持續性風險</w:t>
            </w:r>
            <w:r>
              <w:rPr>
                <w:rFonts w:ascii="Arial" w:eastAsia="Arial" w:hAnsi="Arial" w:cs="Arial"/>
                <w:b/>
                <w:sz w:val="18"/>
              </w:rPr>
              <w:t xml:space="preserve">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pPr>
            <w:r>
              <w:rPr>
                <w:rFonts w:ascii="Arial" w:eastAsia="Arial" w:hAnsi="Arial" w:cs="Arial"/>
                <w:sz w:val="18"/>
              </w:rPr>
              <w:t xml:space="preserve">ESG </w:t>
            </w:r>
            <w:r>
              <w:rPr>
                <w:sz w:val="18"/>
              </w:rPr>
              <w:t>事件或狀況，倘若發生，其可能對投資價值造成實際或潛在的重大負面影響。可持續性風險或會對投資者的長期風險調整回報產生影響。發生可持續性風險可造成眾多後續影響，該等影響可因特定風險、地區或資產類別而異。一般而言，當某資產發生可持續性風險時，將對其價值造成負面影響及潛在損失，從而影響相關基金的資產淨值。</w:t>
            </w:r>
            <w:r>
              <w:rPr>
                <w:rFonts w:ascii="Arial" w:eastAsia="Arial" w:hAnsi="Arial" w:cs="Arial"/>
                <w:sz w:val="18"/>
              </w:rPr>
              <w:t xml:space="preserve"> </w:t>
            </w:r>
          </w:p>
        </w:tc>
      </w:tr>
    </w:tbl>
    <w:p w:rsidR="004D6F0E" w:rsidRDefault="00490F21">
      <w:pPr>
        <w:spacing w:after="60" w:line="259" w:lineRule="auto"/>
        <w:ind w:left="0" w:firstLine="0"/>
      </w:pPr>
      <w:r>
        <w:rPr>
          <w:rFonts w:ascii="Arial" w:eastAsia="Arial" w:hAnsi="Arial" w:cs="Arial"/>
          <w:sz w:val="12"/>
        </w:rPr>
        <w:t xml:space="preserve"> </w:t>
      </w:r>
    </w:p>
    <w:p w:rsidR="004D6F0E" w:rsidRDefault="00490F21">
      <w:pPr>
        <w:spacing w:after="3" w:line="259" w:lineRule="auto"/>
        <w:ind w:right="46" w:hanging="10"/>
        <w:jc w:val="right"/>
      </w:pPr>
      <w:r>
        <w:rPr>
          <w:rFonts w:ascii="Times New Roman" w:eastAsia="Times New Roman" w:hAnsi="Times New Roman" w:cs="Times New Roman"/>
          <w:sz w:val="20"/>
        </w:rPr>
        <w:t xml:space="preserve">II-65 </w:t>
      </w:r>
    </w:p>
    <w:p w:rsidR="004D6F0E" w:rsidRDefault="00490F21">
      <w:pPr>
        <w:spacing w:after="0" w:line="259" w:lineRule="auto"/>
        <w:ind w:left="0" w:firstLine="0"/>
      </w:pPr>
      <w:r>
        <w:rPr>
          <w:rFonts w:ascii="Arial" w:eastAsia="Arial" w:hAnsi="Arial" w:cs="Arial"/>
          <w:sz w:val="12"/>
        </w:rPr>
        <w:t xml:space="preserve"> </w:t>
      </w:r>
    </w:p>
    <w:tbl>
      <w:tblPr>
        <w:tblStyle w:val="TableGrid"/>
        <w:tblW w:w="5174" w:type="dxa"/>
        <w:tblInd w:w="5" w:type="dxa"/>
        <w:tblCellMar>
          <w:top w:w="152" w:type="dxa"/>
          <w:left w:w="108" w:type="dxa"/>
          <w:bottom w:w="0" w:type="dxa"/>
          <w:right w:w="108" w:type="dxa"/>
        </w:tblCellMar>
        <w:tblLook w:val="04A0" w:firstRow="1" w:lastRow="0" w:firstColumn="1" w:lastColumn="0" w:noHBand="0" w:noVBand="1"/>
      </w:tblPr>
      <w:tblGrid>
        <w:gridCol w:w="1384"/>
        <w:gridCol w:w="3833"/>
      </w:tblGrid>
      <w:tr w:rsidR="004D6F0E">
        <w:trPr>
          <w:trHeight w:val="953"/>
        </w:trPr>
        <w:tc>
          <w:tcPr>
            <w:tcW w:w="1697" w:type="dxa"/>
            <w:tcBorders>
              <w:top w:val="single" w:sz="4" w:space="0" w:color="000000"/>
              <w:left w:val="single" w:sz="4" w:space="0" w:color="000000"/>
              <w:bottom w:val="single" w:sz="4" w:space="0" w:color="000000"/>
              <w:right w:val="single" w:sz="4" w:space="0" w:color="000000"/>
            </w:tcBorders>
          </w:tcPr>
          <w:p w:rsidR="004D6F0E" w:rsidRDefault="00490F21">
            <w:pPr>
              <w:spacing w:after="0" w:line="259" w:lineRule="auto"/>
              <w:ind w:left="0" w:firstLine="0"/>
            </w:pPr>
            <w:r>
              <w:rPr>
                <w:sz w:val="18"/>
              </w:rPr>
              <w:t>歐盟分類法規例</w:t>
            </w:r>
            <w:r>
              <w:rPr>
                <w:rFonts w:ascii="Arial" w:eastAsia="Arial" w:hAnsi="Arial" w:cs="Arial"/>
                <w:b/>
                <w:sz w:val="18"/>
              </w:rPr>
              <w:t xml:space="preserve"> </w:t>
            </w:r>
          </w:p>
        </w:tc>
        <w:tc>
          <w:tcPr>
            <w:tcW w:w="3478" w:type="dxa"/>
            <w:tcBorders>
              <w:top w:val="single" w:sz="4" w:space="0" w:color="000000"/>
              <w:left w:val="single" w:sz="4" w:space="0" w:color="000000"/>
              <w:bottom w:val="single" w:sz="4" w:space="0" w:color="000000"/>
              <w:right w:val="single" w:sz="4" w:space="0" w:color="000000"/>
            </w:tcBorders>
            <w:vAlign w:val="center"/>
          </w:tcPr>
          <w:p w:rsidR="004D6F0E" w:rsidRDefault="00490F21">
            <w:pPr>
              <w:spacing w:after="0" w:line="259" w:lineRule="auto"/>
              <w:ind w:left="0" w:firstLine="0"/>
              <w:jc w:val="both"/>
            </w:pPr>
            <w:r>
              <w:rPr>
                <w:sz w:val="18"/>
              </w:rPr>
              <w:t>歐洲議會及理事會</w:t>
            </w:r>
            <w:r>
              <w:rPr>
                <w:sz w:val="18"/>
              </w:rPr>
              <w:t xml:space="preserve"> </w:t>
            </w:r>
            <w:r>
              <w:rPr>
                <w:rFonts w:ascii="Arial" w:eastAsia="Arial" w:hAnsi="Arial" w:cs="Arial"/>
                <w:sz w:val="18"/>
              </w:rPr>
              <w:t xml:space="preserve">2020 </w:t>
            </w:r>
            <w:r>
              <w:rPr>
                <w:sz w:val="18"/>
              </w:rPr>
              <w:t>年</w:t>
            </w:r>
            <w:r>
              <w:rPr>
                <w:sz w:val="18"/>
              </w:rPr>
              <w:t xml:space="preserve"> </w:t>
            </w:r>
            <w:r>
              <w:rPr>
                <w:rFonts w:ascii="Arial" w:eastAsia="Arial" w:hAnsi="Arial" w:cs="Arial"/>
                <w:sz w:val="18"/>
              </w:rPr>
              <w:t xml:space="preserve">6 </w:t>
            </w:r>
            <w:r>
              <w:rPr>
                <w:sz w:val="18"/>
              </w:rPr>
              <w:t>月</w:t>
            </w:r>
            <w:r>
              <w:rPr>
                <w:sz w:val="18"/>
              </w:rPr>
              <w:t xml:space="preserve"> </w:t>
            </w:r>
            <w:r>
              <w:rPr>
                <w:rFonts w:ascii="Arial" w:eastAsia="Arial" w:hAnsi="Arial" w:cs="Arial"/>
                <w:sz w:val="18"/>
              </w:rPr>
              <w:t xml:space="preserve">18 </w:t>
            </w:r>
            <w:r>
              <w:rPr>
                <w:sz w:val="18"/>
              </w:rPr>
              <w:t>日關於建立促進可持續投資框架並修訂規例</w:t>
            </w:r>
            <w:r>
              <w:rPr>
                <w:rFonts w:ascii="Arial" w:eastAsia="Arial" w:hAnsi="Arial" w:cs="Arial"/>
                <w:sz w:val="18"/>
              </w:rPr>
              <w:t>(</w:t>
            </w:r>
            <w:r>
              <w:rPr>
                <w:sz w:val="18"/>
              </w:rPr>
              <w:t>歐盟</w:t>
            </w:r>
            <w:r>
              <w:rPr>
                <w:rFonts w:ascii="Arial" w:eastAsia="Arial" w:hAnsi="Arial" w:cs="Arial"/>
                <w:sz w:val="18"/>
              </w:rPr>
              <w:t xml:space="preserve">) 2019/2088 </w:t>
            </w:r>
            <w:r>
              <w:rPr>
                <w:sz w:val="18"/>
              </w:rPr>
              <w:t>的規例</w:t>
            </w:r>
            <w:r>
              <w:rPr>
                <w:rFonts w:ascii="Arial" w:eastAsia="Arial" w:hAnsi="Arial" w:cs="Arial"/>
                <w:sz w:val="18"/>
              </w:rPr>
              <w:t>(</w:t>
            </w:r>
            <w:r>
              <w:rPr>
                <w:sz w:val="18"/>
              </w:rPr>
              <w:t>歐盟</w:t>
            </w:r>
            <w:r>
              <w:rPr>
                <w:rFonts w:ascii="Arial" w:eastAsia="Arial" w:hAnsi="Arial" w:cs="Arial"/>
                <w:sz w:val="18"/>
              </w:rPr>
              <w:t>) 2020/852</w:t>
            </w:r>
            <w:r>
              <w:rPr>
                <w:sz w:val="18"/>
              </w:rPr>
              <w:t>。</w:t>
            </w:r>
            <w:r>
              <w:rPr>
                <w:rFonts w:ascii="Arial" w:eastAsia="Arial" w:hAnsi="Arial" w:cs="Arial"/>
                <w:sz w:val="18"/>
              </w:rPr>
              <w:t xml:space="preserve"> </w:t>
            </w:r>
          </w:p>
        </w:tc>
      </w:tr>
    </w:tbl>
    <w:p w:rsidR="004D6F0E" w:rsidRDefault="00490F21">
      <w:pPr>
        <w:spacing w:after="0" w:line="259" w:lineRule="auto"/>
        <w:ind w:left="0" w:firstLine="0"/>
      </w:pPr>
      <w:r>
        <w:rPr>
          <w:rFonts w:ascii="Arial" w:eastAsia="Arial" w:hAnsi="Arial" w:cs="Arial"/>
          <w:b/>
          <w:color w:val="244061"/>
        </w:rPr>
        <w:t xml:space="preserve"> </w:t>
      </w:r>
    </w:p>
    <w:p w:rsidR="004D6F0E" w:rsidRDefault="00490F21">
      <w:pPr>
        <w:ind w:left="11" w:right="2"/>
      </w:pPr>
      <w:r>
        <w:t>聯博將可持續性風險整合至投資決定的策略</w:t>
      </w:r>
      <w:r>
        <w:rPr>
          <w:rFonts w:ascii="Arial" w:eastAsia="Arial" w:hAnsi="Arial" w:cs="Arial"/>
          <w:b/>
        </w:rPr>
        <w:t xml:space="preserve"> — </w:t>
      </w:r>
      <w:r>
        <w:t>第</w:t>
      </w:r>
      <w:r>
        <w:t xml:space="preserve"> </w:t>
      </w:r>
      <w:r>
        <w:rPr>
          <w:rFonts w:ascii="Arial" w:eastAsia="Arial" w:hAnsi="Arial" w:cs="Arial"/>
          <w:b/>
        </w:rPr>
        <w:t xml:space="preserve">6 </w:t>
      </w:r>
      <w:r>
        <w:t>條（中性）基金</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sz w:val="18"/>
        </w:rPr>
        <w:t xml:space="preserve"> </w:t>
      </w:r>
    </w:p>
    <w:p w:rsidR="004D6F0E" w:rsidRDefault="00490F21">
      <w:pPr>
        <w:spacing w:after="41"/>
        <w:ind w:left="8" w:right="13" w:hanging="10"/>
      </w:pPr>
      <w:r>
        <w:rPr>
          <w:sz w:val="18"/>
        </w:rPr>
        <w:t>範圍內的基金</w:t>
      </w:r>
      <w:r>
        <w:t>：</w:t>
      </w:r>
      <w:r>
        <w:rPr>
          <w:rFonts w:ascii="Arial" w:eastAsia="Arial" w:hAnsi="Arial" w:cs="Arial"/>
          <w:sz w:val="18"/>
        </w:rPr>
        <w:t xml:space="preserve"> </w:t>
      </w:r>
    </w:p>
    <w:p w:rsidR="004D6F0E" w:rsidRDefault="00490F21">
      <w:pPr>
        <w:ind w:left="117" w:right="2"/>
      </w:pPr>
      <w:r>
        <w:rPr>
          <w:rFonts w:ascii="Segoe UI Symbol" w:eastAsia="Segoe UI Symbol" w:hAnsi="Segoe UI Symbol" w:cs="Segoe UI Symbol"/>
        </w:rPr>
        <w:t>•</w:t>
      </w:r>
      <w:r>
        <w:rPr>
          <w:rFonts w:ascii="Arial" w:eastAsia="Arial" w:hAnsi="Arial" w:cs="Arial"/>
        </w:rPr>
        <w:t xml:space="preserve"> </w:t>
      </w:r>
      <w:r>
        <w:t>新興市場債券基金</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上述中性基金並無可持續投資目標，並不推動環境及／或社會</w:t>
      </w:r>
    </w:p>
    <w:p w:rsidR="004D6F0E" w:rsidRDefault="00490F21">
      <w:pPr>
        <w:ind w:left="11" w:right="2"/>
      </w:pPr>
      <w:r>
        <w:t>特徵，但將可持續性風險整合為投資決策流程的一部分。</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聯博已評估與此中性基金的投資策略相關的可持續性風險的影響，並認為該等風險與環境、社會或管治事件或狀況相關，倘若發生，可能對中性基金的投資價值造成重大負面影響。可持續性風險的可能影響將因投資目標、策略及政策而異，但鑑於相關投資領域，聯博認為環境、社會或管治事件將會對某證券的價值</w:t>
      </w:r>
      <w:r>
        <w:t>、質素及／或穩定性、投資對象發行人的財務健康狀況、發行人的信貸質素及債務發行人支付票息或履行其他義務的能力造成某些負面影響。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 w:line="273" w:lineRule="auto"/>
        <w:ind w:left="-5" w:hanging="10"/>
      </w:pPr>
      <w:r>
        <w:t>此外，</w:t>
      </w:r>
      <w:r>
        <w:rPr>
          <w:color w:val="231F20"/>
        </w:rPr>
        <w:t>當實施有關投資策略時，儘管聯博可使用聯博盡責管理方法，但其並不大力執行，因此未必將</w:t>
      </w:r>
      <w:r>
        <w:rPr>
          <w:color w:val="231F20"/>
        </w:rPr>
        <w:t xml:space="preserve"> </w:t>
      </w:r>
      <w:r>
        <w:rPr>
          <w:rFonts w:ascii="Arial" w:eastAsia="Arial" w:hAnsi="Arial" w:cs="Arial"/>
          <w:color w:val="231F20"/>
        </w:rPr>
        <w:t xml:space="preserve">ESG </w:t>
      </w:r>
      <w:r>
        <w:rPr>
          <w:color w:val="231F20"/>
        </w:rPr>
        <w:t>考慮因素或可持續性風險整合至其所有投資決定</w:t>
      </w:r>
      <w:r>
        <w:t>。</w:t>
      </w:r>
      <w: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因此，聯博未必考慮投資決定對可持續性因素的負面影響，因為顧及該等風險及影響會影響或可能妨礙聯博實現特定投資目標。為求清晰起見，聯博基於上述原因不考慮其投資決定對可持續性因素的主要不利影響。</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儘管此中性基金並不考慮投資決定對可持續性因素的影響，但此中性基金履行聯博對環境盡責職管理及負責任投資的承諾，其中包括篩除若干類型的投資。</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1" w:line="273" w:lineRule="auto"/>
        <w:ind w:left="-5" w:hanging="10"/>
      </w:pPr>
      <w:r>
        <w:rPr>
          <w:color w:val="231F20"/>
        </w:rPr>
        <w:t>由於此中性基金並不具有可持續投資目標，此等金融產品的相關投資並不考慮歐盟對環境可持續經濟活動的準則。因此，歐盟分類法規例下的義務並不適用。</w:t>
      </w:r>
      <w:r>
        <w:rPr>
          <w:rFonts w:ascii="Arial" w:eastAsia="Arial" w:hAnsi="Arial" w:cs="Arial"/>
          <w:color w:val="231F20"/>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ind w:left="11" w:right="2"/>
      </w:pPr>
      <w:r>
        <w:t>聯博盡責管理方法</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tabs>
          <w:tab w:val="center" w:pos="1151"/>
        </w:tabs>
        <w:spacing w:after="13" w:line="259" w:lineRule="auto"/>
        <w:ind w:left="0" w:firstLine="0"/>
      </w:pPr>
      <w:r>
        <w:rPr>
          <w:rFonts w:ascii="Arial" w:eastAsia="Arial" w:hAnsi="Arial" w:cs="Arial"/>
          <w:b/>
        </w:rPr>
        <w:t xml:space="preserve">I. </w:t>
      </w:r>
      <w:r>
        <w:rPr>
          <w:rFonts w:ascii="Arial" w:eastAsia="Arial" w:hAnsi="Arial" w:cs="Arial"/>
          <w:b/>
        </w:rPr>
        <w:tab/>
      </w:r>
      <w:r>
        <w:t>簡介</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line="273" w:lineRule="auto"/>
        <w:ind w:left="14" w:right="41"/>
        <w:jc w:val="both"/>
      </w:pPr>
      <w:r>
        <w:t>聯博早已認識到，</w:t>
      </w:r>
      <w:r>
        <w:rPr>
          <w:rFonts w:ascii="Arial" w:eastAsia="Arial" w:hAnsi="Arial" w:cs="Arial"/>
        </w:rPr>
        <w:t xml:space="preserve">ESG </w:t>
      </w:r>
      <w:r>
        <w:t>考慮因素同時帶來潛在風險及機會，可影響聯博產品的表現。聯博盡責管理方法概述各種</w:t>
      </w:r>
      <w:r>
        <w:t xml:space="preserve"> </w:t>
      </w:r>
      <w:r>
        <w:rPr>
          <w:rFonts w:ascii="Arial" w:eastAsia="Arial" w:hAnsi="Arial" w:cs="Arial"/>
        </w:rPr>
        <w:t xml:space="preserve">ESG </w:t>
      </w:r>
      <w:r>
        <w:t>考慮因素，包括可持續性風險（其定義為倘若發生，可能導致對某項投資的價值造成實際或潛在重大負面影響的</w:t>
      </w:r>
      <w:r>
        <w:t xml:space="preserve"> </w:t>
      </w:r>
      <w:r>
        <w:rPr>
          <w:rFonts w:ascii="Arial" w:eastAsia="Arial" w:hAnsi="Arial" w:cs="Arial"/>
        </w:rPr>
        <w:t xml:space="preserve">ESG </w:t>
      </w:r>
      <w:r>
        <w:t>事件或狀況）（於本附錄簡稱為「</w:t>
      </w:r>
      <w:r>
        <w:rPr>
          <w:rFonts w:ascii="Arial" w:eastAsia="Arial" w:hAnsi="Arial" w:cs="Arial"/>
        </w:rPr>
        <w:t xml:space="preserve">ESG </w:t>
      </w:r>
      <w:r>
        <w:t>因素」）。聯博已分析並有系統地將此等</w:t>
      </w:r>
      <w:r>
        <w:t xml:space="preserve"> </w:t>
      </w:r>
      <w:r>
        <w:rPr>
          <w:rFonts w:ascii="Arial" w:eastAsia="Arial" w:hAnsi="Arial" w:cs="Arial"/>
        </w:rPr>
        <w:t xml:space="preserve">ESG </w:t>
      </w:r>
      <w:r>
        <w:t>因素整合至其投資流程的所有步驟，聯博相信其能導致改善投資決定、提升財務結果、推進聯博對負責任投資的承諾及全面邁進</w:t>
      </w:r>
      <w:r>
        <w:t xml:space="preserve"> </w:t>
      </w:r>
      <w:r>
        <w:rPr>
          <w:rFonts w:ascii="Arial" w:eastAsia="Arial" w:hAnsi="Arial" w:cs="Arial"/>
        </w:rPr>
        <w:t xml:space="preserve">ESG </w:t>
      </w:r>
      <w:r>
        <w:t>目標。</w:t>
      </w:r>
      <w:r>
        <w:rPr>
          <w:rFonts w:ascii="Arial" w:eastAsia="Arial" w:hAnsi="Arial" w:cs="Arial"/>
        </w:rPr>
        <w:t xml:space="preserve"> </w:t>
      </w:r>
    </w:p>
    <w:p w:rsidR="004D6F0E" w:rsidRDefault="00490F21">
      <w:pPr>
        <w:spacing w:after="3" w:line="259" w:lineRule="auto"/>
        <w:ind w:left="0" w:firstLine="0"/>
      </w:pPr>
      <w:r>
        <w:rPr>
          <w:rFonts w:ascii="Times New Roman" w:eastAsia="Times New Roman" w:hAnsi="Times New Roman" w:cs="Times New Roman"/>
          <w:sz w:val="18"/>
        </w:rPr>
        <w:t xml:space="preserve"> </w:t>
      </w:r>
    </w:p>
    <w:p w:rsidR="004D6F0E" w:rsidRDefault="00490F21">
      <w:pPr>
        <w:ind w:left="11" w:right="2"/>
      </w:pPr>
      <w:r>
        <w:t>當聯博於</w:t>
      </w:r>
      <w:r>
        <w:t xml:space="preserve"> </w:t>
      </w:r>
      <w:r>
        <w:rPr>
          <w:rFonts w:ascii="Arial" w:eastAsia="Arial" w:hAnsi="Arial" w:cs="Arial"/>
        </w:rPr>
        <w:t xml:space="preserve">2011 </w:t>
      </w:r>
      <w:r>
        <w:t>年</w:t>
      </w:r>
      <w:r>
        <w:t xml:space="preserve"> </w:t>
      </w:r>
      <w:r>
        <w:rPr>
          <w:rFonts w:ascii="Arial" w:eastAsia="Arial" w:hAnsi="Arial" w:cs="Arial"/>
        </w:rPr>
        <w:t>11</w:t>
      </w:r>
      <w:r>
        <w:rPr>
          <w:rFonts w:ascii="Arial" w:eastAsia="Arial" w:hAnsi="Arial" w:cs="Arial"/>
        </w:rPr>
        <w:t xml:space="preserve"> </w:t>
      </w:r>
      <w:r>
        <w:t>月成為「負責任投資原則」的簽署方時，聯博正式確定將</w:t>
      </w:r>
      <w:r>
        <w:t xml:space="preserve"> </w:t>
      </w:r>
      <w:r>
        <w:rPr>
          <w:rFonts w:ascii="Arial" w:eastAsia="Arial" w:hAnsi="Arial" w:cs="Arial"/>
        </w:rPr>
        <w:t xml:space="preserve">ESG </w:t>
      </w:r>
      <w:r>
        <w:t>因素整合至聯博針對大部分主動管理型</w:t>
      </w:r>
    </w:p>
    <w:p w:rsidR="004D6F0E" w:rsidRDefault="004D6F0E">
      <w:pPr>
        <w:sectPr w:rsidR="004D6F0E">
          <w:type w:val="continuous"/>
          <w:pgSz w:w="12240" w:h="15840"/>
          <w:pgMar w:top="1231" w:right="624" w:bottom="1440" w:left="432" w:header="720" w:footer="720" w:gutter="0"/>
          <w:cols w:num="2" w:space="720" w:equalWidth="0">
            <w:col w:w="5793" w:space="111"/>
            <w:col w:w="5280"/>
          </w:cols>
        </w:sectPr>
      </w:pPr>
    </w:p>
    <w:p w:rsidR="004D6F0E" w:rsidRDefault="00490F21">
      <w:pPr>
        <w:ind w:left="11" w:right="2"/>
      </w:pPr>
      <w:r>
        <w:t>策略的投資流程中，但若干策略例外，該等策略中</w:t>
      </w:r>
      <w:r>
        <w:t xml:space="preserve"> </w:t>
      </w:r>
      <w:r>
        <w:rPr>
          <w:rFonts w:ascii="Arial" w:eastAsia="Arial" w:hAnsi="Arial" w:cs="Arial"/>
        </w:rPr>
        <w:t xml:space="preserve">ESG </w:t>
      </w:r>
      <w:r>
        <w:t>因素的整合與該策略並不相關或可能會妨礙聯博實現特定的聯博產品（即中性產品）的投資目標。對於若干聯博產品，與整合</w:t>
      </w:r>
      <w:r>
        <w:t xml:space="preserve"> </w:t>
      </w:r>
      <w:r>
        <w:rPr>
          <w:rFonts w:ascii="Arial" w:eastAsia="Arial" w:hAnsi="Arial" w:cs="Arial"/>
        </w:rPr>
        <w:t>ESG</w:t>
      </w:r>
    </w:p>
    <w:p w:rsidR="004D6F0E" w:rsidRDefault="00490F21">
      <w:pPr>
        <w:ind w:left="11" w:right="2"/>
      </w:pPr>
      <w:r>
        <w:t>因素相關的語文已包含在適用的發售文件中。</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聯博創建了實現負責任投資領導地位的管理基礎設施，目前正以此推動聯博對於集團範圍內此等相關問題的公司策略及承諾。</w:t>
      </w:r>
      <w:r>
        <w:rPr>
          <w:rFonts w:ascii="Arial" w:eastAsia="Arial" w:hAnsi="Arial" w:cs="Arial"/>
        </w:rPr>
        <w:t xml:space="preserve">  </w:t>
      </w:r>
      <w:r>
        <w:t>聯博的全球盡責管理聲明和年度盡責管理報告詳載聯博的活動。</w:t>
      </w:r>
    </w:p>
    <w:p w:rsidR="004D6F0E" w:rsidRDefault="00490F21">
      <w:pPr>
        <w:spacing w:after="30" w:line="254" w:lineRule="auto"/>
        <w:ind w:left="8" w:hanging="10"/>
      </w:pPr>
      <w:r>
        <w:t>更多資料請參閱</w:t>
      </w:r>
      <w:r>
        <w:t xml:space="preserve"> </w:t>
      </w:r>
      <w:hyperlink r:id="rId363">
        <w:r>
          <w:rPr>
            <w:rFonts w:ascii="Arial" w:eastAsia="Arial" w:hAnsi="Arial" w:cs="Arial"/>
            <w:color w:val="0000FF"/>
            <w:u w:val="single" w:color="0000FF"/>
          </w:rPr>
          <w:t>https://www.alliancebernstein.com/corporate</w:t>
        </w:r>
      </w:hyperlink>
      <w:hyperlink r:id="rId364">
        <w:r>
          <w:rPr>
            <w:rFonts w:ascii="Arial" w:eastAsia="Arial" w:hAnsi="Arial" w:cs="Arial"/>
            <w:color w:val="0000FF"/>
            <w:u w:val="single" w:color="0000FF"/>
          </w:rPr>
          <w:t>responsibility/responsible-investing.htm</w:t>
        </w:r>
      </w:hyperlink>
      <w:hyperlink r:id="rId365">
        <w:r>
          <w:t>。</w:t>
        </w:r>
      </w:hyperlink>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在實施整合</w:t>
      </w:r>
      <w:r>
        <w:t xml:space="preserve"> </w:t>
      </w:r>
      <w:r>
        <w:rPr>
          <w:rFonts w:ascii="Arial" w:eastAsia="Arial" w:hAnsi="Arial" w:cs="Arial"/>
        </w:rPr>
        <w:t xml:space="preserve">ESG </w:t>
      </w:r>
      <w:r>
        <w:t>因素的投資策略</w:t>
      </w:r>
      <w:r>
        <w:t>時，聯博在風險及回報評估中會考慮期望的風險及回報水平，以及</w:t>
      </w:r>
      <w:r>
        <w:t xml:space="preserve"> </w:t>
      </w:r>
      <w:r>
        <w:rPr>
          <w:rFonts w:ascii="Arial" w:eastAsia="Arial" w:hAnsi="Arial" w:cs="Arial"/>
        </w:rPr>
        <w:t xml:space="preserve">ESG </w:t>
      </w:r>
      <w:r>
        <w:t>因素的財務或經濟影響。通過長期價值創造的視角分析和評估發行人，往往令聯博能夠實現穩健的財務結果，同時對將在整個投資期間及更長期間影響某項證券的所有因素，包括</w:t>
      </w:r>
      <w:r>
        <w:t xml:space="preserve"> </w:t>
      </w:r>
      <w:r>
        <w:rPr>
          <w:rFonts w:ascii="Arial" w:eastAsia="Arial" w:hAnsi="Arial" w:cs="Arial"/>
        </w:rPr>
        <w:t xml:space="preserve">ESG </w:t>
      </w:r>
      <w:r>
        <w:t>因素進行更徹底的分析，從而降低風險。</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如下文進一步論述，在整合</w:t>
      </w:r>
      <w:r>
        <w:t xml:space="preserve"> </w:t>
      </w:r>
      <w:r>
        <w:rPr>
          <w:rFonts w:ascii="Arial" w:eastAsia="Arial" w:hAnsi="Arial" w:cs="Arial"/>
        </w:rPr>
        <w:t xml:space="preserve">ESG </w:t>
      </w:r>
      <w:r>
        <w:t>因素和作出投資決定時，聯博亦會考慮投資決定對該等</w:t>
      </w:r>
      <w:r>
        <w:t xml:space="preserve"> </w:t>
      </w:r>
      <w:r>
        <w:rPr>
          <w:rFonts w:ascii="Arial" w:eastAsia="Arial" w:hAnsi="Arial" w:cs="Arial"/>
        </w:rPr>
        <w:t xml:space="preserve">ESG </w:t>
      </w:r>
      <w:r>
        <w:t>因素的主要不利影響。此等影響</w:t>
      </w:r>
    </w:p>
    <w:p w:rsidR="004D6F0E" w:rsidRDefault="00490F21">
      <w:pPr>
        <w:ind w:left="11" w:right="2"/>
      </w:pPr>
      <w:r>
        <w:t>成文記載為聯博盡責管理方法的一部分。</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tabs>
          <w:tab w:val="center" w:pos="1721"/>
        </w:tabs>
        <w:ind w:left="0" w:firstLine="0"/>
      </w:pPr>
      <w:r>
        <w:rPr>
          <w:rFonts w:ascii="Arial" w:eastAsia="Arial" w:hAnsi="Arial" w:cs="Arial"/>
          <w:b/>
        </w:rPr>
        <w:t xml:space="preserve">II. </w:t>
      </w:r>
      <w:r>
        <w:rPr>
          <w:rFonts w:ascii="Arial" w:eastAsia="Arial" w:hAnsi="Arial" w:cs="Arial"/>
          <w:b/>
        </w:rPr>
        <w:tab/>
      </w:r>
      <w:r>
        <w:t>整合可持續性風險</w:t>
      </w:r>
      <w:r>
        <w:rPr>
          <w:rFonts w:ascii="Arial" w:eastAsia="Arial" w:hAnsi="Arial" w:cs="Arial"/>
          <w:b/>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作為投資決定流程的一部分，聯博通過六個步驟整合</w:t>
      </w:r>
      <w:r>
        <w:t xml:space="preserve"> </w:t>
      </w:r>
      <w:r>
        <w:rPr>
          <w:rFonts w:ascii="Arial" w:eastAsia="Arial" w:hAnsi="Arial" w:cs="Arial"/>
        </w:rPr>
        <w:t xml:space="preserve">ESG </w:t>
      </w:r>
      <w:r>
        <w:t>因素：裝備、識別、議合、成文記載、納入及整合。</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sz w:val="18"/>
        </w:rPr>
        <w:t xml:space="preserve"> </w:t>
      </w:r>
    </w:p>
    <w:p w:rsidR="004D6F0E" w:rsidRDefault="00490F21">
      <w:pPr>
        <w:ind w:left="11" w:right="2"/>
      </w:pPr>
      <w:r>
        <w:t>整合的程度和焦點可能因聯博產品而異，但目標將同樣是尋求實現投資目標，其中相關聯博投資團隊將利用聯博的</w:t>
      </w:r>
      <w:r>
        <w:t xml:space="preserve"> </w:t>
      </w:r>
      <w:r>
        <w:rPr>
          <w:rFonts w:ascii="Arial" w:eastAsia="Arial" w:hAnsi="Arial" w:cs="Arial"/>
        </w:rPr>
        <w:t xml:space="preserve">ESG </w:t>
      </w:r>
      <w:r>
        <w:t>專家和負責任投資專業人員（「負責任投資團隊」）在其研究流程的每一個步驟整合</w:t>
      </w:r>
      <w:r>
        <w:t xml:space="preserve"> </w:t>
      </w:r>
      <w:r>
        <w:rPr>
          <w:rFonts w:ascii="Arial" w:eastAsia="Arial" w:hAnsi="Arial" w:cs="Arial"/>
        </w:rPr>
        <w:t>ESG</w:t>
      </w:r>
      <w:r>
        <w:t>。</w:t>
      </w:r>
      <w:r>
        <w:rPr>
          <w:rFonts w:ascii="Arial" w:eastAsia="Arial" w:hAnsi="Arial" w:cs="Arial"/>
        </w:rPr>
        <w:t xml:space="preserve"> </w:t>
      </w:r>
    </w:p>
    <w:p w:rsidR="004D6F0E" w:rsidRDefault="00490F21">
      <w:pPr>
        <w:spacing w:after="0" w:line="245" w:lineRule="auto"/>
        <w:ind w:left="13" w:right="5424" w:firstLine="0"/>
      </w:pPr>
      <w:r>
        <w:rPr>
          <w:rFonts w:ascii="Times New Roman" w:eastAsia="Times New Roman" w:hAnsi="Times New Roman" w:cs="Times New Roman"/>
          <w:sz w:val="18"/>
        </w:rPr>
        <w:t xml:space="preserve"> </w:t>
      </w:r>
      <w:r>
        <w:rPr>
          <w:rFonts w:ascii="Arial" w:eastAsia="Arial" w:hAnsi="Arial" w:cs="Arial"/>
          <w:sz w:val="18"/>
        </w:rPr>
        <w:t xml:space="preserve"> </w:t>
      </w:r>
    </w:p>
    <w:p w:rsidR="004D6F0E" w:rsidRDefault="00490F21">
      <w:pPr>
        <w:spacing w:after="0" w:line="259" w:lineRule="auto"/>
        <w:ind w:left="0" w:right="233" w:firstLine="0"/>
        <w:jc w:val="right"/>
      </w:pPr>
      <w:r>
        <w:rPr>
          <w:noProof/>
        </w:rPr>
        <w:drawing>
          <wp:inline distT="0" distB="0" distL="0" distR="0">
            <wp:extent cx="3291840" cy="3216910"/>
            <wp:effectExtent l="0" t="0" r="0" b="0"/>
            <wp:docPr id="58410" name="Picture 58410"/>
            <wp:cNvGraphicFramePr/>
            <a:graphic xmlns:a="http://schemas.openxmlformats.org/drawingml/2006/main">
              <a:graphicData uri="http://schemas.openxmlformats.org/drawingml/2006/picture">
                <pic:pic xmlns:pic="http://schemas.openxmlformats.org/drawingml/2006/picture">
                  <pic:nvPicPr>
                    <pic:cNvPr id="58410" name="Picture 58410"/>
                    <pic:cNvPicPr/>
                  </pic:nvPicPr>
                  <pic:blipFill>
                    <a:blip r:embed="rId366"/>
                    <a:stretch>
                      <a:fillRect/>
                    </a:stretch>
                  </pic:blipFill>
                  <pic:spPr>
                    <a:xfrm>
                      <a:off x="0" y="0"/>
                      <a:ext cx="3291840" cy="3216910"/>
                    </a:xfrm>
                    <a:prstGeom prst="rect">
                      <a:avLst/>
                    </a:prstGeom>
                  </pic:spPr>
                </pic:pic>
              </a:graphicData>
            </a:graphic>
          </wp:inline>
        </w:drawing>
      </w:r>
      <w:r>
        <w:rPr>
          <w:rFonts w:ascii="Arial" w:eastAsia="Arial" w:hAnsi="Arial" w:cs="Arial"/>
          <w:b/>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13" w:line="259" w:lineRule="auto"/>
        <w:ind w:left="8" w:hanging="10"/>
      </w:pPr>
      <w:r>
        <w:rPr>
          <w:rFonts w:ascii="Arial" w:eastAsia="Arial" w:hAnsi="Arial" w:cs="Arial"/>
          <w:b/>
        </w:rPr>
        <w:t xml:space="preserve">(1) </w:t>
      </w:r>
      <w:r>
        <w:t>裝備</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流程開始時，為聯博的投資團隊配備框架、工具及培訓，讓其能</w:t>
      </w:r>
    </w:p>
    <w:p w:rsidR="004D6F0E" w:rsidRDefault="00490F21">
      <w:pPr>
        <w:ind w:left="11" w:right="2"/>
      </w:pPr>
      <w:r>
        <w:t>夠充分了解、研究和整合重要的</w:t>
      </w:r>
      <w:r>
        <w:t xml:space="preserve"> </w:t>
      </w:r>
      <w:r>
        <w:rPr>
          <w:rFonts w:ascii="Arial" w:eastAsia="Arial" w:hAnsi="Arial" w:cs="Arial"/>
        </w:rPr>
        <w:t xml:space="preserve">ESG </w:t>
      </w:r>
      <w:r>
        <w:t>因素。這包括：</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numPr>
          <w:ilvl w:val="0"/>
          <w:numId w:val="61"/>
        </w:numPr>
        <w:spacing w:after="12" w:line="273" w:lineRule="auto"/>
        <w:ind w:right="41" w:hanging="427"/>
        <w:jc w:val="both"/>
      </w:pPr>
      <w:r>
        <w:t>專有工具集。為加強第三方數據和工具集，聯博已制定專有的研究和協作工具，以增強</w:t>
      </w:r>
      <w:r>
        <w:t xml:space="preserve"> </w:t>
      </w:r>
      <w:r>
        <w:rPr>
          <w:rFonts w:ascii="Arial" w:eastAsia="Arial" w:hAnsi="Arial" w:cs="Arial"/>
        </w:rPr>
        <w:t xml:space="preserve">ESG </w:t>
      </w:r>
      <w:r>
        <w:t>和氣候研究以及系統化集團範圍的整合</w:t>
      </w:r>
      <w:r>
        <w:rPr>
          <w:rFonts w:ascii="Arial" w:eastAsia="Arial" w:hAnsi="Arial" w:cs="Arial"/>
        </w:rPr>
        <w:t xml:space="preserve"> - </w:t>
      </w:r>
      <w:r>
        <w:t>包括聯博的研究和協作平台</w:t>
      </w:r>
      <w:r>
        <w:t xml:space="preserve"> </w:t>
      </w:r>
      <w:r>
        <w:rPr>
          <w:rFonts w:ascii="Arial" w:eastAsia="Arial" w:hAnsi="Arial" w:cs="Arial"/>
        </w:rPr>
        <w:t xml:space="preserve">ESIGHT </w:t>
      </w:r>
      <w:r>
        <w:t>及信貸評級和評分系統</w:t>
      </w:r>
      <w:r>
        <w:t xml:space="preserve"> </w:t>
      </w:r>
      <w:r>
        <w:rPr>
          <w:rFonts w:ascii="Arial" w:eastAsia="Arial" w:hAnsi="Arial" w:cs="Arial"/>
        </w:rPr>
        <w:t>PRISM</w:t>
      </w:r>
      <w:r>
        <w:t>。聯博亦建立了一個另類數據儀表板，將聯博基本因素分析師的行業特定知識與聯博數據科學團隊的能力結合，形成來自另類數據和聯博研究的更佳見解。</w:t>
      </w:r>
      <w:r>
        <w:rPr>
          <w:rFonts w:ascii="Arial" w:eastAsia="Arial" w:hAnsi="Arial" w:cs="Arial"/>
        </w:rPr>
        <w:t xml:space="preserve"> </w:t>
      </w:r>
    </w:p>
    <w:p w:rsidR="004D6F0E" w:rsidRDefault="00490F21">
      <w:pPr>
        <w:numPr>
          <w:ilvl w:val="0"/>
          <w:numId w:val="61"/>
        </w:numPr>
        <w:spacing w:after="14" w:line="273" w:lineRule="auto"/>
        <w:ind w:right="41" w:hanging="427"/>
        <w:jc w:val="both"/>
      </w:pPr>
      <w:r>
        <w:t>第三方數據和工具集。所有聯博投資團隊均可以使用一系列數據服務，使其能夠廣泛地了解關於（其中包括）某個發行人或界別的</w:t>
      </w:r>
      <w:r>
        <w:t xml:space="preserve"> </w:t>
      </w:r>
      <w:r>
        <w:rPr>
          <w:rFonts w:ascii="Arial" w:eastAsia="Arial" w:hAnsi="Arial" w:cs="Arial"/>
        </w:rPr>
        <w:t xml:space="preserve">ESG </w:t>
      </w:r>
      <w:r>
        <w:t>特徵。此等數據包括但不限於來自彭博和</w:t>
      </w:r>
      <w:r>
        <w:t xml:space="preserve"> </w:t>
      </w:r>
      <w:r>
        <w:rPr>
          <w:rFonts w:ascii="Arial" w:eastAsia="Arial" w:hAnsi="Arial" w:cs="Arial"/>
        </w:rPr>
        <w:t>FactSe</w:t>
      </w:r>
      <w:r>
        <w:rPr>
          <w:rFonts w:ascii="Arial" w:eastAsia="Arial" w:hAnsi="Arial" w:cs="Arial"/>
        </w:rPr>
        <w:t>t</w:t>
      </w:r>
      <w:r>
        <w:t>、</w:t>
      </w:r>
      <w:r>
        <w:rPr>
          <w:rFonts w:ascii="Arial" w:eastAsia="Arial" w:hAnsi="Arial" w:cs="Arial"/>
        </w:rPr>
        <w:t xml:space="preserve">MSCI ESG </w:t>
      </w:r>
      <w:r>
        <w:t>評級、</w:t>
      </w:r>
      <w:r>
        <w:rPr>
          <w:rFonts w:ascii="Arial" w:eastAsia="Arial" w:hAnsi="Arial" w:cs="Arial"/>
        </w:rPr>
        <w:t xml:space="preserve">Carbon Delta </w:t>
      </w:r>
      <w:r>
        <w:t>和</w:t>
      </w:r>
      <w:r>
        <w:t xml:space="preserve"> </w:t>
      </w:r>
      <w:r>
        <w:rPr>
          <w:rFonts w:ascii="Arial" w:eastAsia="Arial" w:hAnsi="Arial" w:cs="Arial"/>
        </w:rPr>
        <w:t xml:space="preserve">MSCI </w:t>
      </w:r>
      <w:r>
        <w:t>碳排放數據、</w:t>
      </w:r>
      <w:r>
        <w:rPr>
          <w:rFonts w:ascii="Arial" w:eastAsia="Arial" w:hAnsi="Arial" w:cs="Arial"/>
        </w:rPr>
        <w:t xml:space="preserve">Sustainalytics </w:t>
      </w:r>
      <w:r>
        <w:t>風險評級、</w:t>
      </w:r>
      <w:r>
        <w:rPr>
          <w:rFonts w:ascii="Arial" w:eastAsia="Arial" w:hAnsi="Arial" w:cs="Arial"/>
        </w:rPr>
        <w:t xml:space="preserve">Global Norms </w:t>
      </w:r>
      <w:r>
        <w:t>和</w:t>
      </w:r>
      <w:r>
        <w:t xml:space="preserve"> </w:t>
      </w:r>
      <w:r>
        <w:rPr>
          <w:rFonts w:ascii="Arial" w:eastAsia="Arial" w:hAnsi="Arial" w:cs="Arial"/>
        </w:rPr>
        <w:t xml:space="preserve">Controversies </w:t>
      </w:r>
      <w:r>
        <w:t>分析、</w:t>
      </w:r>
      <w:r>
        <w:rPr>
          <w:rFonts w:ascii="Arial" w:eastAsia="Arial" w:hAnsi="Arial" w:cs="Arial"/>
        </w:rPr>
        <w:t xml:space="preserve">ISS-Ethix </w:t>
      </w:r>
      <w:r>
        <w:t>爭議性武器分析，以及</w:t>
      </w:r>
      <w:r>
        <w:t xml:space="preserve"> </w:t>
      </w:r>
      <w:r>
        <w:rPr>
          <w:rFonts w:ascii="Arial" w:eastAsia="Arial" w:hAnsi="Arial" w:cs="Arial"/>
        </w:rPr>
        <w:t xml:space="preserve">ISS </w:t>
      </w:r>
      <w:r>
        <w:t>和</w:t>
      </w:r>
      <w:r>
        <w:t xml:space="preserve"> </w:t>
      </w:r>
      <w:r>
        <w:rPr>
          <w:rFonts w:ascii="Arial" w:eastAsia="Arial" w:hAnsi="Arial" w:cs="Arial"/>
        </w:rPr>
        <w:t xml:space="preserve">Glass-Lewis </w:t>
      </w:r>
      <w:r>
        <w:t>企業管治和代理研究的</w:t>
      </w:r>
      <w:r>
        <w:t xml:space="preserve"> </w:t>
      </w:r>
      <w:r>
        <w:rPr>
          <w:rFonts w:ascii="Arial" w:eastAsia="Arial" w:hAnsi="Arial" w:cs="Arial"/>
        </w:rPr>
        <w:t xml:space="preserve">ESG </w:t>
      </w:r>
      <w:r>
        <w:t>數據。負責任投資團隊持續評估其現有和新的供應商，以確保聯博向聯博投資團隊提供最佳的可能數據和資料。</w:t>
      </w:r>
      <w:r>
        <w:rPr>
          <w:rFonts w:ascii="Arial" w:eastAsia="Arial" w:hAnsi="Arial" w:cs="Arial"/>
        </w:rPr>
        <w:t xml:space="preserve"> </w:t>
      </w:r>
    </w:p>
    <w:p w:rsidR="004D6F0E" w:rsidRDefault="00490F21">
      <w:pPr>
        <w:numPr>
          <w:ilvl w:val="0"/>
          <w:numId w:val="61"/>
        </w:numPr>
        <w:ind w:right="41" w:hanging="427"/>
        <w:jc w:val="both"/>
      </w:pPr>
      <w:r>
        <w:t>與世界級機構的策略性合夥關係。聯博已經在氣候變化方面與哥倫比亞大學地球研究所協作。協作的第一階段涉及共同發展一門「氣候科學和基金風險」課程，針對氣候變化的科學、監管、法律及公共政策的範疇，以及如何將氣候變化整合至公司和發行人的財務分析中。第二階段將涉及與科學家共同研究一系列氣候變化專題。</w:t>
      </w:r>
      <w:r>
        <w:rPr>
          <w:rFonts w:ascii="Arial" w:eastAsia="Arial" w:hAnsi="Arial" w:cs="Arial"/>
        </w:rPr>
        <w:t xml:space="preserve"> </w:t>
      </w:r>
    </w:p>
    <w:p w:rsidR="004D6F0E" w:rsidRDefault="00490F21">
      <w:pPr>
        <w:numPr>
          <w:ilvl w:val="0"/>
          <w:numId w:val="61"/>
        </w:numPr>
        <w:spacing w:after="12" w:line="273" w:lineRule="auto"/>
        <w:ind w:right="41" w:hanging="427"/>
        <w:jc w:val="both"/>
      </w:pPr>
      <w:r>
        <w:t>廣泛的培訓計劃。除聯博的氣候變化課程外，聯博亦向聯博投資團隊提供持續的</w:t>
      </w:r>
      <w:r>
        <w:t xml:space="preserve"> </w:t>
      </w:r>
      <w:r>
        <w:rPr>
          <w:rFonts w:ascii="Arial" w:eastAsia="Arial" w:hAnsi="Arial" w:cs="Arial"/>
        </w:rPr>
        <w:t xml:space="preserve">ESG </w:t>
      </w:r>
      <w:r>
        <w:t>培訓。此包括對投資總監和基金經理的同儕學習，期間選定的一組經理將介紹如何將</w:t>
      </w:r>
      <w:r>
        <w:t xml:space="preserve"> </w:t>
      </w:r>
      <w:r>
        <w:rPr>
          <w:rFonts w:ascii="Arial" w:eastAsia="Arial" w:hAnsi="Arial" w:cs="Arial"/>
        </w:rPr>
        <w:t xml:space="preserve">ESG </w:t>
      </w:r>
      <w:r>
        <w:t>整合至其特定策略。聯博亦設有對外部數據、系統和工具的系統</w:t>
      </w:r>
      <w:r>
        <w:t>化培訓及一系列專題的教育課堂，內容範圍涉及現代奴隸制、企業管治、界別特定主題，以及如何將</w:t>
      </w:r>
      <w:r>
        <w:t xml:space="preserve"> </w:t>
      </w:r>
      <w:r>
        <w:rPr>
          <w:rFonts w:ascii="Arial" w:eastAsia="Arial" w:hAnsi="Arial" w:cs="Arial"/>
        </w:rPr>
        <w:t xml:space="preserve">ESG </w:t>
      </w:r>
      <w:r>
        <w:t>整合至基金決策流程。</w:t>
      </w:r>
      <w:r>
        <w:rPr>
          <w:rFonts w:ascii="Arial" w:eastAsia="Arial" w:hAnsi="Arial" w:cs="Arial"/>
        </w:rPr>
        <w:t xml:space="preserve"> </w:t>
      </w:r>
    </w:p>
    <w:p w:rsidR="004D6F0E" w:rsidRDefault="00490F21">
      <w:pPr>
        <w:numPr>
          <w:ilvl w:val="0"/>
          <w:numId w:val="61"/>
        </w:numPr>
        <w:spacing w:after="6" w:line="273" w:lineRule="auto"/>
        <w:ind w:right="41" w:hanging="427"/>
        <w:jc w:val="both"/>
      </w:pPr>
      <w:r>
        <w:t>廣泛的參與。聯博廣泛地參與知識產權、框架、工具和系統的制定。除負責任投資團隊外，另外約</w:t>
      </w:r>
      <w:r>
        <w:t xml:space="preserve"> </w:t>
      </w:r>
      <w:r>
        <w:rPr>
          <w:rFonts w:ascii="Arial" w:eastAsia="Arial" w:hAnsi="Arial" w:cs="Arial"/>
        </w:rPr>
        <w:t xml:space="preserve">100 </w:t>
      </w:r>
      <w:r>
        <w:t>名聯博人員參與一個或多個</w:t>
      </w:r>
      <w:r>
        <w:t xml:space="preserve"> </w:t>
      </w:r>
      <w:r>
        <w:rPr>
          <w:rFonts w:ascii="Arial" w:eastAsia="Arial" w:hAnsi="Arial" w:cs="Arial"/>
        </w:rPr>
        <w:t xml:space="preserve">ESG </w:t>
      </w:r>
      <w:r>
        <w:t>工作團隊。</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b/>
        </w:rPr>
        <w:t xml:space="preserve"> </w:t>
      </w:r>
    </w:p>
    <w:p w:rsidR="004D6F0E" w:rsidRDefault="00490F21">
      <w:pPr>
        <w:spacing w:after="13" w:line="259" w:lineRule="auto"/>
        <w:ind w:left="8" w:hanging="10"/>
      </w:pPr>
      <w:r>
        <w:rPr>
          <w:rFonts w:ascii="Arial" w:eastAsia="Arial" w:hAnsi="Arial" w:cs="Arial"/>
          <w:b/>
        </w:rPr>
        <w:t xml:space="preserve">(2) </w:t>
      </w:r>
      <w:r>
        <w:t>識別</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聯博投資團隊通過識別和評估與相關投資策略有關的重要</w:t>
      </w:r>
      <w:r>
        <w:rPr>
          <w:rFonts w:ascii="Arial" w:eastAsia="Arial" w:hAnsi="Arial" w:cs="Arial"/>
        </w:rPr>
        <w:t xml:space="preserve">ESG </w:t>
      </w:r>
      <w:r>
        <w:t>因素，開始</w:t>
      </w:r>
      <w:r>
        <w:t xml:space="preserve"> </w:t>
      </w:r>
      <w:r>
        <w:rPr>
          <w:rFonts w:ascii="Arial" w:eastAsia="Arial" w:hAnsi="Arial" w:cs="Arial"/>
        </w:rPr>
        <w:t xml:space="preserve">ESG </w:t>
      </w:r>
      <w:r>
        <w:t>整合流程。</w:t>
      </w:r>
      <w:r>
        <w:rPr>
          <w:rFonts w:ascii="Arial" w:eastAsia="Arial" w:hAnsi="Arial" w:cs="Arial"/>
        </w:rPr>
        <w:t xml:space="preserve">ESG </w:t>
      </w:r>
      <w:r>
        <w:t>因素的重要性因界別、行業及地理位置而異。</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line="273" w:lineRule="auto"/>
        <w:ind w:left="14" w:right="41"/>
        <w:jc w:val="both"/>
      </w:pPr>
      <w:r>
        <w:t>通過與聯博各資產類別的投資團隊中超過</w:t>
      </w:r>
      <w:r>
        <w:t xml:space="preserve"> </w:t>
      </w:r>
      <w:r>
        <w:rPr>
          <w:rFonts w:ascii="Arial" w:eastAsia="Arial" w:hAnsi="Arial" w:cs="Arial"/>
        </w:rPr>
        <w:t xml:space="preserve">120 </w:t>
      </w:r>
      <w:r>
        <w:t>名聯博分析師合作，聯博制定一個專有的重要性矩陣，涵蓋超過</w:t>
      </w:r>
      <w:r>
        <w:t xml:space="preserve"> </w:t>
      </w:r>
      <w:r>
        <w:rPr>
          <w:rFonts w:ascii="Arial" w:eastAsia="Arial" w:hAnsi="Arial" w:cs="Arial"/>
        </w:rPr>
        <w:t xml:space="preserve">40 </w:t>
      </w:r>
      <w:r>
        <w:t>項</w:t>
      </w:r>
      <w:r>
        <w:t xml:space="preserve"> </w:t>
      </w:r>
      <w:r>
        <w:rPr>
          <w:rFonts w:ascii="Arial" w:eastAsia="Arial" w:hAnsi="Arial" w:cs="Arial"/>
        </w:rPr>
        <w:t xml:space="preserve">ESG </w:t>
      </w:r>
      <w:r>
        <w:t>因素並跨越約</w:t>
      </w:r>
      <w:r>
        <w:t xml:space="preserve"> </w:t>
      </w:r>
      <w:r>
        <w:rPr>
          <w:rFonts w:ascii="Arial" w:eastAsia="Arial" w:hAnsi="Arial" w:cs="Arial"/>
        </w:rPr>
        <w:t xml:space="preserve">70 </w:t>
      </w:r>
      <w:r>
        <w:t>個子界別。聯博可在適用時應用該矩陣，向聯博投資團隊提供有關</w:t>
      </w:r>
      <w:r>
        <w:t xml:space="preserve"> </w:t>
      </w:r>
      <w:r>
        <w:rPr>
          <w:rFonts w:ascii="Arial" w:eastAsia="Arial" w:hAnsi="Arial" w:cs="Arial"/>
        </w:rPr>
        <w:t xml:space="preserve">ESG </w:t>
      </w:r>
      <w:r>
        <w:t>因素的影響之寶貴意見，以及因而聯博對目標發行人的長期財務預測。聯博認為，識別不利可持續性影響的貫徹框架可幫助聯博投資團隊作出更知情的投資決定，並最終讓聯博能夠實現更佳的投資結果。目前此等</w:t>
      </w:r>
      <w:r>
        <w:t xml:space="preserve"> </w:t>
      </w:r>
      <w:r>
        <w:rPr>
          <w:rFonts w:ascii="Arial" w:eastAsia="Arial" w:hAnsi="Arial" w:cs="Arial"/>
        </w:rPr>
        <w:t xml:space="preserve">ESG </w:t>
      </w:r>
      <w:r>
        <w:t>因素包括：</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pStyle w:val="Heading5"/>
        <w:spacing w:after="0"/>
        <w:ind w:left="3"/>
      </w:pPr>
      <w:r>
        <w:t>環境因素</w:t>
      </w:r>
      <w:r>
        <w:rPr>
          <w:rFonts w:ascii="Arial" w:eastAsia="Arial" w:hAnsi="Arial" w:cs="Arial"/>
          <w:b/>
          <w:i/>
          <w:sz w:val="19"/>
        </w:rPr>
        <w:t xml:space="preserve"> </w:t>
      </w:r>
    </w:p>
    <w:p w:rsidR="004D6F0E" w:rsidRDefault="00490F21">
      <w:pPr>
        <w:spacing w:after="0" w:line="259" w:lineRule="auto"/>
        <w:ind w:left="13" w:firstLine="0"/>
      </w:pPr>
      <w:r>
        <w:rPr>
          <w:rFonts w:ascii="Arial" w:eastAsia="Arial" w:hAnsi="Arial" w:cs="Arial"/>
          <w:b/>
        </w:rPr>
        <w:t xml:space="preserve"> </w:t>
      </w:r>
    </w:p>
    <w:p w:rsidR="004D6F0E" w:rsidRDefault="00490F21">
      <w:pPr>
        <w:numPr>
          <w:ilvl w:val="0"/>
          <w:numId w:val="62"/>
        </w:numPr>
        <w:ind w:left="484" w:right="2" w:hanging="482"/>
      </w:pPr>
      <w:r>
        <w:t>碳排放</w:t>
      </w:r>
      <w:r>
        <w:rPr>
          <w:rFonts w:ascii="Arial" w:eastAsia="Arial" w:hAnsi="Arial" w:cs="Arial"/>
        </w:rPr>
        <w:t xml:space="preserve"> </w:t>
      </w:r>
    </w:p>
    <w:p w:rsidR="004D6F0E" w:rsidRDefault="00490F21">
      <w:pPr>
        <w:numPr>
          <w:ilvl w:val="0"/>
          <w:numId w:val="62"/>
        </w:numPr>
        <w:ind w:left="484" w:right="2" w:hanging="482"/>
      </w:pPr>
      <w:r>
        <w:t>產品碳足跡</w:t>
      </w:r>
      <w:r>
        <w:rPr>
          <w:rFonts w:ascii="Arial" w:eastAsia="Arial" w:hAnsi="Arial" w:cs="Arial"/>
        </w:rPr>
        <w:t xml:space="preserve"> </w:t>
      </w:r>
    </w:p>
    <w:p w:rsidR="004D6F0E" w:rsidRDefault="00490F21">
      <w:pPr>
        <w:numPr>
          <w:ilvl w:val="0"/>
          <w:numId w:val="62"/>
        </w:numPr>
        <w:ind w:left="484" w:right="2" w:hanging="482"/>
      </w:pPr>
      <w:r>
        <w:t>氣候變化脆弱性</w:t>
      </w:r>
      <w:r>
        <w:rPr>
          <w:rFonts w:ascii="Arial" w:eastAsia="Arial" w:hAnsi="Arial" w:cs="Arial"/>
        </w:rPr>
        <w:t xml:space="preserve"> </w:t>
      </w:r>
    </w:p>
    <w:p w:rsidR="004D6F0E" w:rsidRDefault="00490F21">
      <w:pPr>
        <w:numPr>
          <w:ilvl w:val="0"/>
          <w:numId w:val="62"/>
        </w:numPr>
        <w:ind w:left="484" w:right="2" w:hanging="482"/>
      </w:pPr>
      <w:r>
        <w:t>水管理</w:t>
      </w:r>
      <w:r>
        <w:rPr>
          <w:rFonts w:ascii="Arial" w:eastAsia="Arial" w:hAnsi="Arial" w:cs="Arial"/>
        </w:rPr>
        <w:t xml:space="preserve"> </w:t>
      </w:r>
    </w:p>
    <w:p w:rsidR="004D6F0E" w:rsidRDefault="00490F21">
      <w:pPr>
        <w:numPr>
          <w:ilvl w:val="0"/>
          <w:numId w:val="62"/>
        </w:numPr>
        <w:ind w:left="484" w:right="2" w:hanging="482"/>
      </w:pPr>
      <w:r>
        <w:t>資源管理</w:t>
      </w:r>
      <w:r>
        <w:rPr>
          <w:rFonts w:ascii="Arial" w:eastAsia="Arial" w:hAnsi="Arial" w:cs="Arial"/>
        </w:rPr>
        <w:t xml:space="preserve"> </w:t>
      </w:r>
    </w:p>
    <w:p w:rsidR="004D6F0E" w:rsidRDefault="00490F21">
      <w:pPr>
        <w:numPr>
          <w:ilvl w:val="0"/>
          <w:numId w:val="62"/>
        </w:numPr>
        <w:ind w:left="484" w:right="2" w:hanging="482"/>
      </w:pPr>
      <w:r>
        <w:t>生物多樣性和土地使用</w:t>
      </w:r>
      <w:r>
        <w:rPr>
          <w:rFonts w:ascii="Arial" w:eastAsia="Arial" w:hAnsi="Arial" w:cs="Arial"/>
        </w:rPr>
        <w:t xml:space="preserve"> </w:t>
      </w:r>
    </w:p>
    <w:p w:rsidR="004D6F0E" w:rsidRDefault="00490F21">
      <w:pPr>
        <w:numPr>
          <w:ilvl w:val="0"/>
          <w:numId w:val="62"/>
        </w:numPr>
        <w:ind w:left="484" w:right="2" w:hanging="482"/>
      </w:pPr>
      <w:r>
        <w:t>有毒物質排放和有害廢物</w:t>
      </w:r>
      <w:r>
        <w:rPr>
          <w:rFonts w:ascii="Arial" w:eastAsia="Arial" w:hAnsi="Arial" w:cs="Arial"/>
        </w:rPr>
        <w:t xml:space="preserve"> </w:t>
      </w:r>
    </w:p>
    <w:p w:rsidR="004D6F0E" w:rsidRDefault="00490F21">
      <w:pPr>
        <w:numPr>
          <w:ilvl w:val="0"/>
          <w:numId w:val="62"/>
        </w:numPr>
        <w:spacing w:after="30" w:line="250" w:lineRule="auto"/>
        <w:ind w:left="484" w:right="2" w:hanging="482"/>
      </w:pPr>
      <w:r>
        <w:rPr>
          <w:rFonts w:ascii="Arial" w:eastAsia="Arial" w:hAnsi="Arial" w:cs="Arial"/>
        </w:rPr>
        <w:t xml:space="preserve">COVID-19 </w:t>
      </w:r>
      <w:r>
        <w:t>和環境</w:t>
      </w:r>
      <w:r>
        <w:rPr>
          <w:rFonts w:ascii="Arial" w:eastAsia="Arial" w:hAnsi="Arial" w:cs="Arial"/>
        </w:rPr>
        <w:t xml:space="preserve"> </w:t>
      </w:r>
    </w:p>
    <w:p w:rsidR="004D6F0E" w:rsidRDefault="00490F21">
      <w:pPr>
        <w:numPr>
          <w:ilvl w:val="0"/>
          <w:numId w:val="62"/>
        </w:numPr>
        <w:ind w:left="484" w:right="2" w:hanging="482"/>
      </w:pPr>
      <w:r>
        <w:t>包裝廢物</w:t>
      </w:r>
      <w:r>
        <w:rPr>
          <w:rFonts w:ascii="Arial" w:eastAsia="Arial" w:hAnsi="Arial" w:cs="Arial"/>
        </w:rPr>
        <w:t xml:space="preserve"> </w:t>
      </w:r>
    </w:p>
    <w:p w:rsidR="004D6F0E" w:rsidRDefault="00490F21">
      <w:pPr>
        <w:numPr>
          <w:ilvl w:val="0"/>
          <w:numId w:val="62"/>
        </w:numPr>
        <w:ind w:left="484" w:right="2" w:hanging="482"/>
      </w:pPr>
      <w:r>
        <w:t>電子廢物</w:t>
      </w:r>
      <w:r>
        <w:rPr>
          <w:rFonts w:ascii="Arial" w:eastAsia="Arial" w:hAnsi="Arial" w:cs="Arial"/>
        </w:rPr>
        <w:t xml:space="preserve"> </w:t>
      </w:r>
    </w:p>
    <w:p w:rsidR="004D6F0E" w:rsidRDefault="00490F21">
      <w:pPr>
        <w:numPr>
          <w:ilvl w:val="0"/>
          <w:numId w:val="62"/>
        </w:numPr>
        <w:ind w:left="484" w:right="2" w:hanging="482"/>
      </w:pPr>
      <w:r>
        <w:t>供應鏈</w:t>
      </w:r>
      <w:r>
        <w:rPr>
          <w:rFonts w:ascii="Arial" w:eastAsia="Arial" w:hAnsi="Arial" w:cs="Arial"/>
        </w:rPr>
        <w:t xml:space="preserve"> – </w:t>
      </w:r>
      <w:r>
        <w:t>環境</w:t>
      </w:r>
      <w:r>
        <w:rPr>
          <w:rFonts w:ascii="Arial" w:eastAsia="Arial" w:hAnsi="Arial" w:cs="Arial"/>
        </w:rPr>
        <w:t xml:space="preserve"> </w:t>
      </w:r>
    </w:p>
    <w:p w:rsidR="004D6F0E" w:rsidRDefault="00490F21">
      <w:pPr>
        <w:numPr>
          <w:ilvl w:val="0"/>
          <w:numId w:val="62"/>
        </w:numPr>
        <w:ind w:left="484" w:right="2" w:hanging="482"/>
      </w:pPr>
      <w:r>
        <w:t>清潔技術的機遇</w:t>
      </w:r>
      <w:r>
        <w:rPr>
          <w:rFonts w:ascii="Arial" w:eastAsia="Arial" w:hAnsi="Arial" w:cs="Arial"/>
        </w:rPr>
        <w:t xml:space="preserve"> </w:t>
      </w:r>
    </w:p>
    <w:p w:rsidR="004D6F0E" w:rsidRDefault="00490F21">
      <w:pPr>
        <w:numPr>
          <w:ilvl w:val="0"/>
          <w:numId w:val="62"/>
        </w:numPr>
        <w:ind w:left="484" w:right="2" w:hanging="482"/>
      </w:pPr>
      <w:r>
        <w:t>綠色建築的機遇</w:t>
      </w:r>
      <w:r>
        <w:rPr>
          <w:rFonts w:ascii="Arial" w:eastAsia="Arial" w:hAnsi="Arial" w:cs="Arial"/>
        </w:rPr>
        <w:t xml:space="preserve"> </w:t>
      </w:r>
    </w:p>
    <w:p w:rsidR="004D6F0E" w:rsidRDefault="00490F21">
      <w:pPr>
        <w:numPr>
          <w:ilvl w:val="0"/>
          <w:numId w:val="62"/>
        </w:numPr>
        <w:ind w:left="484" w:right="2" w:hanging="482"/>
      </w:pPr>
      <w:r>
        <w:t>可再生能源的機遇</w:t>
      </w:r>
      <w:r>
        <w:rPr>
          <w:rFonts w:ascii="Arial" w:eastAsia="Arial" w:hAnsi="Arial" w:cs="Arial"/>
        </w:rPr>
        <w:t xml:space="preserve"> </w:t>
      </w:r>
    </w:p>
    <w:p w:rsidR="004D6F0E" w:rsidRDefault="00490F21">
      <w:pPr>
        <w:spacing w:after="0" w:line="259" w:lineRule="auto"/>
        <w:ind w:left="12" w:firstLine="0"/>
      </w:pPr>
      <w:r>
        <w:rPr>
          <w:rFonts w:ascii="Arial" w:eastAsia="Arial" w:hAnsi="Arial" w:cs="Arial"/>
        </w:rPr>
        <w:t xml:space="preserve"> </w:t>
      </w:r>
    </w:p>
    <w:p w:rsidR="004D6F0E" w:rsidRDefault="00490F21">
      <w:pPr>
        <w:pStyle w:val="Heading5"/>
        <w:spacing w:after="0"/>
        <w:ind w:left="3"/>
      </w:pPr>
      <w:r>
        <w:t>社會因素</w:t>
      </w:r>
      <w:r>
        <w:rPr>
          <w:rFonts w:ascii="Arial" w:eastAsia="Arial" w:hAnsi="Arial" w:cs="Arial"/>
          <w:b/>
          <w:i/>
          <w:sz w:val="19"/>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numPr>
          <w:ilvl w:val="0"/>
          <w:numId w:val="63"/>
        </w:numPr>
        <w:ind w:left="484" w:right="2" w:hanging="482"/>
      </w:pPr>
      <w:r>
        <w:t>勞工管理</w:t>
      </w:r>
      <w:r>
        <w:rPr>
          <w:rFonts w:ascii="Arial" w:eastAsia="Arial" w:hAnsi="Arial" w:cs="Arial"/>
        </w:rPr>
        <w:t xml:space="preserve"> </w:t>
      </w:r>
    </w:p>
    <w:p w:rsidR="004D6F0E" w:rsidRDefault="00490F21">
      <w:pPr>
        <w:numPr>
          <w:ilvl w:val="0"/>
          <w:numId w:val="63"/>
        </w:numPr>
        <w:ind w:left="484" w:right="2" w:hanging="482"/>
      </w:pPr>
      <w:r>
        <w:t>人力資本發展</w:t>
      </w:r>
      <w:r>
        <w:rPr>
          <w:rFonts w:ascii="Arial" w:eastAsia="Arial" w:hAnsi="Arial" w:cs="Arial"/>
        </w:rPr>
        <w:t xml:space="preserve"> </w:t>
      </w:r>
    </w:p>
    <w:p w:rsidR="004D6F0E" w:rsidRDefault="00490F21">
      <w:pPr>
        <w:numPr>
          <w:ilvl w:val="0"/>
          <w:numId w:val="63"/>
        </w:numPr>
        <w:ind w:left="484" w:right="2" w:hanging="482"/>
      </w:pPr>
      <w:r>
        <w:t>僱員健康和安全</w:t>
      </w:r>
      <w:r>
        <w:rPr>
          <w:rFonts w:ascii="Arial" w:eastAsia="Arial" w:hAnsi="Arial" w:cs="Arial"/>
        </w:rPr>
        <w:t xml:space="preserve"> </w:t>
      </w:r>
    </w:p>
    <w:p w:rsidR="004D6F0E" w:rsidRDefault="00490F21">
      <w:pPr>
        <w:numPr>
          <w:ilvl w:val="0"/>
          <w:numId w:val="63"/>
        </w:numPr>
        <w:ind w:left="484" w:right="2" w:hanging="482"/>
      </w:pPr>
      <w:r>
        <w:t>產品安全和質素</w:t>
      </w:r>
      <w:r>
        <w:rPr>
          <w:rFonts w:ascii="Arial" w:eastAsia="Arial" w:hAnsi="Arial" w:cs="Arial"/>
        </w:rPr>
        <w:t xml:space="preserve">  </w:t>
      </w:r>
    </w:p>
    <w:p w:rsidR="004D6F0E" w:rsidRDefault="00490F21">
      <w:pPr>
        <w:numPr>
          <w:ilvl w:val="0"/>
          <w:numId w:val="63"/>
        </w:numPr>
        <w:spacing w:after="29" w:line="250" w:lineRule="auto"/>
        <w:ind w:left="484" w:right="2" w:hanging="482"/>
      </w:pPr>
      <w:r>
        <w:rPr>
          <w:rFonts w:ascii="Arial" w:eastAsia="Arial" w:hAnsi="Arial" w:cs="Arial"/>
        </w:rPr>
        <w:t xml:space="preserve">COVID-19 </w:t>
      </w:r>
      <w:r>
        <w:t>和社會問題</w:t>
      </w:r>
      <w:r>
        <w:rPr>
          <w:rFonts w:ascii="Arial" w:eastAsia="Arial" w:hAnsi="Arial" w:cs="Arial"/>
        </w:rPr>
        <w:t xml:space="preserve"> </w:t>
      </w:r>
    </w:p>
    <w:p w:rsidR="004D6F0E" w:rsidRDefault="00490F21">
      <w:pPr>
        <w:numPr>
          <w:ilvl w:val="0"/>
          <w:numId w:val="63"/>
        </w:numPr>
        <w:ind w:left="484" w:right="2" w:hanging="482"/>
      </w:pPr>
      <w:r>
        <w:t>金融產品安全性</w:t>
      </w:r>
      <w:r>
        <w:rPr>
          <w:rFonts w:ascii="Arial" w:eastAsia="Arial" w:hAnsi="Arial" w:cs="Arial"/>
        </w:rPr>
        <w:t xml:space="preserve"> </w:t>
      </w:r>
    </w:p>
    <w:p w:rsidR="004D6F0E" w:rsidRDefault="00490F21">
      <w:pPr>
        <w:numPr>
          <w:ilvl w:val="0"/>
          <w:numId w:val="63"/>
        </w:numPr>
        <w:ind w:left="484" w:right="2" w:hanging="482"/>
      </w:pPr>
      <w:r>
        <w:t>私隱和數據安全</w:t>
      </w:r>
      <w:r>
        <w:rPr>
          <w:rFonts w:ascii="Arial" w:eastAsia="Arial" w:hAnsi="Arial" w:cs="Arial"/>
        </w:rPr>
        <w:t xml:space="preserve"> </w:t>
      </w:r>
    </w:p>
    <w:p w:rsidR="004D6F0E" w:rsidRDefault="00490F21">
      <w:pPr>
        <w:numPr>
          <w:ilvl w:val="0"/>
          <w:numId w:val="63"/>
        </w:numPr>
        <w:ind w:left="484" w:right="2" w:hanging="482"/>
      </w:pPr>
      <w:r>
        <w:t>供應鏈</w:t>
      </w:r>
      <w:r>
        <w:rPr>
          <w:rFonts w:ascii="Arial" w:eastAsia="Arial" w:hAnsi="Arial" w:cs="Arial"/>
        </w:rPr>
        <w:t xml:space="preserve"> – </w:t>
      </w:r>
      <w:r>
        <w:t>社會</w:t>
      </w:r>
      <w:r>
        <w:rPr>
          <w:rFonts w:ascii="Arial" w:eastAsia="Arial" w:hAnsi="Arial" w:cs="Arial"/>
        </w:rPr>
        <w:t xml:space="preserve"> </w:t>
      </w:r>
    </w:p>
    <w:p w:rsidR="004D6F0E" w:rsidRDefault="00490F21">
      <w:pPr>
        <w:numPr>
          <w:ilvl w:val="0"/>
          <w:numId w:val="63"/>
        </w:numPr>
        <w:ind w:left="484" w:right="2" w:hanging="482"/>
      </w:pPr>
      <w:r>
        <w:t>負責任投資</w:t>
      </w:r>
      <w:r>
        <w:rPr>
          <w:rFonts w:ascii="Arial" w:eastAsia="Arial" w:hAnsi="Arial" w:cs="Arial"/>
        </w:rPr>
        <w:t xml:space="preserve"> </w:t>
      </w:r>
    </w:p>
    <w:p w:rsidR="004D6F0E" w:rsidRDefault="00490F21">
      <w:pPr>
        <w:numPr>
          <w:ilvl w:val="0"/>
          <w:numId w:val="63"/>
        </w:numPr>
        <w:ind w:left="484" w:right="2" w:hanging="482"/>
      </w:pPr>
      <w:r>
        <w:t>保障健康和人口結構風險</w:t>
      </w:r>
      <w:r>
        <w:rPr>
          <w:rFonts w:ascii="Arial" w:eastAsia="Arial" w:hAnsi="Arial" w:cs="Arial"/>
        </w:rPr>
        <w:t xml:space="preserve"> </w:t>
      </w:r>
    </w:p>
    <w:p w:rsidR="004D6F0E" w:rsidRDefault="00490F21">
      <w:pPr>
        <w:numPr>
          <w:ilvl w:val="0"/>
          <w:numId w:val="63"/>
        </w:numPr>
        <w:ind w:left="484" w:right="2" w:hanging="482"/>
      </w:pPr>
      <w:r>
        <w:t>通訊的機遇</w:t>
      </w:r>
      <w:r>
        <w:rPr>
          <w:rFonts w:ascii="Arial" w:eastAsia="Arial" w:hAnsi="Arial" w:cs="Arial"/>
        </w:rPr>
        <w:t xml:space="preserve"> </w:t>
      </w:r>
    </w:p>
    <w:p w:rsidR="004D6F0E" w:rsidRDefault="00490F21">
      <w:pPr>
        <w:numPr>
          <w:ilvl w:val="0"/>
          <w:numId w:val="63"/>
        </w:numPr>
        <w:ind w:left="484" w:right="2" w:hanging="482"/>
      </w:pPr>
      <w:r>
        <w:t>普及金融的機遇</w:t>
      </w:r>
      <w:r>
        <w:rPr>
          <w:rFonts w:ascii="Arial" w:eastAsia="Arial" w:hAnsi="Arial" w:cs="Arial"/>
        </w:rPr>
        <w:t xml:space="preserve"> </w:t>
      </w:r>
    </w:p>
    <w:p w:rsidR="004D6F0E" w:rsidRDefault="00490F21">
      <w:pPr>
        <w:numPr>
          <w:ilvl w:val="0"/>
          <w:numId w:val="63"/>
        </w:numPr>
        <w:ind w:left="484" w:right="2" w:hanging="482"/>
      </w:pPr>
      <w:r>
        <w:t>健康護理的機遇</w:t>
      </w:r>
      <w:r>
        <w:rPr>
          <w:rFonts w:ascii="Arial" w:eastAsia="Arial" w:hAnsi="Arial" w:cs="Arial"/>
        </w:rPr>
        <w:t xml:space="preserve"> </w:t>
      </w:r>
    </w:p>
    <w:p w:rsidR="004D6F0E" w:rsidRDefault="00490F21">
      <w:pPr>
        <w:numPr>
          <w:ilvl w:val="0"/>
          <w:numId w:val="63"/>
        </w:numPr>
        <w:ind w:left="484" w:right="2" w:hanging="482"/>
      </w:pPr>
      <w:r>
        <w:t>營養和健康產品的機遇</w:t>
      </w:r>
      <w:r>
        <w:rPr>
          <w:rFonts w:ascii="Arial" w:eastAsia="Arial" w:hAnsi="Arial" w:cs="Arial"/>
        </w:rPr>
        <w:t xml:space="preserve"> </w:t>
      </w:r>
    </w:p>
    <w:p w:rsidR="004D6F0E" w:rsidRDefault="00490F21">
      <w:pPr>
        <w:numPr>
          <w:ilvl w:val="0"/>
          <w:numId w:val="63"/>
        </w:numPr>
        <w:ind w:left="484" w:right="2" w:hanging="482"/>
      </w:pPr>
      <w:r>
        <w:t>教育的機遇</w:t>
      </w:r>
      <w:r>
        <w:rPr>
          <w:rFonts w:ascii="Arial" w:eastAsia="Arial" w:hAnsi="Arial" w:cs="Arial"/>
        </w:rPr>
        <w:t xml:space="preserve"> </w:t>
      </w:r>
    </w:p>
    <w:p w:rsidR="004D6F0E" w:rsidRDefault="00490F21">
      <w:pPr>
        <w:spacing w:after="0" w:line="259" w:lineRule="auto"/>
        <w:ind w:left="12" w:firstLine="0"/>
      </w:pPr>
      <w:r>
        <w:rPr>
          <w:rFonts w:ascii="Arial" w:eastAsia="Arial" w:hAnsi="Arial" w:cs="Arial"/>
        </w:rPr>
        <w:t xml:space="preserve"> </w:t>
      </w:r>
    </w:p>
    <w:p w:rsidR="004D6F0E" w:rsidRDefault="00490F21">
      <w:pPr>
        <w:spacing w:after="0" w:line="259" w:lineRule="auto"/>
        <w:ind w:left="3" w:firstLine="3"/>
      </w:pPr>
      <w:r>
        <w:rPr>
          <w:sz w:val="20"/>
        </w:rPr>
        <w:t>管治因素</w:t>
      </w:r>
      <w:r>
        <w:rPr>
          <w:rFonts w:ascii="Arial" w:eastAsia="Arial" w:hAnsi="Arial" w:cs="Arial"/>
          <w:b/>
          <w:i/>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pStyle w:val="Heading5"/>
        <w:spacing w:after="4"/>
        <w:ind w:left="3"/>
      </w:pPr>
      <w:r>
        <w:t>董事會</w:t>
      </w:r>
      <w:r>
        <w:rPr>
          <w:rFonts w:ascii="Arial" w:eastAsia="Arial" w:hAnsi="Arial" w:cs="Arial"/>
          <w:i/>
          <w:sz w:val="19"/>
        </w:rPr>
        <w:t xml:space="preserve"> </w:t>
      </w:r>
    </w:p>
    <w:p w:rsidR="004D6F0E" w:rsidRDefault="00490F21">
      <w:pPr>
        <w:numPr>
          <w:ilvl w:val="0"/>
          <w:numId w:val="64"/>
        </w:numPr>
        <w:ind w:left="484" w:right="2" w:hanging="482"/>
      </w:pPr>
      <w:r>
        <w:t>董事會獨立性</w:t>
      </w:r>
      <w:r>
        <w:rPr>
          <w:rFonts w:ascii="Arial" w:eastAsia="Arial" w:hAnsi="Arial" w:cs="Arial"/>
        </w:rPr>
        <w:t xml:space="preserve"> </w:t>
      </w:r>
    </w:p>
    <w:p w:rsidR="004D6F0E" w:rsidRDefault="00490F21">
      <w:pPr>
        <w:numPr>
          <w:ilvl w:val="0"/>
          <w:numId w:val="64"/>
        </w:numPr>
        <w:ind w:left="484" w:right="2" w:hanging="482"/>
      </w:pPr>
      <w:r>
        <w:t>董事會的性別多元化</w:t>
      </w:r>
      <w:r>
        <w:rPr>
          <w:rFonts w:ascii="Arial" w:eastAsia="Arial" w:hAnsi="Arial" w:cs="Arial"/>
        </w:rPr>
        <w:t xml:space="preserve"> </w:t>
      </w:r>
    </w:p>
    <w:p w:rsidR="004D6F0E" w:rsidRDefault="00490F21">
      <w:pPr>
        <w:numPr>
          <w:ilvl w:val="0"/>
          <w:numId w:val="64"/>
        </w:numPr>
        <w:ind w:left="484" w:right="2" w:hanging="482"/>
      </w:pPr>
      <w:r>
        <w:t>兼任行政總裁和主席</w:t>
      </w:r>
      <w:r>
        <w:rPr>
          <w:rFonts w:ascii="Arial" w:eastAsia="Arial" w:hAnsi="Arial" w:cs="Arial"/>
        </w:rPr>
        <w:t xml:space="preserve">   </w:t>
      </w:r>
    </w:p>
    <w:p w:rsidR="004D6F0E" w:rsidRDefault="00490F21">
      <w:pPr>
        <w:numPr>
          <w:ilvl w:val="0"/>
          <w:numId w:val="64"/>
        </w:numPr>
        <w:ind w:left="484" w:right="2" w:hanging="482"/>
      </w:pPr>
      <w:r>
        <w:t>鞏固的董事會</w:t>
      </w:r>
      <w:r>
        <w:rPr>
          <w:rFonts w:ascii="Arial" w:eastAsia="Arial" w:hAnsi="Arial" w:cs="Arial"/>
        </w:rPr>
        <w:t xml:space="preserve"> </w:t>
      </w:r>
    </w:p>
    <w:p w:rsidR="004D6F0E" w:rsidRDefault="00490F21">
      <w:pPr>
        <w:spacing w:after="0" w:line="259" w:lineRule="auto"/>
        <w:ind w:left="12" w:firstLine="0"/>
      </w:pPr>
      <w:r>
        <w:rPr>
          <w:rFonts w:ascii="Arial" w:eastAsia="Arial" w:hAnsi="Arial" w:cs="Arial"/>
        </w:rPr>
        <w:t xml:space="preserve"> </w:t>
      </w:r>
    </w:p>
    <w:p w:rsidR="004D6F0E" w:rsidRDefault="00490F21">
      <w:pPr>
        <w:pStyle w:val="Heading5"/>
        <w:spacing w:after="7"/>
        <w:ind w:left="3"/>
      </w:pPr>
      <w:r>
        <w:t>監督和風險管理</w:t>
      </w:r>
      <w:r>
        <w:rPr>
          <w:rFonts w:ascii="Arial" w:eastAsia="Arial" w:hAnsi="Arial" w:cs="Arial"/>
          <w:i/>
          <w:sz w:val="19"/>
        </w:rPr>
        <w:t xml:space="preserve"> </w:t>
      </w:r>
    </w:p>
    <w:p w:rsidR="004D6F0E" w:rsidRDefault="00490F21">
      <w:pPr>
        <w:numPr>
          <w:ilvl w:val="0"/>
          <w:numId w:val="65"/>
        </w:numPr>
        <w:ind w:left="484" w:right="2" w:hanging="482"/>
      </w:pPr>
      <w:r>
        <w:t>會計</w:t>
      </w:r>
      <w:r>
        <w:rPr>
          <w:rFonts w:ascii="Arial" w:eastAsia="Arial" w:hAnsi="Arial" w:cs="Arial"/>
        </w:rPr>
        <w:t xml:space="preserve"> </w:t>
      </w:r>
    </w:p>
    <w:p w:rsidR="004D6F0E" w:rsidRDefault="00490F21">
      <w:pPr>
        <w:numPr>
          <w:ilvl w:val="0"/>
          <w:numId w:val="65"/>
        </w:numPr>
        <w:ind w:left="484" w:right="2" w:hanging="482"/>
      </w:pPr>
      <w:r>
        <w:t>反競爭實務</w:t>
      </w:r>
      <w:r>
        <w:rPr>
          <w:rFonts w:ascii="Arial" w:eastAsia="Arial" w:hAnsi="Arial" w:cs="Arial"/>
        </w:rPr>
        <w:t xml:space="preserve"> </w:t>
      </w:r>
    </w:p>
    <w:p w:rsidR="004D6F0E" w:rsidRDefault="00490F21">
      <w:pPr>
        <w:numPr>
          <w:ilvl w:val="0"/>
          <w:numId w:val="65"/>
        </w:numPr>
        <w:ind w:left="484" w:right="2" w:hanging="482"/>
      </w:pPr>
      <w:r>
        <w:t>商業道德</w:t>
      </w:r>
      <w:r>
        <w:rPr>
          <w:rFonts w:ascii="Arial" w:eastAsia="Arial" w:hAnsi="Arial" w:cs="Arial"/>
        </w:rPr>
        <w:t xml:space="preserve"> </w:t>
      </w:r>
    </w:p>
    <w:p w:rsidR="004D6F0E" w:rsidRDefault="00490F21">
      <w:pPr>
        <w:numPr>
          <w:ilvl w:val="0"/>
          <w:numId w:val="65"/>
        </w:numPr>
        <w:ind w:left="484" w:right="2" w:hanging="482"/>
      </w:pPr>
      <w:r>
        <w:t>貪污和不穩定性</w:t>
      </w:r>
      <w:r>
        <w:rPr>
          <w:rFonts w:ascii="Arial" w:eastAsia="Arial" w:hAnsi="Arial" w:cs="Arial"/>
        </w:rPr>
        <w:t xml:space="preserve"> </w:t>
      </w:r>
    </w:p>
    <w:p w:rsidR="004D6F0E" w:rsidRDefault="00490F21">
      <w:pPr>
        <w:numPr>
          <w:ilvl w:val="0"/>
          <w:numId w:val="65"/>
        </w:numPr>
        <w:ind w:left="484" w:right="2" w:hanging="482"/>
      </w:pPr>
      <w:r>
        <w:t>財務系統不穩定性</w:t>
      </w:r>
      <w:r>
        <w:rPr>
          <w:rFonts w:ascii="Arial" w:eastAsia="Arial" w:hAnsi="Arial" w:cs="Arial"/>
        </w:rPr>
        <w:t xml:space="preserve"> </w:t>
      </w:r>
    </w:p>
    <w:p w:rsidR="004D6F0E" w:rsidRDefault="00490F21">
      <w:pPr>
        <w:numPr>
          <w:ilvl w:val="0"/>
          <w:numId w:val="65"/>
        </w:numPr>
        <w:ind w:left="484" w:right="2" w:hanging="482"/>
      </w:pPr>
      <w:r>
        <w:t>機構文化</w:t>
      </w:r>
      <w:r>
        <w:rPr>
          <w:rFonts w:ascii="Arial" w:eastAsia="Arial" w:hAnsi="Arial" w:cs="Arial"/>
        </w:rPr>
        <w:t xml:space="preserve"> </w:t>
      </w:r>
    </w:p>
    <w:p w:rsidR="004D6F0E" w:rsidRDefault="00490F21">
      <w:pPr>
        <w:numPr>
          <w:ilvl w:val="0"/>
          <w:numId w:val="65"/>
        </w:numPr>
        <w:ind w:left="484" w:right="2" w:hanging="482"/>
      </w:pPr>
      <w:r>
        <w:t>薪酬</w:t>
      </w:r>
      <w:r>
        <w:rPr>
          <w:rFonts w:ascii="Arial" w:eastAsia="Arial" w:hAnsi="Arial" w:cs="Arial"/>
        </w:rPr>
        <w:t xml:space="preserve"> </w:t>
      </w:r>
    </w:p>
    <w:p w:rsidR="004D6F0E" w:rsidRDefault="00490F21">
      <w:pPr>
        <w:numPr>
          <w:ilvl w:val="0"/>
          <w:numId w:val="65"/>
        </w:numPr>
        <w:ind w:left="484" w:right="2" w:hanging="482"/>
      </w:pPr>
      <w:r>
        <w:t>制裁</w:t>
      </w:r>
      <w:r>
        <w:rPr>
          <w:rFonts w:ascii="Arial" w:eastAsia="Arial" w:hAnsi="Arial" w:cs="Arial"/>
        </w:rPr>
        <w:t xml:space="preserve"> </w:t>
      </w:r>
    </w:p>
    <w:p w:rsidR="004D6F0E" w:rsidRDefault="00490F21">
      <w:pPr>
        <w:numPr>
          <w:ilvl w:val="0"/>
          <w:numId w:val="65"/>
        </w:numPr>
        <w:spacing w:line="250" w:lineRule="auto"/>
        <w:ind w:left="484" w:right="2" w:hanging="482"/>
      </w:pPr>
      <w:r>
        <w:rPr>
          <w:rFonts w:ascii="Arial" w:eastAsia="Arial" w:hAnsi="Arial" w:cs="Arial"/>
        </w:rPr>
        <w:t xml:space="preserve">COVID-19 </w:t>
      </w:r>
      <w:r>
        <w:t>和管治</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pStyle w:val="Heading5"/>
        <w:spacing w:after="5"/>
        <w:ind w:left="3"/>
      </w:pPr>
      <w:r>
        <w:t>股東參與權</w:t>
      </w:r>
      <w:r>
        <w:rPr>
          <w:rFonts w:ascii="Arial" w:eastAsia="Arial" w:hAnsi="Arial" w:cs="Arial"/>
          <w:i/>
          <w:sz w:val="19"/>
        </w:rPr>
        <w:t xml:space="preserve"> </w:t>
      </w:r>
    </w:p>
    <w:p w:rsidR="004D6F0E" w:rsidRDefault="00490F21">
      <w:pPr>
        <w:numPr>
          <w:ilvl w:val="0"/>
          <w:numId w:val="66"/>
        </w:numPr>
        <w:ind w:left="484" w:right="2" w:hanging="482"/>
      </w:pPr>
      <w:r>
        <w:t>一股一票</w:t>
      </w:r>
      <w:r>
        <w:rPr>
          <w:rFonts w:ascii="Arial" w:eastAsia="Arial" w:hAnsi="Arial" w:cs="Arial"/>
        </w:rPr>
        <w:t xml:space="preserve"> </w:t>
      </w:r>
    </w:p>
    <w:p w:rsidR="004D6F0E" w:rsidRDefault="00490F21">
      <w:pPr>
        <w:numPr>
          <w:ilvl w:val="0"/>
          <w:numId w:val="66"/>
        </w:numPr>
        <w:ind w:left="484" w:right="2" w:hanging="482"/>
      </w:pPr>
      <w:r>
        <w:t>受委代表參與</w:t>
      </w:r>
      <w:r>
        <w:rPr>
          <w:rFonts w:ascii="Arial" w:eastAsia="Arial" w:hAnsi="Arial" w:cs="Arial"/>
        </w:rPr>
        <w:t xml:space="preserve"> </w:t>
      </w:r>
    </w:p>
    <w:p w:rsidR="004D6F0E" w:rsidRDefault="00490F21">
      <w:pPr>
        <w:numPr>
          <w:ilvl w:val="0"/>
          <w:numId w:val="66"/>
        </w:numPr>
        <w:ind w:left="484" w:right="2" w:hanging="482"/>
      </w:pPr>
      <w:r>
        <w:t>召開特別會議的權利</w:t>
      </w:r>
      <w:r>
        <w:rPr>
          <w:rFonts w:ascii="Arial" w:eastAsia="Arial" w:hAnsi="Arial" w:cs="Arial"/>
        </w:rPr>
        <w:t xml:space="preserve"> </w:t>
      </w:r>
    </w:p>
    <w:p w:rsidR="004D6F0E" w:rsidRDefault="00490F21">
      <w:pPr>
        <w:spacing w:after="0" w:line="259" w:lineRule="auto"/>
        <w:ind w:left="12" w:firstLine="0"/>
      </w:pPr>
      <w:r>
        <w:rPr>
          <w:rFonts w:ascii="Arial" w:eastAsia="Arial" w:hAnsi="Arial" w:cs="Arial"/>
        </w:rPr>
        <w:t xml:space="preserve"> </w:t>
      </w:r>
    </w:p>
    <w:p w:rsidR="004D6F0E" w:rsidRDefault="00490F21">
      <w:pPr>
        <w:spacing w:after="6" w:line="273" w:lineRule="auto"/>
        <w:ind w:left="14" w:right="41"/>
        <w:jc w:val="both"/>
      </w:pPr>
      <w:r>
        <w:t>聯博亦遵循關於盡職調查和報告的國際公認標準，如《聯合國全球契約》，以幫助指導聯博的研究。所有被視為違反此等全球標準的發行人均被特別列出，以深入研究其是否適合納入某個聯博產品。此深入分析將考慮到相關聯博產品的投資策略，以評估發行人違反的原因及該發行人是否仍適合投資。</w:t>
      </w:r>
      <w:r>
        <w:rPr>
          <w:rFonts w:ascii="Arial" w:eastAsia="Arial" w:hAnsi="Arial" w:cs="Arial"/>
        </w:rPr>
        <w:t xml:space="preserve">ESG </w:t>
      </w:r>
      <w:r>
        <w:t>因素</w:t>
      </w:r>
    </w:p>
    <w:p w:rsidR="004D6F0E" w:rsidRDefault="00490F21">
      <w:pPr>
        <w:ind w:left="11" w:right="2"/>
      </w:pPr>
      <w:r>
        <w:t>及相應的影響未必適用於所有類型的工具或投資。</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b/>
        </w:rPr>
        <w:t xml:space="preserve"> </w:t>
      </w:r>
    </w:p>
    <w:p w:rsidR="004D6F0E" w:rsidRDefault="00490F21">
      <w:pPr>
        <w:spacing w:after="13" w:line="259" w:lineRule="auto"/>
        <w:ind w:left="8" w:hanging="10"/>
      </w:pPr>
      <w:r>
        <w:rPr>
          <w:rFonts w:ascii="Arial" w:eastAsia="Arial" w:hAnsi="Arial" w:cs="Arial"/>
          <w:b/>
        </w:rPr>
        <w:t xml:space="preserve">(3) </w:t>
      </w:r>
      <w:r>
        <w:t>議合</w:t>
      </w:r>
      <w:r>
        <w:rPr>
          <w:rFonts w:ascii="Arial" w:eastAsia="Arial" w:hAnsi="Arial" w:cs="Arial"/>
          <w:b/>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3" w:line="273" w:lineRule="auto"/>
        <w:ind w:left="14" w:right="41"/>
        <w:jc w:val="both"/>
      </w:pPr>
      <w:r>
        <w:t>聯博的投資團隊亦就此等</w:t>
      </w:r>
      <w:r>
        <w:t xml:space="preserve"> </w:t>
      </w:r>
      <w:r>
        <w:rPr>
          <w:rFonts w:ascii="Arial" w:eastAsia="Arial" w:hAnsi="Arial" w:cs="Arial"/>
        </w:rPr>
        <w:t xml:space="preserve">ESG </w:t>
      </w:r>
      <w:r>
        <w:t>因素與發行人議合。</w:t>
      </w:r>
      <w:r>
        <w:rPr>
          <w:rFonts w:ascii="Arial" w:eastAsia="Arial" w:hAnsi="Arial" w:cs="Arial"/>
        </w:rPr>
        <w:t xml:space="preserve">ESG </w:t>
      </w:r>
      <w:r>
        <w:t>議合一向是聯博投資流程的一個重要部分。聯博投資團隊每年均會與公眾和私人發行人及非法人實體，包括市政、跨國和主權發行人的領導人進行議合。於</w:t>
      </w:r>
      <w:r>
        <w:t xml:space="preserve"> </w:t>
      </w:r>
      <w:r>
        <w:rPr>
          <w:rFonts w:ascii="Arial" w:eastAsia="Arial" w:hAnsi="Arial" w:cs="Arial"/>
        </w:rPr>
        <w:t xml:space="preserve">2020 </w:t>
      </w:r>
      <w:r>
        <w:t>年，聯博記錄超過</w:t>
      </w:r>
      <w:r>
        <w:t xml:space="preserve"> </w:t>
      </w:r>
      <w:r>
        <w:rPr>
          <w:rFonts w:ascii="Arial" w:eastAsia="Arial" w:hAnsi="Arial" w:cs="Arial"/>
        </w:rPr>
        <w:t xml:space="preserve">15,000 </w:t>
      </w:r>
      <w:r>
        <w:t>次會議，包括與發行人特定的議合及策略性主題和協作議合。作為其議合政策的一部分，聯博將參與</w:t>
      </w:r>
      <w:r>
        <w:t xml:space="preserve"> </w:t>
      </w:r>
      <w:r>
        <w:rPr>
          <w:rFonts w:ascii="Arial" w:eastAsia="Arial" w:hAnsi="Arial" w:cs="Arial"/>
        </w:rPr>
        <w:t xml:space="preserve">ESG </w:t>
      </w:r>
      <w:r>
        <w:t>因素之外的主題和目標。</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作為聯博將成為負責任投資領導者的承諾的一部分，參與</w:t>
      </w:r>
      <w:r>
        <w:t xml:space="preserve"> </w:t>
      </w:r>
      <w:r>
        <w:rPr>
          <w:rFonts w:ascii="Arial" w:eastAsia="Arial" w:hAnsi="Arial" w:cs="Arial"/>
        </w:rPr>
        <w:t>ESG</w:t>
      </w:r>
    </w:p>
    <w:p w:rsidR="004D6F0E" w:rsidRDefault="00490F21">
      <w:pPr>
        <w:ind w:left="11" w:right="2"/>
      </w:pPr>
      <w:r>
        <w:t>事宜是聯博的研究和盡責管理流程的一個關鍵部分。</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議合可幫助聯博更能了解發行人、作為該等發行人的股東和債券持有人保護聯博產品的利益，以及</w:t>
      </w:r>
      <w:r>
        <w:t>鼓勵各發行人採用（其中包括）有助於向</w:t>
      </w:r>
      <w:r>
        <w:t xml:space="preserve"> </w:t>
      </w:r>
      <w:r>
        <w:rPr>
          <w:rFonts w:ascii="Arial" w:eastAsia="Arial" w:hAnsi="Arial" w:cs="Arial"/>
        </w:rPr>
        <w:t xml:space="preserve">ESG </w:t>
      </w:r>
      <w:r>
        <w:t>目標推進的策略。議合令聯博能夠鼓勵發行人採取聯博認為將改善發行人及／或聯博產品財務結果的行動。聯博並不外判議合。聯博的投資團隊直接與各發行人和發行人議合，通常採用與負責任投資團隊協作的方式。聯博認為，親身議合的方法是為聯博產品實現更佳研究、更佳結果及更佳服務的途徑。</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關於聯博的議合政策，請瀏覽：</w:t>
      </w:r>
      <w:r>
        <w:rPr>
          <w:rFonts w:ascii="Arial" w:eastAsia="Arial" w:hAnsi="Arial" w:cs="Arial"/>
        </w:rPr>
        <w:t xml:space="preserve">  </w:t>
      </w:r>
    </w:p>
    <w:p w:rsidR="004D6F0E" w:rsidRDefault="00490F21">
      <w:pPr>
        <w:ind w:left="11" w:right="2"/>
      </w:pPr>
      <w:hyperlink r:id="rId367">
        <w:r>
          <w:rPr>
            <w:rFonts w:ascii="Arial" w:eastAsia="Arial" w:hAnsi="Arial" w:cs="Arial"/>
            <w:color w:val="0000FF"/>
            <w:u w:val="single" w:color="0000FF"/>
          </w:rPr>
          <w:t xml:space="preserve">https://www.alliancebernstein.com/content/dam/corporate/cor </w:t>
        </w:r>
      </w:hyperlink>
      <w:hyperlink r:id="rId368">
        <w:r>
          <w:rPr>
            <w:rFonts w:ascii="Arial" w:eastAsia="Arial" w:hAnsi="Arial" w:cs="Arial"/>
            <w:color w:val="0000FF"/>
            <w:u w:val="single" w:color="0000FF"/>
          </w:rPr>
          <w:t>porate-pdfs/ABGlobalStewardship.pdf</w:t>
        </w:r>
      </w:hyperlink>
      <w:hyperlink r:id="rId369">
        <w:r>
          <w:t>，</w:t>
        </w:r>
      </w:hyperlink>
      <w:r>
        <w:t>當中更詳細地描述聯博與發行人的議合。聯博的議合政策亦概述聯博在行業議合中的協作，以及聯博與發行人議合時對潛在利益衝突的識別和解決。聯博的議合政策包括（其中包括）聯博如何行使股份附帶的投票權及其他權利，如何與其他股東合作，與投資對象發行人的相關持份者溝通，以及如何管理與其議合相關的實際及潛在利益衝突。</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rPr>
          <w:rFonts w:ascii="Arial" w:eastAsia="Arial" w:hAnsi="Arial" w:cs="Arial"/>
          <w:b/>
        </w:rPr>
        <w:t xml:space="preserve">(4) </w:t>
      </w:r>
      <w:r>
        <w:t>成文記載及</w:t>
      </w:r>
      <w:r>
        <w:rPr>
          <w:rFonts w:ascii="Arial" w:eastAsia="Arial" w:hAnsi="Arial" w:cs="Arial"/>
          <w:b/>
        </w:rPr>
        <w:t xml:space="preserve"> (5) </w:t>
      </w:r>
      <w:r>
        <w:t>納入</w:t>
      </w:r>
      <w:r>
        <w:rPr>
          <w:rFonts w:ascii="Arial" w:eastAsia="Arial" w:hAnsi="Arial" w:cs="Arial"/>
          <w:b/>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rPr>
          <w:rFonts w:ascii="Arial" w:eastAsia="Arial" w:hAnsi="Arial" w:cs="Arial"/>
        </w:rPr>
        <w:t xml:space="preserve">ESIGHT </w:t>
      </w:r>
      <w:r>
        <w:t>是一個專有研究和協作平台，整合聯博的</w:t>
      </w:r>
      <w:r>
        <w:t xml:space="preserve"> </w:t>
      </w:r>
      <w:r>
        <w:rPr>
          <w:rFonts w:ascii="Arial" w:eastAsia="Arial" w:hAnsi="Arial" w:cs="Arial"/>
        </w:rPr>
        <w:t xml:space="preserve">ESG </w:t>
      </w:r>
      <w:r>
        <w:t>發行人評估、受委代表投票歷史、議合及來自</w:t>
      </w:r>
      <w:r>
        <w:t xml:space="preserve"> </w:t>
      </w:r>
      <w:r>
        <w:rPr>
          <w:rFonts w:ascii="Arial" w:eastAsia="Arial" w:hAnsi="Arial" w:cs="Arial"/>
        </w:rPr>
        <w:t xml:space="preserve">MSCI </w:t>
      </w:r>
      <w:r>
        <w:t>和</w:t>
      </w:r>
      <w:r>
        <w:t xml:space="preserve"> </w:t>
      </w:r>
      <w:r>
        <w:rPr>
          <w:rFonts w:ascii="Arial" w:eastAsia="Arial" w:hAnsi="Arial" w:cs="Arial"/>
        </w:rPr>
        <w:t xml:space="preserve">Sustainalytics </w:t>
      </w:r>
      <w:r>
        <w:t>的第三方研究。</w:t>
      </w:r>
      <w:r>
        <w:rPr>
          <w:rFonts w:ascii="Arial" w:eastAsia="Arial" w:hAnsi="Arial" w:cs="Arial"/>
        </w:rPr>
        <w:t xml:space="preserve">ESIGHT </w:t>
      </w:r>
      <w:r>
        <w:t>亦是一個儲存</w:t>
      </w:r>
      <w:r>
        <w:t xml:space="preserve"> </w:t>
      </w:r>
      <w:r>
        <w:rPr>
          <w:rFonts w:ascii="Arial" w:eastAsia="Arial" w:hAnsi="Arial" w:cs="Arial"/>
        </w:rPr>
        <w:t xml:space="preserve">ESG </w:t>
      </w:r>
      <w:r>
        <w:t>資料的知識中心，包括主題賣方研究報告、學術研究、非政府實體報告、專家可持續性及氣候變化智庫論文，以及聯博本身專有的</w:t>
      </w:r>
      <w:r>
        <w:t xml:space="preserve"> </w:t>
      </w:r>
      <w:r>
        <w:rPr>
          <w:rFonts w:ascii="Arial" w:eastAsia="Arial" w:hAnsi="Arial" w:cs="Arial"/>
        </w:rPr>
        <w:t xml:space="preserve">ESG </w:t>
      </w:r>
      <w:r>
        <w:t>評級。</w:t>
      </w:r>
      <w:r>
        <w:rPr>
          <w:rFonts w:ascii="Arial" w:eastAsia="Arial" w:hAnsi="Arial" w:cs="Arial"/>
        </w:rPr>
        <w:t xml:space="preserve">  </w:t>
      </w:r>
    </w:p>
    <w:p w:rsidR="004D6F0E" w:rsidRDefault="00490F21">
      <w:pPr>
        <w:spacing w:after="0" w:line="259" w:lineRule="auto"/>
        <w:ind w:left="12" w:firstLine="0"/>
      </w:pPr>
      <w:r>
        <w:rPr>
          <w:rFonts w:ascii="Arial" w:eastAsia="Arial" w:hAnsi="Arial" w:cs="Arial"/>
        </w:rPr>
        <w:t xml:space="preserve"> </w:t>
      </w:r>
    </w:p>
    <w:p w:rsidR="004D6F0E" w:rsidRDefault="00490F21">
      <w:pPr>
        <w:spacing w:after="6" w:line="273" w:lineRule="auto"/>
        <w:ind w:left="14" w:right="41"/>
        <w:jc w:val="both"/>
      </w:pPr>
      <w:r>
        <w:t>通過</w:t>
      </w:r>
      <w:r>
        <w:t xml:space="preserve"> </w:t>
      </w:r>
      <w:r>
        <w:rPr>
          <w:rFonts w:ascii="Arial" w:eastAsia="Arial" w:hAnsi="Arial" w:cs="Arial"/>
        </w:rPr>
        <w:t>ESIGHT</w:t>
      </w:r>
      <w:r>
        <w:t>，聯博的企業債券和股票投資團隊可以在投資流程的所有步驟存取及分享關於發行人</w:t>
      </w:r>
      <w:r>
        <w:t xml:space="preserve"> </w:t>
      </w:r>
      <w:r>
        <w:rPr>
          <w:rFonts w:ascii="Arial" w:eastAsia="Arial" w:hAnsi="Arial" w:cs="Arial"/>
        </w:rPr>
        <w:t xml:space="preserve">ESG </w:t>
      </w:r>
      <w:r>
        <w:t>實務的資料。當聯博投資團隊進行研究或準備議合時，可查閱以往的互動、根據發行人、聯博投資團隊或</w:t>
      </w:r>
      <w:r>
        <w:t xml:space="preserve"> </w:t>
      </w:r>
      <w:r>
        <w:rPr>
          <w:rFonts w:ascii="Arial" w:eastAsia="Arial" w:hAnsi="Arial" w:cs="Arial"/>
        </w:rPr>
        <w:t xml:space="preserve">ESG </w:t>
      </w:r>
      <w:r>
        <w:t>專題和主題進行查詢。</w:t>
      </w:r>
      <w:r>
        <w:rPr>
          <w:rFonts w:ascii="Arial" w:eastAsia="Arial" w:hAnsi="Arial" w:cs="Arial"/>
        </w:rPr>
        <w:t xml:space="preserve">ESIGHT </w:t>
      </w:r>
      <w:r>
        <w:t>亦加強基金管理和匯報：聯博專業人員可以根據公司或發行人、行業或基金評估</w:t>
      </w:r>
      <w:r>
        <w:t xml:space="preserve"> </w:t>
      </w:r>
      <w:r>
        <w:rPr>
          <w:rFonts w:ascii="Arial" w:eastAsia="Arial" w:hAnsi="Arial" w:cs="Arial"/>
        </w:rPr>
        <w:t xml:space="preserve">ESG </w:t>
      </w:r>
      <w:r>
        <w:t>專題，以及與客戶分享議合統計數據、範例和結果。</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12" w:line="273" w:lineRule="auto"/>
        <w:ind w:left="14" w:right="168"/>
        <w:jc w:val="both"/>
      </w:pPr>
      <w:r>
        <w:rPr>
          <w:rFonts w:ascii="Arial" w:eastAsia="Arial" w:hAnsi="Arial" w:cs="Arial"/>
        </w:rPr>
        <w:t xml:space="preserve">PRISM </w:t>
      </w:r>
      <w:r>
        <w:t>為一個專有信貸評級和評分系統，其將固定收益</w:t>
      </w:r>
      <w:r>
        <w:t xml:space="preserve"> </w:t>
      </w:r>
      <w:r>
        <w:rPr>
          <w:rFonts w:ascii="Arial" w:eastAsia="Arial" w:hAnsi="Arial" w:cs="Arial"/>
        </w:rPr>
        <w:t xml:space="preserve">ESG </w:t>
      </w:r>
      <w:r>
        <w:t>研究整合至一個完全數碼化的數據和證券分析平台。透過</w:t>
      </w:r>
      <w:r>
        <w:t xml:space="preserve"> </w:t>
      </w:r>
      <w:r>
        <w:rPr>
          <w:rFonts w:ascii="Arial" w:eastAsia="Arial" w:hAnsi="Arial" w:cs="Arial"/>
        </w:rPr>
        <w:t>PRISM</w:t>
      </w:r>
      <w:r>
        <w:t>，分析師可以跨不同行業、評級類別及地域，以一致、可資比較和可量化的方式制定和分享對個別發行人的觀點。分析師亦可通過該系統存取</w:t>
      </w:r>
      <w:r>
        <w:t xml:space="preserve"> </w:t>
      </w:r>
      <w:r>
        <w:rPr>
          <w:rFonts w:ascii="Arial" w:eastAsia="Arial" w:hAnsi="Arial" w:cs="Arial"/>
        </w:rPr>
        <w:t xml:space="preserve">MSCI </w:t>
      </w:r>
      <w:r>
        <w:t>評分。分析師從多個層面評估每一個發行人，使用研究和議合見解給予特定的</w:t>
      </w:r>
      <w:r>
        <w:t xml:space="preserve"> </w:t>
      </w:r>
      <w:r>
        <w:rPr>
          <w:rFonts w:ascii="Arial" w:eastAsia="Arial" w:hAnsi="Arial" w:cs="Arial"/>
        </w:rPr>
        <w:t xml:space="preserve">ESG </w:t>
      </w:r>
      <w:r>
        <w:t>評分，並用於信貸評分。</w:t>
      </w:r>
      <w:r>
        <w:rPr>
          <w:rFonts w:ascii="Arial" w:eastAsia="Arial" w:hAnsi="Arial" w:cs="Arial"/>
        </w:rPr>
        <w:t xml:space="preserve">PRISM </w:t>
      </w:r>
      <w:r>
        <w:t>評分將根據分析的行業衡量</w:t>
      </w:r>
      <w:r>
        <w:t xml:space="preserve"> </w:t>
      </w:r>
      <w:r>
        <w:rPr>
          <w:rFonts w:ascii="Arial" w:eastAsia="Arial" w:hAnsi="Arial" w:cs="Arial"/>
        </w:rPr>
        <w:t xml:space="preserve">ESG </w:t>
      </w:r>
      <w:r>
        <w:t>因素不同的比重，並根據聯博分析師的觀點作為該公司或發行人的最重要</w:t>
      </w:r>
      <w:r>
        <w:t xml:space="preserve"> </w:t>
      </w:r>
      <w:r>
        <w:rPr>
          <w:rFonts w:ascii="Arial" w:eastAsia="Arial" w:hAnsi="Arial" w:cs="Arial"/>
        </w:rPr>
        <w:t xml:space="preserve">ESG </w:t>
      </w:r>
      <w:r>
        <w:t>因素。任何固定收益基金經理或分析師均可在投資</w:t>
      </w:r>
    </w:p>
    <w:p w:rsidR="004D6F0E" w:rsidRDefault="00490F21">
      <w:pPr>
        <w:ind w:left="11" w:right="2"/>
      </w:pPr>
      <w:r>
        <w:t>流程中的任何時間存取</w:t>
      </w:r>
      <w:r>
        <w:t xml:space="preserve"> </w:t>
      </w:r>
      <w:r>
        <w:rPr>
          <w:rFonts w:ascii="Arial" w:eastAsia="Arial" w:hAnsi="Arial" w:cs="Arial"/>
        </w:rPr>
        <w:t xml:space="preserve">PRISM </w:t>
      </w:r>
      <w:r>
        <w:t>的</w:t>
      </w:r>
      <w:r>
        <w:t xml:space="preserve"> </w:t>
      </w:r>
      <w:r>
        <w:rPr>
          <w:rFonts w:ascii="Arial" w:eastAsia="Arial" w:hAnsi="Arial" w:cs="Arial"/>
        </w:rPr>
        <w:t xml:space="preserve">ESG </w:t>
      </w:r>
      <w:r>
        <w:t>評</w:t>
      </w:r>
      <w:r>
        <w:t>分。</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b/>
        </w:rPr>
        <w:t xml:space="preserve"> </w:t>
      </w:r>
    </w:p>
    <w:p w:rsidR="004D6F0E" w:rsidRDefault="00490F21">
      <w:pPr>
        <w:spacing w:after="13" w:line="259" w:lineRule="auto"/>
        <w:ind w:left="8" w:hanging="10"/>
      </w:pPr>
      <w:r>
        <w:rPr>
          <w:rFonts w:ascii="Arial" w:eastAsia="Arial" w:hAnsi="Arial" w:cs="Arial"/>
          <w:b/>
        </w:rPr>
        <w:t xml:space="preserve">(6) </w:t>
      </w:r>
      <w:r>
        <w:t>整合</w:t>
      </w:r>
      <w:r>
        <w:rPr>
          <w:rFonts w:ascii="Arial" w:eastAsia="Arial" w:hAnsi="Arial" w:cs="Arial"/>
          <w:b/>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8" w:line="273" w:lineRule="auto"/>
        <w:ind w:left="14" w:right="167"/>
        <w:jc w:val="both"/>
      </w:pPr>
      <w:r>
        <w:t>聯博投資團隊將</w:t>
      </w:r>
      <w:r>
        <w:t xml:space="preserve"> </w:t>
      </w:r>
      <w:r>
        <w:rPr>
          <w:rFonts w:ascii="Arial" w:eastAsia="Arial" w:hAnsi="Arial" w:cs="Arial"/>
        </w:rPr>
        <w:t xml:space="preserve">ESG </w:t>
      </w:r>
      <w:r>
        <w:t>因素整合至投資決定流程，致使達致更知情的投資決定。聯博投資團隊內的分析師負責在投資決定流程開始時考慮</w:t>
      </w:r>
      <w:r>
        <w:t xml:space="preserve"> </w:t>
      </w:r>
      <w:r>
        <w:rPr>
          <w:rFonts w:ascii="Arial" w:eastAsia="Arial" w:hAnsi="Arial" w:cs="Arial"/>
        </w:rPr>
        <w:t xml:space="preserve">ESG </w:t>
      </w:r>
      <w:r>
        <w:t>因素，即識別</w:t>
      </w:r>
      <w:r>
        <w:t xml:space="preserve"> </w:t>
      </w:r>
      <w:r>
        <w:rPr>
          <w:rFonts w:ascii="Arial" w:eastAsia="Arial" w:hAnsi="Arial" w:cs="Arial"/>
        </w:rPr>
        <w:t xml:space="preserve">ESG </w:t>
      </w:r>
      <w:r>
        <w:t>因素、研究</w:t>
      </w:r>
      <w:r>
        <w:t xml:space="preserve"> </w:t>
      </w:r>
      <w:r>
        <w:rPr>
          <w:rFonts w:ascii="Arial" w:eastAsia="Arial" w:hAnsi="Arial" w:cs="Arial"/>
        </w:rPr>
        <w:t xml:space="preserve">ESG </w:t>
      </w:r>
      <w:r>
        <w:t>因素，與發行人議合，以及將</w:t>
      </w:r>
      <w:r>
        <w:t xml:space="preserve"> </w:t>
      </w:r>
      <w:r>
        <w:rPr>
          <w:rFonts w:ascii="Arial" w:eastAsia="Arial" w:hAnsi="Arial" w:cs="Arial"/>
        </w:rPr>
        <w:t xml:space="preserve">ESG </w:t>
      </w:r>
      <w:r>
        <w:t>因素納入聯博產品投資模型和框架</w:t>
      </w:r>
    </w:p>
    <w:p w:rsidR="004D6F0E" w:rsidRDefault="00490F21">
      <w:pPr>
        <w:ind w:left="11" w:right="2"/>
      </w:pPr>
      <w:r>
        <w:t>（取適用者）。</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聯博分析師關於</w:t>
      </w:r>
      <w:r>
        <w:t xml:space="preserve"> </w:t>
      </w:r>
      <w:r>
        <w:rPr>
          <w:rFonts w:ascii="Arial" w:eastAsia="Arial" w:hAnsi="Arial" w:cs="Arial"/>
        </w:rPr>
        <w:t xml:space="preserve">ESG </w:t>
      </w:r>
      <w:r>
        <w:t>因素的建議和評估可能以多種方式（而不僅為是否買入某一證券）影響投資決定。舉例而言，</w:t>
      </w:r>
      <w:r>
        <w:rPr>
          <w:rFonts w:ascii="Arial" w:eastAsia="Arial" w:hAnsi="Arial" w:cs="Arial"/>
        </w:rPr>
        <w:t xml:space="preserve">ESG </w:t>
      </w:r>
      <w:r>
        <w:t>因素對現金流、信貸評級或貼現率的影響可能影響投資決定和持倉規模。</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ind w:left="11" w:right="2"/>
      </w:pPr>
      <w:r>
        <w:t>考慮</w:t>
      </w:r>
      <w:r>
        <w:t xml:space="preserve"> </w:t>
      </w:r>
      <w:r>
        <w:rPr>
          <w:rFonts w:ascii="Arial" w:eastAsia="Arial" w:hAnsi="Arial" w:cs="Arial"/>
        </w:rPr>
        <w:t xml:space="preserve">ESG </w:t>
      </w:r>
      <w:r>
        <w:t>因素後</w:t>
      </w:r>
      <w:r>
        <w:t>（包括任何適用的評分），視乎投資目標及聯博產品的類型（即深綠色、淺綠色或中性），聯博仍可能購買入</w:t>
      </w:r>
    </w:p>
    <w:p w:rsidR="004D6F0E" w:rsidRDefault="00490F21">
      <w:pPr>
        <w:ind w:left="11" w:right="2"/>
      </w:pPr>
      <w:r>
        <w:t>該證券及／或保留該證券作為持倉。</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tabs>
          <w:tab w:val="center" w:pos="2539"/>
        </w:tabs>
        <w:ind w:left="0" w:firstLine="0"/>
      </w:pPr>
      <w:r>
        <w:rPr>
          <w:rFonts w:ascii="Arial" w:eastAsia="Arial" w:hAnsi="Arial" w:cs="Arial"/>
          <w:b/>
        </w:rPr>
        <w:t xml:space="preserve">III. </w:t>
      </w:r>
      <w:r>
        <w:rPr>
          <w:rFonts w:ascii="Arial" w:eastAsia="Arial" w:hAnsi="Arial" w:cs="Arial"/>
          <w:b/>
        </w:rPr>
        <w:tab/>
      </w:r>
      <w:r>
        <w:t>支持</w:t>
      </w:r>
      <w:r>
        <w:t xml:space="preserve"> </w:t>
      </w:r>
      <w:r>
        <w:rPr>
          <w:rFonts w:ascii="Arial" w:eastAsia="Arial" w:hAnsi="Arial" w:cs="Arial"/>
          <w:b/>
        </w:rPr>
        <w:t xml:space="preserve">ESG </w:t>
      </w:r>
      <w:r>
        <w:t>可持續性整合的結構及管治</w:t>
      </w:r>
      <w:r>
        <w:rPr>
          <w:rFonts w:ascii="Arial" w:eastAsia="Arial" w:hAnsi="Arial" w:cs="Arial"/>
          <w:b/>
        </w:rPr>
        <w:t xml:space="preserve"> </w:t>
      </w:r>
    </w:p>
    <w:p w:rsidR="004D6F0E" w:rsidRDefault="00490F21">
      <w:pPr>
        <w:spacing w:after="0" w:line="259" w:lineRule="auto"/>
        <w:ind w:left="733" w:firstLine="0"/>
      </w:pPr>
      <w:r>
        <w:rPr>
          <w:rFonts w:ascii="Arial" w:eastAsia="Arial" w:hAnsi="Arial" w:cs="Arial"/>
        </w:rPr>
        <w:t xml:space="preserve"> </w:t>
      </w:r>
    </w:p>
    <w:p w:rsidR="004D6F0E" w:rsidRDefault="00490F21">
      <w:pPr>
        <w:ind w:left="11" w:right="2"/>
      </w:pPr>
      <w:r>
        <w:t>為監察聯博的</w:t>
      </w:r>
      <w:r>
        <w:t xml:space="preserve"> </w:t>
      </w:r>
      <w:r>
        <w:rPr>
          <w:rFonts w:ascii="Arial" w:eastAsia="Arial" w:hAnsi="Arial" w:cs="Arial"/>
        </w:rPr>
        <w:t xml:space="preserve">ESG </w:t>
      </w:r>
      <w:r>
        <w:t>及可持續性活動，包括聯博盡責管理方法，聯博建立了一個架構，以反映聯博在其所有組織層面的責任承諾。</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spacing w:after="2" w:line="273" w:lineRule="auto"/>
        <w:ind w:left="14" w:right="170"/>
        <w:jc w:val="both"/>
      </w:pPr>
      <w:r>
        <w:t>聯博的董事會和行政總裁於</w:t>
      </w:r>
      <w:r>
        <w:t xml:space="preserve"> </w:t>
      </w:r>
      <w:r>
        <w:rPr>
          <w:rFonts w:ascii="Arial" w:eastAsia="Arial" w:hAnsi="Arial" w:cs="Arial"/>
        </w:rPr>
        <w:t xml:space="preserve">2020 </w:t>
      </w:r>
      <w:r>
        <w:t>年設立了責任總監（</w:t>
      </w:r>
      <w:r>
        <w:rPr>
          <w:rFonts w:ascii="Arial" w:eastAsia="Arial" w:hAnsi="Arial" w:cs="Arial"/>
        </w:rPr>
        <w:t>CRO</w:t>
      </w:r>
      <w:r>
        <w:t>）</w:t>
      </w:r>
      <w:r>
        <w:t>職位。此職位對聯博的企業責任及負責任投資工作擁有直接監督控制權。</w:t>
      </w:r>
      <w:r>
        <w:rPr>
          <w:rFonts w:ascii="Arial" w:eastAsia="Arial" w:hAnsi="Arial" w:cs="Arial"/>
        </w:rPr>
        <w:t xml:space="preserve">CRO </w:t>
      </w:r>
      <w:r>
        <w:t>亦為聯博營運委員會成員。聯博的</w:t>
      </w:r>
      <w:r>
        <w:t xml:space="preserve"> </w:t>
      </w:r>
      <w:r>
        <w:rPr>
          <w:rFonts w:ascii="Arial" w:eastAsia="Arial" w:hAnsi="Arial" w:cs="Arial"/>
        </w:rPr>
        <w:t xml:space="preserve">CRO </w:t>
      </w:r>
      <w:r>
        <w:t>負責監察聯博的責任策略性業務單元（</w:t>
      </w:r>
      <w:r>
        <w:rPr>
          <w:rFonts w:ascii="Arial" w:eastAsia="Arial" w:hAnsi="Arial" w:cs="Arial"/>
        </w:rPr>
        <w:t>SBU</w:t>
      </w:r>
      <w:r>
        <w:t>），其中包括負責任投資團隊和企業責任團隊。聯博的負責任投資策略亦由其他聯博投資團隊支持：</w:t>
      </w:r>
      <w:r>
        <w:rPr>
          <w:rFonts w:ascii="Arial" w:eastAsia="Arial" w:hAnsi="Arial" w:cs="Arial"/>
        </w:rPr>
        <w:t xml:space="preserve"> </w:t>
      </w:r>
    </w:p>
    <w:p w:rsidR="004D6F0E" w:rsidRDefault="00490F21">
      <w:pPr>
        <w:spacing w:after="0" w:line="259" w:lineRule="auto"/>
        <w:ind w:left="13" w:firstLine="0"/>
      </w:pPr>
      <w:r>
        <w:rPr>
          <w:rFonts w:ascii="Arial" w:eastAsia="Arial" w:hAnsi="Arial" w:cs="Arial"/>
        </w:rPr>
        <w:t xml:space="preserve"> </w:t>
      </w:r>
    </w:p>
    <w:p w:rsidR="004D6F0E" w:rsidRDefault="00490F21">
      <w:pPr>
        <w:numPr>
          <w:ilvl w:val="0"/>
          <w:numId w:val="67"/>
        </w:numPr>
        <w:ind w:left="11" w:right="2"/>
      </w:pPr>
      <w:r>
        <w:t>聯博董事會的審核及風險委員會為責任和負責任投資提供正式監察。</w:t>
      </w:r>
      <w:r>
        <w:rPr>
          <w:rFonts w:ascii="Arial" w:eastAsia="Arial" w:hAnsi="Arial" w:cs="Arial"/>
        </w:rPr>
        <w:t xml:space="preserve"> </w:t>
      </w:r>
    </w:p>
    <w:p w:rsidR="004D6F0E" w:rsidRDefault="00490F21">
      <w:pPr>
        <w:numPr>
          <w:ilvl w:val="0"/>
          <w:numId w:val="67"/>
        </w:numPr>
        <w:ind w:left="11" w:right="2"/>
      </w:pPr>
      <w:r>
        <w:t>責任督導委員會，由聯博的</w:t>
      </w:r>
      <w:r>
        <w:t xml:space="preserve"> </w:t>
      </w:r>
      <w:r>
        <w:rPr>
          <w:rFonts w:ascii="Arial" w:eastAsia="Arial" w:hAnsi="Arial" w:cs="Arial"/>
        </w:rPr>
        <w:t xml:space="preserve">CRO </w:t>
      </w:r>
      <w:r>
        <w:t>擔任聯席主席，負責制定策略和監察執行。此委員會由來自整個聯博的高級專業人員組成。</w:t>
      </w:r>
      <w:r>
        <w:rPr>
          <w:rFonts w:ascii="Arial" w:eastAsia="Arial" w:hAnsi="Arial" w:cs="Arial"/>
        </w:rPr>
        <w:t xml:space="preserve"> </w:t>
      </w:r>
    </w:p>
    <w:p w:rsidR="004D6F0E" w:rsidRDefault="00490F21">
      <w:pPr>
        <w:numPr>
          <w:ilvl w:val="0"/>
          <w:numId w:val="67"/>
        </w:numPr>
        <w:spacing w:after="3" w:line="273" w:lineRule="auto"/>
        <w:ind w:left="11" w:right="2"/>
      </w:pPr>
      <w:r>
        <w:t>聯博的主題專家負責任投資團隊在此項工作中與聯博的投資團隊合作。負責任投資團隊聯同聯</w:t>
      </w:r>
      <w:r>
        <w:t>博的各個</w:t>
      </w:r>
      <w:r>
        <w:t xml:space="preserve"> </w:t>
      </w:r>
      <w:r>
        <w:rPr>
          <w:rFonts w:ascii="Arial" w:eastAsia="Arial" w:hAnsi="Arial" w:cs="Arial"/>
        </w:rPr>
        <w:t xml:space="preserve">ESG </w:t>
      </w:r>
      <w:r>
        <w:t>工作小組，制定專有的框架和工具集、管理聯博的策略性</w:t>
      </w:r>
      <w:r>
        <w:t xml:space="preserve"> </w:t>
      </w:r>
      <w:r>
        <w:rPr>
          <w:rFonts w:ascii="Arial" w:eastAsia="Arial" w:hAnsi="Arial" w:cs="Arial"/>
        </w:rPr>
        <w:t xml:space="preserve">ESG </w:t>
      </w:r>
      <w:r>
        <w:t>合夥關係、制定培訓計劃及執行受委代表投票。</w:t>
      </w:r>
      <w:r>
        <w:rPr>
          <w:rFonts w:ascii="Arial" w:eastAsia="Arial" w:hAnsi="Arial" w:cs="Arial"/>
        </w:rPr>
        <w:t xml:space="preserve"> </w:t>
      </w:r>
    </w:p>
    <w:p w:rsidR="004D6F0E" w:rsidRDefault="00490F21">
      <w:pPr>
        <w:numPr>
          <w:ilvl w:val="0"/>
          <w:numId w:val="67"/>
        </w:numPr>
        <w:ind w:left="11" w:right="2"/>
      </w:pPr>
      <w:r>
        <w:t>聯博的企業負責任團隊制定聯博的責任方法。該團隊負責設計和實現聯博的宗旨和價值觀、多元化和包容性（</w:t>
      </w:r>
      <w:r>
        <w:rPr>
          <w:rFonts w:ascii="Arial" w:eastAsia="Arial" w:hAnsi="Arial" w:cs="Arial"/>
        </w:rPr>
        <w:t>D&amp;I</w:t>
      </w:r>
      <w:r>
        <w:t>）、可持續性及企業慈善活動。</w:t>
      </w:r>
      <w:r>
        <w:rPr>
          <w:rFonts w:ascii="Arial" w:eastAsia="Arial" w:hAnsi="Arial" w:cs="Arial"/>
        </w:rPr>
        <w:t xml:space="preserve">  </w:t>
      </w:r>
    </w:p>
    <w:p w:rsidR="004D6F0E" w:rsidRDefault="00490F21">
      <w:pPr>
        <w:numPr>
          <w:ilvl w:val="0"/>
          <w:numId w:val="67"/>
        </w:numPr>
        <w:ind w:left="11" w:right="2"/>
      </w:pPr>
      <w:r>
        <w:t>聯博的投資團隊與發行人議合、分析和量化</w:t>
      </w:r>
      <w:r>
        <w:t xml:space="preserve"> </w:t>
      </w:r>
      <w:r>
        <w:rPr>
          <w:rFonts w:ascii="Arial" w:eastAsia="Arial" w:hAnsi="Arial" w:cs="Arial"/>
        </w:rPr>
        <w:t xml:space="preserve">ESG </w:t>
      </w:r>
      <w:r>
        <w:t>因素，並將之納入其投資決定中。</w:t>
      </w:r>
      <w:r>
        <w:rPr>
          <w:rFonts w:ascii="Arial" w:eastAsia="Arial" w:hAnsi="Arial" w:cs="Arial"/>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spacing w:after="0" w:line="241" w:lineRule="auto"/>
        <w:ind w:left="0" w:right="5186" w:firstLine="0"/>
      </w:pPr>
      <w:r>
        <w:rPr>
          <w:rFonts w:ascii="Arial" w:eastAsia="Arial" w:hAnsi="Arial" w:cs="Arial"/>
        </w:rPr>
        <w:t xml:space="preserve"> </w:t>
      </w:r>
      <w:r>
        <w:rPr>
          <w:rFonts w:ascii="Arial" w:eastAsia="Arial" w:hAnsi="Arial" w:cs="Arial"/>
          <w:sz w:val="18"/>
        </w:rPr>
        <w:t xml:space="preserve"> </w:t>
      </w:r>
    </w:p>
    <w:p w:rsidR="004D6F0E" w:rsidRDefault="00490F21">
      <w:pPr>
        <w:spacing w:after="0" w:line="259" w:lineRule="auto"/>
        <w:ind w:left="0" w:firstLine="0"/>
        <w:jc w:val="right"/>
      </w:pPr>
      <w:r>
        <w:rPr>
          <w:noProof/>
        </w:rPr>
        <w:drawing>
          <wp:inline distT="0" distB="0" distL="0" distR="0">
            <wp:extent cx="3291367" cy="3345180"/>
            <wp:effectExtent l="0" t="0" r="0" b="0"/>
            <wp:docPr id="58976" name="Picture 58976"/>
            <wp:cNvGraphicFramePr/>
            <a:graphic xmlns:a="http://schemas.openxmlformats.org/drawingml/2006/main">
              <a:graphicData uri="http://schemas.openxmlformats.org/drawingml/2006/picture">
                <pic:pic xmlns:pic="http://schemas.openxmlformats.org/drawingml/2006/picture">
                  <pic:nvPicPr>
                    <pic:cNvPr id="58976" name="Picture 58976"/>
                    <pic:cNvPicPr/>
                  </pic:nvPicPr>
                  <pic:blipFill>
                    <a:blip r:embed="rId370"/>
                    <a:stretch>
                      <a:fillRect/>
                    </a:stretch>
                  </pic:blipFill>
                  <pic:spPr>
                    <a:xfrm>
                      <a:off x="0" y="0"/>
                      <a:ext cx="3291367" cy="3345180"/>
                    </a:xfrm>
                    <a:prstGeom prst="rect">
                      <a:avLst/>
                    </a:prstGeom>
                  </pic:spPr>
                </pic:pic>
              </a:graphicData>
            </a:graphic>
          </wp:inline>
        </w:drawing>
      </w:r>
      <w:r>
        <w:rPr>
          <w:rFonts w:ascii="Arial" w:eastAsia="Arial" w:hAnsi="Arial" w:cs="Arial"/>
          <w:sz w:val="18"/>
        </w:rPr>
        <w:t xml:space="preserve"> </w:t>
      </w:r>
    </w:p>
    <w:p w:rsidR="004D6F0E" w:rsidRDefault="00490F21">
      <w:pPr>
        <w:spacing w:after="0" w:line="259" w:lineRule="auto"/>
        <w:ind w:left="0" w:firstLine="0"/>
      </w:pPr>
      <w:r>
        <w:rPr>
          <w:rFonts w:ascii="Arial" w:eastAsia="Arial" w:hAnsi="Arial" w:cs="Arial"/>
        </w:rPr>
        <w:t xml:space="preserve"> </w:t>
      </w:r>
    </w:p>
    <w:p w:rsidR="004D6F0E" w:rsidRDefault="00490F21">
      <w:pPr>
        <w:ind w:left="11" w:right="2"/>
      </w:pPr>
      <w:r>
        <w:t>除責任督導委員會之外，聯博維持對於責任、負責任管理和盡責管理的監察至關重要的其他三個委員會：</w:t>
      </w:r>
      <w:r>
        <w:rPr>
          <w:rFonts w:ascii="Arial" w:eastAsia="Arial" w:hAnsi="Arial" w:cs="Arial"/>
        </w:rPr>
        <w:t xml:space="preserve"> </w:t>
      </w:r>
    </w:p>
    <w:p w:rsidR="004D6F0E" w:rsidRDefault="00490F21">
      <w:pPr>
        <w:numPr>
          <w:ilvl w:val="0"/>
          <w:numId w:val="67"/>
        </w:numPr>
        <w:spacing w:after="6" w:line="273" w:lineRule="auto"/>
        <w:ind w:left="11" w:right="2"/>
      </w:pPr>
      <w:r>
        <w:t>受委代表投票及管治委員會。此委員會由來自聯博的股票及固定收益投資團隊、負責任投資團隊、營運，以及法律和合規部門的高級代表組成。此委員會制定聯博的受委代表投票政策、監察受委代表投票活動，以及提供受委代表投票流程的正式監察、維持及更新聯博的公司受委代表政策和程序，以確保其掌握聯博的最新理念、確定聯博對新建議的立場，以及就不在聯博正式受委代表投票及管治政策涵蓋範圍內的投票進行協商。</w:t>
      </w:r>
      <w:r>
        <w:rPr>
          <w:rFonts w:ascii="Arial" w:eastAsia="Arial" w:hAnsi="Arial" w:cs="Arial"/>
        </w:rPr>
        <w:t xml:space="preserve"> • </w:t>
      </w:r>
      <w:r>
        <w:t>爭議性投資顧問委員會。此委員會由來自整個聯博的高級代表組成。由聯博的行政總裁和</w:t>
      </w:r>
      <w:r>
        <w:t xml:space="preserve"> </w:t>
      </w:r>
      <w:r>
        <w:rPr>
          <w:rFonts w:ascii="Arial" w:eastAsia="Arial" w:hAnsi="Arial" w:cs="Arial"/>
        </w:rPr>
        <w:t xml:space="preserve">CRO </w:t>
      </w:r>
      <w:r>
        <w:t>擔任聯席主席。該委員會之目的是為爭議性武</w:t>
      </w:r>
      <w:r>
        <w:t>器、煙草或國際標準等事宜的討論及辯論提供一個論壇。該委員會的討論將不只通報特定的投資決定，亦會幫助確定在此等範疇的聯博政策。</w:t>
      </w:r>
      <w:r>
        <w:rPr>
          <w:rFonts w:ascii="Arial" w:eastAsia="Arial" w:hAnsi="Arial" w:cs="Arial"/>
        </w:rPr>
        <w:t xml:space="preserve"> </w:t>
      </w:r>
    </w:p>
    <w:p w:rsidR="004D6F0E" w:rsidRDefault="00490F21">
      <w:pPr>
        <w:numPr>
          <w:ilvl w:val="0"/>
          <w:numId w:val="67"/>
        </w:numPr>
        <w:spacing w:after="4" w:line="273" w:lineRule="auto"/>
        <w:ind w:left="11" w:right="2"/>
      </w:pPr>
      <w:r>
        <w:t>多元化擁護委員會（</w:t>
      </w:r>
      <w:r>
        <w:rPr>
          <w:rFonts w:ascii="Arial" w:eastAsia="Arial" w:hAnsi="Arial" w:cs="Arial"/>
        </w:rPr>
        <w:t>DCC</w:t>
      </w:r>
      <w:r>
        <w:t>）。</w:t>
      </w:r>
      <w:r>
        <w:rPr>
          <w:rFonts w:ascii="Arial" w:eastAsia="Arial" w:hAnsi="Arial" w:cs="Arial"/>
        </w:rPr>
        <w:t xml:space="preserve">DCC </w:t>
      </w:r>
      <w:r>
        <w:t>的使命是確保將多元化和包容性保持在聯博文化、政策及實務的中心。</w:t>
      </w:r>
      <w:r>
        <w:rPr>
          <w:rFonts w:ascii="Arial" w:eastAsia="Arial" w:hAnsi="Arial" w:cs="Arial"/>
        </w:rPr>
        <w:t xml:space="preserve">DCC </w:t>
      </w:r>
      <w:r>
        <w:t>的成員通過提升策略業務單元內對於招聘、晉升及留聘多元化人才的問責性，擁護並樹立多元化和包容性的行為模範。</w:t>
      </w:r>
      <w:r>
        <w:rPr>
          <w:rFonts w:ascii="Arial" w:eastAsia="Arial" w:hAnsi="Arial" w:cs="Arial"/>
        </w:rPr>
        <w:t xml:space="preserve">DCC </w:t>
      </w:r>
      <w:r>
        <w:t>成員負責協助監察和審查策略業務單元特定的多元化和包容性目標，並在整家公司內分享最佳實務。</w:t>
      </w:r>
    </w:p>
    <w:p w:rsidR="004D6F0E" w:rsidRDefault="004D6F0E">
      <w:pPr>
        <w:sectPr w:rsidR="004D6F0E">
          <w:headerReference w:type="even" r:id="rId371"/>
          <w:headerReference w:type="default" r:id="rId372"/>
          <w:footerReference w:type="even" r:id="rId373"/>
          <w:footerReference w:type="default" r:id="rId374"/>
          <w:headerReference w:type="first" r:id="rId375"/>
          <w:footerReference w:type="first" r:id="rId376"/>
          <w:pgSz w:w="12240" w:h="15840"/>
          <w:pgMar w:top="1253" w:right="665" w:bottom="1340" w:left="419" w:header="750" w:footer="577" w:gutter="0"/>
          <w:cols w:num="2" w:space="720" w:equalWidth="0">
            <w:col w:w="5506" w:space="432"/>
            <w:col w:w="5217"/>
          </w:cols>
        </w:sectPr>
      </w:pPr>
    </w:p>
    <w:p w:rsidR="004D6F0E" w:rsidRDefault="00490F21">
      <w:pPr>
        <w:spacing w:after="87" w:line="259" w:lineRule="auto"/>
        <w:ind w:left="0" w:firstLine="0"/>
      </w:pPr>
      <w:r>
        <w:rPr>
          <w:rFonts w:ascii="SimSun" w:eastAsia="SimSun" w:hAnsi="SimSun" w:cs="SimSun"/>
        </w:rPr>
        <w:t xml:space="preserve"> </w:t>
      </w:r>
    </w:p>
    <w:p w:rsidR="004D6F0E" w:rsidRDefault="00490F21">
      <w:pPr>
        <w:pStyle w:val="Heading2"/>
        <w:spacing w:after="135"/>
        <w:ind w:left="8"/>
      </w:pPr>
      <w:r>
        <w:t>聯博</w:t>
      </w:r>
      <w:r>
        <w:rPr>
          <w:rFonts w:ascii="Arial" w:eastAsia="Arial" w:hAnsi="Arial" w:cs="Arial"/>
        </w:rPr>
        <w:t xml:space="preserve"> </w:t>
      </w:r>
    </w:p>
    <w:p w:rsidR="004D6F0E" w:rsidRDefault="00490F21">
      <w:pPr>
        <w:pStyle w:val="Heading3"/>
        <w:spacing w:after="148" w:line="257" w:lineRule="auto"/>
        <w:ind w:left="8"/>
      </w:pPr>
      <w:r>
        <w:rPr>
          <w:sz w:val="24"/>
        </w:rPr>
        <w:t>名錄</w:t>
      </w:r>
      <w:r>
        <w:rPr>
          <w:rFonts w:ascii="Arial" w:eastAsia="Arial" w:hAnsi="Arial" w:cs="Arial"/>
        </w:rPr>
        <w:t xml:space="preserve"> </w:t>
      </w:r>
    </w:p>
    <w:p w:rsidR="004D6F0E" w:rsidRDefault="00490F21">
      <w:pPr>
        <w:ind w:left="11" w:right="2"/>
      </w:pPr>
      <w:r>
        <w:t>管理公司</w:t>
      </w:r>
      <w:r>
        <w:rPr>
          <w:rFonts w:ascii="Arial" w:eastAsia="Arial" w:hAnsi="Arial" w:cs="Arial"/>
        </w:rPr>
        <w:t xml:space="preserve"> </w:t>
      </w:r>
    </w:p>
    <w:p w:rsidR="004D6F0E" w:rsidRDefault="00490F21">
      <w:pPr>
        <w:spacing w:line="250" w:lineRule="auto"/>
        <w:ind w:left="355" w:hanging="10"/>
      </w:pPr>
      <w:r>
        <w:rPr>
          <w:rFonts w:ascii="Arial" w:eastAsia="Arial" w:hAnsi="Arial" w:cs="Arial"/>
        </w:rPr>
        <w:t>AllianceBernstein (Luxembourg) S.</w:t>
      </w:r>
      <w:r>
        <w:rPr>
          <w:rFonts w:ascii="Arial" w:eastAsia="Arial" w:hAnsi="Arial" w:cs="Arial"/>
          <w:sz w:val="18"/>
        </w:rPr>
        <w:t>à r.l.</w:t>
      </w:r>
      <w:r>
        <w:rPr>
          <w:rFonts w:ascii="Arial" w:eastAsia="Arial" w:hAnsi="Arial" w:cs="Arial"/>
        </w:rPr>
        <w:t xml:space="preserve"> </w:t>
      </w:r>
    </w:p>
    <w:p w:rsidR="004D6F0E" w:rsidRDefault="00490F21">
      <w:pPr>
        <w:spacing w:after="233" w:line="250" w:lineRule="auto"/>
        <w:ind w:left="355" w:right="1301" w:hanging="10"/>
      </w:pPr>
      <w:r>
        <w:rPr>
          <w:rFonts w:ascii="Arial" w:eastAsia="Arial" w:hAnsi="Arial" w:cs="Arial"/>
        </w:rPr>
        <w:t xml:space="preserve">2-4, rue Eugène Ruppert L-2453 Luxembourg </w:t>
      </w:r>
    </w:p>
    <w:p w:rsidR="004D6F0E" w:rsidRDefault="00490F21">
      <w:pPr>
        <w:ind w:left="11" w:right="2"/>
      </w:pPr>
      <w:r>
        <w:t>投資管理人</w:t>
      </w:r>
      <w:r>
        <w:rPr>
          <w:rFonts w:ascii="Arial" w:eastAsia="Arial" w:hAnsi="Arial" w:cs="Arial"/>
          <w:b/>
        </w:rPr>
        <w:t xml:space="preserve"> </w:t>
      </w:r>
    </w:p>
    <w:p w:rsidR="004D6F0E" w:rsidRDefault="00490F21">
      <w:pPr>
        <w:spacing w:after="234" w:line="250" w:lineRule="auto"/>
        <w:ind w:left="355" w:right="1805" w:hanging="10"/>
      </w:pPr>
      <w:r>
        <w:rPr>
          <w:rFonts w:ascii="Arial" w:eastAsia="Arial" w:hAnsi="Arial" w:cs="Arial"/>
        </w:rPr>
        <w:t xml:space="preserve">AllianceBernstein L.P. 501 Commerce Street Nashville, TN 37203 U.S.A. </w:t>
      </w:r>
    </w:p>
    <w:p w:rsidR="004D6F0E" w:rsidRDefault="00490F21">
      <w:pPr>
        <w:ind w:left="11" w:right="2"/>
      </w:pPr>
      <w:r>
        <w:t>分銷商</w:t>
      </w:r>
      <w:r>
        <w:rPr>
          <w:rFonts w:ascii="Arial" w:eastAsia="Arial" w:hAnsi="Arial" w:cs="Arial"/>
          <w:b/>
        </w:rPr>
        <w:t xml:space="preserve"> </w:t>
      </w:r>
    </w:p>
    <w:p w:rsidR="004D6F0E" w:rsidRDefault="00490F21">
      <w:pPr>
        <w:spacing w:line="250" w:lineRule="auto"/>
        <w:ind w:left="355" w:hanging="10"/>
      </w:pPr>
      <w:r>
        <w:rPr>
          <w:rFonts w:ascii="Arial" w:eastAsia="Arial" w:hAnsi="Arial" w:cs="Arial"/>
        </w:rPr>
        <w:t xml:space="preserve">AllianceBernstein Investments </w:t>
      </w:r>
    </w:p>
    <w:p w:rsidR="004D6F0E" w:rsidRDefault="00490F21">
      <w:pPr>
        <w:ind w:left="369" w:right="2"/>
      </w:pPr>
      <w:r>
        <w:t>（管理公司旗下的一個單位）</w:t>
      </w:r>
      <w:r>
        <w:rPr>
          <w:rFonts w:ascii="Arial" w:eastAsia="Arial" w:hAnsi="Arial" w:cs="Arial"/>
        </w:rPr>
        <w:t xml:space="preserve"> </w:t>
      </w:r>
    </w:p>
    <w:p w:rsidR="004D6F0E" w:rsidRDefault="00490F21">
      <w:pPr>
        <w:spacing w:after="233" w:line="250" w:lineRule="auto"/>
        <w:ind w:left="355" w:right="1301" w:hanging="10"/>
      </w:pPr>
      <w:r>
        <w:rPr>
          <w:rFonts w:ascii="Arial" w:eastAsia="Arial" w:hAnsi="Arial" w:cs="Arial"/>
        </w:rPr>
        <w:t xml:space="preserve">2-4, rue Eugène Ruppert L-2453 Luxembourg </w:t>
      </w:r>
    </w:p>
    <w:p w:rsidR="004D6F0E" w:rsidRDefault="00490F21">
      <w:pPr>
        <w:ind w:left="11" w:right="2"/>
      </w:pPr>
      <w:r>
        <w:t>存管人及行政管理人</w:t>
      </w:r>
      <w:r>
        <w:rPr>
          <w:rFonts w:ascii="Arial" w:eastAsia="Arial" w:hAnsi="Arial" w:cs="Arial"/>
          <w:b/>
        </w:rPr>
        <w:t xml:space="preserve"> </w:t>
      </w:r>
    </w:p>
    <w:p w:rsidR="004D6F0E" w:rsidRDefault="00490F21">
      <w:pPr>
        <w:spacing w:line="250" w:lineRule="auto"/>
        <w:ind w:left="355" w:hanging="10"/>
      </w:pPr>
      <w:r>
        <w:rPr>
          <w:rFonts w:ascii="Arial" w:eastAsia="Arial" w:hAnsi="Arial" w:cs="Arial"/>
        </w:rPr>
        <w:t xml:space="preserve">Brown Brothers Harriman (Luxembourg) S.C.A. </w:t>
      </w:r>
    </w:p>
    <w:p w:rsidR="004D6F0E" w:rsidRDefault="00490F21">
      <w:pPr>
        <w:spacing w:line="250" w:lineRule="auto"/>
        <w:ind w:left="355" w:hanging="10"/>
      </w:pPr>
      <w:r>
        <w:rPr>
          <w:rFonts w:ascii="Arial" w:eastAsia="Arial" w:hAnsi="Arial" w:cs="Arial"/>
        </w:rPr>
        <w:t>80, route d’Esch</w:t>
      </w:r>
      <w:r>
        <w:rPr>
          <w:rFonts w:ascii="Arial" w:eastAsia="Arial" w:hAnsi="Arial" w:cs="Arial"/>
          <w:sz w:val="18"/>
        </w:rPr>
        <w:t xml:space="preserve"> </w:t>
      </w:r>
    </w:p>
    <w:p w:rsidR="004D6F0E" w:rsidRDefault="00490F21">
      <w:pPr>
        <w:spacing w:after="7145" w:line="250" w:lineRule="auto"/>
        <w:ind w:left="355" w:hanging="10"/>
      </w:pPr>
      <w:r>
        <w:rPr>
          <w:rFonts w:ascii="Arial" w:eastAsia="Arial" w:hAnsi="Arial" w:cs="Arial"/>
          <w:sz w:val="18"/>
        </w:rPr>
        <w:t>L-1470</w:t>
      </w:r>
      <w:r>
        <w:rPr>
          <w:rFonts w:ascii="Arial" w:eastAsia="Arial" w:hAnsi="Arial" w:cs="Arial"/>
        </w:rPr>
        <w:t xml:space="preserve"> Luxembourg </w:t>
      </w:r>
    </w:p>
    <w:p w:rsidR="004D6F0E" w:rsidRDefault="00490F21">
      <w:pPr>
        <w:spacing w:after="269"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ind w:left="11" w:right="2"/>
      </w:pPr>
      <w:r>
        <w:t>過戶代理</w:t>
      </w:r>
      <w:r>
        <w:rPr>
          <w:rFonts w:ascii="Arial" w:eastAsia="Arial" w:hAnsi="Arial" w:cs="Arial"/>
          <w:b/>
        </w:rPr>
        <w:t xml:space="preserve"> </w:t>
      </w:r>
    </w:p>
    <w:p w:rsidR="004D6F0E" w:rsidRDefault="00490F21">
      <w:pPr>
        <w:spacing w:line="250" w:lineRule="auto"/>
        <w:ind w:left="355" w:hanging="10"/>
      </w:pPr>
      <w:r>
        <w:rPr>
          <w:rFonts w:ascii="Arial" w:eastAsia="Arial" w:hAnsi="Arial" w:cs="Arial"/>
        </w:rPr>
        <w:t xml:space="preserve">AllianceBernstein Investor Services </w:t>
      </w:r>
    </w:p>
    <w:p w:rsidR="004D6F0E" w:rsidRDefault="00490F21">
      <w:pPr>
        <w:ind w:left="367" w:right="2"/>
      </w:pPr>
      <w:r>
        <w:t>（管理公司旗下的一個單位）</w:t>
      </w:r>
      <w:r>
        <w:rPr>
          <w:rFonts w:ascii="Arial" w:eastAsia="Arial" w:hAnsi="Arial" w:cs="Arial"/>
        </w:rPr>
        <w:t xml:space="preserve">                                 </w:t>
      </w:r>
    </w:p>
    <w:p w:rsidR="004D6F0E" w:rsidRDefault="00490F21">
      <w:pPr>
        <w:spacing w:after="234" w:line="250" w:lineRule="auto"/>
        <w:ind w:left="355" w:right="706" w:hanging="10"/>
      </w:pPr>
      <w:r>
        <w:rPr>
          <w:rFonts w:ascii="Arial" w:eastAsia="Arial" w:hAnsi="Arial" w:cs="Arial"/>
        </w:rPr>
        <w:t xml:space="preserve">2-4, rue Eugène Ruppert L-2453 Luxembourg </w:t>
      </w:r>
    </w:p>
    <w:p w:rsidR="004D6F0E" w:rsidRDefault="00490F21">
      <w:pPr>
        <w:ind w:left="11" w:right="2"/>
      </w:pPr>
      <w:r>
        <w:t>核數師</w:t>
      </w:r>
      <w:r>
        <w:rPr>
          <w:rFonts w:ascii="Arial" w:eastAsia="Arial" w:hAnsi="Arial" w:cs="Arial"/>
          <w:b/>
        </w:rPr>
        <w:t xml:space="preserve"> </w:t>
      </w:r>
    </w:p>
    <w:p w:rsidR="004D6F0E" w:rsidRDefault="00490F21">
      <w:pPr>
        <w:spacing w:line="250" w:lineRule="auto"/>
        <w:ind w:left="355" w:hanging="10"/>
      </w:pPr>
      <w:r>
        <w:rPr>
          <w:rFonts w:ascii="Arial" w:eastAsia="Arial" w:hAnsi="Arial" w:cs="Arial"/>
        </w:rPr>
        <w:t xml:space="preserve">Ernst &amp; Young S.A. </w:t>
      </w:r>
    </w:p>
    <w:p w:rsidR="004D6F0E" w:rsidRDefault="00490F21">
      <w:pPr>
        <w:spacing w:after="233" w:line="250" w:lineRule="auto"/>
        <w:ind w:left="355" w:right="238" w:hanging="10"/>
      </w:pPr>
      <w:r>
        <w:rPr>
          <w:rFonts w:ascii="Arial" w:eastAsia="Arial" w:hAnsi="Arial" w:cs="Arial"/>
        </w:rPr>
        <w:t xml:space="preserve">35E, avenue John F. Kennedy L-1855 Luxembourg </w:t>
      </w:r>
    </w:p>
    <w:p w:rsidR="004D6F0E" w:rsidRDefault="00490F21">
      <w:pPr>
        <w:ind w:left="11" w:right="2"/>
      </w:pPr>
      <w:r>
        <w:t>盧森堡法律顧問</w:t>
      </w:r>
      <w:r>
        <w:rPr>
          <w:rFonts w:ascii="Arial" w:eastAsia="Arial" w:hAnsi="Arial" w:cs="Arial"/>
        </w:rPr>
        <w:t xml:space="preserve"> </w:t>
      </w:r>
    </w:p>
    <w:p w:rsidR="004D6F0E" w:rsidRDefault="00490F21">
      <w:pPr>
        <w:spacing w:line="250" w:lineRule="auto"/>
        <w:ind w:left="355" w:hanging="10"/>
      </w:pPr>
      <w:r>
        <w:rPr>
          <w:rFonts w:ascii="Arial" w:eastAsia="Arial" w:hAnsi="Arial" w:cs="Arial"/>
        </w:rPr>
        <w:t>Elvinger Hoss Prussen</w:t>
      </w:r>
      <w:r>
        <w:t>（公眾有限公司）</w:t>
      </w:r>
      <w:r>
        <w:rPr>
          <w:rFonts w:ascii="Arial" w:eastAsia="Arial" w:hAnsi="Arial" w:cs="Arial"/>
        </w:rPr>
        <w:t xml:space="preserve"> </w:t>
      </w:r>
    </w:p>
    <w:p w:rsidR="004D6F0E" w:rsidRDefault="00490F21">
      <w:pPr>
        <w:spacing w:line="250" w:lineRule="auto"/>
        <w:ind w:left="355" w:hanging="10"/>
      </w:pPr>
      <w:r>
        <w:rPr>
          <w:rFonts w:ascii="Arial" w:eastAsia="Arial" w:hAnsi="Arial" w:cs="Arial"/>
        </w:rPr>
        <w:t xml:space="preserve">2, Place Winston Churchill </w:t>
      </w:r>
    </w:p>
    <w:p w:rsidR="004D6F0E" w:rsidRDefault="00490F21">
      <w:pPr>
        <w:spacing w:line="250" w:lineRule="auto"/>
        <w:ind w:left="355" w:hanging="10"/>
      </w:pPr>
      <w:r>
        <w:rPr>
          <w:rFonts w:ascii="Arial" w:eastAsia="Arial" w:hAnsi="Arial" w:cs="Arial"/>
        </w:rPr>
        <w:t xml:space="preserve">B.P. 425 </w:t>
      </w:r>
    </w:p>
    <w:p w:rsidR="004D6F0E" w:rsidRDefault="00490F21">
      <w:pPr>
        <w:spacing w:after="233" w:line="250" w:lineRule="auto"/>
        <w:ind w:left="355" w:hanging="10"/>
      </w:pPr>
      <w:r>
        <w:rPr>
          <w:rFonts w:ascii="Arial" w:eastAsia="Arial" w:hAnsi="Arial" w:cs="Arial"/>
        </w:rPr>
        <w:t xml:space="preserve">L-2014 Luxembourg </w:t>
      </w:r>
    </w:p>
    <w:p w:rsidR="004D6F0E" w:rsidRDefault="00490F21">
      <w:pPr>
        <w:ind w:left="11" w:right="2"/>
      </w:pPr>
      <w:r>
        <w:rPr>
          <w:sz w:val="18"/>
        </w:rPr>
        <w:t>美國</w:t>
      </w:r>
      <w:r>
        <w:t>法律顧問</w:t>
      </w:r>
      <w:r>
        <w:rPr>
          <w:rFonts w:ascii="Arial" w:eastAsia="Arial" w:hAnsi="Arial" w:cs="Arial"/>
          <w:b/>
          <w:sz w:val="18"/>
        </w:rPr>
        <w:t xml:space="preserve"> </w:t>
      </w:r>
    </w:p>
    <w:p w:rsidR="004D6F0E" w:rsidRDefault="00490F21">
      <w:pPr>
        <w:spacing w:line="250" w:lineRule="auto"/>
        <w:ind w:left="355" w:hanging="10"/>
      </w:pPr>
      <w:r>
        <w:rPr>
          <w:rFonts w:ascii="Arial" w:eastAsia="Arial" w:hAnsi="Arial" w:cs="Arial"/>
        </w:rPr>
        <w:t xml:space="preserve">Dechert LLP </w:t>
      </w:r>
    </w:p>
    <w:p w:rsidR="004D6F0E" w:rsidRDefault="00490F21">
      <w:pPr>
        <w:spacing w:line="250" w:lineRule="auto"/>
        <w:ind w:left="355" w:hanging="10"/>
      </w:pPr>
      <w:r>
        <w:rPr>
          <w:rFonts w:ascii="Arial" w:eastAsia="Arial" w:hAnsi="Arial" w:cs="Arial"/>
        </w:rPr>
        <w:t>One International Place</w:t>
      </w:r>
      <w:r>
        <w:rPr>
          <w:rFonts w:ascii="Arial" w:eastAsia="Arial" w:hAnsi="Arial" w:cs="Arial"/>
        </w:rPr>
        <w:t xml:space="preserve"> </w:t>
      </w:r>
    </w:p>
    <w:p w:rsidR="004D6F0E" w:rsidRDefault="00490F21">
      <w:pPr>
        <w:spacing w:line="250" w:lineRule="auto"/>
        <w:ind w:left="355" w:hanging="10"/>
      </w:pPr>
      <w:r>
        <w:rPr>
          <w:rFonts w:ascii="Arial" w:eastAsia="Arial" w:hAnsi="Arial" w:cs="Arial"/>
        </w:rPr>
        <w:t xml:space="preserve">40th Floor </w:t>
      </w:r>
    </w:p>
    <w:p w:rsidR="004D6F0E" w:rsidRDefault="00490F21">
      <w:pPr>
        <w:spacing w:line="250" w:lineRule="auto"/>
        <w:ind w:left="355" w:right="1315" w:hanging="10"/>
      </w:pPr>
      <w:r>
        <w:rPr>
          <w:rFonts w:ascii="Arial" w:eastAsia="Arial" w:hAnsi="Arial" w:cs="Arial"/>
        </w:rPr>
        <w:t>100 Oliver Street Boston, MA 02110-2605 U.S.A.</w:t>
      </w:r>
      <w:r>
        <w:rPr>
          <w:rFonts w:ascii="Arial" w:eastAsia="Arial" w:hAnsi="Arial" w:cs="Arial"/>
          <w:b/>
        </w:rPr>
        <w:t xml:space="preserve"> </w:t>
      </w:r>
    </w:p>
    <w:p w:rsidR="004D6F0E" w:rsidRDefault="00490F21">
      <w:pPr>
        <w:spacing w:after="0" w:line="259" w:lineRule="auto"/>
        <w:ind w:left="0" w:firstLine="0"/>
      </w:pPr>
      <w:r>
        <w:rPr>
          <w:rFonts w:ascii="Arial" w:eastAsia="Arial" w:hAnsi="Arial" w:cs="Arial"/>
          <w:b/>
        </w:rPr>
        <w:t xml:space="preserve"> </w:t>
      </w:r>
    </w:p>
    <w:p w:rsidR="004D6F0E" w:rsidRDefault="00490F21">
      <w:pPr>
        <w:ind w:left="11" w:right="2"/>
      </w:pPr>
      <w:r>
        <w:t>網址</w:t>
      </w:r>
      <w:r>
        <w:rPr>
          <w:rFonts w:ascii="Arial" w:eastAsia="Arial" w:hAnsi="Arial" w:cs="Arial"/>
        </w:rPr>
        <w:t xml:space="preserve"> </w:t>
      </w:r>
    </w:p>
    <w:p w:rsidR="004D6F0E" w:rsidRDefault="00490F21">
      <w:pPr>
        <w:spacing w:after="218" w:line="254" w:lineRule="auto"/>
        <w:ind w:left="370" w:hanging="10"/>
      </w:pPr>
      <w:hyperlink r:id="rId377">
        <w:r>
          <w:rPr>
            <w:rFonts w:ascii="Arial" w:eastAsia="Arial" w:hAnsi="Arial" w:cs="Arial"/>
            <w:color w:val="0000FF"/>
            <w:u w:val="single" w:color="0000FF"/>
          </w:rPr>
          <w:t>www.alliancebernstein.com</w:t>
        </w:r>
      </w:hyperlink>
      <w:hyperlink r:id="rId378">
        <w:r>
          <w:rPr>
            <w:rFonts w:ascii="Arial" w:eastAsia="Arial" w:hAnsi="Arial" w:cs="Arial"/>
            <w:b/>
          </w:rPr>
          <w:t xml:space="preserve"> </w:t>
        </w:r>
      </w:hyperlink>
      <w:r>
        <w:rPr>
          <w:rFonts w:ascii="Arial" w:eastAsia="Arial" w:hAnsi="Arial" w:cs="Arial"/>
        </w:rPr>
        <w:t xml:space="preserve"> </w:t>
      </w:r>
    </w:p>
    <w:p w:rsidR="004D6F0E" w:rsidRDefault="00490F21">
      <w:pPr>
        <w:spacing w:after="0" w:line="259" w:lineRule="auto"/>
        <w:ind w:left="0" w:firstLine="0"/>
      </w:pPr>
      <w:r>
        <w:rPr>
          <w:rFonts w:ascii="Arial" w:eastAsia="Arial" w:hAnsi="Arial" w:cs="Arial"/>
          <w:sz w:val="18"/>
        </w:rPr>
        <w:t xml:space="preserve"> </w:t>
      </w:r>
    </w:p>
    <w:sectPr w:rsidR="004D6F0E">
      <w:headerReference w:type="even" r:id="rId379"/>
      <w:headerReference w:type="default" r:id="rId380"/>
      <w:footerReference w:type="even" r:id="rId381"/>
      <w:footerReference w:type="default" r:id="rId382"/>
      <w:headerReference w:type="first" r:id="rId383"/>
      <w:footerReference w:type="first" r:id="rId384"/>
      <w:pgSz w:w="12240" w:h="15840"/>
      <w:pgMar w:top="1440" w:right="2105" w:bottom="1440" w:left="432" w:header="720" w:footer="720" w:gutter="0"/>
      <w:cols w:num="2" w:space="720" w:equalWidth="0">
        <w:col w:w="3604" w:space="1241"/>
        <w:col w:w="485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F21" w:rsidRDefault="00490F21">
      <w:pPr>
        <w:spacing w:after="0" w:line="240" w:lineRule="auto"/>
      </w:pPr>
      <w:r>
        <w:separator/>
      </w:r>
    </w:p>
  </w:endnote>
  <w:endnote w:type="continuationSeparator" w:id="0">
    <w:p w:rsidR="00490F21" w:rsidRDefault="00490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Bright">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27" w:line="259" w:lineRule="auto"/>
      <w:ind w:left="0" w:right="110" w:firstLine="0"/>
      <w:jc w:val="center"/>
    </w:pPr>
    <w:r>
      <w:rPr>
        <w:rFonts w:ascii="Times New Roman" w:eastAsia="Times New Roman" w:hAnsi="Times New Roman" w:cs="Times New Roman"/>
        <w:sz w:val="22"/>
      </w:rPr>
      <w:t>-</w:t>
    </w:r>
    <w:r>
      <w:fldChar w:fldCharType="begin"/>
    </w:r>
    <w:r>
      <w:instrText xml:space="preserve"> PAGE   \* MERGEFORMAT </w:instrText>
    </w:r>
    <w:r>
      <w:fldChar w:fldCharType="separate"/>
    </w:r>
    <w:r>
      <w:rPr>
        <w:rFonts w:ascii="Times New Roman" w:eastAsia="Times New Roman" w:hAnsi="Times New Roman" w:cs="Times New Roman"/>
        <w:sz w:val="22"/>
      </w:rPr>
      <w:t>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rsidR="004D6F0E" w:rsidRDefault="00490F21">
    <w:pPr>
      <w:spacing w:after="0" w:line="259" w:lineRule="auto"/>
      <w:ind w:left="16" w:firstLine="0"/>
    </w:pPr>
    <w:r>
      <w:rPr>
        <w:rFonts w:ascii="Arial" w:eastAsia="Arial" w:hAnsi="Arial" w:cs="Arial"/>
        <w:sz w:val="1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6"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w:t>
    </w:r>
    <w:r>
      <w:rPr>
        <w:rFonts w:ascii="Times New Roman" w:eastAsia="Times New Roman" w:hAnsi="Times New Roman" w:cs="Times New Roman"/>
        <w:sz w:val="20"/>
      </w:rPr>
      <w:fldChar w:fldCharType="end"/>
    </w:r>
    <w:r>
      <w:rPr>
        <w:rFonts w:ascii="Times New Roman" w:eastAsia="Times New Roman" w:hAnsi="Times New Roman" w:cs="Times New Roman"/>
        <w:sz w:val="24"/>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85"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15</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85"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15</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85"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15</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p w:rsidR="004D6F0E" w:rsidRDefault="00490F21">
    <w:pPr>
      <w:spacing w:after="0" w:line="259" w:lineRule="auto"/>
      <w:ind w:left="141" w:firstLine="0"/>
    </w:pPr>
    <w:r>
      <w:rPr>
        <w:rFonts w:ascii="Arial" w:eastAsia="Arial" w:hAnsi="Arial" w:cs="Arial"/>
        <w:sz w:val="12"/>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0"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22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right="54" w:firstLine="0"/>
      <w:jc w:val="center"/>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0"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22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right="54" w:firstLine="0"/>
      <w:jc w:val="center"/>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0"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20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26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3"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25</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41"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38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6"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18" w:line="259" w:lineRule="auto"/>
      <w:ind w:left="0" w:right="241"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36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18" w:line="259" w:lineRule="auto"/>
      <w:ind w:left="0" w:right="241" w:firstLine="0"/>
      <w:jc w:val="center"/>
    </w:pPr>
    <w:r>
      <w:rPr>
        <w:rFonts w:ascii="Times New Roman" w:eastAsia="Times New Roman" w:hAnsi="Times New Roman" w:cs="Times New Roman"/>
        <w:sz w:val="20"/>
      </w:rPr>
      <w:t>II-</w:t>
    </w:r>
    <w:r>
      <w:fldChar w:fldCharType="begin"/>
    </w:r>
    <w:r>
      <w:instrText xml:space="preserve"> PAGE   \* MERGEF</w:instrText>
    </w:r>
    <w:r>
      <w:instrText xml:space="preserve">ORMAT </w:instrText>
    </w:r>
    <w:r>
      <w:fldChar w:fldCharType="separate"/>
    </w:r>
    <w:r>
      <w:rPr>
        <w:rFonts w:ascii="Times New Roman" w:eastAsia="Times New Roman" w:hAnsi="Times New Roman" w:cs="Times New Roman"/>
        <w:sz w:val="20"/>
      </w:rPr>
      <w:t>36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48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48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3"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54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3"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54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3"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20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2"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60</w:t>
    </w:r>
    <w:r>
      <w:rPr>
        <w:rFonts w:ascii="Times New Roman" w:eastAsia="Times New Roman" w:hAnsi="Times New Roman" w:cs="Times New Roman"/>
        <w:sz w:val="20"/>
      </w:rPr>
      <w:fldChar w:fldCharType="end"/>
    </w:r>
    <w:r>
      <w:rPr>
        <w:rFonts w:ascii="Times New Roman" w:eastAsia="Times New Roman" w:hAnsi="Times New Roman" w:cs="Times New Roman"/>
        <w:sz w:val="18"/>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0" w:line="259" w:lineRule="auto"/>
      <w:ind w:left="0" w:right="60" w:firstLine="0"/>
      <w:jc w:val="center"/>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2"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60</w:t>
    </w:r>
    <w:r>
      <w:rPr>
        <w:rFonts w:ascii="Times New Roman" w:eastAsia="Times New Roman" w:hAnsi="Times New Roman" w:cs="Times New Roman"/>
        <w:sz w:val="20"/>
      </w:rPr>
      <w:fldChar w:fldCharType="end"/>
    </w:r>
    <w:r>
      <w:rPr>
        <w:rFonts w:ascii="Times New Roman" w:eastAsia="Times New Roman" w:hAnsi="Times New Roman" w:cs="Times New Roman"/>
        <w:sz w:val="18"/>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0" w:line="259" w:lineRule="auto"/>
      <w:ind w:left="0" w:right="60" w:firstLine="0"/>
      <w:jc w:val="center"/>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2"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60</w:t>
    </w:r>
    <w:r>
      <w:rPr>
        <w:rFonts w:ascii="Times New Roman" w:eastAsia="Times New Roman" w:hAnsi="Times New Roman" w:cs="Times New Roman"/>
        <w:sz w:val="20"/>
      </w:rPr>
      <w:fldChar w:fldCharType="end"/>
    </w:r>
    <w:r>
      <w:rPr>
        <w:rFonts w:ascii="Times New Roman" w:eastAsia="Times New Roman" w:hAnsi="Times New Roman" w:cs="Times New Roman"/>
        <w:sz w:val="18"/>
      </w:rPr>
      <w:t xml:space="preserve"> </w:t>
    </w:r>
  </w:p>
  <w:p w:rsidR="004D6F0E" w:rsidRDefault="00490F21">
    <w:pPr>
      <w:spacing w:after="0" w:line="259" w:lineRule="auto"/>
      <w:ind w:left="13" w:firstLine="0"/>
    </w:pPr>
    <w:r>
      <w:rPr>
        <w:rFonts w:ascii="Times New Roman" w:eastAsia="Times New Roman" w:hAnsi="Times New Roman" w:cs="Times New Roman"/>
        <w:sz w:val="18"/>
      </w:rPr>
      <w:t xml:space="preserve"> </w:t>
    </w:r>
  </w:p>
  <w:p w:rsidR="004D6F0E" w:rsidRDefault="00490F21">
    <w:pPr>
      <w:spacing w:after="0" w:line="259" w:lineRule="auto"/>
      <w:ind w:left="0" w:right="60" w:firstLine="0"/>
      <w:jc w:val="center"/>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1" w:line="259" w:lineRule="auto"/>
      <w:ind w:left="13" w:firstLine="0"/>
    </w:pPr>
    <w:r>
      <w:rPr>
        <w:rFonts w:ascii="SimSun" w:eastAsia="SimSun" w:hAnsi="SimSun" w:cs="SimSun"/>
        <w:sz w:val="15"/>
      </w:rPr>
      <w:t xml:space="preserve"> </w:t>
    </w:r>
  </w:p>
  <w:p w:rsidR="004D6F0E" w:rsidRDefault="00490F21">
    <w:pPr>
      <w:spacing w:after="0" w:line="259" w:lineRule="auto"/>
      <w:ind w:left="0" w:right="46"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66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1" w:line="259" w:lineRule="auto"/>
      <w:ind w:left="13" w:firstLine="0"/>
    </w:pPr>
    <w:r>
      <w:rPr>
        <w:rFonts w:ascii="SimSun" w:eastAsia="SimSun" w:hAnsi="SimSun" w:cs="SimSun"/>
        <w:sz w:val="15"/>
      </w:rPr>
      <w:t xml:space="preserve"> </w:t>
    </w:r>
  </w:p>
  <w:p w:rsidR="004D6F0E" w:rsidRDefault="00490F21">
    <w:pPr>
      <w:spacing w:after="0" w:line="259" w:lineRule="auto"/>
      <w:ind w:left="0" w:right="46"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66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1" w:line="259" w:lineRule="auto"/>
      <w:ind w:left="13" w:firstLine="0"/>
    </w:pPr>
    <w:r>
      <w:rPr>
        <w:rFonts w:ascii="SimSun" w:eastAsia="SimSun" w:hAnsi="SimSun" w:cs="SimSun"/>
        <w:sz w:val="15"/>
      </w:rPr>
      <w:t xml:space="preserve"> </w:t>
    </w:r>
  </w:p>
  <w:p w:rsidR="004D6F0E" w:rsidRDefault="00490F21">
    <w:pPr>
      <w:spacing w:after="0" w:line="259" w:lineRule="auto"/>
      <w:ind w:left="0" w:right="46"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66</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48" w:line="259" w:lineRule="auto"/>
      <w:ind w:left="0" w:right="227"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27" w:line="259" w:lineRule="auto"/>
      <w:ind w:left="0" w:right="110" w:firstLine="0"/>
      <w:jc w:val="center"/>
    </w:pPr>
    <w:r>
      <w:rPr>
        <w:rFonts w:ascii="Times New Roman" w:eastAsia="Times New Roman" w:hAnsi="Times New Roman" w:cs="Times New Roman"/>
        <w:sz w:val="22"/>
      </w:rPr>
      <w:t>-</w:t>
    </w:r>
    <w:r>
      <w:fldChar w:fldCharType="begin"/>
    </w:r>
    <w:r>
      <w:instrText xml:space="preserve"> PAGE   \* MERGEFORMAT </w:instrText>
    </w:r>
    <w:r>
      <w:fldChar w:fldCharType="separate"/>
    </w:r>
    <w:r>
      <w:rPr>
        <w:rFonts w:ascii="Times New Roman" w:eastAsia="Times New Roman" w:hAnsi="Times New Roman" w:cs="Times New Roman"/>
        <w:sz w:val="22"/>
      </w:rPr>
      <w:t>2</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rsidR="004D6F0E" w:rsidRDefault="00490F21">
    <w:pPr>
      <w:spacing w:after="0" w:line="259" w:lineRule="auto"/>
      <w:ind w:left="16" w:firstLine="0"/>
    </w:pPr>
    <w:r>
      <w:rPr>
        <w:rFonts w:ascii="Arial" w:eastAsia="Arial" w:hAnsi="Arial" w:cs="Arial"/>
        <w:sz w:val="1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88" w:line="259" w:lineRule="auto"/>
      <w:ind w:left="0" w:right="227"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2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88" w:line="259" w:lineRule="auto"/>
      <w:ind w:left="0" w:right="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88" w:line="259" w:lineRule="auto"/>
      <w:ind w:left="0" w:right="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7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7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7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8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28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8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28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1"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37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4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39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4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39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Times New Roman" w:eastAsia="Times New Roman" w:hAnsi="Times New Roman" w:cs="Times New Roman"/>
        <w:sz w:val="18"/>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5712" w:right="543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37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5712" w:right="543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37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5712" w:right="5435"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39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1088" w:firstLine="0"/>
    </w:pPr>
    <w:r>
      <w:rPr>
        <w:rFonts w:ascii="Times New Roman" w:eastAsia="Times New Roman" w:hAnsi="Times New Roman" w:cs="Times New Roman"/>
        <w:sz w:val="18"/>
      </w:rPr>
      <w:t xml:space="preserve"> </w:t>
    </w:r>
  </w:p>
  <w:p w:rsidR="004D6F0E" w:rsidRDefault="00490F21">
    <w:pPr>
      <w:spacing w:after="0" w:line="259" w:lineRule="auto"/>
      <w:ind w:left="-11088" w:firstLine="0"/>
    </w:pPr>
    <w:r>
      <w:rPr>
        <w:rFonts w:ascii="Times New Roman" w:eastAsia="Times New Roman" w:hAnsi="Times New Roman" w:cs="Times New Roman"/>
        <w:sz w:val="18"/>
      </w:rPr>
      <w:t xml:space="preserve"> </w:t>
    </w:r>
  </w:p>
  <w:p w:rsidR="004D6F0E" w:rsidRDefault="00490F21">
    <w:pPr>
      <w:spacing w:after="0" w:line="259" w:lineRule="auto"/>
      <w:ind w:left="-11088" w:firstLine="0"/>
    </w:pPr>
    <w:r>
      <w:rPr>
        <w:rFonts w:ascii="Arial" w:eastAsia="Arial" w:hAnsi="Arial" w:cs="Arial"/>
        <w:sz w:val="12"/>
      </w:rPr>
      <w:t xml:space="preserve"> </w:t>
    </w:r>
  </w:p>
  <w:p w:rsidR="004D6F0E" w:rsidRDefault="00490F21">
    <w:pPr>
      <w:spacing w:after="0" w:line="259" w:lineRule="auto"/>
      <w:ind w:left="-11088" w:firstLine="0"/>
    </w:pPr>
    <w:r>
      <w:rPr>
        <w:rFonts w:ascii="Arial" w:eastAsia="Arial" w:hAnsi="Arial" w:cs="Arial"/>
        <w:sz w:val="12"/>
      </w:rPr>
      <w:t xml:space="preserve"> </w:t>
    </w:r>
  </w:p>
  <w:p w:rsidR="004D6F0E" w:rsidRDefault="00490F21">
    <w:pPr>
      <w:spacing w:after="0" w:line="259" w:lineRule="auto"/>
      <w:ind w:left="-11088" w:firstLine="0"/>
    </w:pPr>
    <w:r>
      <w:rPr>
        <w:rFonts w:ascii="Arial" w:eastAsia="Arial" w:hAnsi="Arial" w:cs="Arial"/>
        <w:sz w:val="12"/>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8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48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93" w:line="259" w:lineRule="auto"/>
      <w:ind w:left="288" w:firstLine="0"/>
    </w:pPr>
    <w:r>
      <w:rPr>
        <w:rFonts w:ascii="Arial" w:eastAsia="Arial" w:hAnsi="Arial" w:cs="Arial"/>
        <w:sz w:val="12"/>
      </w:rPr>
      <w:t xml:space="preserve"> </w:t>
    </w:r>
  </w:p>
  <w:p w:rsidR="004D6F0E" w:rsidRDefault="00490F21">
    <w:pPr>
      <w:spacing w:after="0" w:line="259" w:lineRule="auto"/>
      <w:ind w:left="288" w:firstLine="0"/>
    </w:pPr>
    <w:r>
      <w:rPr>
        <w:rFonts w:ascii="Times New Roman" w:eastAsia="Times New Roman" w:hAnsi="Times New Roman" w:cs="Times New Roman"/>
        <w:sz w:val="24"/>
      </w:rPr>
      <w:t xml:space="preserve"> </w:t>
    </w:r>
  </w:p>
  <w:p w:rsidR="004D6F0E" w:rsidRDefault="00490F21">
    <w:pPr>
      <w:spacing w:after="0" w:line="259" w:lineRule="auto"/>
      <w:ind w:left="288" w:firstLine="0"/>
    </w:pPr>
    <w:r>
      <w:rPr>
        <w:rFonts w:ascii="Times New Roman" w:eastAsia="Times New Roman" w:hAnsi="Times New Roman" w:cs="Times New Roman"/>
        <w:sz w:val="18"/>
      </w:rPr>
      <w:t xml:space="preserve"> </w:t>
    </w:r>
  </w:p>
  <w:p w:rsidR="004D6F0E" w:rsidRDefault="00490F21">
    <w:pPr>
      <w:spacing w:after="0" w:line="259" w:lineRule="auto"/>
      <w:ind w:left="288" w:firstLine="0"/>
    </w:pPr>
    <w:r>
      <w:rPr>
        <w:rFonts w:ascii="Arial" w:eastAsia="Arial" w:hAnsi="Arial" w:cs="Arial"/>
        <w:sz w:val="12"/>
      </w:rPr>
      <w:t xml:space="preserve"> </w:t>
    </w:r>
  </w:p>
  <w:p w:rsidR="004D6F0E" w:rsidRDefault="00490F21">
    <w:pPr>
      <w:spacing w:after="0" w:line="259" w:lineRule="auto"/>
      <w:ind w:left="288" w:firstLine="0"/>
    </w:pPr>
    <w:r>
      <w:rPr>
        <w:rFonts w:ascii="Arial" w:eastAsia="Arial" w:hAnsi="Arial" w:cs="Arial"/>
        <w:sz w:val="1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8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48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93" w:line="259" w:lineRule="auto"/>
      <w:ind w:left="288" w:firstLine="0"/>
    </w:pPr>
    <w:r>
      <w:rPr>
        <w:rFonts w:ascii="Arial" w:eastAsia="Arial" w:hAnsi="Arial" w:cs="Arial"/>
        <w:sz w:val="12"/>
      </w:rPr>
      <w:t xml:space="preserve"> </w:t>
    </w:r>
  </w:p>
  <w:p w:rsidR="004D6F0E" w:rsidRDefault="00490F21">
    <w:pPr>
      <w:spacing w:after="0" w:line="259" w:lineRule="auto"/>
      <w:ind w:left="288" w:firstLine="0"/>
    </w:pPr>
    <w:r>
      <w:rPr>
        <w:rFonts w:ascii="Times New Roman" w:eastAsia="Times New Roman" w:hAnsi="Times New Roman" w:cs="Times New Roman"/>
        <w:sz w:val="24"/>
      </w:rPr>
      <w:t xml:space="preserve"> </w:t>
    </w:r>
  </w:p>
  <w:p w:rsidR="004D6F0E" w:rsidRDefault="00490F21">
    <w:pPr>
      <w:spacing w:after="0" w:line="259" w:lineRule="auto"/>
      <w:ind w:left="288" w:firstLine="0"/>
    </w:pPr>
    <w:r>
      <w:rPr>
        <w:rFonts w:ascii="Times New Roman" w:eastAsia="Times New Roman" w:hAnsi="Times New Roman" w:cs="Times New Roman"/>
        <w:sz w:val="18"/>
      </w:rPr>
      <w:t xml:space="preserve"> </w:t>
    </w:r>
  </w:p>
  <w:p w:rsidR="004D6F0E" w:rsidRDefault="00490F21">
    <w:pPr>
      <w:spacing w:after="0" w:line="259" w:lineRule="auto"/>
      <w:ind w:left="288" w:firstLine="0"/>
    </w:pPr>
    <w:r>
      <w:rPr>
        <w:rFonts w:ascii="Arial" w:eastAsia="Arial" w:hAnsi="Arial" w:cs="Arial"/>
        <w:sz w:val="12"/>
      </w:rPr>
      <w:t xml:space="preserve"> </w:t>
    </w:r>
  </w:p>
  <w:p w:rsidR="004D6F0E" w:rsidRDefault="00490F21">
    <w:pPr>
      <w:spacing w:after="0" w:line="259" w:lineRule="auto"/>
      <w:ind w:left="288" w:firstLine="0"/>
    </w:pPr>
    <w:r>
      <w:rPr>
        <w:rFonts w:ascii="Arial" w:eastAsia="Arial" w:hAnsi="Arial" w:cs="Arial"/>
        <w:sz w:val="12"/>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7"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43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43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43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07" w:firstLine="0"/>
      <w:jc w:val="center"/>
    </w:pPr>
    <w:r>
      <w:rPr>
        <w:rFonts w:ascii="Times New Roman" w:eastAsia="Times New Roman" w:hAnsi="Times New Roman" w:cs="Times New Roman"/>
      </w:rPr>
      <w:t xml:space="preserve"> </w:t>
    </w:r>
  </w:p>
  <w:p w:rsidR="004D6F0E" w:rsidRDefault="00490F21">
    <w:pPr>
      <w:spacing w:after="0" w:line="259" w:lineRule="auto"/>
      <w:ind w:left="56"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07" w:firstLine="0"/>
      <w:jc w:val="center"/>
    </w:pPr>
    <w:r>
      <w:rPr>
        <w:rFonts w:ascii="Times New Roman" w:eastAsia="Times New Roman" w:hAnsi="Times New Roman" w:cs="Times New Roman"/>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07" w:firstLine="0"/>
      <w:jc w:val="center"/>
    </w:pPr>
    <w:r>
      <w:rPr>
        <w:rFonts w:ascii="Times New Roman" w:eastAsia="Times New Roman" w:hAnsi="Times New Roman" w:cs="Times New Roman"/>
      </w:rPr>
      <w:t xml:space="preserve"> </w:t>
    </w:r>
  </w:p>
  <w:p w:rsidR="004D6F0E" w:rsidRDefault="00490F21">
    <w:pPr>
      <w:spacing w:after="0" w:line="259" w:lineRule="auto"/>
      <w:ind w:left="56"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07" w:firstLine="0"/>
      <w:jc w:val="center"/>
    </w:pPr>
    <w:r>
      <w:rPr>
        <w:rFonts w:ascii="Times New Roman" w:eastAsia="Times New Roman" w:hAnsi="Times New Roman" w:cs="Times New Roman"/>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07" w:firstLine="0"/>
      <w:jc w:val="center"/>
    </w:pPr>
    <w:r>
      <w:rPr>
        <w:rFonts w:ascii="Times New Roman" w:eastAsia="Times New Roman" w:hAnsi="Times New Roman" w:cs="Times New Roman"/>
      </w:rPr>
      <w:t xml:space="preserve"> </w:t>
    </w:r>
  </w:p>
  <w:p w:rsidR="004D6F0E" w:rsidRDefault="00490F21">
    <w:pPr>
      <w:spacing w:after="0" w:line="259" w:lineRule="auto"/>
      <w:ind w:left="56"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63</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07" w:firstLine="0"/>
      <w:jc w:val="center"/>
    </w:pPr>
    <w:r>
      <w:rPr>
        <w:rFonts w:ascii="Times New Roman" w:eastAsia="Times New Roman" w:hAnsi="Times New Roman" w:cs="Times New Roman"/>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64"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853"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853"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853"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68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1"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4"/>
      </w:rP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2"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59</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84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48" w:line="259" w:lineRule="auto"/>
      <w:ind w:left="0" w:right="41"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9"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85</w:t>
    </w:r>
    <w:r>
      <w:rPr>
        <w:rFonts w:ascii="Times New Roman" w:eastAsia="Times New Roman" w:hAnsi="Times New Roman" w:cs="Times New Roman"/>
        <w:sz w:val="20"/>
      </w:rPr>
      <w:fldChar w:fldCharType="end"/>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5393" w:right="-4309"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5393" w:right="-4309"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48" w:line="259" w:lineRule="auto"/>
      <w:ind w:left="0" w:right="41" w:firstLine="0"/>
      <w:jc w:val="center"/>
    </w:pPr>
    <w:r>
      <w:rPr>
        <w:rFonts w:ascii="Times New Roman" w:eastAsia="Times New Roman" w:hAnsi="Times New Roman" w:cs="Times New Roman"/>
        <w:sz w:val="20"/>
      </w:rPr>
      <w:t>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13" w:firstLine="0"/>
    </w:pPr>
    <w:r>
      <w:rPr>
        <w:rFonts w:ascii="Arial" w:eastAsia="Arial" w:hAnsi="Arial" w:cs="Arial"/>
        <w:sz w:val="12"/>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5393" w:right="-4309"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6"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6"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6" w:firstLine="0"/>
      <w:jc w:val="center"/>
    </w:pPr>
    <w:r>
      <w:rPr>
        <w:rFonts w:ascii="Times New Roman" w:eastAsia="Times New Roman" w:hAnsi="Times New Roman" w:cs="Times New Roman"/>
        <w:sz w:val="20"/>
      </w:rPr>
      <w:t>II-</w:t>
    </w:r>
    <w:r>
      <w:fldChar w:fldCharType="begin"/>
    </w:r>
    <w:r>
      <w:instrText xml:space="preserve"> PAGE   \* MERGEFORMAT </w:instrText>
    </w:r>
    <w:r>
      <w:fldChar w:fldCharType="separate"/>
    </w:r>
    <w:r>
      <w:rPr>
        <w:rFonts w:ascii="Times New Roman" w:eastAsia="Times New Roman" w:hAnsi="Times New Roman" w:cs="Times New Roman"/>
        <w:sz w:val="20"/>
      </w:rPr>
      <w:t>12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p w:rsidR="004D6F0E" w:rsidRDefault="00490F21">
    <w:pPr>
      <w:spacing w:after="0" w:line="259" w:lineRule="auto"/>
      <w:ind w:left="0" w:firstLine="0"/>
    </w:pPr>
    <w:r>
      <w:rPr>
        <w:rFonts w:ascii="Arial" w:eastAsia="Arial" w:hAnsi="Arial" w:cs="Arial"/>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F21" w:rsidRDefault="00490F21">
      <w:pPr>
        <w:spacing w:after="201" w:line="320" w:lineRule="auto"/>
        <w:ind w:left="16" w:firstLine="0"/>
      </w:pPr>
      <w:r>
        <w:separator/>
      </w:r>
    </w:p>
  </w:footnote>
  <w:footnote w:type="continuationSeparator" w:id="0">
    <w:p w:rsidR="00490F21" w:rsidRDefault="00490F21">
      <w:pPr>
        <w:spacing w:after="201" w:line="320" w:lineRule="auto"/>
        <w:ind w:left="16" w:firstLine="0"/>
      </w:pPr>
      <w:r>
        <w:continuationSeparator/>
      </w:r>
    </w:p>
  </w:footnote>
  <w:footnote w:id="1">
    <w:p w:rsidR="004D6F0E" w:rsidRDefault="00490F21">
      <w:pPr>
        <w:pStyle w:val="footnotedescription"/>
        <w:spacing w:after="201" w:line="320" w:lineRule="auto"/>
        <w:ind w:left="16" w:firstLine="0"/>
      </w:pPr>
      <w:r>
        <w:rPr>
          <w:rStyle w:val="footnotemark"/>
          <w:rFonts w:eastAsia="Microsoft YaHei"/>
        </w:rPr>
        <w:footnoteRef/>
      </w:r>
      <w:r>
        <w:t xml:space="preserve"> </w:t>
      </w:r>
      <w:r>
        <w:rPr>
          <w:sz w:val="19"/>
        </w:rPr>
        <w:t>不同的最低投資額及其後投資額適用於以不同貨幣計價的不同股份類別。投資者應參閱認購章程了解詳情。</w:t>
      </w:r>
      <w:r>
        <w:rPr>
          <w:rFonts w:ascii="Arial" w:eastAsia="Arial" w:hAnsi="Arial" w:cs="Arial"/>
          <w:sz w:val="19"/>
        </w:rPr>
        <w:t xml:space="preserve">S </w:t>
      </w:r>
      <w:r>
        <w:rPr>
          <w:sz w:val="19"/>
        </w:rPr>
        <w:t>及</w:t>
      </w:r>
      <w:r>
        <w:rPr>
          <w:sz w:val="19"/>
        </w:rPr>
        <w:t xml:space="preserve"> </w:t>
      </w:r>
      <w:r>
        <w:rPr>
          <w:rFonts w:ascii="Arial" w:eastAsia="Arial" w:hAnsi="Arial" w:cs="Arial"/>
          <w:sz w:val="19"/>
        </w:rPr>
        <w:t xml:space="preserve">S1 </w:t>
      </w:r>
      <w:r>
        <w:rPr>
          <w:sz w:val="19"/>
        </w:rPr>
        <w:t>類股份乃保留給機構投資者。</w:t>
      </w:r>
      <w:r>
        <w:rPr>
          <w:rFonts w:ascii="Calibri" w:eastAsia="Calibri" w:hAnsi="Calibri" w:cs="Calibri"/>
          <w:sz w:val="19"/>
        </w:rPr>
        <w:t xml:space="preserve"> </w:t>
      </w:r>
    </w:p>
    <w:p w:rsidR="004D6F0E" w:rsidRDefault="00490F21">
      <w:pPr>
        <w:pStyle w:val="footnotedescription"/>
        <w:spacing w:line="259" w:lineRule="auto"/>
        <w:ind w:left="16" w:firstLine="0"/>
      </w:pPr>
      <w:r>
        <w:rPr>
          <w:rFonts w:ascii="Calibri" w:eastAsia="Calibri" w:hAnsi="Calibri" w:cs="Calibri"/>
          <w:sz w:val="20"/>
        </w:rPr>
        <w:t xml:space="preserve"> </w:t>
      </w:r>
    </w:p>
  </w:footnote>
  <w:footnote w:id="2">
    <w:p w:rsidR="004D6F0E" w:rsidRDefault="00490F21">
      <w:pPr>
        <w:pStyle w:val="footnotedescription"/>
        <w:spacing w:line="278" w:lineRule="auto"/>
        <w:ind w:left="456" w:hanging="360"/>
      </w:pPr>
      <w:r>
        <w:rPr>
          <w:rStyle w:val="footnotemark"/>
          <w:rFonts w:eastAsia="Microsoft YaHei"/>
        </w:rPr>
        <w:footnoteRef/>
      </w:r>
      <w:r>
        <w:t xml:space="preserve"> </w:t>
      </w:r>
      <w:r>
        <w:t>儘管有上文所述，該股份類別可於歐盟分銷予提供獨立意見或基金管理服務的實體的唯一情況為相關實體已向管理公司提供書面承諾，承諾其就該股份類別收取的任何金額將全數記入該實體的客戶，且概無有關金額將由該實體留存（以上各情況均須根據適用法律進行）。</w:t>
      </w:r>
      <w:r>
        <w:rPr>
          <w:rFonts w:ascii="Times New Roman" w:eastAsia="Times New Roman" w:hAnsi="Times New Roman" w:cs="Times New Roman"/>
        </w:rPr>
        <w:t xml:space="preserve"> </w:t>
      </w:r>
    </w:p>
  </w:footnote>
  <w:footnote w:id="3">
    <w:p w:rsidR="004D6F0E" w:rsidRDefault="00490F21">
      <w:pPr>
        <w:pStyle w:val="footnotedescription"/>
        <w:spacing w:line="267" w:lineRule="auto"/>
        <w:ind w:left="523" w:hanging="427"/>
      </w:pPr>
      <w:r>
        <w:rPr>
          <w:rStyle w:val="footnotemark"/>
          <w:rFonts w:eastAsia="Microsoft YaHei"/>
        </w:rPr>
        <w:footnoteRef/>
      </w:r>
      <w:r>
        <w:t xml:space="preserve"> </w:t>
      </w:r>
      <w:r>
        <w:t>儘管有上文所述，該股份類別可於歐盟分銷予提供獨立意見或基金管理服務的實體的唯一情況為相關實體已向管理公司提供書面承諾，承</w:t>
      </w:r>
      <w:r>
        <w:t>諾其就該股份類別收取的任何金額將全數記入該實體的客戶，且概無有關金額將由該實體留存（以上各情況均須根據適用法律進行）。</w:t>
      </w:r>
      <w:r>
        <w:rPr>
          <w:rFonts w:ascii="Times New Roman" w:eastAsia="Times New Roman" w:hAnsi="Times New Roman" w:cs="Times New Roman"/>
          <w:sz w:val="24"/>
        </w:rPr>
        <w:t xml:space="preserve"> </w:t>
      </w:r>
    </w:p>
  </w:footnote>
  <w:footnote w:id="4">
    <w:p w:rsidR="004D6F0E" w:rsidRDefault="00490F21">
      <w:pPr>
        <w:pStyle w:val="footnotedescription"/>
        <w:spacing w:line="276" w:lineRule="auto"/>
        <w:ind w:left="155" w:hanging="142"/>
      </w:pPr>
      <w:r>
        <w:rPr>
          <w:rStyle w:val="footnotemark"/>
          <w:rFonts w:eastAsia="Microsoft YaHei"/>
        </w:rPr>
        <w:footnoteRef/>
      </w:r>
      <w:r>
        <w:t xml:space="preserve"> </w:t>
      </w:r>
      <w:r>
        <w:rPr>
          <w:sz w:val="19"/>
        </w:rPr>
        <w:t>本傘子基金亦將獲豁免就出售房地產投資信託基金股份繳稅，無論有關股份是否為通常買賣的股份，惟條件是截至出售日期止五年期間的任何時間，非美國人士直接或間接持有的股份價值低於</w:t>
      </w:r>
      <w:r>
        <w:rPr>
          <w:rFonts w:ascii="Times New Roman" w:eastAsia="Times New Roman" w:hAnsi="Times New Roman" w:cs="Times New Roman"/>
          <w:sz w:val="19"/>
        </w:rPr>
        <w:t>50%</w:t>
      </w:r>
      <w:r>
        <w:rPr>
          <w:sz w:val="19"/>
        </w:rPr>
        <w:t>。然而，即使出售房地產投資信託基金股份獲豁免按淨額基準納稅，但如房地產投資信託基金（不論有關房地產投資信託基金是否為美國房地產持股基金）的派息乃來自於房</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2" w:firstLine="0"/>
      <w:jc w:val="right"/>
    </w:pPr>
    <w:r>
      <w:rPr>
        <w:sz w:val="18"/>
      </w:rPr>
      <w:t>聯博</w:t>
    </w:r>
    <w:r>
      <w:rPr>
        <w:sz w:val="18"/>
      </w:rPr>
      <w:t>—</w:t>
    </w:r>
    <w:r>
      <w:rPr>
        <w:sz w:val="18"/>
      </w:rPr>
      <w:t>全方位領航基金</w:t>
    </w:r>
    <w:r>
      <w:rPr>
        <w:sz w:val="18"/>
      </w:rPr>
      <w:t xml:space="preserve"> </w: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25" w:firstLine="0"/>
      <w:jc w:val="right"/>
    </w:pPr>
    <w:r>
      <w:rPr>
        <w:sz w:val="18"/>
      </w:rPr>
      <w:t>聯博</w:t>
    </w:r>
    <w:r>
      <w:rPr>
        <w:rFonts w:ascii="SimSun" w:eastAsia="SimSun" w:hAnsi="SimSun" w:cs="SimSun"/>
        <w:sz w:val="20"/>
      </w:rPr>
      <w:t xml:space="preserve"> </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25" w:firstLine="0"/>
      <w:jc w:val="right"/>
    </w:pPr>
    <w:r>
      <w:rPr>
        <w:sz w:val="18"/>
      </w:rPr>
      <w:t>聯博</w:t>
    </w:r>
    <w:r>
      <w:rPr>
        <w:rFonts w:ascii="SimSun" w:eastAsia="SimSun" w:hAnsi="SimSun" w:cs="SimSun"/>
        <w:sz w:val="20"/>
      </w:rPr>
      <w:t xml:space="preserve"> </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25" w:firstLine="0"/>
      <w:jc w:val="right"/>
    </w:pPr>
    <w:r>
      <w:rPr>
        <w:sz w:val="18"/>
      </w:rPr>
      <w:t>聯博</w:t>
    </w:r>
    <w:r>
      <w:rPr>
        <w:rFonts w:ascii="SimSun" w:eastAsia="SimSun" w:hAnsi="SimSun" w:cs="SimSun"/>
        <w:sz w:val="20"/>
      </w:rPr>
      <w:t xml:space="preserve"> </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r>
      <w:rPr>
        <w:rFonts w:ascii="Arial" w:eastAsia="Arial" w:hAnsi="Arial" w:cs="Arial"/>
        <w:sz w:val="20"/>
      </w:rPr>
      <w:t xml:space="preserve"> </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r>
      <w:rPr>
        <w:rFonts w:ascii="Arial" w:eastAsia="Arial" w:hAnsi="Arial" w:cs="Arial"/>
        <w:sz w:val="20"/>
      </w:rPr>
      <w:t xml:space="preserve"> </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3" w:line="259" w:lineRule="auto"/>
      <w:ind w:left="0" w:firstLine="0"/>
      <w:jc w:val="right"/>
    </w:pPr>
    <w:r>
      <w:rPr>
        <w:sz w:val="18"/>
      </w:rPr>
      <w:t>聯博</w:t>
    </w:r>
    <w:r>
      <w:rPr>
        <w:rFonts w:ascii="SimSun" w:eastAsia="SimSun" w:hAnsi="SimSun" w:cs="SimSun"/>
        <w:sz w:val="20"/>
      </w:rPr>
      <w:t xml:space="preserve"> </w:t>
    </w:r>
  </w:p>
  <w:p w:rsidR="004D6F0E" w:rsidRDefault="00490F21">
    <w:pPr>
      <w:spacing w:after="0" w:line="259" w:lineRule="auto"/>
      <w:ind w:left="0" w:firstLine="0"/>
    </w:pPr>
    <w:r>
      <w:rPr>
        <w:rFonts w:ascii="Times New Roman" w:eastAsia="Times New Roman" w:hAnsi="Times New Roman" w:cs="Times New Roman"/>
        <w:sz w:val="24"/>
      </w:rPr>
      <w:t xml:space="preserve"> </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firstLine="0"/>
      <w:jc w:val="right"/>
    </w:pPr>
    <w:r>
      <w:rPr>
        <w:sz w:val="18"/>
      </w:rPr>
      <w:t>聯博</w:t>
    </w:r>
    <w:r>
      <w:rPr>
        <w:rFonts w:ascii="Arial" w:eastAsia="Arial" w:hAnsi="Arial" w:cs="Arial"/>
        <w:sz w:val="20"/>
      </w:rPr>
      <w:t xml:space="preserve"> </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firstLine="0"/>
      <w:jc w:val="right"/>
    </w:pPr>
    <w:r>
      <w:rPr>
        <w:sz w:val="18"/>
      </w:rPr>
      <w:t>聯博</w:t>
    </w:r>
    <w:r>
      <w:rPr>
        <w:rFonts w:ascii="Arial" w:eastAsia="Arial" w:hAnsi="Arial" w:cs="Arial"/>
        <w:sz w:val="20"/>
      </w:rPr>
      <w:t xml:space="preserve"> </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50" w:firstLine="0"/>
      <w:jc w:val="right"/>
    </w:pPr>
    <w:r>
      <w:rPr>
        <w:sz w:val="18"/>
      </w:rPr>
      <w:t>聯博</w:t>
    </w:r>
    <w:r>
      <w:rPr>
        <w:rFonts w:ascii="SimSun" w:eastAsia="SimSun" w:hAnsi="SimSun" w:cs="SimSun"/>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50" w:firstLine="0"/>
      <w:jc w:val="right"/>
    </w:pPr>
    <w:r>
      <w:rPr>
        <w:sz w:val="18"/>
      </w:rPr>
      <w:t>聯博</w:t>
    </w:r>
    <w:r>
      <w:rPr>
        <w:rFonts w:ascii="SimSun" w:eastAsia="SimSun" w:hAnsi="SimSun" w:cs="SimSun"/>
        <w:sz w:val="20"/>
      </w:rPr>
      <w:t xml:space="preserve"> </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50" w:firstLine="0"/>
      <w:jc w:val="right"/>
    </w:pPr>
    <w:r>
      <w:rPr>
        <w:sz w:val="18"/>
      </w:rPr>
      <w:t>聯博</w:t>
    </w:r>
    <w:r>
      <w:rPr>
        <w:rFonts w:ascii="SimSun" w:eastAsia="SimSun" w:hAnsi="SimSun" w:cs="SimSun"/>
        <w:sz w:val="20"/>
      </w:rPr>
      <w:t xml:space="preserve"> </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2" w:firstLine="0"/>
      <w:jc w:val="right"/>
    </w:pPr>
    <w:r>
      <w:rPr>
        <w:sz w:val="18"/>
      </w:rPr>
      <w:t>聯博</w:t>
    </w:r>
    <w:r>
      <w:rPr>
        <w:rFonts w:ascii="Arial" w:eastAsia="Arial" w:hAnsi="Arial" w:cs="Arial"/>
        <w:sz w:val="20"/>
      </w:rPr>
      <w:t xml:space="preserve"> </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2" w:firstLine="0"/>
      <w:jc w:val="right"/>
    </w:pPr>
    <w:r>
      <w:rPr>
        <w:sz w:val="18"/>
      </w:rPr>
      <w:t>聯博</w:t>
    </w:r>
    <w:r>
      <w:rPr>
        <w:rFonts w:ascii="Arial" w:eastAsia="Arial" w:hAnsi="Arial" w:cs="Arial"/>
        <w:sz w:val="20"/>
      </w:rPr>
      <w:t xml:space="preserve"> </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2" w:firstLine="0"/>
      <w:jc w:val="right"/>
    </w:pPr>
    <w:r>
      <w:rPr>
        <w:sz w:val="18"/>
      </w:rPr>
      <w:t>聯博</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line="259" w:lineRule="auto"/>
      <w:ind w:left="0" w:right="100" w:firstLine="0"/>
      <w:jc w:val="right"/>
    </w:pPr>
    <w:r>
      <w:rPr>
        <w:sz w:val="18"/>
      </w:rPr>
      <w:t>聯博</w:t>
    </w: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20"/>
      </w:rPr>
      <w:t xml:space="preserve"> </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line="259" w:lineRule="auto"/>
      <w:ind w:left="0" w:right="100" w:firstLine="0"/>
      <w:jc w:val="right"/>
    </w:pPr>
    <w:r>
      <w:rPr>
        <w:sz w:val="18"/>
      </w:rPr>
      <w:t>聯博</w:t>
    </w:r>
    <w:r>
      <w:rPr>
        <w:rFonts w:ascii="Arial" w:eastAsia="Arial" w:hAnsi="Arial" w:cs="Arial"/>
        <w:sz w:val="20"/>
      </w:rPr>
      <w:t xml:space="preserve"> </w:t>
    </w:r>
  </w:p>
  <w:p w:rsidR="004D6F0E" w:rsidRDefault="00490F21">
    <w:pPr>
      <w:spacing w:after="0" w:line="259" w:lineRule="auto"/>
      <w:ind w:left="0" w:firstLine="0"/>
    </w:pPr>
    <w:r>
      <w:rPr>
        <w:rFonts w:ascii="Arial" w:eastAsia="Arial" w:hAnsi="Arial" w:cs="Arial"/>
        <w:sz w:val="20"/>
      </w:rPr>
      <w:t xml:space="preserve"> </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r>
      <w:rPr>
        <w:rFonts w:ascii="Arial" w:eastAsia="Arial" w:hAnsi="Arial" w:cs="Arial"/>
        <w:sz w:val="20"/>
      </w:rPr>
      <w:t xml:space="preserve"> </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6" w:firstLine="0"/>
      <w:jc w:val="right"/>
    </w:pPr>
    <w:r>
      <w:rPr>
        <w:sz w:val="20"/>
      </w:rPr>
      <w:t>聯</w:t>
    </w:r>
    <w:r>
      <w:rPr>
        <w:sz w:val="20"/>
      </w:rPr>
      <w:t>博</w:t>
    </w:r>
    <w:r>
      <w:rPr>
        <w:sz w:val="20"/>
      </w:rPr>
      <w:t xml:space="preserve"> </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6" w:firstLine="0"/>
      <w:jc w:val="right"/>
    </w:pPr>
    <w:r>
      <w:rPr>
        <w:sz w:val="20"/>
      </w:rPr>
      <w:t>聯博</w:t>
    </w: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2" w:firstLine="0"/>
      <w:jc w:val="right"/>
    </w:pPr>
    <w:r>
      <w:rPr>
        <w:sz w:val="18"/>
      </w:rPr>
      <w:t>聯博</w:t>
    </w:r>
    <w:r>
      <w:rPr>
        <w:sz w:val="18"/>
      </w:rPr>
      <w:t>—</w:t>
    </w:r>
    <w:r>
      <w:rPr>
        <w:sz w:val="18"/>
      </w:rPr>
      <w:t>全方位領航基金</w:t>
    </w:r>
    <w:r>
      <w:rPr>
        <w:sz w:val="18"/>
      </w:rPr>
      <w:t xml:space="preserve"> </w: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6" w:firstLine="0"/>
      <w:jc w:val="right"/>
    </w:pPr>
    <w:r>
      <w:rPr>
        <w:sz w:val="20"/>
      </w:rPr>
      <w:t>聯博</w:t>
    </w:r>
    <w:r>
      <w:rPr>
        <w:sz w:val="20"/>
      </w:rPr>
      <w:t xml:space="preserve"> </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6" w:firstLine="0"/>
      <w:jc w:val="right"/>
    </w:pPr>
    <w:r>
      <w:rPr>
        <w:sz w:val="20"/>
      </w:rPr>
      <w:t>聯博</w:t>
    </w:r>
    <w:r>
      <w:rPr>
        <w:sz w:val="20"/>
      </w:rPr>
      <w:t xml:space="preserve"> </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0" w:line="259" w:lineRule="auto"/>
      <w:ind w:left="0" w:right="48" w:firstLine="0"/>
      <w:jc w:val="right"/>
    </w:pPr>
    <w:r>
      <w:rPr>
        <w:sz w:val="20"/>
      </w:rPr>
      <w:t>聯博</w:t>
    </w:r>
    <w:r>
      <w:rPr>
        <w:sz w:val="20"/>
      </w:rPr>
      <w:t xml:space="preserve"> </w:t>
    </w:r>
  </w:p>
  <w:p w:rsidR="004D6F0E" w:rsidRDefault="00490F21">
    <w:pPr>
      <w:spacing w:after="0" w:line="259" w:lineRule="auto"/>
      <w:ind w:left="-275" w:firstLine="0"/>
    </w:pPr>
    <w:r>
      <w:rPr>
        <w:rFonts w:ascii="SimSun" w:eastAsia="SimSun" w:hAnsi="SimSun" w:cs="SimSun"/>
      </w:rPr>
      <w:t xml:space="preserve"> </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6" w:firstLine="0"/>
      <w:jc w:val="right"/>
    </w:pPr>
    <w:r>
      <w:rPr>
        <w:sz w:val="20"/>
      </w:rPr>
      <w:t>聯博</w:t>
    </w:r>
    <w:r>
      <w:rPr>
        <w:sz w:val="20"/>
      </w:rPr>
      <w:t xml:space="preserve"> </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0" w:line="259" w:lineRule="auto"/>
      <w:ind w:left="0" w:right="57" w:firstLine="0"/>
      <w:jc w:val="right"/>
    </w:pPr>
    <w:r>
      <w:rPr>
        <w:sz w:val="20"/>
      </w:rPr>
      <w:t>聯博</w:t>
    </w:r>
    <w:r>
      <w:rPr>
        <w:sz w:val="20"/>
      </w:rPr>
      <w:t xml:space="preserve"> </w:t>
    </w:r>
  </w:p>
  <w:p w:rsidR="004D6F0E" w:rsidRDefault="00490F21">
    <w:pPr>
      <w:spacing w:after="0" w:line="259" w:lineRule="auto"/>
      <w:ind w:left="13" w:firstLine="0"/>
    </w:pPr>
    <w:r>
      <w:rPr>
        <w:rFonts w:ascii="SimSun" w:eastAsia="SimSun" w:hAnsi="SimSun" w:cs="SimSun"/>
      </w:rPr>
      <w:t xml:space="preserve"> </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0" w:line="259" w:lineRule="auto"/>
      <w:ind w:left="0" w:right="57" w:firstLine="0"/>
      <w:jc w:val="right"/>
    </w:pPr>
    <w:r>
      <w:rPr>
        <w:sz w:val="20"/>
      </w:rPr>
      <w:t>聯博</w:t>
    </w:r>
    <w:r>
      <w:rPr>
        <w:sz w:val="20"/>
      </w:rPr>
      <w:t xml:space="preserve"> </w:t>
    </w:r>
  </w:p>
  <w:p w:rsidR="004D6F0E" w:rsidRDefault="00490F21">
    <w:pPr>
      <w:spacing w:after="0" w:line="259" w:lineRule="auto"/>
      <w:ind w:left="13" w:firstLine="0"/>
    </w:pPr>
    <w:r>
      <w:rPr>
        <w:rFonts w:ascii="SimSun" w:eastAsia="SimSun" w:hAnsi="SimSun" w:cs="SimSun"/>
      </w:rPr>
      <w:t xml:space="preserve"> </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0" w:line="259" w:lineRule="auto"/>
      <w:ind w:left="0" w:right="57" w:firstLine="0"/>
      <w:jc w:val="right"/>
    </w:pPr>
    <w:r>
      <w:rPr>
        <w:sz w:val="20"/>
      </w:rPr>
      <w:t>聯博</w:t>
    </w:r>
    <w:r>
      <w:rPr>
        <w:sz w:val="20"/>
      </w:rPr>
      <w:t xml:space="preserve"> </w:t>
    </w:r>
  </w:p>
  <w:p w:rsidR="004D6F0E" w:rsidRDefault="00490F21">
    <w:pPr>
      <w:spacing w:after="0" w:line="259" w:lineRule="auto"/>
      <w:ind w:left="13" w:firstLine="0"/>
    </w:pPr>
    <w:r>
      <w:rPr>
        <w:rFonts w:ascii="SimSun" w:eastAsia="SimSun" w:hAnsi="SimSun" w:cs="SimSun"/>
      </w:rPr>
      <w:t xml:space="preserve"> </w: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52" w:line="259" w:lineRule="auto"/>
      <w:ind w:left="0" w:right="90" w:firstLine="0"/>
      <w:jc w:val="right"/>
    </w:pPr>
    <w:r>
      <w:rPr>
        <w:sz w:val="18"/>
      </w:rPr>
      <w:t>聯博</w:t>
    </w:r>
    <w:r>
      <w:rPr>
        <w:rFonts w:ascii="Arial" w:eastAsia="Arial" w:hAnsi="Arial" w:cs="Arial"/>
        <w:sz w:val="18"/>
      </w:rPr>
      <w:t>—</w:t>
    </w:r>
    <w:r>
      <w:rPr>
        <w:sz w:val="18"/>
      </w:rPr>
      <w:t>環球股票策略基金</w:t>
    </w:r>
    <w:r>
      <w:rPr>
        <w:sz w:val="18"/>
      </w:rPr>
      <w:t xml:space="preserve"> </w:t>
    </w:r>
  </w:p>
  <w:p w:rsidR="004D6F0E" w:rsidRDefault="00490F21">
    <w:pPr>
      <w:spacing w:after="0" w:line="259" w:lineRule="auto"/>
      <w:ind w:left="0" w:firstLine="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52" w:line="259" w:lineRule="auto"/>
      <w:ind w:left="0" w:right="90" w:firstLine="0"/>
      <w:jc w:val="right"/>
    </w:pPr>
    <w:r>
      <w:rPr>
        <w:sz w:val="18"/>
      </w:rPr>
      <w:t>聯博</w:t>
    </w:r>
    <w:r>
      <w:rPr>
        <w:rFonts w:ascii="Arial" w:eastAsia="Arial" w:hAnsi="Arial" w:cs="Arial"/>
        <w:sz w:val="18"/>
      </w:rPr>
      <w:t>—</w:t>
    </w:r>
    <w:r>
      <w:rPr>
        <w:sz w:val="18"/>
      </w:rPr>
      <w:t>環球股票策略基金</w:t>
    </w:r>
  </w:p>
  <w:p w:rsidR="004D6F0E" w:rsidRDefault="00490F21">
    <w:pPr>
      <w:spacing w:after="0" w:line="259" w:lineRule="auto"/>
      <w:ind w:lef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52" w:line="259" w:lineRule="auto"/>
      <w:ind w:left="0" w:right="90" w:firstLine="0"/>
      <w:jc w:val="right"/>
    </w:pPr>
    <w:r>
      <w:rPr>
        <w:sz w:val="18"/>
      </w:rPr>
      <w:t>聯博</w:t>
    </w:r>
    <w:r>
      <w:rPr>
        <w:rFonts w:ascii="Arial" w:eastAsia="Arial" w:hAnsi="Arial" w:cs="Arial"/>
        <w:sz w:val="18"/>
      </w:rPr>
      <w:t>—</w:t>
    </w:r>
    <w:r>
      <w:rPr>
        <w:sz w:val="18"/>
      </w:rPr>
      <w:t>環球股票策略基金</w:t>
    </w:r>
    <w:r>
      <w:rPr>
        <w:sz w:val="18"/>
      </w:rPr>
      <w:t xml:space="preserve"> </w:t>
    </w:r>
  </w:p>
  <w:p w:rsidR="004D6F0E" w:rsidRDefault="00490F21">
    <w:pPr>
      <w:spacing w:after="0" w:line="259" w:lineRule="auto"/>
      <w:ind w:left="0" w:firstLine="0"/>
    </w:pP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52" w:line="259" w:lineRule="auto"/>
      <w:ind w:left="0" w:right="90" w:firstLine="0"/>
      <w:jc w:val="right"/>
    </w:pPr>
    <w:r>
      <w:rPr>
        <w:sz w:val="18"/>
      </w:rPr>
      <w:t>聯博</w:t>
    </w:r>
    <w:r>
      <w:rPr>
        <w:rFonts w:ascii="Arial" w:eastAsia="Arial" w:hAnsi="Arial" w:cs="Arial"/>
        <w:sz w:val="18"/>
      </w:rPr>
      <w:t>—</w:t>
    </w:r>
    <w:r>
      <w:rPr>
        <w:sz w:val="18"/>
      </w:rPr>
      <w:t>環球股票策略基金</w:t>
    </w:r>
    <w:r>
      <w:rPr>
        <w:sz w:val="18"/>
      </w:rPr>
      <w:t xml:space="preserve"> </w:t>
    </w:r>
  </w:p>
  <w:p w:rsidR="004D6F0E" w:rsidRDefault="00490F21">
    <w:pPr>
      <w:spacing w:after="0" w:line="259" w:lineRule="auto"/>
      <w:ind w:left="0" w:firstLine="0"/>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52" w:line="259" w:lineRule="auto"/>
      <w:ind w:left="0" w:right="90" w:firstLine="0"/>
      <w:jc w:val="right"/>
    </w:pPr>
    <w:r>
      <w:rPr>
        <w:sz w:val="18"/>
      </w:rPr>
      <w:t>聯博</w:t>
    </w:r>
    <w:r>
      <w:rPr>
        <w:rFonts w:ascii="Arial" w:eastAsia="Arial" w:hAnsi="Arial" w:cs="Arial"/>
        <w:sz w:val="18"/>
      </w:rPr>
      <w:t>—</w:t>
    </w:r>
    <w:r>
      <w:rPr>
        <w:sz w:val="18"/>
      </w:rPr>
      <w:t>環球股票策略基金</w:t>
    </w:r>
  </w:p>
  <w:p w:rsidR="004D6F0E" w:rsidRDefault="00490F21">
    <w:pPr>
      <w:spacing w:after="0" w:line="259" w:lineRule="auto"/>
      <w:ind w:left="0" w:firstLine="0"/>
    </w:pP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52" w:line="259" w:lineRule="auto"/>
      <w:ind w:left="0" w:right="90" w:firstLine="0"/>
      <w:jc w:val="right"/>
    </w:pPr>
    <w:r>
      <w:rPr>
        <w:sz w:val="18"/>
      </w:rPr>
      <w:t>聯博</w:t>
    </w:r>
    <w:r>
      <w:rPr>
        <w:rFonts w:ascii="Arial" w:eastAsia="Arial" w:hAnsi="Arial" w:cs="Arial"/>
        <w:sz w:val="18"/>
      </w:rPr>
      <w:t>—</w:t>
    </w:r>
    <w:r>
      <w:rPr>
        <w:sz w:val="18"/>
      </w:rPr>
      <w:t>環球股票策略基金</w:t>
    </w:r>
    <w:r>
      <w:rPr>
        <w:sz w:val="18"/>
      </w:rPr>
      <w:t xml:space="preserve"> </w:t>
    </w:r>
  </w:p>
  <w:p w:rsidR="004D6F0E" w:rsidRDefault="00490F21">
    <w:pPr>
      <w:spacing w:after="0" w:line="259" w:lineRule="auto"/>
      <w:ind w:left="0" w:firstLine="0"/>
    </w:pP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24" w:firstLine="0"/>
      <w:jc w:val="right"/>
    </w:pPr>
    <w:r>
      <w:rPr>
        <w:sz w:val="18"/>
      </w:rPr>
      <w:t>聯博</w:t>
    </w:r>
    <w:r>
      <w:rPr>
        <w:rFonts w:ascii="Arial" w:eastAsia="Arial" w:hAnsi="Arial" w:cs="Arial"/>
        <w:sz w:val="18"/>
      </w:rPr>
      <w:t>—</w:t>
    </w:r>
    <w:r>
      <w:rPr>
        <w:sz w:val="18"/>
      </w:rPr>
      <w:t>環球股票策略基金</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24" w:firstLine="0"/>
      <w:jc w:val="right"/>
    </w:pPr>
    <w:r>
      <w:rPr>
        <w:sz w:val="18"/>
      </w:rPr>
      <w:t>聯博</w:t>
    </w:r>
    <w:r>
      <w:rPr>
        <w:rFonts w:ascii="Arial" w:eastAsia="Arial" w:hAnsi="Arial" w:cs="Arial"/>
        <w:sz w:val="18"/>
      </w:rPr>
      <w:t>—</w:t>
    </w:r>
    <w:r>
      <w:rPr>
        <w:sz w:val="18"/>
      </w:rPr>
      <w:t>環球股票策略基金</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1" w:lineRule="auto"/>
      <w:ind w:left="9108" w:right="-39" w:firstLine="0"/>
      <w:jc w:val="right"/>
    </w:pPr>
    <w:r>
      <w:rPr>
        <w:sz w:val="18"/>
      </w:rPr>
      <w:t>聯博</w:t>
    </w:r>
    <w:r>
      <w:rPr>
        <w:sz w:val="18"/>
      </w:rPr>
      <w:t>—</w:t>
    </w:r>
    <w:r>
      <w:rPr>
        <w:sz w:val="18"/>
      </w:rPr>
      <w:t>新興市場增長基金</w:t>
    </w:r>
    <w:r>
      <w:rPr>
        <w:sz w:val="18"/>
      </w:rPr>
      <w:t xml:space="preserve"> </w:t>
    </w:r>
    <w:r>
      <w:rPr>
        <w:rFonts w:ascii="SimSun" w:eastAsia="SimSun" w:hAnsi="SimSun" w:cs="SimSun"/>
        <w:sz w:val="18"/>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1" w:lineRule="auto"/>
      <w:ind w:left="9108" w:right="-39" w:firstLine="0"/>
      <w:jc w:val="right"/>
    </w:pPr>
    <w:r>
      <w:rPr>
        <w:sz w:val="18"/>
      </w:rPr>
      <w:t>聯博</w:t>
    </w:r>
    <w:r>
      <w:rPr>
        <w:sz w:val="18"/>
      </w:rPr>
      <w:t>—</w:t>
    </w:r>
    <w:r>
      <w:rPr>
        <w:sz w:val="18"/>
      </w:rPr>
      <w:t>新興市場增長基金</w:t>
    </w:r>
    <w:r>
      <w:rPr>
        <w:sz w:val="18"/>
      </w:rPr>
      <w:t xml:space="preserve"> </w:t>
    </w:r>
    <w:r>
      <w:rPr>
        <w:rFonts w:ascii="SimSun" w:eastAsia="SimSun" w:hAnsi="SimSun" w:cs="SimSun"/>
        <w:sz w:val="18"/>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1" w:lineRule="auto"/>
      <w:ind w:left="9108" w:right="-39" w:firstLine="0"/>
      <w:jc w:val="right"/>
    </w:pPr>
    <w:r>
      <w:rPr>
        <w:sz w:val="18"/>
      </w:rPr>
      <w:t>聯博</w:t>
    </w:r>
    <w:r>
      <w:rPr>
        <w:sz w:val="18"/>
      </w:rPr>
      <w:t>—</w:t>
    </w:r>
    <w:r>
      <w:rPr>
        <w:sz w:val="18"/>
      </w:rPr>
      <w:t>新興市場增長基金</w:t>
    </w:r>
    <w:r>
      <w:rPr>
        <w:sz w:val="18"/>
      </w:rPr>
      <w:t xml:space="preserve"> </w:t>
    </w:r>
    <w:r>
      <w:rPr>
        <w:rFonts w:ascii="SimSun" w:eastAsia="SimSun" w:hAnsi="SimSun" w:cs="SimSun"/>
        <w:sz w:val="18"/>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2" w:line="259" w:lineRule="auto"/>
      <w:ind w:left="0" w:right="46" w:firstLine="0"/>
      <w:jc w:val="right"/>
    </w:pPr>
    <w:r>
      <w:rPr>
        <w:sz w:val="18"/>
      </w:rPr>
      <w:t>聯博</w:t>
    </w:r>
    <w:r>
      <w:rPr>
        <w:rFonts w:ascii="Times New Roman" w:eastAsia="Times New Roman" w:hAnsi="Times New Roman" w:cs="Times New Roman"/>
        <w:sz w:val="18"/>
      </w:rPr>
      <w:t>—</w:t>
    </w:r>
    <w:r>
      <w:rPr>
        <w:sz w:val="18"/>
      </w:rPr>
      <w:t>新興市場增長基金</w:t>
    </w:r>
  </w:p>
  <w:p w:rsidR="004D6F0E" w:rsidRDefault="00490F21">
    <w:pPr>
      <w:spacing w:after="0" w:line="259" w:lineRule="auto"/>
      <w:ind w:left="0" w:right="-42" w:firstLine="0"/>
      <w:jc w:val="right"/>
    </w:pPr>
    <w:r>
      <w:rPr>
        <w:rFonts w:ascii="SimSun" w:eastAsia="SimSun" w:hAnsi="SimSun" w:cs="SimSun"/>
        <w:sz w:val="18"/>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firstLine="0"/>
      <w:jc w:val="right"/>
    </w:pPr>
    <w:r>
      <w:rPr>
        <w:sz w:val="18"/>
      </w:rPr>
      <w:t>聯博</w:t>
    </w:r>
    <w:r>
      <w:rPr>
        <w:rFonts w:ascii="Arial" w:eastAsia="Arial" w:hAnsi="Arial" w:cs="Arial"/>
        <w:sz w:val="18"/>
      </w:rPr>
      <w:t>—</w:t>
    </w:r>
    <w:r>
      <w:rPr>
        <w:sz w:val="18"/>
      </w:rPr>
      <w:t>亞洲（日本以外）股票基金</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70" w:firstLine="0"/>
      <w:jc w:val="right"/>
    </w:pPr>
    <w:r>
      <w:rPr>
        <w:sz w:val="18"/>
      </w:rPr>
      <w:t>聯博</w:t>
    </w:r>
    <w:r>
      <w:rPr>
        <w:rFonts w:ascii="Arial" w:eastAsia="Arial" w:hAnsi="Arial" w:cs="Arial"/>
        <w:sz w:val="18"/>
      </w:rPr>
      <w:t>—</w:t>
    </w:r>
    <w:r>
      <w:rPr>
        <w:sz w:val="18"/>
      </w:rPr>
      <w:t>亞洲（日本以外）股票基金</w:t>
    </w:r>
    <w:r>
      <w:rPr>
        <w:sz w:val="18"/>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70" w:firstLine="0"/>
      <w:jc w:val="right"/>
    </w:pPr>
    <w:r>
      <w:rPr>
        <w:sz w:val="18"/>
      </w:rPr>
      <w:t>聯博</w:t>
    </w:r>
    <w:r>
      <w:rPr>
        <w:rFonts w:ascii="Arial" w:eastAsia="Arial" w:hAnsi="Arial" w:cs="Arial"/>
        <w:sz w:val="18"/>
      </w:rPr>
      <w:t>—</w:t>
    </w:r>
    <w:r>
      <w:rPr>
        <w:sz w:val="18"/>
      </w:rPr>
      <w:t>亞洲（日本以外）股票基金</w:t>
    </w:r>
    <w:r>
      <w:rPr>
        <w:sz w:val="18"/>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70" w:firstLine="0"/>
      <w:jc w:val="right"/>
    </w:pPr>
    <w:r>
      <w:rPr>
        <w:sz w:val="18"/>
      </w:rPr>
      <w:t>聯博</w:t>
    </w:r>
    <w:r>
      <w:rPr>
        <w:rFonts w:ascii="Arial" w:eastAsia="Arial" w:hAnsi="Arial" w:cs="Arial"/>
        <w:sz w:val="18"/>
      </w:rPr>
      <w:t>—</w:t>
    </w:r>
    <w:r>
      <w:rPr>
        <w:sz w:val="18"/>
      </w:rPr>
      <w:t>亞洲（日本以外）股票基金</w:t>
    </w:r>
    <w:r>
      <w:rPr>
        <w:sz w:val="18"/>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79" w:firstLine="0"/>
      <w:jc w:val="right"/>
    </w:pPr>
    <w:r>
      <w:rPr>
        <w:sz w:val="18"/>
      </w:rPr>
      <w:t>聯博</w:t>
    </w:r>
    <w:r>
      <w:rPr>
        <w:sz w:val="18"/>
      </w:rPr>
      <w:t>—</w:t>
    </w:r>
    <w:r>
      <w:rPr>
        <w:sz w:val="18"/>
      </w:rPr>
      <w:t>日本策略價值基金</w:t>
    </w:r>
    <w:r>
      <w:rPr>
        <w:sz w:val="18"/>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79" w:firstLine="0"/>
      <w:jc w:val="right"/>
    </w:pPr>
    <w:r>
      <w:rPr>
        <w:sz w:val="18"/>
      </w:rPr>
      <w:t>聯博</w:t>
    </w:r>
    <w:r>
      <w:rPr>
        <w:sz w:val="18"/>
      </w:rPr>
      <w:t>—</w:t>
    </w:r>
    <w:r>
      <w:rPr>
        <w:sz w:val="18"/>
      </w:rPr>
      <w:t>日本策略價值基金</w:t>
    </w:r>
    <w:r>
      <w:rPr>
        <w:sz w:val="18"/>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0" w:firstLine="0"/>
      <w:jc w:val="right"/>
    </w:pPr>
    <w:r>
      <w:rPr>
        <w:sz w:val="18"/>
      </w:rPr>
      <w:t>聯博</w:t>
    </w:r>
    <w:r>
      <w:rPr>
        <w:sz w:val="18"/>
      </w:rPr>
      <w:t>—</w:t>
    </w:r>
    <w:r>
      <w:rPr>
        <w:sz w:val="18"/>
      </w:rPr>
      <w:t>中國低波幅策略股票基金</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7" w:firstLine="0"/>
      <w:jc w:val="right"/>
    </w:pPr>
    <w:r>
      <w:rPr>
        <w:sz w:val="18"/>
      </w:rPr>
      <w:t>聯博</w:t>
    </w:r>
    <w:r>
      <w:rPr>
        <w:sz w:val="18"/>
      </w:rPr>
      <w:t>—</w:t>
    </w:r>
    <w:r>
      <w:rPr>
        <w:sz w:val="18"/>
      </w:rPr>
      <w:t>中國低波幅策略股票基金</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7" w:firstLine="0"/>
      <w:jc w:val="right"/>
    </w:pPr>
    <w:r>
      <w:rPr>
        <w:sz w:val="18"/>
      </w:rPr>
      <w:t>聯博</w:t>
    </w:r>
    <w:r>
      <w:rPr>
        <w:sz w:val="18"/>
      </w:rPr>
      <w:t>—</w:t>
    </w:r>
    <w:r>
      <w:rPr>
        <w:sz w:val="18"/>
      </w:rPr>
      <w:t>中國低波幅策略股票基金</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7" w:firstLine="0"/>
      <w:jc w:val="right"/>
    </w:pPr>
    <w:r>
      <w:rPr>
        <w:sz w:val="18"/>
      </w:rPr>
      <w:t>聯博</w:t>
    </w:r>
    <w:r>
      <w:rPr>
        <w:sz w:val="18"/>
      </w:rPr>
      <w:t>—</w:t>
    </w:r>
    <w:r>
      <w:rPr>
        <w:sz w:val="18"/>
      </w:rPr>
      <w:t>中國低波幅策略股票基金</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42" w:firstLine="0"/>
      <w:jc w:val="right"/>
    </w:pPr>
    <w:r>
      <w:rPr>
        <w:sz w:val="18"/>
      </w:rPr>
      <w:t>聯博</w:t>
    </w:r>
    <w:r>
      <w:rPr>
        <w:sz w:val="18"/>
      </w:rPr>
      <w:t>—</w:t>
    </w:r>
    <w:r>
      <w:rPr>
        <w:sz w:val="18"/>
      </w:rPr>
      <w:t>短期債券基金</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620" w:right="55" w:firstLine="0"/>
      <w:jc w:val="right"/>
    </w:pPr>
    <w:r>
      <w:rPr>
        <w:sz w:val="18"/>
      </w:rPr>
      <w:t>聯博</w:t>
    </w:r>
    <w:r>
      <w:rPr>
        <w:sz w:val="18"/>
      </w:rPr>
      <w:t>—</w:t>
    </w:r>
    <w:r>
      <w:rPr>
        <w:sz w:val="18"/>
      </w:rPr>
      <w:t>短期債券基金</w:t>
    </w:r>
    <w:r>
      <w:rPr>
        <w:rFonts w:ascii="Arial" w:eastAsia="Arial" w:hAnsi="Arial" w:cs="Arial"/>
        <w:sz w:val="20"/>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620" w:right="55" w:firstLine="0"/>
      <w:jc w:val="right"/>
    </w:pPr>
    <w:r>
      <w:rPr>
        <w:sz w:val="18"/>
      </w:rPr>
      <w:t>聯博</w:t>
    </w:r>
    <w:r>
      <w:rPr>
        <w:sz w:val="18"/>
      </w:rPr>
      <w:t>—</w:t>
    </w:r>
    <w:r>
      <w:rPr>
        <w:sz w:val="18"/>
      </w:rPr>
      <w:t>短期債券基金</w:t>
    </w:r>
    <w:r>
      <w:rPr>
        <w:rFonts w:ascii="Arial" w:eastAsia="Arial" w:hAnsi="Arial" w:cs="Arial"/>
        <w:sz w:val="20"/>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1620" w:right="55" w:firstLine="0"/>
      <w:jc w:val="right"/>
    </w:pPr>
    <w:r>
      <w:rPr>
        <w:sz w:val="18"/>
      </w:rPr>
      <w:t>聯博</w:t>
    </w:r>
    <w:r>
      <w:rPr>
        <w:sz w:val="18"/>
      </w:rPr>
      <w:t>—</w:t>
    </w:r>
    <w:r>
      <w:rPr>
        <w:sz w:val="18"/>
      </w:rPr>
      <w:t>短期債券基金</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56" w:line="259" w:lineRule="auto"/>
      <w:ind w:left="0" w:right="95" w:firstLine="0"/>
      <w:jc w:val="right"/>
    </w:pPr>
    <w:r>
      <w:rPr>
        <w:sz w:val="18"/>
      </w:rPr>
      <w:t>聯博</w:t>
    </w:r>
    <w:r>
      <w:rPr>
        <w:sz w:val="18"/>
      </w:rPr>
      <w:t>—</w:t>
    </w:r>
    <w:r>
      <w:rPr>
        <w:sz w:val="18"/>
      </w:rPr>
      <w:t>環球高收益基金</w:t>
    </w:r>
    <w:r>
      <w:rPr>
        <w:sz w:val="18"/>
      </w:rPr>
      <w:t xml:space="preserve"> </w:t>
    </w:r>
  </w:p>
  <w:p w:rsidR="004D6F0E" w:rsidRDefault="00490F21">
    <w:pPr>
      <w:spacing w:after="0" w:line="259" w:lineRule="auto"/>
      <w:ind w:left="288" w:firstLine="0"/>
    </w:pPr>
    <w:r>
      <w:rPr>
        <w:rFonts w:ascii="Times New Roman" w:eastAsia="Times New Roman" w:hAnsi="Times New Roman" w:cs="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56" w:line="259" w:lineRule="auto"/>
      <w:ind w:left="0" w:right="95" w:firstLine="0"/>
      <w:jc w:val="right"/>
    </w:pPr>
    <w:r>
      <w:rPr>
        <w:sz w:val="18"/>
      </w:rPr>
      <w:t>聯博</w:t>
    </w:r>
    <w:r>
      <w:rPr>
        <w:sz w:val="18"/>
      </w:rPr>
      <w:t>—</w:t>
    </w:r>
    <w:r>
      <w:rPr>
        <w:sz w:val="18"/>
      </w:rPr>
      <w:t>環球高收益基金</w:t>
    </w:r>
    <w:r>
      <w:rPr>
        <w:sz w:val="18"/>
      </w:rPr>
      <w:t xml:space="preserve"> </w:t>
    </w:r>
  </w:p>
  <w:p w:rsidR="004D6F0E" w:rsidRDefault="00490F21">
    <w:pPr>
      <w:spacing w:after="0" w:line="259" w:lineRule="auto"/>
      <w:ind w:left="288" w:firstLine="0"/>
    </w:pPr>
    <w:r>
      <w:rPr>
        <w:rFonts w:ascii="Times New Roman" w:eastAsia="Times New Roman" w:hAnsi="Times New Roman" w:cs="Times New Roman"/>
        <w:sz w:val="24"/>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48" w:firstLine="0"/>
      <w:jc w:val="right"/>
    </w:pPr>
    <w:r>
      <w:rPr>
        <w:sz w:val="18"/>
      </w:rPr>
      <w:t>聯博</w:t>
    </w:r>
    <w:r>
      <w:rPr>
        <w:sz w:val="18"/>
      </w:rPr>
      <w:t>—</w:t>
    </w:r>
    <w:r>
      <w:rPr>
        <w:sz w:val="18"/>
      </w:rPr>
      <w:t>環球高收益基金</w:t>
    </w:r>
    <w:r>
      <w:rPr>
        <w:sz w:val="18"/>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48" w:firstLine="0"/>
      <w:jc w:val="right"/>
    </w:pPr>
    <w:r>
      <w:rPr>
        <w:sz w:val="18"/>
      </w:rPr>
      <w:t>聯博</w:t>
    </w:r>
    <w:r>
      <w:rPr>
        <w:sz w:val="18"/>
      </w:rPr>
      <w:t>—</w:t>
    </w:r>
    <w:r>
      <w:rPr>
        <w:sz w:val="18"/>
      </w:rPr>
      <w:t>環球高收益基金</w:t>
    </w:r>
    <w:r>
      <w:rPr>
        <w:sz w:val="18"/>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56" w:line="259" w:lineRule="auto"/>
      <w:ind w:left="0" w:right="148" w:firstLine="0"/>
      <w:jc w:val="right"/>
    </w:pPr>
    <w:r>
      <w:rPr>
        <w:sz w:val="18"/>
      </w:rPr>
      <w:t>聯博</w:t>
    </w:r>
    <w:r>
      <w:rPr>
        <w:sz w:val="18"/>
      </w:rPr>
      <w:t>—</w:t>
    </w:r>
    <w:r>
      <w:rPr>
        <w:sz w:val="18"/>
      </w:rPr>
      <w:t>環球高收益基金</w:t>
    </w:r>
  </w:p>
  <w:p w:rsidR="004D6F0E" w:rsidRDefault="00490F21">
    <w:pPr>
      <w:spacing w:after="0" w:line="259" w:lineRule="auto"/>
      <w:ind w:left="0" w:firstLine="0"/>
    </w:pPr>
    <w:r>
      <w:rPr>
        <w:rFonts w:ascii="Times New Roman" w:eastAsia="Times New Roman" w:hAnsi="Times New Roman" w:cs="Times New Roman"/>
        <w:sz w:val="24"/>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2" w:line="259" w:lineRule="auto"/>
      <w:ind w:left="0" w:right="93" w:firstLine="0"/>
      <w:jc w:val="right"/>
    </w:pPr>
    <w:r>
      <w:rPr>
        <w:sz w:val="18"/>
      </w:rPr>
      <w:t>聯博－美元收益基金</w:t>
    </w:r>
    <w:r>
      <w:rPr>
        <w:rFonts w:ascii="Arial" w:eastAsia="Arial" w:hAnsi="Arial" w:cs="Arial"/>
        <w:sz w:val="18"/>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2" w:line="259" w:lineRule="auto"/>
      <w:ind w:left="0" w:right="-442" w:firstLine="0"/>
      <w:jc w:val="right"/>
    </w:pPr>
    <w:r>
      <w:rPr>
        <w:sz w:val="18"/>
      </w:rPr>
      <w:t>聯博－美元收益基金</w:t>
    </w:r>
    <w:r>
      <w:rPr>
        <w:rFonts w:ascii="Arial" w:eastAsia="Arial" w:hAnsi="Arial" w:cs="Arial"/>
        <w:sz w:val="18"/>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2" w:line="259" w:lineRule="auto"/>
      <w:ind w:left="0" w:right="-442" w:firstLine="0"/>
      <w:jc w:val="right"/>
    </w:pPr>
    <w:r>
      <w:rPr>
        <w:sz w:val="18"/>
      </w:rPr>
      <w:t>聯博－美元收益基金</w:t>
    </w:r>
    <w:r>
      <w:rPr>
        <w:rFonts w:ascii="Arial" w:eastAsia="Arial" w:hAnsi="Arial" w:cs="Arial"/>
        <w:sz w:val="18"/>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2" w:line="259" w:lineRule="auto"/>
      <w:ind w:left="0" w:right="-442" w:firstLine="0"/>
      <w:jc w:val="right"/>
    </w:pPr>
    <w:r>
      <w:rPr>
        <w:sz w:val="18"/>
      </w:rPr>
      <w:t>聯博－美元收益基金</w:t>
    </w:r>
    <w:r>
      <w:rPr>
        <w:rFonts w:ascii="Arial" w:eastAsia="Arial" w:hAnsi="Arial" w:cs="Arial"/>
        <w:sz w:val="18"/>
      </w:rPr>
      <w:t xml:space="preserve"> </w:t>
    </w:r>
  </w:p>
  <w:p w:rsidR="004D6F0E" w:rsidRDefault="00490F21">
    <w:pPr>
      <w:spacing w:after="0" w:line="259" w:lineRule="auto"/>
      <w:ind w:left="0" w:firstLine="0"/>
    </w:pPr>
    <w:r>
      <w:rPr>
        <w:rFonts w:ascii="Times New Roman" w:eastAsia="Times New Roman" w:hAnsi="Times New Roman" w:cs="Times New Roman"/>
        <w:sz w:val="20"/>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5" w:line="259" w:lineRule="auto"/>
      <w:ind w:left="0" w:right="-59" w:firstLine="0"/>
      <w:jc w:val="right"/>
    </w:pPr>
    <w:r>
      <w:rPr>
        <w:sz w:val="18"/>
      </w:rPr>
      <w:t>聯博－美元收益基金</w:t>
    </w:r>
    <w:r>
      <w:rPr>
        <w:sz w:val="18"/>
      </w:rPr>
      <w:t xml:space="preserve"> </w:t>
    </w:r>
  </w:p>
  <w:p w:rsidR="004D6F0E" w:rsidRDefault="00490F21">
    <w:pPr>
      <w:spacing w:after="0" w:line="259" w:lineRule="auto"/>
      <w:ind w:left="0" w:firstLine="0"/>
    </w:pPr>
    <w:r>
      <w:rPr>
        <w:rFonts w:ascii="Times New Roman" w:eastAsia="Times New Roman" w:hAnsi="Times New Roman" w:cs="Times New Roman"/>
        <w:b/>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5" w:line="259" w:lineRule="auto"/>
      <w:ind w:left="0" w:right="-59" w:firstLine="0"/>
      <w:jc w:val="right"/>
    </w:pPr>
    <w:r>
      <w:rPr>
        <w:sz w:val="18"/>
      </w:rPr>
      <w:t>聯博－美元收益基金</w:t>
    </w:r>
    <w:r>
      <w:rPr>
        <w:sz w:val="18"/>
      </w:rPr>
      <w:t xml:space="preserve"> </w:t>
    </w:r>
  </w:p>
  <w:p w:rsidR="004D6F0E" w:rsidRDefault="00490F21">
    <w:pPr>
      <w:spacing w:after="0" w:line="259" w:lineRule="auto"/>
      <w:ind w:left="0" w:firstLine="0"/>
    </w:pPr>
    <w:r>
      <w:rPr>
        <w:rFonts w:ascii="Times New Roman" w:eastAsia="Times New Roman" w:hAnsi="Times New Roman" w:cs="Times New Roman"/>
        <w:b/>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15" w:line="259" w:lineRule="auto"/>
      <w:ind w:left="0" w:right="-59" w:firstLine="0"/>
      <w:jc w:val="right"/>
    </w:pPr>
    <w:r>
      <w:rPr>
        <w:sz w:val="18"/>
      </w:rPr>
      <w:t>聯博－美元收益基金</w:t>
    </w:r>
    <w:r>
      <w:rPr>
        <w:sz w:val="18"/>
      </w:rPr>
      <w:t xml:space="preserve"> </w:t>
    </w:r>
  </w:p>
  <w:p w:rsidR="004D6F0E" w:rsidRDefault="00490F21">
    <w:pPr>
      <w:spacing w:after="0" w:line="259" w:lineRule="auto"/>
      <w:ind w:left="0" w:firstLine="0"/>
    </w:pPr>
    <w:r>
      <w:rPr>
        <w:rFonts w:ascii="Times New Roman" w:eastAsia="Times New Roman" w:hAnsi="Times New Roman" w:cs="Times New Roman"/>
        <w:b/>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64" w:lineRule="auto"/>
      <w:ind w:left="9468" w:right="105" w:firstLine="0"/>
      <w:jc w:val="right"/>
    </w:pPr>
    <w:r>
      <w:rPr>
        <w:sz w:val="18"/>
      </w:rPr>
      <w:t>聯博</w:t>
    </w:r>
    <w:r>
      <w:rPr>
        <w:rFonts w:ascii="Times New Roman" w:eastAsia="Times New Roman" w:hAnsi="Times New Roman" w:cs="Times New Roman"/>
        <w:sz w:val="18"/>
      </w:rPr>
      <w:t>—</w:t>
    </w:r>
    <w:r>
      <w:rPr>
        <w:sz w:val="18"/>
      </w:rPr>
      <w:t>歐洲收益基金</w:t>
    </w:r>
    <w:r>
      <w:rPr>
        <w:sz w:val="18"/>
      </w:rPr>
      <w:t xml:space="preserve"> </w:t>
    </w:r>
    <w:r>
      <w:rPr>
        <w:rFonts w:ascii="Arial" w:eastAsia="Arial" w:hAnsi="Arial" w:cs="Arial"/>
        <w:sz w:val="20"/>
      </w:rPr>
      <w:t xml:space="preserve">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62" w:lineRule="auto"/>
      <w:ind w:left="9468" w:right="105" w:firstLine="0"/>
      <w:jc w:val="right"/>
    </w:pPr>
    <w:r>
      <w:rPr>
        <w:sz w:val="18"/>
      </w:rPr>
      <w:t>聯博－美元收益基金</w:t>
    </w:r>
    <w:r>
      <w:rPr>
        <w:sz w:val="18"/>
      </w:rPr>
      <w:t xml:space="preserve"> </w:t>
    </w:r>
    <w:r>
      <w:rPr>
        <w:rFonts w:ascii="Arial" w:eastAsia="Arial" w:hAnsi="Arial" w:cs="Arial"/>
        <w:sz w:val="20"/>
      </w:rPr>
      <w:t xml:space="preserve"> </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64" w:lineRule="auto"/>
      <w:ind w:left="9468" w:right="-912" w:firstLine="0"/>
      <w:jc w:val="right"/>
    </w:pPr>
    <w:r>
      <w:rPr>
        <w:sz w:val="18"/>
      </w:rPr>
      <w:t>聯博</w:t>
    </w:r>
    <w:r>
      <w:rPr>
        <w:rFonts w:ascii="Times New Roman" w:eastAsia="Times New Roman" w:hAnsi="Times New Roman" w:cs="Times New Roman"/>
        <w:sz w:val="18"/>
      </w:rPr>
      <w:t>—</w:t>
    </w:r>
    <w:r>
      <w:rPr>
        <w:sz w:val="18"/>
      </w:rPr>
      <w:t>歐洲收益基金</w:t>
    </w:r>
    <w:r>
      <w:rPr>
        <w:sz w:val="18"/>
      </w:rPr>
      <w:t xml:space="preserve"> </w:t>
    </w:r>
    <w:r>
      <w:rPr>
        <w:rFonts w:ascii="Arial" w:eastAsia="Arial" w:hAnsi="Arial" w:cs="Arial"/>
        <w:sz w:val="20"/>
      </w:rPr>
      <w:t xml:space="preserve"> </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64" w:lineRule="auto"/>
      <w:ind w:left="9468" w:right="-912" w:firstLine="0"/>
      <w:jc w:val="right"/>
    </w:pPr>
    <w:r>
      <w:rPr>
        <w:sz w:val="18"/>
      </w:rPr>
      <w:t>聯博</w:t>
    </w:r>
    <w:r>
      <w:rPr>
        <w:rFonts w:ascii="Times New Roman" w:eastAsia="Times New Roman" w:hAnsi="Times New Roman" w:cs="Times New Roman"/>
        <w:sz w:val="18"/>
      </w:rPr>
      <w:t>—</w:t>
    </w:r>
    <w:r>
      <w:rPr>
        <w:sz w:val="18"/>
      </w:rPr>
      <w:t>歐洲收益基金</w:t>
    </w:r>
    <w:r>
      <w:rPr>
        <w:sz w:val="18"/>
      </w:rPr>
      <w:t xml:space="preserve"> </w:t>
    </w:r>
    <w:r>
      <w:rPr>
        <w:rFonts w:ascii="Arial" w:eastAsia="Arial" w:hAnsi="Arial" w:cs="Arial"/>
        <w:sz w:val="20"/>
      </w:rPr>
      <w:t xml:space="preserve"> </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64" w:lineRule="auto"/>
      <w:ind w:left="9468" w:right="-912" w:firstLine="0"/>
      <w:jc w:val="right"/>
    </w:pPr>
    <w:r>
      <w:rPr>
        <w:sz w:val="18"/>
      </w:rPr>
      <w:t>聯博</w:t>
    </w:r>
    <w:r>
      <w:rPr>
        <w:rFonts w:ascii="Times New Roman" w:eastAsia="Times New Roman" w:hAnsi="Times New Roman" w:cs="Times New Roman"/>
        <w:sz w:val="18"/>
      </w:rPr>
      <w:t>—</w:t>
    </w:r>
    <w:r>
      <w:rPr>
        <w:sz w:val="18"/>
      </w:rPr>
      <w:t>歐洲收益基金</w:t>
    </w:r>
    <w:r>
      <w:rPr>
        <w:sz w:val="18"/>
      </w:rPr>
      <w:t xml:space="preserve"> </w:t>
    </w:r>
    <w:r>
      <w:rPr>
        <w:rFonts w:ascii="Arial" w:eastAsia="Arial" w:hAnsi="Arial" w:cs="Arial"/>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0" w:firstLine="0"/>
      <w:jc w:val="right"/>
    </w:pPr>
    <w:r>
      <w:rPr>
        <w:sz w:val="18"/>
      </w:rPr>
      <w:t>聯博</w:t>
    </w:r>
    <w:r>
      <w:rPr>
        <w:sz w:val="18"/>
      </w:rPr>
      <w:t>—</w:t>
    </w:r>
    <w:r>
      <w:rPr>
        <w:sz w:val="18"/>
      </w:rPr>
      <w:t>全方位領航基金</w:t>
    </w:r>
    <w:r>
      <w:rPr>
        <w:sz w:val="18"/>
      </w:rPr>
      <w:t xml:space="preserve"> </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9" w:line="259" w:lineRule="auto"/>
      <w:ind w:left="0" w:right="48" w:firstLine="0"/>
      <w:jc w:val="right"/>
    </w:pPr>
    <w:r>
      <w:rPr>
        <w:sz w:val="18"/>
      </w:rPr>
      <w:t>聯博</w:t>
    </w:r>
    <w:r>
      <w:rPr>
        <w:sz w:val="18"/>
      </w:rPr>
      <w:t>—</w:t>
    </w:r>
    <w:r>
      <w:rPr>
        <w:sz w:val="18"/>
      </w:rPr>
      <w:t>新興市場債券基金</w:t>
    </w:r>
    <w:r>
      <w:rPr>
        <w:sz w:val="18"/>
      </w:rPr>
      <w:t xml:space="preserve"> </w:t>
    </w:r>
  </w:p>
  <w:p w:rsidR="004D6F0E" w:rsidRDefault="00490F21">
    <w:pPr>
      <w:spacing w:after="0" w:line="259" w:lineRule="auto"/>
      <w:ind w:left="0" w:firstLine="0"/>
    </w:pPr>
    <w:r>
      <w:rPr>
        <w:rFonts w:ascii="SimSun" w:eastAsia="SimSun" w:hAnsi="SimSun" w:cs="SimSun"/>
      </w:rPr>
      <w:t xml:space="preserve"> </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9" w:line="259" w:lineRule="auto"/>
      <w:ind w:left="0" w:right="48" w:firstLine="0"/>
      <w:jc w:val="right"/>
    </w:pPr>
    <w:r>
      <w:rPr>
        <w:sz w:val="18"/>
      </w:rPr>
      <w:t>聯博</w:t>
    </w:r>
    <w:r>
      <w:rPr>
        <w:sz w:val="18"/>
      </w:rPr>
      <w:t>—</w:t>
    </w:r>
    <w:r>
      <w:rPr>
        <w:sz w:val="18"/>
      </w:rPr>
      <w:t>新興市場債券基金</w:t>
    </w:r>
    <w:r>
      <w:rPr>
        <w:sz w:val="18"/>
      </w:rPr>
      <w:t xml:space="preserve"> </w:t>
    </w:r>
  </w:p>
  <w:p w:rsidR="004D6F0E" w:rsidRDefault="00490F21">
    <w:pPr>
      <w:spacing w:after="0" w:line="259" w:lineRule="auto"/>
      <w:ind w:left="0" w:firstLine="0"/>
    </w:pPr>
    <w:r>
      <w:rPr>
        <w:rFonts w:ascii="SimSun" w:eastAsia="SimSun" w:hAnsi="SimSun" w:cs="SimSun"/>
      </w:rPr>
      <w:t xml:space="preserve"> </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29" w:line="259" w:lineRule="auto"/>
      <w:ind w:left="0" w:right="48" w:firstLine="0"/>
      <w:jc w:val="right"/>
    </w:pPr>
    <w:r>
      <w:rPr>
        <w:sz w:val="18"/>
      </w:rPr>
      <w:t>聯博</w:t>
    </w:r>
    <w:r>
      <w:rPr>
        <w:sz w:val="18"/>
      </w:rPr>
      <w:t>—</w:t>
    </w:r>
    <w:r>
      <w:rPr>
        <w:sz w:val="18"/>
      </w:rPr>
      <w:t>新興市場債券基金</w:t>
    </w:r>
    <w:r>
      <w:rPr>
        <w:sz w:val="18"/>
      </w:rPr>
      <w:t xml:space="preserve"> </w:t>
    </w:r>
  </w:p>
  <w:p w:rsidR="004D6F0E" w:rsidRDefault="00490F21">
    <w:pPr>
      <w:spacing w:after="0" w:line="259" w:lineRule="auto"/>
      <w:ind w:left="0" w:firstLine="0"/>
    </w:pPr>
    <w:r>
      <w:rPr>
        <w:rFonts w:ascii="SimSun" w:eastAsia="SimSun" w:hAnsi="SimSun" w:cs="SimSun"/>
      </w:rPr>
      <w:t xml:space="preserve"> </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2" w:firstLine="0"/>
      <w:jc w:val="right"/>
    </w:pPr>
    <w:r>
      <w:rPr>
        <w:sz w:val="18"/>
      </w:rPr>
      <w:t>聯博</w:t>
    </w:r>
    <w:r>
      <w:rPr>
        <w:sz w:val="18"/>
      </w:rPr>
      <w:t>—</w:t>
    </w:r>
    <w:r>
      <w:rPr>
        <w:sz w:val="18"/>
      </w:rPr>
      <w:t>新興市場債券基金</w:t>
    </w:r>
    <w:r>
      <w:rPr>
        <w:sz w:val="18"/>
      </w:rPr>
      <w:t xml:space="preserve"> </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82" w:firstLine="0"/>
      <w:jc w:val="right"/>
    </w:pPr>
    <w:r>
      <w:rPr>
        <w:sz w:val="18"/>
      </w:rPr>
      <w:t>聯博</w:t>
    </w:r>
    <w:r>
      <w:rPr>
        <w:sz w:val="18"/>
      </w:rPr>
      <w:t>—</w:t>
    </w:r>
    <w:r>
      <w:rPr>
        <w:sz w:val="18"/>
      </w:rPr>
      <w:t>新興市場債券基金</w:t>
    </w:r>
    <w:r>
      <w:rPr>
        <w:sz w:val="18"/>
      </w:rPr>
      <w:t xml:space="preserve"> </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5" w:firstLine="0"/>
      <w:jc w:val="right"/>
    </w:pPr>
    <w:r>
      <w:rPr>
        <w:sz w:val="18"/>
      </w:rPr>
      <w:t>聯博</w:t>
    </w:r>
    <w:r>
      <w:rPr>
        <w:sz w:val="18"/>
      </w:rPr>
      <w:t>－按揭收益基金</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0" w:firstLine="0"/>
      <w:jc w:val="right"/>
    </w:pPr>
    <w:r>
      <w:rPr>
        <w:sz w:val="18"/>
      </w:rPr>
      <w:t>聯博</w:t>
    </w:r>
    <w:r>
      <w:rPr>
        <w:sz w:val="18"/>
      </w:rPr>
      <w:t>—</w:t>
    </w:r>
    <w:r>
      <w:rPr>
        <w:sz w:val="18"/>
      </w:rPr>
      <w:t>全方位領航基金</w:t>
    </w:r>
    <w:r>
      <w:rPr>
        <w:sz w:val="18"/>
      </w:rPr>
      <w:t xml:space="preserve"> </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45" w:firstLine="0"/>
      <w:jc w:val="right"/>
    </w:pPr>
    <w:r>
      <w:rPr>
        <w:sz w:val="18"/>
      </w:rPr>
      <w:t>聯博</w:t>
    </w:r>
    <w:r>
      <w:rPr>
        <w:sz w:val="18"/>
      </w:rPr>
      <w:t>－按揭收益基金</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24" w:firstLine="0"/>
      <w:jc w:val="right"/>
    </w:pPr>
    <w:r>
      <w:rPr>
        <w:sz w:val="18"/>
      </w:rPr>
      <w:t>聯博</w:t>
    </w:r>
    <w:r>
      <w:rPr>
        <w:sz w:val="18"/>
      </w:rPr>
      <w:t>－按揭收益基金</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224" w:firstLine="0"/>
      <w:jc w:val="right"/>
    </w:pPr>
    <w:r>
      <w:rPr>
        <w:sz w:val="18"/>
      </w:rPr>
      <w:t>聯博</w:t>
    </w:r>
    <w:r>
      <w:rPr>
        <w:sz w:val="18"/>
      </w:rPr>
      <w:t>－按揭收益基金</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firstLine="0"/>
      <w:jc w:val="right"/>
    </w:pPr>
    <w:r>
      <w:rPr>
        <w:sz w:val="18"/>
      </w:rPr>
      <w:t>聯博</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firstLine="0"/>
      <w:jc w:val="right"/>
    </w:pPr>
    <w:r>
      <w:rPr>
        <w:sz w:val="18"/>
      </w:rPr>
      <w:t>聯博</w:t>
    </w:r>
    <w:r>
      <w:rPr>
        <w:rFonts w:ascii="Arial" w:eastAsia="Arial" w:hAnsi="Arial" w:cs="Arial"/>
        <w:sz w:val="20"/>
      </w:rPr>
      <w:t xml:space="preserve"> </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firstLine="0"/>
      <w:jc w:val="right"/>
    </w:pPr>
    <w:r>
      <w:rPr>
        <w:sz w:val="18"/>
      </w:rPr>
      <w:t>聯博</w:t>
    </w:r>
    <w:r>
      <w:rPr>
        <w:rFonts w:ascii="Arial" w:eastAsia="Arial" w:hAnsi="Arial" w:cs="Arial"/>
        <w:sz w:val="20"/>
      </w:rPr>
      <w:t xml:space="preserve"> </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706" w:firstLine="0"/>
      <w:jc w:val="right"/>
    </w:pPr>
    <w:r>
      <w:rPr>
        <w:sz w:val="18"/>
      </w:rPr>
      <w:t>聯博</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706" w:firstLine="0"/>
      <w:jc w:val="right"/>
    </w:pPr>
    <w:r>
      <w:rPr>
        <w:sz w:val="18"/>
      </w:rPr>
      <w:t>聯博</w:t>
    </w:r>
    <w:r>
      <w:rPr>
        <w:rFonts w:ascii="Arial" w:eastAsia="Arial" w:hAnsi="Arial" w:cs="Arial"/>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D6F0E">
    <w:pPr>
      <w:spacing w:after="160" w:line="259" w:lineRule="auto"/>
      <w:ind w:left="0" w:firstLine="0"/>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9706" w:firstLine="0"/>
      <w:jc w:val="right"/>
    </w:pPr>
    <w:r>
      <w:rPr>
        <w:sz w:val="18"/>
      </w:rPr>
      <w:t>聯博</w:t>
    </w:r>
    <w:r>
      <w:rPr>
        <w:rFonts w:ascii="Arial" w:eastAsia="Arial" w:hAnsi="Arial" w:cs="Arial"/>
        <w:sz w:val="20"/>
      </w:rPr>
      <w:t xml:space="preserve"> </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100" w:firstLine="0"/>
      <w:jc w:val="right"/>
    </w:pPr>
    <w:r>
      <w:rPr>
        <w:sz w:val="18"/>
      </w:rPr>
      <w:t>聯博</w: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right"/>
    </w:pPr>
    <w:r>
      <w:rPr>
        <w:sz w:val="18"/>
      </w:rPr>
      <w:t>聯博</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right"/>
    </w:pPr>
    <w:r>
      <w:rPr>
        <w:sz w:val="18"/>
      </w:rPr>
      <w:t>聯博</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5" w:firstLine="0"/>
      <w:jc w:val="right"/>
    </w:pPr>
    <w:r>
      <w:rPr>
        <w:sz w:val="18"/>
      </w:rPr>
      <w:t>聯博</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3" w:firstLine="0"/>
      <w:jc w:val="right"/>
    </w:pPr>
    <w:r>
      <w:rPr>
        <w:sz w:val="18"/>
      </w:rPr>
      <w:t>聯博</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3" w:firstLine="0"/>
      <w:jc w:val="right"/>
    </w:pPr>
    <w:r>
      <w:rPr>
        <w:sz w:val="18"/>
      </w:rPr>
      <w:t>聯博</w: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F0E" w:rsidRDefault="00490F21">
    <w:pPr>
      <w:spacing w:after="0" w:line="259" w:lineRule="auto"/>
      <w:ind w:left="0" w:right="53" w:firstLine="0"/>
      <w:jc w:val="right"/>
    </w:pPr>
    <w:r>
      <w:rPr>
        <w:sz w:val="18"/>
      </w:rPr>
      <w:t>聯博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4BC"/>
    <w:multiLevelType w:val="hybridMultilevel"/>
    <w:tmpl w:val="5700F8F4"/>
    <w:lvl w:ilvl="0" w:tplc="6834F684">
      <w:start w:val="1"/>
      <w:numFmt w:val="lowerRoman"/>
      <w:lvlText w:val="(%1)"/>
      <w:lvlJc w:val="left"/>
      <w:pPr>
        <w:ind w:left="54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838CBCC">
      <w:start w:val="1"/>
      <w:numFmt w:val="lowerLetter"/>
      <w:lvlText w:val="%2"/>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6B0C6DA">
      <w:start w:val="1"/>
      <w:numFmt w:val="lowerRoman"/>
      <w:lvlText w:val="%3"/>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4ABA2F84">
      <w:start w:val="1"/>
      <w:numFmt w:val="decimal"/>
      <w:lvlText w:val="%4"/>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2D245A8">
      <w:start w:val="1"/>
      <w:numFmt w:val="lowerLetter"/>
      <w:lvlText w:val="%5"/>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CB88612">
      <w:start w:val="1"/>
      <w:numFmt w:val="lowerRoman"/>
      <w:lvlText w:val="%6"/>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4448520">
      <w:start w:val="1"/>
      <w:numFmt w:val="decimal"/>
      <w:lvlText w:val="%7"/>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53A76F4">
      <w:start w:val="1"/>
      <w:numFmt w:val="lowerLetter"/>
      <w:lvlText w:val="%8"/>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A68346C">
      <w:start w:val="1"/>
      <w:numFmt w:val="lowerRoman"/>
      <w:lvlText w:val="%9"/>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14022FF"/>
    <w:multiLevelType w:val="hybridMultilevel"/>
    <w:tmpl w:val="77404F7E"/>
    <w:lvl w:ilvl="0" w:tplc="20EA002C">
      <w:start w:val="1"/>
      <w:numFmt w:val="lowerRoman"/>
      <w:lvlText w:val="(%1)"/>
      <w:lvlJc w:val="left"/>
      <w:pPr>
        <w:ind w:left="4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0F84120">
      <w:start w:val="1"/>
      <w:numFmt w:val="lowerLetter"/>
      <w:lvlText w:val="%2"/>
      <w:lvlJc w:val="left"/>
      <w:pPr>
        <w:ind w:left="10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D5A439E">
      <w:start w:val="1"/>
      <w:numFmt w:val="lowerRoman"/>
      <w:lvlText w:val="%3"/>
      <w:lvlJc w:val="left"/>
      <w:pPr>
        <w:ind w:left="18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A7CA8B4">
      <w:start w:val="1"/>
      <w:numFmt w:val="decimal"/>
      <w:lvlText w:val="%4"/>
      <w:lvlJc w:val="left"/>
      <w:pPr>
        <w:ind w:left="25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69EA738">
      <w:start w:val="1"/>
      <w:numFmt w:val="lowerLetter"/>
      <w:lvlText w:val="%5"/>
      <w:lvlJc w:val="left"/>
      <w:pPr>
        <w:ind w:left="32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4C6FEC4">
      <w:start w:val="1"/>
      <w:numFmt w:val="lowerRoman"/>
      <w:lvlText w:val="%6"/>
      <w:lvlJc w:val="left"/>
      <w:pPr>
        <w:ind w:left="39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A345FA2">
      <w:start w:val="1"/>
      <w:numFmt w:val="decimal"/>
      <w:lvlText w:val="%7"/>
      <w:lvlJc w:val="left"/>
      <w:pPr>
        <w:ind w:left="46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792E376">
      <w:start w:val="1"/>
      <w:numFmt w:val="lowerLetter"/>
      <w:lvlText w:val="%8"/>
      <w:lvlJc w:val="left"/>
      <w:pPr>
        <w:ind w:left="54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6028690">
      <w:start w:val="1"/>
      <w:numFmt w:val="lowerRoman"/>
      <w:lvlText w:val="%9"/>
      <w:lvlJc w:val="left"/>
      <w:pPr>
        <w:ind w:left="61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1D86D6E"/>
    <w:multiLevelType w:val="hybridMultilevel"/>
    <w:tmpl w:val="CA7E0086"/>
    <w:lvl w:ilvl="0" w:tplc="927E7F7E">
      <w:start w:val="10"/>
      <w:numFmt w:val="decimal"/>
      <w:lvlText w:val="(%1)"/>
      <w:lvlJc w:val="left"/>
      <w:pPr>
        <w:ind w:left="36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55A4836">
      <w:start w:val="1"/>
      <w:numFmt w:val="decimal"/>
      <w:lvlText w:val="%2."/>
      <w:lvlJc w:val="left"/>
      <w:pPr>
        <w:ind w:left="96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B9EA21C">
      <w:start w:val="1"/>
      <w:numFmt w:val="lowerRoman"/>
      <w:lvlText w:val="%3"/>
      <w:lvlJc w:val="left"/>
      <w:pPr>
        <w:ind w:left="14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60CB432">
      <w:start w:val="1"/>
      <w:numFmt w:val="decimal"/>
      <w:lvlText w:val="%4"/>
      <w:lvlJc w:val="left"/>
      <w:pPr>
        <w:ind w:left="21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6562D7A">
      <w:start w:val="1"/>
      <w:numFmt w:val="lowerLetter"/>
      <w:lvlText w:val="%5"/>
      <w:lvlJc w:val="left"/>
      <w:pPr>
        <w:ind w:left="29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8C6AC18">
      <w:start w:val="1"/>
      <w:numFmt w:val="lowerRoman"/>
      <w:lvlText w:val="%6"/>
      <w:lvlJc w:val="left"/>
      <w:pPr>
        <w:ind w:left="36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BB02D74C">
      <w:start w:val="1"/>
      <w:numFmt w:val="decimal"/>
      <w:lvlText w:val="%7"/>
      <w:lvlJc w:val="left"/>
      <w:pPr>
        <w:ind w:left="43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AB48C6E">
      <w:start w:val="1"/>
      <w:numFmt w:val="lowerLetter"/>
      <w:lvlText w:val="%8"/>
      <w:lvlJc w:val="left"/>
      <w:pPr>
        <w:ind w:left="50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4B4A0AE">
      <w:start w:val="1"/>
      <w:numFmt w:val="lowerRoman"/>
      <w:lvlText w:val="%9"/>
      <w:lvlJc w:val="left"/>
      <w:pPr>
        <w:ind w:left="57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2135140"/>
    <w:multiLevelType w:val="hybridMultilevel"/>
    <w:tmpl w:val="A052E142"/>
    <w:lvl w:ilvl="0" w:tplc="4B3C971C">
      <w:start w:val="1"/>
      <w:numFmt w:val="decimal"/>
      <w:lvlText w:val="%1"/>
      <w:lvlJc w:val="left"/>
      <w:pPr>
        <w:ind w:left="3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8FCD7F0">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904EA6AA">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36826F38">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35A0492">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9616500C">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515A55A4">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BB8AA68">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A0DD6E">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2EF2CB5"/>
    <w:multiLevelType w:val="hybridMultilevel"/>
    <w:tmpl w:val="B3240498"/>
    <w:lvl w:ilvl="0" w:tplc="AB4637E2">
      <w:start w:val="1"/>
      <w:numFmt w:val="lowerLetter"/>
      <w:lvlText w:val="(%1)"/>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DDCC474">
      <w:start w:val="1"/>
      <w:numFmt w:val="decimal"/>
      <w:lvlText w:val="(%2)"/>
      <w:lvlJc w:val="left"/>
      <w:pPr>
        <w:ind w:left="68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FFE9BF0">
      <w:start w:val="1"/>
      <w:numFmt w:val="lowerRoman"/>
      <w:lvlText w:val="%3"/>
      <w:lvlJc w:val="left"/>
      <w:pPr>
        <w:ind w:left="72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AD01A68">
      <w:start w:val="1"/>
      <w:numFmt w:val="decimal"/>
      <w:lvlText w:val="%4"/>
      <w:lvlJc w:val="left"/>
      <w:pPr>
        <w:ind w:left="79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894BC4A">
      <w:start w:val="1"/>
      <w:numFmt w:val="lowerLetter"/>
      <w:lvlText w:val="%5"/>
      <w:lvlJc w:val="left"/>
      <w:pPr>
        <w:ind w:left="86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67CFE82">
      <w:start w:val="1"/>
      <w:numFmt w:val="lowerRoman"/>
      <w:lvlText w:val="%6"/>
      <w:lvlJc w:val="left"/>
      <w:pPr>
        <w:ind w:left="9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F64BF38">
      <w:start w:val="1"/>
      <w:numFmt w:val="decimal"/>
      <w:lvlText w:val="%7"/>
      <w:lvlJc w:val="left"/>
      <w:pPr>
        <w:ind w:left="10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ABC9D2C">
      <w:start w:val="1"/>
      <w:numFmt w:val="lowerLetter"/>
      <w:lvlText w:val="%8"/>
      <w:lvlJc w:val="left"/>
      <w:pPr>
        <w:ind w:left="10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B2845C2">
      <w:start w:val="1"/>
      <w:numFmt w:val="lowerRoman"/>
      <w:lvlText w:val="%9"/>
      <w:lvlJc w:val="left"/>
      <w:pPr>
        <w:ind w:left="11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07A611F3"/>
    <w:multiLevelType w:val="hybridMultilevel"/>
    <w:tmpl w:val="9014C2E0"/>
    <w:lvl w:ilvl="0" w:tplc="B1743380">
      <w:start w:val="1"/>
      <w:numFmt w:val="bullet"/>
      <w:lvlText w:val="-"/>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1961336">
      <w:start w:val="1"/>
      <w:numFmt w:val="bullet"/>
      <w:lvlText w:val="o"/>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4386488">
      <w:start w:val="1"/>
      <w:numFmt w:val="bullet"/>
      <w:lvlText w:val="▪"/>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154403C">
      <w:start w:val="1"/>
      <w:numFmt w:val="bullet"/>
      <w:lvlText w:val="•"/>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A5A96C8">
      <w:start w:val="1"/>
      <w:numFmt w:val="bullet"/>
      <w:lvlText w:val="o"/>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A7C45C2">
      <w:start w:val="1"/>
      <w:numFmt w:val="bullet"/>
      <w:lvlText w:val="▪"/>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B4DCDFB2">
      <w:start w:val="1"/>
      <w:numFmt w:val="bullet"/>
      <w:lvlText w:val="•"/>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5DE81C4">
      <w:start w:val="1"/>
      <w:numFmt w:val="bullet"/>
      <w:lvlText w:val="o"/>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8027800">
      <w:start w:val="1"/>
      <w:numFmt w:val="bullet"/>
      <w:lvlText w:val="▪"/>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08305CB4"/>
    <w:multiLevelType w:val="hybridMultilevel"/>
    <w:tmpl w:val="7916E368"/>
    <w:lvl w:ilvl="0" w:tplc="CA12D0B4">
      <w:start w:val="1"/>
      <w:numFmt w:val="decimal"/>
      <w:lvlText w:val="%1"/>
      <w:lvlJc w:val="left"/>
      <w:pPr>
        <w:ind w:left="28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098B92E">
      <w:start w:val="1"/>
      <w:numFmt w:val="lowerLetter"/>
      <w:lvlText w:val="%2"/>
      <w:lvlJc w:val="left"/>
      <w:pPr>
        <w:ind w:left="10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352BD58">
      <w:start w:val="1"/>
      <w:numFmt w:val="lowerRoman"/>
      <w:lvlText w:val="%3"/>
      <w:lvlJc w:val="left"/>
      <w:pPr>
        <w:ind w:left="1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496ACCA2">
      <w:start w:val="1"/>
      <w:numFmt w:val="decimal"/>
      <w:lvlText w:val="%4"/>
      <w:lvlJc w:val="left"/>
      <w:pPr>
        <w:ind w:left="25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1982A8C">
      <w:start w:val="1"/>
      <w:numFmt w:val="lowerLetter"/>
      <w:lvlText w:val="%5"/>
      <w:lvlJc w:val="left"/>
      <w:pPr>
        <w:ind w:left="32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57E8010">
      <w:start w:val="1"/>
      <w:numFmt w:val="lowerRoman"/>
      <w:lvlText w:val="%6"/>
      <w:lvlJc w:val="left"/>
      <w:pPr>
        <w:ind w:left="39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51268EE2">
      <w:start w:val="1"/>
      <w:numFmt w:val="decimal"/>
      <w:lvlText w:val="%7"/>
      <w:lvlJc w:val="left"/>
      <w:pPr>
        <w:ind w:left="46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42D5D2">
      <w:start w:val="1"/>
      <w:numFmt w:val="lowerLetter"/>
      <w:lvlText w:val="%8"/>
      <w:lvlJc w:val="left"/>
      <w:pPr>
        <w:ind w:left="54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5BEC0A2">
      <w:start w:val="1"/>
      <w:numFmt w:val="lowerRoman"/>
      <w:lvlText w:val="%9"/>
      <w:lvlJc w:val="left"/>
      <w:pPr>
        <w:ind w:left="61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08E9052C"/>
    <w:multiLevelType w:val="hybridMultilevel"/>
    <w:tmpl w:val="53822990"/>
    <w:lvl w:ilvl="0" w:tplc="01DA89C8">
      <w:start w:val="1"/>
      <w:numFmt w:val="decimal"/>
      <w:lvlText w:val="%1"/>
      <w:lvlJc w:val="left"/>
      <w:pPr>
        <w:ind w:left="5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EEF612">
      <w:start w:val="1"/>
      <w:numFmt w:val="lowerLetter"/>
      <w:lvlText w:val="%2"/>
      <w:lvlJc w:val="left"/>
      <w:pPr>
        <w:ind w:left="12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9D5EAD7A">
      <w:start w:val="1"/>
      <w:numFmt w:val="lowerRoman"/>
      <w:lvlText w:val="%3"/>
      <w:lvlJc w:val="left"/>
      <w:pPr>
        <w:ind w:left="20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C8EEF384">
      <w:start w:val="1"/>
      <w:numFmt w:val="decimal"/>
      <w:lvlText w:val="%4"/>
      <w:lvlJc w:val="left"/>
      <w:pPr>
        <w:ind w:left="2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2A810FC">
      <w:start w:val="1"/>
      <w:numFmt w:val="lowerLetter"/>
      <w:lvlText w:val="%5"/>
      <w:lvlJc w:val="left"/>
      <w:pPr>
        <w:ind w:left="345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84806E">
      <w:start w:val="1"/>
      <w:numFmt w:val="lowerRoman"/>
      <w:lvlText w:val="%6"/>
      <w:lvlJc w:val="left"/>
      <w:pPr>
        <w:ind w:left="41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6A0CAA20">
      <w:start w:val="1"/>
      <w:numFmt w:val="decimal"/>
      <w:lvlText w:val="%7"/>
      <w:lvlJc w:val="left"/>
      <w:pPr>
        <w:ind w:left="48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C927076">
      <w:start w:val="1"/>
      <w:numFmt w:val="lowerLetter"/>
      <w:lvlText w:val="%8"/>
      <w:lvlJc w:val="left"/>
      <w:pPr>
        <w:ind w:left="56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0FCB346">
      <w:start w:val="1"/>
      <w:numFmt w:val="lowerRoman"/>
      <w:lvlText w:val="%9"/>
      <w:lvlJc w:val="left"/>
      <w:pPr>
        <w:ind w:left="63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09BD501A"/>
    <w:multiLevelType w:val="hybridMultilevel"/>
    <w:tmpl w:val="6FF69264"/>
    <w:lvl w:ilvl="0" w:tplc="B094B9D8">
      <w:start w:val="2"/>
      <w:numFmt w:val="lowerRoman"/>
      <w:lvlText w:val="(%1)"/>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22EB332">
      <w:start w:val="1"/>
      <w:numFmt w:val="lowerLetter"/>
      <w:lvlText w:val="%2"/>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8FC7FDA">
      <w:start w:val="1"/>
      <w:numFmt w:val="lowerRoman"/>
      <w:lvlText w:val="%3"/>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C6263AE">
      <w:start w:val="1"/>
      <w:numFmt w:val="decimal"/>
      <w:lvlText w:val="%4"/>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8A80ACE">
      <w:start w:val="1"/>
      <w:numFmt w:val="lowerLetter"/>
      <w:lvlText w:val="%5"/>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A84A8EC">
      <w:start w:val="1"/>
      <w:numFmt w:val="lowerRoman"/>
      <w:lvlText w:val="%6"/>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0BEE0D08">
      <w:start w:val="1"/>
      <w:numFmt w:val="decimal"/>
      <w:lvlText w:val="%7"/>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9129916">
      <w:start w:val="1"/>
      <w:numFmt w:val="lowerLetter"/>
      <w:lvlText w:val="%8"/>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CD24CF8">
      <w:start w:val="1"/>
      <w:numFmt w:val="lowerRoman"/>
      <w:lvlText w:val="%9"/>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0E742A98"/>
    <w:multiLevelType w:val="hybridMultilevel"/>
    <w:tmpl w:val="96469EF0"/>
    <w:lvl w:ilvl="0" w:tplc="E974B6EA">
      <w:start w:val="1"/>
      <w:numFmt w:val="bullet"/>
      <w:lvlText w:val="•"/>
      <w:lvlJc w:val="left"/>
      <w:pPr>
        <w:ind w:left="44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4E05FCC">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A0042ECA">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4586752A">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AFCABA0">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AF722A2A">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EDC2D274">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33AB8AE">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A2C29778">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0F8220F3"/>
    <w:multiLevelType w:val="hybridMultilevel"/>
    <w:tmpl w:val="90BAB2C2"/>
    <w:lvl w:ilvl="0" w:tplc="699E450A">
      <w:start w:val="1"/>
      <w:numFmt w:val="bullet"/>
      <w:lvlText w:val="-"/>
      <w:lvlJc w:val="left"/>
      <w:pPr>
        <w:ind w:left="7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DD4CA6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BC06F5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380F9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6DA058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3D6B5A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49679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0F823F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45251A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40E171B"/>
    <w:multiLevelType w:val="hybridMultilevel"/>
    <w:tmpl w:val="43E05662"/>
    <w:lvl w:ilvl="0" w:tplc="3F10BA5A">
      <w:start w:val="1"/>
      <w:numFmt w:val="bullet"/>
      <w:lvlText w:val="-"/>
      <w:lvlJc w:val="left"/>
      <w:pPr>
        <w:ind w:left="54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53098B4">
      <w:start w:val="1"/>
      <w:numFmt w:val="bullet"/>
      <w:lvlText w:val="o"/>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AE8E386">
      <w:start w:val="1"/>
      <w:numFmt w:val="bullet"/>
      <w:lvlText w:val="▪"/>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DBE61AA">
      <w:start w:val="1"/>
      <w:numFmt w:val="bullet"/>
      <w:lvlText w:val="•"/>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54E425A">
      <w:start w:val="1"/>
      <w:numFmt w:val="bullet"/>
      <w:lvlText w:val="o"/>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172AA66">
      <w:start w:val="1"/>
      <w:numFmt w:val="bullet"/>
      <w:lvlText w:val="▪"/>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D244B80">
      <w:start w:val="1"/>
      <w:numFmt w:val="bullet"/>
      <w:lvlText w:val="•"/>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BD03D7E">
      <w:start w:val="1"/>
      <w:numFmt w:val="bullet"/>
      <w:lvlText w:val="o"/>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846027E">
      <w:start w:val="1"/>
      <w:numFmt w:val="bullet"/>
      <w:lvlText w:val="▪"/>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144B381F"/>
    <w:multiLevelType w:val="hybridMultilevel"/>
    <w:tmpl w:val="6FBAD644"/>
    <w:lvl w:ilvl="0" w:tplc="90D6F19E">
      <w:start w:val="1"/>
      <w:numFmt w:val="upperLetter"/>
      <w:lvlText w:val="%1"/>
      <w:lvlJc w:val="left"/>
      <w:pPr>
        <w:ind w:left="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487480">
      <w:start w:val="1"/>
      <w:numFmt w:val="lowerLetter"/>
      <w:lvlText w:val="%2"/>
      <w:lvlJc w:val="left"/>
      <w:pPr>
        <w:ind w:left="1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0F6C0">
      <w:start w:val="1"/>
      <w:numFmt w:val="lowerRoman"/>
      <w:lvlText w:val="%3"/>
      <w:lvlJc w:val="left"/>
      <w:pPr>
        <w:ind w:left="2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188D28">
      <w:start w:val="1"/>
      <w:numFmt w:val="decimal"/>
      <w:lvlText w:val="%4"/>
      <w:lvlJc w:val="left"/>
      <w:pPr>
        <w:ind w:left="2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08D2B0">
      <w:start w:val="1"/>
      <w:numFmt w:val="lowerLetter"/>
      <w:lvlText w:val="%5"/>
      <w:lvlJc w:val="left"/>
      <w:pPr>
        <w:ind w:left="35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4C4EE2">
      <w:start w:val="1"/>
      <w:numFmt w:val="lowerRoman"/>
      <w:lvlText w:val="%6"/>
      <w:lvlJc w:val="left"/>
      <w:pPr>
        <w:ind w:left="4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2F73A">
      <w:start w:val="1"/>
      <w:numFmt w:val="decimal"/>
      <w:lvlText w:val="%7"/>
      <w:lvlJc w:val="left"/>
      <w:pPr>
        <w:ind w:left="49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A0D508">
      <w:start w:val="1"/>
      <w:numFmt w:val="lowerLetter"/>
      <w:lvlText w:val="%8"/>
      <w:lvlJc w:val="left"/>
      <w:pPr>
        <w:ind w:left="5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92F79A">
      <w:start w:val="1"/>
      <w:numFmt w:val="lowerRoman"/>
      <w:lvlText w:val="%9"/>
      <w:lvlJc w:val="left"/>
      <w:pPr>
        <w:ind w:left="6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75B3FE4"/>
    <w:multiLevelType w:val="hybridMultilevel"/>
    <w:tmpl w:val="8688A4F2"/>
    <w:lvl w:ilvl="0" w:tplc="8084A694">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6A694C">
      <w:start w:val="1"/>
      <w:numFmt w:val="bullet"/>
      <w:lvlText w:val="o"/>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18C705A">
      <w:start w:val="1"/>
      <w:numFmt w:val="bullet"/>
      <w:lvlText w:val="▪"/>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9F478C2">
      <w:start w:val="1"/>
      <w:numFmt w:val="bullet"/>
      <w:lvlText w:val="•"/>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1AC6E5E">
      <w:start w:val="1"/>
      <w:numFmt w:val="bullet"/>
      <w:lvlText w:val="o"/>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E8C2480">
      <w:start w:val="1"/>
      <w:numFmt w:val="bullet"/>
      <w:lvlText w:val="▪"/>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C3E6C544">
      <w:start w:val="1"/>
      <w:numFmt w:val="bullet"/>
      <w:lvlText w:val="•"/>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28E4FB4">
      <w:start w:val="1"/>
      <w:numFmt w:val="bullet"/>
      <w:lvlText w:val="o"/>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07245832">
      <w:start w:val="1"/>
      <w:numFmt w:val="bullet"/>
      <w:lvlText w:val="▪"/>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177B7B44"/>
    <w:multiLevelType w:val="hybridMultilevel"/>
    <w:tmpl w:val="52561BA0"/>
    <w:lvl w:ilvl="0" w:tplc="2166912A">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8CAAAD0">
      <w:start w:val="1"/>
      <w:numFmt w:val="bullet"/>
      <w:lvlText w:val="o"/>
      <w:lvlJc w:val="left"/>
      <w:pPr>
        <w:ind w:left="14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9278908C">
      <w:start w:val="1"/>
      <w:numFmt w:val="bullet"/>
      <w:lvlText w:val="▪"/>
      <w:lvlJc w:val="left"/>
      <w:pPr>
        <w:ind w:left="21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F6E68C1E">
      <w:start w:val="1"/>
      <w:numFmt w:val="bullet"/>
      <w:lvlText w:val="•"/>
      <w:lvlJc w:val="left"/>
      <w:pPr>
        <w:ind w:left="28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1FC58FC">
      <w:start w:val="1"/>
      <w:numFmt w:val="bullet"/>
      <w:lvlText w:val="o"/>
      <w:lvlJc w:val="left"/>
      <w:pPr>
        <w:ind w:left="35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4EEE8866">
      <w:start w:val="1"/>
      <w:numFmt w:val="bullet"/>
      <w:lvlText w:val="▪"/>
      <w:lvlJc w:val="left"/>
      <w:pPr>
        <w:ind w:left="43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41E42116">
      <w:start w:val="1"/>
      <w:numFmt w:val="bullet"/>
      <w:lvlText w:val="•"/>
      <w:lvlJc w:val="left"/>
      <w:pPr>
        <w:ind w:left="50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2E0B23A">
      <w:start w:val="1"/>
      <w:numFmt w:val="bullet"/>
      <w:lvlText w:val="o"/>
      <w:lvlJc w:val="left"/>
      <w:pPr>
        <w:ind w:left="57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CB6A415A">
      <w:start w:val="1"/>
      <w:numFmt w:val="bullet"/>
      <w:lvlText w:val="▪"/>
      <w:lvlJc w:val="left"/>
      <w:pPr>
        <w:ind w:left="64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199F1AC8"/>
    <w:multiLevelType w:val="hybridMultilevel"/>
    <w:tmpl w:val="3998E9AA"/>
    <w:lvl w:ilvl="0" w:tplc="D23E44B6">
      <w:start w:val="1"/>
      <w:numFmt w:val="bullet"/>
      <w:lvlText w:val="-"/>
      <w:lvlJc w:val="left"/>
      <w:pPr>
        <w:ind w:left="428"/>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1" w:tplc="6930C26C">
      <w:start w:val="1"/>
      <w:numFmt w:val="bullet"/>
      <w:lvlText w:val="o"/>
      <w:lvlJc w:val="left"/>
      <w:pPr>
        <w:ind w:left="122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2" w:tplc="579C7BFE">
      <w:start w:val="1"/>
      <w:numFmt w:val="bullet"/>
      <w:lvlText w:val="▪"/>
      <w:lvlJc w:val="left"/>
      <w:pPr>
        <w:ind w:left="194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3" w:tplc="4B52F66C">
      <w:start w:val="1"/>
      <w:numFmt w:val="bullet"/>
      <w:lvlText w:val="•"/>
      <w:lvlJc w:val="left"/>
      <w:pPr>
        <w:ind w:left="266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4" w:tplc="2826A728">
      <w:start w:val="1"/>
      <w:numFmt w:val="bullet"/>
      <w:lvlText w:val="o"/>
      <w:lvlJc w:val="left"/>
      <w:pPr>
        <w:ind w:left="338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5" w:tplc="52CE415E">
      <w:start w:val="1"/>
      <w:numFmt w:val="bullet"/>
      <w:lvlText w:val="▪"/>
      <w:lvlJc w:val="left"/>
      <w:pPr>
        <w:ind w:left="410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6" w:tplc="2E5841EE">
      <w:start w:val="1"/>
      <w:numFmt w:val="bullet"/>
      <w:lvlText w:val="•"/>
      <w:lvlJc w:val="left"/>
      <w:pPr>
        <w:ind w:left="482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7" w:tplc="C52EEB5C">
      <w:start w:val="1"/>
      <w:numFmt w:val="bullet"/>
      <w:lvlText w:val="o"/>
      <w:lvlJc w:val="left"/>
      <w:pPr>
        <w:ind w:left="554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8" w:tplc="D9F89BFC">
      <w:start w:val="1"/>
      <w:numFmt w:val="bullet"/>
      <w:lvlText w:val="▪"/>
      <w:lvlJc w:val="left"/>
      <w:pPr>
        <w:ind w:left="626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AAD2017"/>
    <w:multiLevelType w:val="hybridMultilevel"/>
    <w:tmpl w:val="B27A8536"/>
    <w:lvl w:ilvl="0" w:tplc="E2603E8E">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2AC2EE">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A3B4B950">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0488F6C">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C4B4AC">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BF3A8AE2">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A56CBB58">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41206F2">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A442500">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1D4C1274"/>
    <w:multiLevelType w:val="hybridMultilevel"/>
    <w:tmpl w:val="53D6953A"/>
    <w:lvl w:ilvl="0" w:tplc="6078598A">
      <w:start w:val="1"/>
      <w:numFmt w:val="bullet"/>
      <w:lvlText w:val="•"/>
      <w:lvlJc w:val="left"/>
      <w:pPr>
        <w:ind w:left="4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9982FCE">
      <w:start w:val="1"/>
      <w:numFmt w:val="bullet"/>
      <w:lvlText w:val="o"/>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30ECFE6">
      <w:start w:val="1"/>
      <w:numFmt w:val="bullet"/>
      <w:lvlText w:val="▪"/>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99AD1E6">
      <w:start w:val="1"/>
      <w:numFmt w:val="bullet"/>
      <w:lvlText w:val="•"/>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ABC1DF0">
      <w:start w:val="1"/>
      <w:numFmt w:val="bullet"/>
      <w:lvlText w:val="o"/>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2328088">
      <w:start w:val="1"/>
      <w:numFmt w:val="bullet"/>
      <w:lvlText w:val="▪"/>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EB69D2A">
      <w:start w:val="1"/>
      <w:numFmt w:val="bullet"/>
      <w:lvlText w:val="•"/>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0D8783E">
      <w:start w:val="1"/>
      <w:numFmt w:val="bullet"/>
      <w:lvlText w:val="o"/>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C6A77B4">
      <w:start w:val="1"/>
      <w:numFmt w:val="bullet"/>
      <w:lvlText w:val="▪"/>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1D533B7E"/>
    <w:multiLevelType w:val="hybridMultilevel"/>
    <w:tmpl w:val="2D487FA8"/>
    <w:lvl w:ilvl="0" w:tplc="DB9EC2E0">
      <w:start w:val="7"/>
      <w:numFmt w:val="decimal"/>
      <w:lvlText w:val="(%1)"/>
      <w:lvlJc w:val="left"/>
      <w:pPr>
        <w:ind w:left="36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4F6936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E520BB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7C872F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7543C6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626590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36CA48C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324DC4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5462FA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22CF2904"/>
    <w:multiLevelType w:val="hybridMultilevel"/>
    <w:tmpl w:val="8C8078E2"/>
    <w:lvl w:ilvl="0" w:tplc="1B167B26">
      <w:start w:val="1"/>
      <w:numFmt w:val="lowerLetter"/>
      <w:lvlText w:val="(%1)"/>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FB04028">
      <w:start w:val="1"/>
      <w:numFmt w:val="lowerLetter"/>
      <w:lvlText w:val="%2"/>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9AC05C8">
      <w:start w:val="1"/>
      <w:numFmt w:val="lowerRoman"/>
      <w:lvlText w:val="%3"/>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DA811D6">
      <w:start w:val="1"/>
      <w:numFmt w:val="decimal"/>
      <w:lvlText w:val="%4"/>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5147046">
      <w:start w:val="1"/>
      <w:numFmt w:val="lowerLetter"/>
      <w:lvlText w:val="%5"/>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8E4FFE4">
      <w:start w:val="1"/>
      <w:numFmt w:val="lowerRoman"/>
      <w:lvlText w:val="%6"/>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D702F24">
      <w:start w:val="1"/>
      <w:numFmt w:val="decimal"/>
      <w:lvlText w:val="%7"/>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C4CDDC0">
      <w:start w:val="1"/>
      <w:numFmt w:val="lowerLetter"/>
      <w:lvlText w:val="%8"/>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AE47572">
      <w:start w:val="1"/>
      <w:numFmt w:val="lowerRoman"/>
      <w:lvlText w:val="%9"/>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232F6F5E"/>
    <w:multiLevelType w:val="hybridMultilevel"/>
    <w:tmpl w:val="50B48960"/>
    <w:lvl w:ilvl="0" w:tplc="C6A42C56">
      <w:start w:val="4"/>
      <w:numFmt w:val="lowerRoman"/>
      <w:lvlText w:val="(%1)"/>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8325A44">
      <w:start w:val="1"/>
      <w:numFmt w:val="lowerLetter"/>
      <w:lvlText w:val="%2"/>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462D6B4">
      <w:start w:val="1"/>
      <w:numFmt w:val="lowerRoman"/>
      <w:lvlText w:val="%3"/>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4CAFF34">
      <w:start w:val="1"/>
      <w:numFmt w:val="decimal"/>
      <w:lvlText w:val="%4"/>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AB88B4A">
      <w:start w:val="1"/>
      <w:numFmt w:val="lowerLetter"/>
      <w:lvlText w:val="%5"/>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D8A2DA6">
      <w:start w:val="1"/>
      <w:numFmt w:val="lowerRoman"/>
      <w:lvlText w:val="%6"/>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28C8276">
      <w:start w:val="1"/>
      <w:numFmt w:val="decimal"/>
      <w:lvlText w:val="%7"/>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CFE8722">
      <w:start w:val="1"/>
      <w:numFmt w:val="lowerLetter"/>
      <w:lvlText w:val="%8"/>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953A49E2">
      <w:start w:val="1"/>
      <w:numFmt w:val="lowerRoman"/>
      <w:lvlText w:val="%9"/>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27180584"/>
    <w:multiLevelType w:val="hybridMultilevel"/>
    <w:tmpl w:val="A3D23B4A"/>
    <w:lvl w:ilvl="0" w:tplc="0F404D7C">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37E4634">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5F0359A">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E0F849E0">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E4196A">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97495BC">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CBC868C">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48FED6">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DD6F6D4">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28F50B52"/>
    <w:multiLevelType w:val="hybridMultilevel"/>
    <w:tmpl w:val="ED2C6502"/>
    <w:lvl w:ilvl="0" w:tplc="7EE6D036">
      <w:start w:val="1"/>
      <w:numFmt w:val="decimal"/>
      <w:lvlText w:val="%1."/>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C525FA6">
      <w:start w:val="1"/>
      <w:numFmt w:val="lowerLetter"/>
      <w:lvlText w:val="%2"/>
      <w:lvlJc w:val="left"/>
      <w:pPr>
        <w:ind w:left="148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032A144">
      <w:start w:val="1"/>
      <w:numFmt w:val="lowerRoman"/>
      <w:lvlText w:val="%3"/>
      <w:lvlJc w:val="left"/>
      <w:pPr>
        <w:ind w:left="220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94E369E">
      <w:start w:val="1"/>
      <w:numFmt w:val="decimal"/>
      <w:lvlText w:val="%4"/>
      <w:lvlJc w:val="left"/>
      <w:pPr>
        <w:ind w:left="292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48E622A">
      <w:start w:val="1"/>
      <w:numFmt w:val="lowerLetter"/>
      <w:lvlText w:val="%5"/>
      <w:lvlJc w:val="left"/>
      <w:pPr>
        <w:ind w:left="364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F3A8F30">
      <w:start w:val="1"/>
      <w:numFmt w:val="lowerRoman"/>
      <w:lvlText w:val="%6"/>
      <w:lvlJc w:val="left"/>
      <w:pPr>
        <w:ind w:left="436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8BAE2FFA">
      <w:start w:val="1"/>
      <w:numFmt w:val="decimal"/>
      <w:lvlText w:val="%7"/>
      <w:lvlJc w:val="left"/>
      <w:pPr>
        <w:ind w:left="508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E32F040">
      <w:start w:val="1"/>
      <w:numFmt w:val="lowerLetter"/>
      <w:lvlText w:val="%8"/>
      <w:lvlJc w:val="left"/>
      <w:pPr>
        <w:ind w:left="580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AEEF886">
      <w:start w:val="1"/>
      <w:numFmt w:val="lowerRoman"/>
      <w:lvlText w:val="%9"/>
      <w:lvlJc w:val="left"/>
      <w:pPr>
        <w:ind w:left="652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293B6EC7"/>
    <w:multiLevelType w:val="hybridMultilevel"/>
    <w:tmpl w:val="3964FE3E"/>
    <w:lvl w:ilvl="0" w:tplc="3C82CE3C">
      <w:start w:val="1"/>
      <w:numFmt w:val="decimal"/>
      <w:lvlText w:val="%1."/>
      <w:lvlJc w:val="left"/>
      <w:pPr>
        <w:ind w:left="2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D0670FA">
      <w:start w:val="1"/>
      <w:numFmt w:val="lowerLetter"/>
      <w:lvlText w:val="%2"/>
      <w:lvlJc w:val="left"/>
      <w:pPr>
        <w:ind w:left="10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3C093B2">
      <w:start w:val="1"/>
      <w:numFmt w:val="lowerRoman"/>
      <w:lvlText w:val="%3"/>
      <w:lvlJc w:val="left"/>
      <w:pPr>
        <w:ind w:left="18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7E6AADE">
      <w:start w:val="1"/>
      <w:numFmt w:val="decimal"/>
      <w:lvlText w:val="%4"/>
      <w:lvlJc w:val="left"/>
      <w:pPr>
        <w:ind w:left="25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5D6C366">
      <w:start w:val="1"/>
      <w:numFmt w:val="lowerLetter"/>
      <w:lvlText w:val="%5"/>
      <w:lvlJc w:val="left"/>
      <w:pPr>
        <w:ind w:left="32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D480CB8">
      <w:start w:val="1"/>
      <w:numFmt w:val="lowerRoman"/>
      <w:lvlText w:val="%6"/>
      <w:lvlJc w:val="left"/>
      <w:pPr>
        <w:ind w:left="39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0BCCFC2">
      <w:start w:val="1"/>
      <w:numFmt w:val="decimal"/>
      <w:lvlText w:val="%7"/>
      <w:lvlJc w:val="left"/>
      <w:pPr>
        <w:ind w:left="46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01EBE60">
      <w:start w:val="1"/>
      <w:numFmt w:val="lowerLetter"/>
      <w:lvlText w:val="%8"/>
      <w:lvlJc w:val="left"/>
      <w:pPr>
        <w:ind w:left="54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2FA6BDC">
      <w:start w:val="1"/>
      <w:numFmt w:val="lowerRoman"/>
      <w:lvlText w:val="%9"/>
      <w:lvlJc w:val="left"/>
      <w:pPr>
        <w:ind w:left="61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2BD6781C"/>
    <w:multiLevelType w:val="hybridMultilevel"/>
    <w:tmpl w:val="4FFCEB50"/>
    <w:lvl w:ilvl="0" w:tplc="066EE30C">
      <w:start w:val="1"/>
      <w:numFmt w:val="lowerLetter"/>
      <w:lvlText w:val="(%1)"/>
      <w:lvlJc w:val="left"/>
      <w:pPr>
        <w:ind w:left="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522C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8086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F4B1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6AF9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ACA924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12808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560C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00F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FD66588"/>
    <w:multiLevelType w:val="hybridMultilevel"/>
    <w:tmpl w:val="9AAE71FA"/>
    <w:lvl w:ilvl="0" w:tplc="1E5E671C">
      <w:start w:val="1"/>
      <w:numFmt w:val="bullet"/>
      <w:lvlText w:val="•"/>
      <w:lvlJc w:val="left"/>
      <w:pPr>
        <w:ind w:left="4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D9CEF18">
      <w:start w:val="1"/>
      <w:numFmt w:val="bullet"/>
      <w:lvlText w:val="o"/>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9ECCB4A">
      <w:start w:val="1"/>
      <w:numFmt w:val="bullet"/>
      <w:lvlText w:val="▪"/>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752F0F2">
      <w:start w:val="1"/>
      <w:numFmt w:val="bullet"/>
      <w:lvlText w:val="•"/>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F509690">
      <w:start w:val="1"/>
      <w:numFmt w:val="bullet"/>
      <w:lvlText w:val="o"/>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83EFAF0">
      <w:start w:val="1"/>
      <w:numFmt w:val="bullet"/>
      <w:lvlText w:val="▪"/>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12C3DEC">
      <w:start w:val="1"/>
      <w:numFmt w:val="bullet"/>
      <w:lvlText w:val="•"/>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AD22586">
      <w:start w:val="1"/>
      <w:numFmt w:val="bullet"/>
      <w:lvlText w:val="o"/>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A0827C4">
      <w:start w:val="1"/>
      <w:numFmt w:val="bullet"/>
      <w:lvlText w:val="▪"/>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31F70092"/>
    <w:multiLevelType w:val="hybridMultilevel"/>
    <w:tmpl w:val="13620688"/>
    <w:lvl w:ilvl="0" w:tplc="ED7E8C3C">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EF2C8">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72839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3EB21E">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D2476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EFDE4">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6C83C8">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C48DEC">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382408">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3311AF4"/>
    <w:multiLevelType w:val="hybridMultilevel"/>
    <w:tmpl w:val="5552A962"/>
    <w:lvl w:ilvl="0" w:tplc="AEA0E14E">
      <w:start w:val="1"/>
      <w:numFmt w:val="decimal"/>
      <w:lvlText w:val="%1."/>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D858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06BE1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00D16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A8282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79C68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67F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0477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50191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34D4779"/>
    <w:multiLevelType w:val="hybridMultilevel"/>
    <w:tmpl w:val="824411DA"/>
    <w:lvl w:ilvl="0" w:tplc="4702958A">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EB0CBAE">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754BD02">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6C87064">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954303C">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D5C6A6C2">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CF5EDF8E">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886419C">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222FED0">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35066A59"/>
    <w:multiLevelType w:val="hybridMultilevel"/>
    <w:tmpl w:val="2B084008"/>
    <w:lvl w:ilvl="0" w:tplc="C4464858">
      <w:start w:val="1"/>
      <w:numFmt w:val="lowerRoman"/>
      <w:lvlText w:val="(%1)"/>
      <w:lvlJc w:val="left"/>
      <w:pPr>
        <w:ind w:left="42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AFE9DCC">
      <w:start w:val="1"/>
      <w:numFmt w:val="lowerLetter"/>
      <w:lvlText w:val="%2"/>
      <w:lvlJc w:val="left"/>
      <w:pPr>
        <w:ind w:left="10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A50E358">
      <w:start w:val="1"/>
      <w:numFmt w:val="lowerRoman"/>
      <w:lvlText w:val="%3"/>
      <w:lvlJc w:val="left"/>
      <w:pPr>
        <w:ind w:left="18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F9AB7EA">
      <w:start w:val="1"/>
      <w:numFmt w:val="decimal"/>
      <w:lvlText w:val="%4"/>
      <w:lvlJc w:val="left"/>
      <w:pPr>
        <w:ind w:left="25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78002CE">
      <w:start w:val="1"/>
      <w:numFmt w:val="lowerLetter"/>
      <w:lvlText w:val="%5"/>
      <w:lvlJc w:val="left"/>
      <w:pPr>
        <w:ind w:left="32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9A8E526">
      <w:start w:val="1"/>
      <w:numFmt w:val="lowerRoman"/>
      <w:lvlText w:val="%6"/>
      <w:lvlJc w:val="left"/>
      <w:pPr>
        <w:ind w:left="39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B700760">
      <w:start w:val="1"/>
      <w:numFmt w:val="decimal"/>
      <w:lvlText w:val="%7"/>
      <w:lvlJc w:val="left"/>
      <w:pPr>
        <w:ind w:left="46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5608F46">
      <w:start w:val="1"/>
      <w:numFmt w:val="lowerLetter"/>
      <w:lvlText w:val="%8"/>
      <w:lvlJc w:val="left"/>
      <w:pPr>
        <w:ind w:left="54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C9C9D5C">
      <w:start w:val="1"/>
      <w:numFmt w:val="lowerRoman"/>
      <w:lvlText w:val="%9"/>
      <w:lvlJc w:val="left"/>
      <w:pPr>
        <w:ind w:left="61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35400CD6"/>
    <w:multiLevelType w:val="hybridMultilevel"/>
    <w:tmpl w:val="6284F4F0"/>
    <w:lvl w:ilvl="0" w:tplc="5C5CC1E8">
      <w:start w:val="1"/>
      <w:numFmt w:val="lowerRoman"/>
      <w:lvlText w:val="(%1)"/>
      <w:lvlJc w:val="left"/>
      <w:pPr>
        <w:ind w:left="568"/>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1" w:tplc="58C88B5C">
      <w:start w:val="1"/>
      <w:numFmt w:val="lowerLetter"/>
      <w:lvlText w:val="%2"/>
      <w:lvlJc w:val="left"/>
      <w:pPr>
        <w:ind w:left="108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2" w:tplc="D81E897E">
      <w:start w:val="1"/>
      <w:numFmt w:val="lowerRoman"/>
      <w:lvlText w:val="%3"/>
      <w:lvlJc w:val="left"/>
      <w:pPr>
        <w:ind w:left="180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3" w:tplc="12080E88">
      <w:start w:val="1"/>
      <w:numFmt w:val="decimal"/>
      <w:lvlText w:val="%4"/>
      <w:lvlJc w:val="left"/>
      <w:pPr>
        <w:ind w:left="252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4" w:tplc="EC86847E">
      <w:start w:val="1"/>
      <w:numFmt w:val="lowerLetter"/>
      <w:lvlText w:val="%5"/>
      <w:lvlJc w:val="left"/>
      <w:pPr>
        <w:ind w:left="324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5" w:tplc="649C1136">
      <w:start w:val="1"/>
      <w:numFmt w:val="lowerRoman"/>
      <w:lvlText w:val="%6"/>
      <w:lvlJc w:val="left"/>
      <w:pPr>
        <w:ind w:left="396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6" w:tplc="BF406DAA">
      <w:start w:val="1"/>
      <w:numFmt w:val="decimal"/>
      <w:lvlText w:val="%7"/>
      <w:lvlJc w:val="left"/>
      <w:pPr>
        <w:ind w:left="468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7" w:tplc="73400184">
      <w:start w:val="1"/>
      <w:numFmt w:val="lowerLetter"/>
      <w:lvlText w:val="%8"/>
      <w:lvlJc w:val="left"/>
      <w:pPr>
        <w:ind w:left="540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lvl w:ilvl="8" w:tplc="7A3E089C">
      <w:start w:val="1"/>
      <w:numFmt w:val="lowerRoman"/>
      <w:lvlText w:val="%9"/>
      <w:lvlJc w:val="left"/>
      <w:pPr>
        <w:ind w:left="6126"/>
      </w:pPr>
      <w:rPr>
        <w:rFonts w:ascii="Arial" w:eastAsia="Arial" w:hAnsi="Arial" w:cs="Arial"/>
        <w:b w:val="0"/>
        <w:i/>
        <w:iCs/>
        <w:strike w:val="0"/>
        <w:dstrike w:val="0"/>
        <w:color w:val="000000"/>
        <w:sz w:val="19"/>
        <w:szCs w:val="19"/>
        <w:u w:val="none" w:color="000000"/>
        <w:bdr w:val="none" w:sz="0" w:space="0" w:color="auto"/>
        <w:shd w:val="clear" w:color="auto" w:fill="auto"/>
        <w:vertAlign w:val="baseline"/>
      </w:rPr>
    </w:lvl>
  </w:abstractNum>
  <w:abstractNum w:abstractNumId="31" w15:restartNumberingAfterBreak="0">
    <w:nsid w:val="371A1572"/>
    <w:multiLevelType w:val="hybridMultilevel"/>
    <w:tmpl w:val="E1065080"/>
    <w:lvl w:ilvl="0" w:tplc="BF06D598">
      <w:start w:val="1"/>
      <w:numFmt w:val="lowerRoman"/>
      <w:lvlText w:val="(%1)"/>
      <w:lvlJc w:val="left"/>
      <w:pPr>
        <w:ind w:left="9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EBE6140">
      <w:start w:val="1"/>
      <w:numFmt w:val="lowerLetter"/>
      <w:lvlText w:val="%2"/>
      <w:lvlJc w:val="left"/>
      <w:pPr>
        <w:ind w:left="150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E3803CA">
      <w:start w:val="1"/>
      <w:numFmt w:val="lowerRoman"/>
      <w:lvlText w:val="%3"/>
      <w:lvlJc w:val="left"/>
      <w:pPr>
        <w:ind w:left="222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22E03BC">
      <w:start w:val="1"/>
      <w:numFmt w:val="decimal"/>
      <w:lvlText w:val="%4"/>
      <w:lvlJc w:val="left"/>
      <w:pPr>
        <w:ind w:left="294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CA29B8C">
      <w:start w:val="1"/>
      <w:numFmt w:val="lowerLetter"/>
      <w:lvlText w:val="%5"/>
      <w:lvlJc w:val="left"/>
      <w:pPr>
        <w:ind w:left="366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D0862E8">
      <w:start w:val="1"/>
      <w:numFmt w:val="lowerRoman"/>
      <w:lvlText w:val="%6"/>
      <w:lvlJc w:val="left"/>
      <w:pPr>
        <w:ind w:left="43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5E40C80">
      <w:start w:val="1"/>
      <w:numFmt w:val="decimal"/>
      <w:lvlText w:val="%7"/>
      <w:lvlJc w:val="left"/>
      <w:pPr>
        <w:ind w:left="510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41A3788">
      <w:start w:val="1"/>
      <w:numFmt w:val="lowerLetter"/>
      <w:lvlText w:val="%8"/>
      <w:lvlJc w:val="left"/>
      <w:pPr>
        <w:ind w:left="582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7BE446E">
      <w:start w:val="1"/>
      <w:numFmt w:val="lowerRoman"/>
      <w:lvlText w:val="%9"/>
      <w:lvlJc w:val="left"/>
      <w:pPr>
        <w:ind w:left="654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3A4A740B"/>
    <w:multiLevelType w:val="hybridMultilevel"/>
    <w:tmpl w:val="3E40AAEC"/>
    <w:lvl w:ilvl="0" w:tplc="893E8112">
      <w:start w:val="1"/>
      <w:numFmt w:val="upperLetter"/>
      <w:lvlText w:val="%1"/>
      <w:lvlJc w:val="left"/>
      <w:pPr>
        <w:ind w:left="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F431C0">
      <w:start w:val="1"/>
      <w:numFmt w:val="lowerLetter"/>
      <w:lvlText w:val="%2"/>
      <w:lvlJc w:val="left"/>
      <w:pPr>
        <w:ind w:left="1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72B2CA">
      <w:start w:val="1"/>
      <w:numFmt w:val="lowerRoman"/>
      <w:lvlText w:val="%3"/>
      <w:lvlJc w:val="left"/>
      <w:pPr>
        <w:ind w:left="2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CEEF72">
      <w:start w:val="1"/>
      <w:numFmt w:val="decimal"/>
      <w:lvlText w:val="%4"/>
      <w:lvlJc w:val="left"/>
      <w:pPr>
        <w:ind w:left="2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6E0F6A">
      <w:start w:val="1"/>
      <w:numFmt w:val="lowerLetter"/>
      <w:lvlText w:val="%5"/>
      <w:lvlJc w:val="left"/>
      <w:pPr>
        <w:ind w:left="35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0449BEA">
      <w:start w:val="1"/>
      <w:numFmt w:val="lowerRoman"/>
      <w:lvlText w:val="%6"/>
      <w:lvlJc w:val="left"/>
      <w:pPr>
        <w:ind w:left="4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2074A4">
      <w:start w:val="1"/>
      <w:numFmt w:val="decimal"/>
      <w:lvlText w:val="%7"/>
      <w:lvlJc w:val="left"/>
      <w:pPr>
        <w:ind w:left="49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E66364">
      <w:start w:val="1"/>
      <w:numFmt w:val="lowerLetter"/>
      <w:lvlText w:val="%8"/>
      <w:lvlJc w:val="left"/>
      <w:pPr>
        <w:ind w:left="5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B88EF62">
      <w:start w:val="1"/>
      <w:numFmt w:val="lowerRoman"/>
      <w:lvlText w:val="%9"/>
      <w:lvlJc w:val="left"/>
      <w:pPr>
        <w:ind w:left="6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B044F0B"/>
    <w:multiLevelType w:val="hybridMultilevel"/>
    <w:tmpl w:val="4566E23E"/>
    <w:lvl w:ilvl="0" w:tplc="00982674">
      <w:start w:val="1"/>
      <w:numFmt w:val="lowerLetter"/>
      <w:lvlText w:val="(%1)"/>
      <w:lvlJc w:val="left"/>
      <w:pPr>
        <w:ind w:left="43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91C064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8606F4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B84910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406CF5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7622FF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077448E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FD4B81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248FF62">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4" w15:restartNumberingAfterBreak="0">
    <w:nsid w:val="3E2C609F"/>
    <w:multiLevelType w:val="hybridMultilevel"/>
    <w:tmpl w:val="DB40E544"/>
    <w:lvl w:ilvl="0" w:tplc="EEA016C2">
      <w:start w:val="1"/>
      <w:numFmt w:val="decimal"/>
      <w:lvlText w:val="%1."/>
      <w:lvlJc w:val="left"/>
      <w:pPr>
        <w:ind w:left="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ECC368">
      <w:start w:val="1"/>
      <w:numFmt w:val="lowerLetter"/>
      <w:lvlText w:val="%2"/>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BAE96A">
      <w:start w:val="1"/>
      <w:numFmt w:val="lowerRoman"/>
      <w:lvlText w:val="%3"/>
      <w:lvlJc w:val="left"/>
      <w:pPr>
        <w:ind w:left="1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00B0F2">
      <w:start w:val="1"/>
      <w:numFmt w:val="decimal"/>
      <w:lvlText w:val="%4"/>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584822">
      <w:start w:val="1"/>
      <w:numFmt w:val="lowerLetter"/>
      <w:lvlText w:val="%5"/>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5AF232">
      <w:start w:val="1"/>
      <w:numFmt w:val="lowerRoman"/>
      <w:lvlText w:val="%6"/>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E87550">
      <w:start w:val="1"/>
      <w:numFmt w:val="decimal"/>
      <w:lvlText w:val="%7"/>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4B10E">
      <w:start w:val="1"/>
      <w:numFmt w:val="lowerLetter"/>
      <w:lvlText w:val="%8"/>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84B802">
      <w:start w:val="1"/>
      <w:numFmt w:val="lowerRoman"/>
      <w:lvlText w:val="%9"/>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F9B58A5"/>
    <w:multiLevelType w:val="hybridMultilevel"/>
    <w:tmpl w:val="029459FC"/>
    <w:lvl w:ilvl="0" w:tplc="7F60EA98">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10996C">
      <w:start w:val="1"/>
      <w:numFmt w:val="lowerLetter"/>
      <w:lvlText w:val="%2"/>
      <w:lvlJc w:val="left"/>
      <w:pPr>
        <w:ind w:left="10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643A6606">
      <w:start w:val="1"/>
      <w:numFmt w:val="lowerRoman"/>
      <w:lvlText w:val="%3"/>
      <w:lvlJc w:val="left"/>
      <w:pPr>
        <w:ind w:left="1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138DCEA">
      <w:start w:val="1"/>
      <w:numFmt w:val="decimal"/>
      <w:lvlText w:val="%4"/>
      <w:lvlJc w:val="left"/>
      <w:pPr>
        <w:ind w:left="25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F70E66A">
      <w:start w:val="1"/>
      <w:numFmt w:val="lowerLetter"/>
      <w:lvlText w:val="%5"/>
      <w:lvlJc w:val="left"/>
      <w:pPr>
        <w:ind w:left="32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1416F83A">
      <w:start w:val="1"/>
      <w:numFmt w:val="lowerRoman"/>
      <w:lvlText w:val="%6"/>
      <w:lvlJc w:val="left"/>
      <w:pPr>
        <w:ind w:left="396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4845D8C">
      <w:start w:val="1"/>
      <w:numFmt w:val="decimal"/>
      <w:lvlText w:val="%7"/>
      <w:lvlJc w:val="left"/>
      <w:pPr>
        <w:ind w:left="46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26AF06">
      <w:start w:val="1"/>
      <w:numFmt w:val="lowerLetter"/>
      <w:lvlText w:val="%8"/>
      <w:lvlJc w:val="left"/>
      <w:pPr>
        <w:ind w:left="54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00C01CFA">
      <w:start w:val="1"/>
      <w:numFmt w:val="lowerRoman"/>
      <w:lvlText w:val="%9"/>
      <w:lvlJc w:val="left"/>
      <w:pPr>
        <w:ind w:left="61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433F7FBA"/>
    <w:multiLevelType w:val="hybridMultilevel"/>
    <w:tmpl w:val="BE4CDF52"/>
    <w:lvl w:ilvl="0" w:tplc="CE7C095C">
      <w:start w:val="1"/>
      <w:numFmt w:val="bullet"/>
      <w:lvlText w:val="-"/>
      <w:lvlJc w:val="left"/>
      <w:pPr>
        <w:ind w:left="36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76AC044">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6269DE0">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7768A68">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146D102">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8D08820">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DF01368">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18ED888">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6A6B6DE">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49B3237B"/>
    <w:multiLevelType w:val="hybridMultilevel"/>
    <w:tmpl w:val="A69EABCA"/>
    <w:lvl w:ilvl="0" w:tplc="0DE09E30">
      <w:start w:val="1"/>
      <w:numFmt w:val="lowerRoman"/>
      <w:lvlText w:val="(%1)"/>
      <w:lvlJc w:val="left"/>
      <w:pPr>
        <w:ind w:left="4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01E511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00E4EE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BD640B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2E2D7E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2FCE2C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6FE235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2C216D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9D0E28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8" w15:restartNumberingAfterBreak="0">
    <w:nsid w:val="4A2830E6"/>
    <w:multiLevelType w:val="hybridMultilevel"/>
    <w:tmpl w:val="302EAA5A"/>
    <w:lvl w:ilvl="0" w:tplc="BC12715A">
      <w:start w:val="1"/>
      <w:numFmt w:val="decimal"/>
      <w:lvlText w:val="%1."/>
      <w:lvlJc w:val="left"/>
      <w:pPr>
        <w:ind w:left="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8B4940E">
      <w:start w:val="1"/>
      <w:numFmt w:val="bullet"/>
      <w:lvlText w:val="•"/>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25CAA38">
      <w:start w:val="1"/>
      <w:numFmt w:val="bullet"/>
      <w:lvlText w:val="▪"/>
      <w:lvlJc w:val="left"/>
      <w:pPr>
        <w:ind w:left="154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AF7CC9BE">
      <w:start w:val="1"/>
      <w:numFmt w:val="bullet"/>
      <w:lvlText w:val="•"/>
      <w:lvlJc w:val="left"/>
      <w:pPr>
        <w:ind w:left="226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ACA0244">
      <w:start w:val="1"/>
      <w:numFmt w:val="bullet"/>
      <w:lvlText w:val="o"/>
      <w:lvlJc w:val="left"/>
      <w:pPr>
        <w:ind w:left="298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3AF4259E">
      <w:start w:val="1"/>
      <w:numFmt w:val="bullet"/>
      <w:lvlText w:val="▪"/>
      <w:lvlJc w:val="left"/>
      <w:pPr>
        <w:ind w:left="370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65ECAC28">
      <w:start w:val="1"/>
      <w:numFmt w:val="bullet"/>
      <w:lvlText w:val="•"/>
      <w:lvlJc w:val="left"/>
      <w:pPr>
        <w:ind w:left="442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DCC304C">
      <w:start w:val="1"/>
      <w:numFmt w:val="bullet"/>
      <w:lvlText w:val="o"/>
      <w:lvlJc w:val="left"/>
      <w:pPr>
        <w:ind w:left="514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3CBC76BE">
      <w:start w:val="1"/>
      <w:numFmt w:val="bullet"/>
      <w:lvlText w:val="▪"/>
      <w:lvlJc w:val="left"/>
      <w:pPr>
        <w:ind w:left="586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39" w15:restartNumberingAfterBreak="0">
    <w:nsid w:val="4B717803"/>
    <w:multiLevelType w:val="hybridMultilevel"/>
    <w:tmpl w:val="BFCA5DF4"/>
    <w:lvl w:ilvl="0" w:tplc="E856B060">
      <w:start w:val="1"/>
      <w:numFmt w:val="decimal"/>
      <w:lvlText w:val="(%1)"/>
      <w:lvlJc w:val="left"/>
      <w:pPr>
        <w:ind w:left="36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6246B64">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7FAAC8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28639C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900E65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4B2559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B947BA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4D4508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A8ED3B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0" w15:restartNumberingAfterBreak="0">
    <w:nsid w:val="4F6E6602"/>
    <w:multiLevelType w:val="hybridMultilevel"/>
    <w:tmpl w:val="534059BE"/>
    <w:lvl w:ilvl="0" w:tplc="564C14DC">
      <w:start w:val="1"/>
      <w:numFmt w:val="bullet"/>
      <w:lvlText w:val="•"/>
      <w:lvlJc w:val="left"/>
      <w:pPr>
        <w:ind w:left="4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2BA35F6">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8514BDEC">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A40848DA">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E6A7708">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03E0E3B2">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46E6B18">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68C26D0">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3EFA884C">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41" w15:restartNumberingAfterBreak="0">
    <w:nsid w:val="4FC50D70"/>
    <w:multiLevelType w:val="hybridMultilevel"/>
    <w:tmpl w:val="69A672C0"/>
    <w:lvl w:ilvl="0" w:tplc="CFC4340A">
      <w:start w:val="1"/>
      <w:numFmt w:val="bullet"/>
      <w:lvlText w:val="-"/>
      <w:lvlJc w:val="left"/>
      <w:pPr>
        <w:ind w:left="428"/>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1" w:tplc="EFB6A1F0">
      <w:start w:val="1"/>
      <w:numFmt w:val="bullet"/>
      <w:lvlText w:val="o"/>
      <w:lvlJc w:val="left"/>
      <w:pPr>
        <w:ind w:left="122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2" w:tplc="045210A4">
      <w:start w:val="1"/>
      <w:numFmt w:val="bullet"/>
      <w:lvlText w:val="▪"/>
      <w:lvlJc w:val="left"/>
      <w:pPr>
        <w:ind w:left="194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3" w:tplc="A10CC536">
      <w:start w:val="1"/>
      <w:numFmt w:val="bullet"/>
      <w:lvlText w:val="•"/>
      <w:lvlJc w:val="left"/>
      <w:pPr>
        <w:ind w:left="266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4" w:tplc="6680C048">
      <w:start w:val="1"/>
      <w:numFmt w:val="bullet"/>
      <w:lvlText w:val="o"/>
      <w:lvlJc w:val="left"/>
      <w:pPr>
        <w:ind w:left="338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5" w:tplc="420AF29E">
      <w:start w:val="1"/>
      <w:numFmt w:val="bullet"/>
      <w:lvlText w:val="▪"/>
      <w:lvlJc w:val="left"/>
      <w:pPr>
        <w:ind w:left="410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6" w:tplc="2D520F78">
      <w:start w:val="1"/>
      <w:numFmt w:val="bullet"/>
      <w:lvlText w:val="•"/>
      <w:lvlJc w:val="left"/>
      <w:pPr>
        <w:ind w:left="482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7" w:tplc="B25AD00A">
      <w:start w:val="1"/>
      <w:numFmt w:val="bullet"/>
      <w:lvlText w:val="o"/>
      <w:lvlJc w:val="left"/>
      <w:pPr>
        <w:ind w:left="554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lvl w:ilvl="8" w:tplc="C0E6DBC2">
      <w:start w:val="1"/>
      <w:numFmt w:val="bullet"/>
      <w:lvlText w:val="▪"/>
      <w:lvlJc w:val="left"/>
      <w:pPr>
        <w:ind w:left="6262"/>
      </w:pPr>
      <w:rPr>
        <w:rFonts w:ascii="Lucida Bright" w:eastAsia="Lucida Bright" w:hAnsi="Lucida Bright" w:cs="Lucida Bright"/>
        <w:b w:val="0"/>
        <w:i w:val="0"/>
        <w:strike w:val="0"/>
        <w:dstrike w:val="0"/>
        <w:color w:val="000000"/>
        <w:sz w:val="19"/>
        <w:szCs w:val="19"/>
        <w:u w:val="none" w:color="000000"/>
        <w:bdr w:val="none" w:sz="0" w:space="0" w:color="auto"/>
        <w:shd w:val="clear" w:color="auto" w:fill="auto"/>
        <w:vertAlign w:val="baseline"/>
      </w:rPr>
    </w:lvl>
  </w:abstractNum>
  <w:abstractNum w:abstractNumId="42" w15:restartNumberingAfterBreak="0">
    <w:nsid w:val="519C1258"/>
    <w:multiLevelType w:val="hybridMultilevel"/>
    <w:tmpl w:val="EB04AEBE"/>
    <w:lvl w:ilvl="0" w:tplc="451A7EDA">
      <w:start w:val="2"/>
      <w:numFmt w:val="lowerLetter"/>
      <w:lvlText w:val="(%1)"/>
      <w:lvlJc w:val="left"/>
      <w:pPr>
        <w:ind w:left="3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0340AC0">
      <w:start w:val="1"/>
      <w:numFmt w:val="lowerLetter"/>
      <w:lvlText w:val="%2"/>
      <w:lvlJc w:val="left"/>
      <w:pPr>
        <w:ind w:left="10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950AA9E">
      <w:start w:val="1"/>
      <w:numFmt w:val="lowerRoman"/>
      <w:lvlText w:val="%3"/>
      <w:lvlJc w:val="left"/>
      <w:pPr>
        <w:ind w:left="18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C5C0B24">
      <w:start w:val="1"/>
      <w:numFmt w:val="decimal"/>
      <w:lvlText w:val="%4"/>
      <w:lvlJc w:val="left"/>
      <w:pPr>
        <w:ind w:left="25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3CCB6D2">
      <w:start w:val="1"/>
      <w:numFmt w:val="lowerLetter"/>
      <w:lvlText w:val="%5"/>
      <w:lvlJc w:val="left"/>
      <w:pPr>
        <w:ind w:left="325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BE8DAB8">
      <w:start w:val="1"/>
      <w:numFmt w:val="lowerRoman"/>
      <w:lvlText w:val="%6"/>
      <w:lvlJc w:val="left"/>
      <w:pPr>
        <w:ind w:left="397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AEC98BE">
      <w:start w:val="1"/>
      <w:numFmt w:val="decimal"/>
      <w:lvlText w:val="%7"/>
      <w:lvlJc w:val="left"/>
      <w:pPr>
        <w:ind w:left="46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F1871CE">
      <w:start w:val="1"/>
      <w:numFmt w:val="lowerLetter"/>
      <w:lvlText w:val="%8"/>
      <w:lvlJc w:val="left"/>
      <w:pPr>
        <w:ind w:left="54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C202A62">
      <w:start w:val="1"/>
      <w:numFmt w:val="lowerRoman"/>
      <w:lvlText w:val="%9"/>
      <w:lvlJc w:val="left"/>
      <w:pPr>
        <w:ind w:left="61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3" w15:restartNumberingAfterBreak="0">
    <w:nsid w:val="523928B9"/>
    <w:multiLevelType w:val="hybridMultilevel"/>
    <w:tmpl w:val="DE4C9BA0"/>
    <w:lvl w:ilvl="0" w:tplc="E93AED78">
      <w:start w:val="1"/>
      <w:numFmt w:val="lowerLetter"/>
      <w:lvlText w:val="(%1)"/>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6F08686">
      <w:start w:val="1"/>
      <w:numFmt w:val="lowerLetter"/>
      <w:lvlText w:val="%2"/>
      <w:lvlJc w:val="left"/>
      <w:pPr>
        <w:ind w:left="14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E46AE66">
      <w:start w:val="1"/>
      <w:numFmt w:val="lowerRoman"/>
      <w:lvlText w:val="%3"/>
      <w:lvlJc w:val="left"/>
      <w:pPr>
        <w:ind w:left="21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8C83166">
      <w:start w:val="1"/>
      <w:numFmt w:val="decimal"/>
      <w:lvlText w:val="%4"/>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27631DE">
      <w:start w:val="1"/>
      <w:numFmt w:val="lowerLetter"/>
      <w:lvlText w:val="%5"/>
      <w:lvlJc w:val="left"/>
      <w:pPr>
        <w:ind w:left="36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E309AEE">
      <w:start w:val="1"/>
      <w:numFmt w:val="lowerRoman"/>
      <w:lvlText w:val="%6"/>
      <w:lvlJc w:val="left"/>
      <w:pPr>
        <w:ind w:left="43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0904628C">
      <w:start w:val="1"/>
      <w:numFmt w:val="decimal"/>
      <w:lvlText w:val="%7"/>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80647A2">
      <w:start w:val="1"/>
      <w:numFmt w:val="lowerLetter"/>
      <w:lvlText w:val="%8"/>
      <w:lvlJc w:val="left"/>
      <w:pPr>
        <w:ind w:left="57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578EEC8">
      <w:start w:val="1"/>
      <w:numFmt w:val="lowerRoman"/>
      <w:lvlText w:val="%9"/>
      <w:lvlJc w:val="left"/>
      <w:pPr>
        <w:ind w:left="64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4" w15:restartNumberingAfterBreak="0">
    <w:nsid w:val="53412924"/>
    <w:multiLevelType w:val="hybridMultilevel"/>
    <w:tmpl w:val="FB4656E6"/>
    <w:lvl w:ilvl="0" w:tplc="2CE6E88E">
      <w:start w:val="1"/>
      <w:numFmt w:val="lowerLetter"/>
      <w:lvlText w:val="(%1)"/>
      <w:lvlJc w:val="left"/>
      <w:pPr>
        <w:ind w:left="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B94707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F4C2AE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9A4FF04">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CC86D6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2BEBB8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9E00BE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DD68CD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21A64EA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5" w15:restartNumberingAfterBreak="0">
    <w:nsid w:val="557B21B5"/>
    <w:multiLevelType w:val="hybridMultilevel"/>
    <w:tmpl w:val="BE3239D6"/>
    <w:lvl w:ilvl="0" w:tplc="164005F2">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0109D94">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81EE796">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EB3ACEC6">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CC7A46">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76A2EFE">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10D65DF4">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842E1C6">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0F4AEBA2">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55817AB2"/>
    <w:multiLevelType w:val="hybridMultilevel"/>
    <w:tmpl w:val="B8BC8696"/>
    <w:lvl w:ilvl="0" w:tplc="AAA051D2">
      <w:start w:val="1"/>
      <w:numFmt w:val="bullet"/>
      <w:lvlText w:val="-"/>
      <w:lvlJc w:val="left"/>
      <w:pPr>
        <w:ind w:left="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458EF3A">
      <w:start w:val="1"/>
      <w:numFmt w:val="bullet"/>
      <w:lvlText w:val="o"/>
      <w:lvlJc w:val="left"/>
      <w:pPr>
        <w:ind w:left="10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C6A1EFA">
      <w:start w:val="1"/>
      <w:numFmt w:val="bullet"/>
      <w:lvlText w:val="▪"/>
      <w:lvlJc w:val="left"/>
      <w:pPr>
        <w:ind w:left="18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17AF3FC">
      <w:start w:val="1"/>
      <w:numFmt w:val="bullet"/>
      <w:lvlText w:val="•"/>
      <w:lvlJc w:val="left"/>
      <w:pPr>
        <w:ind w:left="25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6BE32A4">
      <w:start w:val="1"/>
      <w:numFmt w:val="bullet"/>
      <w:lvlText w:val="o"/>
      <w:lvlJc w:val="left"/>
      <w:pPr>
        <w:ind w:left="32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4EA5756">
      <w:start w:val="1"/>
      <w:numFmt w:val="bullet"/>
      <w:lvlText w:val="▪"/>
      <w:lvlJc w:val="left"/>
      <w:pPr>
        <w:ind w:left="39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54C78A0">
      <w:start w:val="1"/>
      <w:numFmt w:val="bullet"/>
      <w:lvlText w:val="•"/>
      <w:lvlJc w:val="left"/>
      <w:pPr>
        <w:ind w:left="46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46AA094">
      <w:start w:val="1"/>
      <w:numFmt w:val="bullet"/>
      <w:lvlText w:val="o"/>
      <w:lvlJc w:val="left"/>
      <w:pPr>
        <w:ind w:left="54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7C88972">
      <w:start w:val="1"/>
      <w:numFmt w:val="bullet"/>
      <w:lvlText w:val="▪"/>
      <w:lvlJc w:val="left"/>
      <w:pPr>
        <w:ind w:left="61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7" w15:restartNumberingAfterBreak="0">
    <w:nsid w:val="560E24FB"/>
    <w:multiLevelType w:val="hybridMultilevel"/>
    <w:tmpl w:val="CD7236E6"/>
    <w:lvl w:ilvl="0" w:tplc="8A36D228">
      <w:start w:val="1"/>
      <w:numFmt w:val="bullet"/>
      <w:lvlText w:val="•"/>
      <w:lvlJc w:val="left"/>
      <w:pPr>
        <w:ind w:left="4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02292A8">
      <w:start w:val="1"/>
      <w:numFmt w:val="bullet"/>
      <w:lvlText w:val="o"/>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4E63F4E">
      <w:start w:val="1"/>
      <w:numFmt w:val="bullet"/>
      <w:lvlText w:val="▪"/>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D321586">
      <w:start w:val="1"/>
      <w:numFmt w:val="bullet"/>
      <w:lvlText w:val="•"/>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3C80BDA">
      <w:start w:val="1"/>
      <w:numFmt w:val="bullet"/>
      <w:lvlText w:val="o"/>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F3A02E4">
      <w:start w:val="1"/>
      <w:numFmt w:val="bullet"/>
      <w:lvlText w:val="▪"/>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268A346">
      <w:start w:val="1"/>
      <w:numFmt w:val="bullet"/>
      <w:lvlText w:val="•"/>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EF80D7C">
      <w:start w:val="1"/>
      <w:numFmt w:val="bullet"/>
      <w:lvlText w:val="o"/>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961E83CA">
      <w:start w:val="1"/>
      <w:numFmt w:val="bullet"/>
      <w:lvlText w:val="▪"/>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56DC037E"/>
    <w:multiLevelType w:val="hybridMultilevel"/>
    <w:tmpl w:val="640459D2"/>
    <w:lvl w:ilvl="0" w:tplc="503440AA">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FCE3CC">
      <w:start w:val="1"/>
      <w:numFmt w:val="lowerLetter"/>
      <w:lvlText w:val="%2"/>
      <w:lvlJc w:val="left"/>
      <w:pPr>
        <w:ind w:left="11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20274DE">
      <w:start w:val="1"/>
      <w:numFmt w:val="lowerRoman"/>
      <w:lvlText w:val="%3"/>
      <w:lvlJc w:val="left"/>
      <w:pPr>
        <w:ind w:left="191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6495C6">
      <w:start w:val="1"/>
      <w:numFmt w:val="decimal"/>
      <w:lvlText w:val="%4"/>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79A7B3A">
      <w:start w:val="1"/>
      <w:numFmt w:val="lowerLetter"/>
      <w:lvlText w:val="%5"/>
      <w:lvlJc w:val="left"/>
      <w:pPr>
        <w:ind w:left="335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DCDC964E">
      <w:start w:val="1"/>
      <w:numFmt w:val="lowerRoman"/>
      <w:lvlText w:val="%6"/>
      <w:lvlJc w:val="left"/>
      <w:pPr>
        <w:ind w:left="407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D862AA28">
      <w:start w:val="1"/>
      <w:numFmt w:val="decimal"/>
      <w:lvlText w:val="%7"/>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1C2E494">
      <w:start w:val="1"/>
      <w:numFmt w:val="lowerLetter"/>
      <w:lvlText w:val="%8"/>
      <w:lvlJc w:val="left"/>
      <w:pPr>
        <w:ind w:left="551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E6649F4">
      <w:start w:val="1"/>
      <w:numFmt w:val="lowerRoman"/>
      <w:lvlText w:val="%9"/>
      <w:lvlJc w:val="left"/>
      <w:pPr>
        <w:ind w:left="62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57255C1F"/>
    <w:multiLevelType w:val="hybridMultilevel"/>
    <w:tmpl w:val="99EC8B52"/>
    <w:lvl w:ilvl="0" w:tplc="6A8E62F2">
      <w:start w:val="1"/>
      <w:numFmt w:val="bullet"/>
      <w:lvlText w:val="•"/>
      <w:lvlJc w:val="left"/>
      <w:pPr>
        <w:ind w:left="36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59A351E">
      <w:start w:val="1"/>
      <w:numFmt w:val="bullet"/>
      <w:lvlText w:val="o"/>
      <w:lvlJc w:val="left"/>
      <w:pPr>
        <w:ind w:left="12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4B569B14">
      <w:start w:val="1"/>
      <w:numFmt w:val="bullet"/>
      <w:lvlText w:val="▪"/>
      <w:lvlJc w:val="left"/>
      <w:pPr>
        <w:ind w:left="19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DFA2E81C">
      <w:start w:val="1"/>
      <w:numFmt w:val="bullet"/>
      <w:lvlText w:val="•"/>
      <w:lvlJc w:val="left"/>
      <w:pPr>
        <w:ind w:left="26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22A78D6">
      <w:start w:val="1"/>
      <w:numFmt w:val="bullet"/>
      <w:lvlText w:val="o"/>
      <w:lvlJc w:val="left"/>
      <w:pPr>
        <w:ind w:left="33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0D84B16">
      <w:start w:val="1"/>
      <w:numFmt w:val="bullet"/>
      <w:lvlText w:val="▪"/>
      <w:lvlJc w:val="left"/>
      <w:pPr>
        <w:ind w:left="41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E7122558">
      <w:start w:val="1"/>
      <w:numFmt w:val="bullet"/>
      <w:lvlText w:val="•"/>
      <w:lvlJc w:val="left"/>
      <w:pPr>
        <w:ind w:left="48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A7AD550">
      <w:start w:val="1"/>
      <w:numFmt w:val="bullet"/>
      <w:lvlText w:val="o"/>
      <w:lvlJc w:val="left"/>
      <w:pPr>
        <w:ind w:left="55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DA2C4B82">
      <w:start w:val="1"/>
      <w:numFmt w:val="bullet"/>
      <w:lvlText w:val="▪"/>
      <w:lvlJc w:val="left"/>
      <w:pPr>
        <w:ind w:left="62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0" w15:restartNumberingAfterBreak="0">
    <w:nsid w:val="58592912"/>
    <w:multiLevelType w:val="hybridMultilevel"/>
    <w:tmpl w:val="C6B20D7C"/>
    <w:lvl w:ilvl="0" w:tplc="D0BC4ECA">
      <w:start w:val="1"/>
      <w:numFmt w:val="bullet"/>
      <w:lvlText w:val="•"/>
      <w:lvlJc w:val="left"/>
      <w:pPr>
        <w:ind w:left="35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C764EC4">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35C401A4">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2AA42C7E">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41A2618">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D2B60B6E">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704CCE4">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11CD6DC">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5D0AA408">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1" w15:restartNumberingAfterBreak="0">
    <w:nsid w:val="5A1B0EB6"/>
    <w:multiLevelType w:val="hybridMultilevel"/>
    <w:tmpl w:val="0630BC44"/>
    <w:lvl w:ilvl="0" w:tplc="F81250E0">
      <w:start w:val="2"/>
      <w:numFmt w:val="decimal"/>
      <w:lvlText w:val="%1"/>
      <w:lvlJc w:val="left"/>
      <w:pPr>
        <w:ind w:left="42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560A248">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3076A58C">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F44034E">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784B6E">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227A0FE2">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CAE2EE08">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34C1EFE">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46D4A076">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5AED7298"/>
    <w:multiLevelType w:val="hybridMultilevel"/>
    <w:tmpl w:val="E0B29A6C"/>
    <w:lvl w:ilvl="0" w:tplc="D1F6485C">
      <w:start w:val="1"/>
      <w:numFmt w:val="bullet"/>
      <w:lvlText w:val="-"/>
      <w:lvlJc w:val="left"/>
      <w:pPr>
        <w:ind w:left="7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602B63C">
      <w:start w:val="1"/>
      <w:numFmt w:val="bullet"/>
      <w:lvlText w:val="o"/>
      <w:lvlJc w:val="left"/>
      <w:pPr>
        <w:ind w:left="15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8E49FBC">
      <w:start w:val="1"/>
      <w:numFmt w:val="bullet"/>
      <w:lvlText w:val="▪"/>
      <w:lvlJc w:val="left"/>
      <w:pPr>
        <w:ind w:left="22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59670F4">
      <w:start w:val="1"/>
      <w:numFmt w:val="bullet"/>
      <w:lvlText w:val="•"/>
      <w:lvlJc w:val="left"/>
      <w:pPr>
        <w:ind w:left="298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F3839A2">
      <w:start w:val="1"/>
      <w:numFmt w:val="bullet"/>
      <w:lvlText w:val="o"/>
      <w:lvlJc w:val="left"/>
      <w:pPr>
        <w:ind w:left="370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AC6DFB2">
      <w:start w:val="1"/>
      <w:numFmt w:val="bullet"/>
      <w:lvlText w:val="▪"/>
      <w:lvlJc w:val="left"/>
      <w:pPr>
        <w:ind w:left="442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F5E2E32">
      <w:start w:val="1"/>
      <w:numFmt w:val="bullet"/>
      <w:lvlText w:val="•"/>
      <w:lvlJc w:val="left"/>
      <w:pPr>
        <w:ind w:left="51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F6E5C18">
      <w:start w:val="1"/>
      <w:numFmt w:val="bullet"/>
      <w:lvlText w:val="o"/>
      <w:lvlJc w:val="left"/>
      <w:pPr>
        <w:ind w:left="58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9567E1E">
      <w:start w:val="1"/>
      <w:numFmt w:val="bullet"/>
      <w:lvlText w:val="▪"/>
      <w:lvlJc w:val="left"/>
      <w:pPr>
        <w:ind w:left="658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3" w15:restartNumberingAfterBreak="0">
    <w:nsid w:val="5AFB117D"/>
    <w:multiLevelType w:val="hybridMultilevel"/>
    <w:tmpl w:val="4C76B290"/>
    <w:lvl w:ilvl="0" w:tplc="F3FA40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0E97F4">
      <w:start w:val="1"/>
      <w:numFmt w:val="upperLetter"/>
      <w:lvlText w:val="%2"/>
      <w:lvlJc w:val="left"/>
      <w:pPr>
        <w:ind w:left="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42BA28">
      <w:start w:val="1"/>
      <w:numFmt w:val="lowerRoman"/>
      <w:lvlText w:val="%3"/>
      <w:lvlJc w:val="left"/>
      <w:pPr>
        <w:ind w:left="1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82C9AC">
      <w:start w:val="1"/>
      <w:numFmt w:val="decimal"/>
      <w:lvlText w:val="%4"/>
      <w:lvlJc w:val="left"/>
      <w:pPr>
        <w:ind w:left="2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04F2BE">
      <w:start w:val="1"/>
      <w:numFmt w:val="lowerLetter"/>
      <w:lvlText w:val="%5"/>
      <w:lvlJc w:val="left"/>
      <w:pPr>
        <w:ind w:left="2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E340FC8">
      <w:start w:val="1"/>
      <w:numFmt w:val="lowerRoman"/>
      <w:lvlText w:val="%6"/>
      <w:lvlJc w:val="left"/>
      <w:pPr>
        <w:ind w:left="35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2C63C">
      <w:start w:val="1"/>
      <w:numFmt w:val="decimal"/>
      <w:lvlText w:val="%7"/>
      <w:lvlJc w:val="left"/>
      <w:pPr>
        <w:ind w:left="4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968BA6">
      <w:start w:val="1"/>
      <w:numFmt w:val="lowerLetter"/>
      <w:lvlText w:val="%8"/>
      <w:lvlJc w:val="left"/>
      <w:pPr>
        <w:ind w:left="49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B8F186">
      <w:start w:val="1"/>
      <w:numFmt w:val="lowerRoman"/>
      <w:lvlText w:val="%9"/>
      <w:lvlJc w:val="left"/>
      <w:pPr>
        <w:ind w:left="5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5C1B4AEB"/>
    <w:multiLevelType w:val="hybridMultilevel"/>
    <w:tmpl w:val="CA524E28"/>
    <w:lvl w:ilvl="0" w:tplc="A252926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627690">
      <w:start w:val="1"/>
      <w:numFmt w:val="upperLetter"/>
      <w:lvlText w:val="%2"/>
      <w:lvlJc w:val="left"/>
      <w:pPr>
        <w:ind w:left="6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32A77C6">
      <w:start w:val="1"/>
      <w:numFmt w:val="lowerRoman"/>
      <w:lvlText w:val="%3"/>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C83F38">
      <w:start w:val="1"/>
      <w:numFmt w:val="decimal"/>
      <w:lvlText w:val="%4"/>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28A61C">
      <w:start w:val="1"/>
      <w:numFmt w:val="lowerLetter"/>
      <w:lvlText w:val="%5"/>
      <w:lvlJc w:val="left"/>
      <w:pPr>
        <w:ind w:left="2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CDCF2">
      <w:start w:val="1"/>
      <w:numFmt w:val="lowerRoman"/>
      <w:lvlText w:val="%6"/>
      <w:lvlJc w:val="left"/>
      <w:pPr>
        <w:ind w:left="3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507A2C">
      <w:start w:val="1"/>
      <w:numFmt w:val="decimal"/>
      <w:lvlText w:val="%7"/>
      <w:lvlJc w:val="left"/>
      <w:pPr>
        <w:ind w:left="4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82F0">
      <w:start w:val="1"/>
      <w:numFmt w:val="lowerLetter"/>
      <w:lvlText w:val="%8"/>
      <w:lvlJc w:val="left"/>
      <w:pPr>
        <w:ind w:left="5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544942">
      <w:start w:val="1"/>
      <w:numFmt w:val="lowerRoman"/>
      <w:lvlText w:val="%9"/>
      <w:lvlJc w:val="left"/>
      <w:pPr>
        <w:ind w:left="5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69B0672"/>
    <w:multiLevelType w:val="hybridMultilevel"/>
    <w:tmpl w:val="F574EBD0"/>
    <w:lvl w:ilvl="0" w:tplc="07F46BCC">
      <w:start w:val="1"/>
      <w:numFmt w:val="decimal"/>
      <w:lvlText w:val="%1."/>
      <w:lvlJc w:val="left"/>
      <w:pPr>
        <w:ind w:left="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18A9D4">
      <w:start w:val="1"/>
      <w:numFmt w:val="upperLetter"/>
      <w:lvlText w:val="%2"/>
      <w:lvlJc w:val="left"/>
      <w:pPr>
        <w:ind w:left="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A761E40">
      <w:start w:val="1"/>
      <w:numFmt w:val="lowerRoman"/>
      <w:lvlText w:val="%3"/>
      <w:lvlJc w:val="left"/>
      <w:pPr>
        <w:ind w:left="1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00985C">
      <w:start w:val="1"/>
      <w:numFmt w:val="decimal"/>
      <w:lvlText w:val="%4"/>
      <w:lvlJc w:val="left"/>
      <w:pPr>
        <w:ind w:left="2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E7580">
      <w:start w:val="1"/>
      <w:numFmt w:val="lowerLetter"/>
      <w:lvlText w:val="%5"/>
      <w:lvlJc w:val="left"/>
      <w:pPr>
        <w:ind w:left="2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C47124">
      <w:start w:val="1"/>
      <w:numFmt w:val="lowerRoman"/>
      <w:lvlText w:val="%6"/>
      <w:lvlJc w:val="left"/>
      <w:pPr>
        <w:ind w:left="3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60EF44">
      <w:start w:val="1"/>
      <w:numFmt w:val="decimal"/>
      <w:lvlText w:val="%7"/>
      <w:lvlJc w:val="left"/>
      <w:pPr>
        <w:ind w:left="43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903C6E">
      <w:start w:val="1"/>
      <w:numFmt w:val="lowerLetter"/>
      <w:lvlText w:val="%8"/>
      <w:lvlJc w:val="left"/>
      <w:pPr>
        <w:ind w:left="5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0A77C8">
      <w:start w:val="1"/>
      <w:numFmt w:val="lowerRoman"/>
      <w:lvlText w:val="%9"/>
      <w:lvlJc w:val="left"/>
      <w:pPr>
        <w:ind w:left="5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82C30C5"/>
    <w:multiLevelType w:val="hybridMultilevel"/>
    <w:tmpl w:val="50A41D2C"/>
    <w:lvl w:ilvl="0" w:tplc="A42EF252">
      <w:start w:val="1"/>
      <w:numFmt w:val="lowerLetter"/>
      <w:lvlText w:val="%1)"/>
      <w:lvlJc w:val="left"/>
      <w:pPr>
        <w:ind w:left="28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47C8DD4">
      <w:start w:val="1"/>
      <w:numFmt w:val="lowerLetter"/>
      <w:lvlText w:val="%2"/>
      <w:lvlJc w:val="left"/>
      <w:pPr>
        <w:ind w:left="10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1D02FD2">
      <w:start w:val="1"/>
      <w:numFmt w:val="lowerRoman"/>
      <w:lvlText w:val="%3"/>
      <w:lvlJc w:val="left"/>
      <w:pPr>
        <w:ind w:left="180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B307E94">
      <w:start w:val="1"/>
      <w:numFmt w:val="decimal"/>
      <w:lvlText w:val="%4"/>
      <w:lvlJc w:val="left"/>
      <w:pPr>
        <w:ind w:left="252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2629072">
      <w:start w:val="1"/>
      <w:numFmt w:val="lowerLetter"/>
      <w:lvlText w:val="%5"/>
      <w:lvlJc w:val="left"/>
      <w:pPr>
        <w:ind w:left="324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C2C2082">
      <w:start w:val="1"/>
      <w:numFmt w:val="lowerRoman"/>
      <w:lvlText w:val="%6"/>
      <w:lvlJc w:val="left"/>
      <w:pPr>
        <w:ind w:left="396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5729670">
      <w:start w:val="1"/>
      <w:numFmt w:val="decimal"/>
      <w:lvlText w:val="%7"/>
      <w:lvlJc w:val="left"/>
      <w:pPr>
        <w:ind w:left="46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392B344">
      <w:start w:val="1"/>
      <w:numFmt w:val="lowerLetter"/>
      <w:lvlText w:val="%8"/>
      <w:lvlJc w:val="left"/>
      <w:pPr>
        <w:ind w:left="540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72EC83A">
      <w:start w:val="1"/>
      <w:numFmt w:val="lowerRoman"/>
      <w:lvlText w:val="%9"/>
      <w:lvlJc w:val="left"/>
      <w:pPr>
        <w:ind w:left="612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7" w15:restartNumberingAfterBreak="0">
    <w:nsid w:val="68A137B0"/>
    <w:multiLevelType w:val="hybridMultilevel"/>
    <w:tmpl w:val="2D86DB76"/>
    <w:lvl w:ilvl="0" w:tplc="C16A883A">
      <w:start w:val="1"/>
      <w:numFmt w:val="bullet"/>
      <w:lvlText w:val="-"/>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F6663A2">
      <w:start w:val="1"/>
      <w:numFmt w:val="bullet"/>
      <w:lvlText w:val="o"/>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2D43E7E">
      <w:start w:val="1"/>
      <w:numFmt w:val="bullet"/>
      <w:lvlText w:val="▪"/>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91CDB04">
      <w:start w:val="1"/>
      <w:numFmt w:val="bullet"/>
      <w:lvlText w:val="•"/>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A241BEE">
      <w:start w:val="1"/>
      <w:numFmt w:val="bullet"/>
      <w:lvlText w:val="o"/>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EA09576">
      <w:start w:val="1"/>
      <w:numFmt w:val="bullet"/>
      <w:lvlText w:val="▪"/>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5FA9340">
      <w:start w:val="1"/>
      <w:numFmt w:val="bullet"/>
      <w:lvlText w:val="•"/>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9E85182">
      <w:start w:val="1"/>
      <w:numFmt w:val="bullet"/>
      <w:lvlText w:val="o"/>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100D1FA">
      <w:start w:val="1"/>
      <w:numFmt w:val="bullet"/>
      <w:lvlText w:val="▪"/>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8" w15:restartNumberingAfterBreak="0">
    <w:nsid w:val="6E6C6B88"/>
    <w:multiLevelType w:val="hybridMultilevel"/>
    <w:tmpl w:val="2F7C1A18"/>
    <w:lvl w:ilvl="0" w:tplc="658E8C9C">
      <w:start w:val="1"/>
      <w:numFmt w:val="bullet"/>
      <w:lvlText w:val="-"/>
      <w:lvlJc w:val="left"/>
      <w:pPr>
        <w:ind w:left="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574587E">
      <w:start w:val="1"/>
      <w:numFmt w:val="bullet"/>
      <w:lvlText w:val="o"/>
      <w:lvlJc w:val="left"/>
      <w:pPr>
        <w:ind w:left="116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3649284">
      <w:start w:val="1"/>
      <w:numFmt w:val="bullet"/>
      <w:lvlText w:val="▪"/>
      <w:lvlJc w:val="left"/>
      <w:pPr>
        <w:ind w:left="188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A06F946">
      <w:start w:val="1"/>
      <w:numFmt w:val="bullet"/>
      <w:lvlText w:val="•"/>
      <w:lvlJc w:val="left"/>
      <w:pPr>
        <w:ind w:left="260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EEA2B26">
      <w:start w:val="1"/>
      <w:numFmt w:val="bullet"/>
      <w:lvlText w:val="o"/>
      <w:lvlJc w:val="left"/>
      <w:pPr>
        <w:ind w:left="332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5660564">
      <w:start w:val="1"/>
      <w:numFmt w:val="bullet"/>
      <w:lvlText w:val="▪"/>
      <w:lvlJc w:val="left"/>
      <w:pPr>
        <w:ind w:left="404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5C8F650">
      <w:start w:val="1"/>
      <w:numFmt w:val="bullet"/>
      <w:lvlText w:val="•"/>
      <w:lvlJc w:val="left"/>
      <w:pPr>
        <w:ind w:left="476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7FEBEBC">
      <w:start w:val="1"/>
      <w:numFmt w:val="bullet"/>
      <w:lvlText w:val="o"/>
      <w:lvlJc w:val="left"/>
      <w:pPr>
        <w:ind w:left="548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E02E0C8">
      <w:start w:val="1"/>
      <w:numFmt w:val="bullet"/>
      <w:lvlText w:val="▪"/>
      <w:lvlJc w:val="left"/>
      <w:pPr>
        <w:ind w:left="620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9" w15:restartNumberingAfterBreak="0">
    <w:nsid w:val="6F310459"/>
    <w:multiLevelType w:val="hybridMultilevel"/>
    <w:tmpl w:val="07BAC0B0"/>
    <w:lvl w:ilvl="0" w:tplc="C55CE546">
      <w:start w:val="1"/>
      <w:numFmt w:val="bullet"/>
      <w:lvlText w:val="•"/>
      <w:lvlJc w:val="left"/>
      <w:pPr>
        <w:ind w:left="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45A9F30">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82CBCF0">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19ED19E">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55A1B00">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6CCB670">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35E9CF6">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89497BC">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A28AB7E">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0" w15:restartNumberingAfterBreak="0">
    <w:nsid w:val="6FB418E4"/>
    <w:multiLevelType w:val="hybridMultilevel"/>
    <w:tmpl w:val="1092FBDE"/>
    <w:lvl w:ilvl="0" w:tplc="FDC0473E">
      <w:start w:val="1"/>
      <w:numFmt w:val="lowerRoman"/>
      <w:lvlText w:val="(%1)"/>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B5EE02E">
      <w:start w:val="1"/>
      <w:numFmt w:val="lowerLetter"/>
      <w:lvlText w:val="%2"/>
      <w:lvlJc w:val="left"/>
      <w:pPr>
        <w:ind w:left="137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FA24C586">
      <w:start w:val="1"/>
      <w:numFmt w:val="lowerRoman"/>
      <w:lvlText w:val="%3"/>
      <w:lvlJc w:val="left"/>
      <w:pPr>
        <w:ind w:left="209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D4E9C3E">
      <w:start w:val="1"/>
      <w:numFmt w:val="decimal"/>
      <w:lvlText w:val="%4"/>
      <w:lvlJc w:val="left"/>
      <w:pPr>
        <w:ind w:left="281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75093AC">
      <w:start w:val="1"/>
      <w:numFmt w:val="lowerLetter"/>
      <w:lvlText w:val="%5"/>
      <w:lvlJc w:val="left"/>
      <w:pPr>
        <w:ind w:left="35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0827138">
      <w:start w:val="1"/>
      <w:numFmt w:val="lowerRoman"/>
      <w:lvlText w:val="%6"/>
      <w:lvlJc w:val="left"/>
      <w:pPr>
        <w:ind w:left="425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736D898">
      <w:start w:val="1"/>
      <w:numFmt w:val="decimal"/>
      <w:lvlText w:val="%7"/>
      <w:lvlJc w:val="left"/>
      <w:pPr>
        <w:ind w:left="497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A883844">
      <w:start w:val="1"/>
      <w:numFmt w:val="lowerLetter"/>
      <w:lvlText w:val="%8"/>
      <w:lvlJc w:val="left"/>
      <w:pPr>
        <w:ind w:left="569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38C3600">
      <w:start w:val="1"/>
      <w:numFmt w:val="lowerRoman"/>
      <w:lvlText w:val="%9"/>
      <w:lvlJc w:val="left"/>
      <w:pPr>
        <w:ind w:left="641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1" w15:restartNumberingAfterBreak="0">
    <w:nsid w:val="6FDE5FF1"/>
    <w:multiLevelType w:val="hybridMultilevel"/>
    <w:tmpl w:val="E3E086A4"/>
    <w:lvl w:ilvl="0" w:tplc="CF7C4A64">
      <w:start w:val="1"/>
      <w:numFmt w:val="bullet"/>
      <w:lvlText w:val="-"/>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5C42DD0C">
      <w:start w:val="1"/>
      <w:numFmt w:val="bullet"/>
      <w:lvlText w:val="o"/>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044C430">
      <w:start w:val="1"/>
      <w:numFmt w:val="bullet"/>
      <w:lvlText w:val="▪"/>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2B03614">
      <w:start w:val="1"/>
      <w:numFmt w:val="bullet"/>
      <w:lvlText w:val="•"/>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6CA92A0">
      <w:start w:val="1"/>
      <w:numFmt w:val="bullet"/>
      <w:lvlText w:val="o"/>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D34CF88">
      <w:start w:val="1"/>
      <w:numFmt w:val="bullet"/>
      <w:lvlText w:val="▪"/>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0A029A0">
      <w:start w:val="1"/>
      <w:numFmt w:val="bullet"/>
      <w:lvlText w:val="•"/>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84C5266">
      <w:start w:val="1"/>
      <w:numFmt w:val="bullet"/>
      <w:lvlText w:val="o"/>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E9822B8">
      <w:start w:val="1"/>
      <w:numFmt w:val="bullet"/>
      <w:lvlText w:val="▪"/>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2" w15:restartNumberingAfterBreak="0">
    <w:nsid w:val="71B21032"/>
    <w:multiLevelType w:val="hybridMultilevel"/>
    <w:tmpl w:val="1A720B2E"/>
    <w:lvl w:ilvl="0" w:tplc="5E289A60">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DEDA5C">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781C4286">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510DA22">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D2A1D4">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40209E4">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C696229E">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B06DA6">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D403032">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3" w15:restartNumberingAfterBreak="0">
    <w:nsid w:val="741C2A17"/>
    <w:multiLevelType w:val="hybridMultilevel"/>
    <w:tmpl w:val="DE8E7B18"/>
    <w:lvl w:ilvl="0" w:tplc="B76AE0DE">
      <w:start w:val="1"/>
      <w:numFmt w:val="bullet"/>
      <w:lvlText w:val="•"/>
      <w:lvlJc w:val="left"/>
      <w:pPr>
        <w:ind w:left="36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7B4D022">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649E908E">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17DEEE90">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84AB606">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4C863E4">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28C3720">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A5C8FBC">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9D7E5E64">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64" w15:restartNumberingAfterBreak="0">
    <w:nsid w:val="757B3F1D"/>
    <w:multiLevelType w:val="hybridMultilevel"/>
    <w:tmpl w:val="EE4C9806"/>
    <w:lvl w:ilvl="0" w:tplc="861A1288">
      <w:start w:val="1"/>
      <w:numFmt w:val="bullet"/>
      <w:lvlText w:val="•"/>
      <w:lvlJc w:val="left"/>
      <w:pPr>
        <w:ind w:left="4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5ECAF6B6">
      <w:start w:val="1"/>
      <w:numFmt w:val="bullet"/>
      <w:lvlText w:val="o"/>
      <w:lvlJc w:val="left"/>
      <w:pPr>
        <w:ind w:left="10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9387356">
      <w:start w:val="1"/>
      <w:numFmt w:val="bullet"/>
      <w:lvlText w:val="▪"/>
      <w:lvlJc w:val="left"/>
      <w:pPr>
        <w:ind w:left="18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640FF56">
      <w:start w:val="1"/>
      <w:numFmt w:val="bullet"/>
      <w:lvlText w:val="•"/>
      <w:lvlJc w:val="left"/>
      <w:pPr>
        <w:ind w:left="25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8749E54">
      <w:start w:val="1"/>
      <w:numFmt w:val="bullet"/>
      <w:lvlText w:val="o"/>
      <w:lvlJc w:val="left"/>
      <w:pPr>
        <w:ind w:left="32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23C9540">
      <w:start w:val="1"/>
      <w:numFmt w:val="bullet"/>
      <w:lvlText w:val="▪"/>
      <w:lvlJc w:val="left"/>
      <w:pPr>
        <w:ind w:left="39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CF63D8E">
      <w:start w:val="1"/>
      <w:numFmt w:val="bullet"/>
      <w:lvlText w:val="•"/>
      <w:lvlJc w:val="left"/>
      <w:pPr>
        <w:ind w:left="46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5F2FB0E">
      <w:start w:val="1"/>
      <w:numFmt w:val="bullet"/>
      <w:lvlText w:val="o"/>
      <w:lvlJc w:val="left"/>
      <w:pPr>
        <w:ind w:left="54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55682BC">
      <w:start w:val="1"/>
      <w:numFmt w:val="bullet"/>
      <w:lvlText w:val="▪"/>
      <w:lvlJc w:val="left"/>
      <w:pPr>
        <w:ind w:left="61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5" w15:restartNumberingAfterBreak="0">
    <w:nsid w:val="78CC702C"/>
    <w:multiLevelType w:val="hybridMultilevel"/>
    <w:tmpl w:val="2F6A7346"/>
    <w:lvl w:ilvl="0" w:tplc="D5104B42">
      <w:start w:val="1"/>
      <w:numFmt w:val="bullet"/>
      <w:lvlText w:val="•"/>
      <w:lvlJc w:val="left"/>
      <w:pPr>
        <w:ind w:left="48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A4E5330">
      <w:start w:val="1"/>
      <w:numFmt w:val="bullet"/>
      <w:lvlText w:val="o"/>
      <w:lvlJc w:val="left"/>
      <w:pPr>
        <w:ind w:left="10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CA8E9F0">
      <w:start w:val="1"/>
      <w:numFmt w:val="bullet"/>
      <w:lvlText w:val="▪"/>
      <w:lvlJc w:val="left"/>
      <w:pPr>
        <w:ind w:left="18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AE62AF8">
      <w:start w:val="1"/>
      <w:numFmt w:val="bullet"/>
      <w:lvlText w:val="•"/>
      <w:lvlJc w:val="left"/>
      <w:pPr>
        <w:ind w:left="25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216E3C4">
      <w:start w:val="1"/>
      <w:numFmt w:val="bullet"/>
      <w:lvlText w:val="o"/>
      <w:lvlJc w:val="left"/>
      <w:pPr>
        <w:ind w:left="32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A741898">
      <w:start w:val="1"/>
      <w:numFmt w:val="bullet"/>
      <w:lvlText w:val="▪"/>
      <w:lvlJc w:val="left"/>
      <w:pPr>
        <w:ind w:left="39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02FE1644">
      <w:start w:val="1"/>
      <w:numFmt w:val="bullet"/>
      <w:lvlText w:val="•"/>
      <w:lvlJc w:val="left"/>
      <w:pPr>
        <w:ind w:left="46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6AA6792">
      <w:start w:val="1"/>
      <w:numFmt w:val="bullet"/>
      <w:lvlText w:val="o"/>
      <w:lvlJc w:val="left"/>
      <w:pPr>
        <w:ind w:left="54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CD8DD36">
      <w:start w:val="1"/>
      <w:numFmt w:val="bullet"/>
      <w:lvlText w:val="▪"/>
      <w:lvlJc w:val="left"/>
      <w:pPr>
        <w:ind w:left="61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6" w15:restartNumberingAfterBreak="0">
    <w:nsid w:val="7DCD78F7"/>
    <w:multiLevelType w:val="hybridMultilevel"/>
    <w:tmpl w:val="DC646E8E"/>
    <w:lvl w:ilvl="0" w:tplc="A108356A">
      <w:start w:val="1"/>
      <w:numFmt w:val="bullet"/>
      <w:lvlText w:val="-"/>
      <w:lvlJc w:val="left"/>
      <w:pPr>
        <w:ind w:left="5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EA00314">
      <w:start w:val="1"/>
      <w:numFmt w:val="bullet"/>
      <w:lvlText w:val="o"/>
      <w:lvlJc w:val="left"/>
      <w:pPr>
        <w:ind w:left="12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D5C1A0E">
      <w:start w:val="1"/>
      <w:numFmt w:val="bullet"/>
      <w:lvlText w:val="▪"/>
      <w:lvlJc w:val="left"/>
      <w:pPr>
        <w:ind w:left="19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D0E2232">
      <w:start w:val="1"/>
      <w:numFmt w:val="bullet"/>
      <w:lvlText w:val="•"/>
      <w:lvlJc w:val="left"/>
      <w:pPr>
        <w:ind w:left="2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D988F4E">
      <w:start w:val="1"/>
      <w:numFmt w:val="bullet"/>
      <w:lvlText w:val="o"/>
      <w:lvlJc w:val="left"/>
      <w:pPr>
        <w:ind w:left="34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532B8C4">
      <w:start w:val="1"/>
      <w:numFmt w:val="bullet"/>
      <w:lvlText w:val="▪"/>
      <w:lvlJc w:val="left"/>
      <w:pPr>
        <w:ind w:left="41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B7801D90">
      <w:start w:val="1"/>
      <w:numFmt w:val="bullet"/>
      <w:lvlText w:val="•"/>
      <w:lvlJc w:val="left"/>
      <w:pPr>
        <w:ind w:left="48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8FE6EEC">
      <w:start w:val="1"/>
      <w:numFmt w:val="bullet"/>
      <w:lvlText w:val="o"/>
      <w:lvlJc w:val="left"/>
      <w:pPr>
        <w:ind w:left="55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C568358">
      <w:start w:val="1"/>
      <w:numFmt w:val="bullet"/>
      <w:lvlText w:val="▪"/>
      <w:lvlJc w:val="left"/>
      <w:pPr>
        <w:ind w:left="63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7" w15:restartNumberingAfterBreak="0">
    <w:nsid w:val="7E04378B"/>
    <w:multiLevelType w:val="hybridMultilevel"/>
    <w:tmpl w:val="00F06E70"/>
    <w:lvl w:ilvl="0" w:tplc="5D3C61A6">
      <w:start w:val="1"/>
      <w:numFmt w:val="decimal"/>
      <w:lvlText w:val="%1"/>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866D24">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7DC08F84">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43EC04CA">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4545E58">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BB24D57A">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5B80C470">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2520C60">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11BE1822">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num w:numId="1">
    <w:abstractNumId w:val="34"/>
  </w:num>
  <w:num w:numId="2">
    <w:abstractNumId w:val="55"/>
  </w:num>
  <w:num w:numId="3">
    <w:abstractNumId w:val="54"/>
  </w:num>
  <w:num w:numId="4">
    <w:abstractNumId w:val="53"/>
  </w:num>
  <w:num w:numId="5">
    <w:abstractNumId w:val="12"/>
  </w:num>
  <w:num w:numId="6">
    <w:abstractNumId w:val="32"/>
  </w:num>
  <w:num w:numId="7">
    <w:abstractNumId w:val="10"/>
  </w:num>
  <w:num w:numId="8">
    <w:abstractNumId w:val="24"/>
  </w:num>
  <w:num w:numId="9">
    <w:abstractNumId w:val="51"/>
  </w:num>
  <w:num w:numId="10">
    <w:abstractNumId w:val="28"/>
  </w:num>
  <w:num w:numId="11">
    <w:abstractNumId w:val="13"/>
  </w:num>
  <w:num w:numId="12">
    <w:abstractNumId w:val="62"/>
  </w:num>
  <w:num w:numId="13">
    <w:abstractNumId w:val="16"/>
  </w:num>
  <w:num w:numId="14">
    <w:abstractNumId w:val="67"/>
  </w:num>
  <w:num w:numId="15">
    <w:abstractNumId w:val="7"/>
  </w:num>
  <w:num w:numId="16">
    <w:abstractNumId w:val="6"/>
  </w:num>
  <w:num w:numId="17">
    <w:abstractNumId w:val="45"/>
  </w:num>
  <w:num w:numId="18">
    <w:abstractNumId w:val="27"/>
  </w:num>
  <w:num w:numId="19">
    <w:abstractNumId w:val="35"/>
  </w:num>
  <w:num w:numId="20">
    <w:abstractNumId w:val="3"/>
  </w:num>
  <w:num w:numId="21">
    <w:abstractNumId w:val="21"/>
  </w:num>
  <w:num w:numId="22">
    <w:abstractNumId w:val="48"/>
  </w:num>
  <w:num w:numId="23">
    <w:abstractNumId w:val="33"/>
  </w:num>
  <w:num w:numId="24">
    <w:abstractNumId w:val="63"/>
  </w:num>
  <w:num w:numId="25">
    <w:abstractNumId w:val="49"/>
  </w:num>
  <w:num w:numId="26">
    <w:abstractNumId w:val="22"/>
  </w:num>
  <w:num w:numId="27">
    <w:abstractNumId w:val="50"/>
  </w:num>
  <w:num w:numId="28">
    <w:abstractNumId w:val="14"/>
  </w:num>
  <w:num w:numId="29">
    <w:abstractNumId w:val="46"/>
  </w:num>
  <w:num w:numId="30">
    <w:abstractNumId w:val="31"/>
  </w:num>
  <w:num w:numId="31">
    <w:abstractNumId w:val="37"/>
  </w:num>
  <w:num w:numId="32">
    <w:abstractNumId w:val="9"/>
  </w:num>
  <w:num w:numId="33">
    <w:abstractNumId w:val="29"/>
  </w:num>
  <w:num w:numId="34">
    <w:abstractNumId w:val="23"/>
  </w:num>
  <w:num w:numId="35">
    <w:abstractNumId w:val="30"/>
  </w:num>
  <w:num w:numId="36">
    <w:abstractNumId w:val="42"/>
  </w:num>
  <w:num w:numId="37">
    <w:abstractNumId w:val="26"/>
  </w:num>
  <w:num w:numId="38">
    <w:abstractNumId w:val="39"/>
  </w:num>
  <w:num w:numId="39">
    <w:abstractNumId w:val="57"/>
  </w:num>
  <w:num w:numId="40">
    <w:abstractNumId w:val="8"/>
  </w:num>
  <w:num w:numId="41">
    <w:abstractNumId w:val="20"/>
  </w:num>
  <w:num w:numId="42">
    <w:abstractNumId w:val="61"/>
  </w:num>
  <w:num w:numId="43">
    <w:abstractNumId w:val="19"/>
  </w:num>
  <w:num w:numId="44">
    <w:abstractNumId w:val="66"/>
  </w:num>
  <w:num w:numId="45">
    <w:abstractNumId w:val="11"/>
  </w:num>
  <w:num w:numId="46">
    <w:abstractNumId w:val="5"/>
  </w:num>
  <w:num w:numId="47">
    <w:abstractNumId w:val="18"/>
  </w:num>
  <w:num w:numId="48">
    <w:abstractNumId w:val="36"/>
  </w:num>
  <w:num w:numId="49">
    <w:abstractNumId w:val="0"/>
  </w:num>
  <w:num w:numId="50">
    <w:abstractNumId w:val="43"/>
  </w:num>
  <w:num w:numId="51">
    <w:abstractNumId w:val="2"/>
  </w:num>
  <w:num w:numId="52">
    <w:abstractNumId w:val="41"/>
  </w:num>
  <w:num w:numId="53">
    <w:abstractNumId w:val="15"/>
  </w:num>
  <w:num w:numId="54">
    <w:abstractNumId w:val="44"/>
  </w:num>
  <w:num w:numId="55">
    <w:abstractNumId w:val="52"/>
  </w:num>
  <w:num w:numId="56">
    <w:abstractNumId w:val="60"/>
  </w:num>
  <w:num w:numId="57">
    <w:abstractNumId w:val="1"/>
  </w:num>
  <w:num w:numId="58">
    <w:abstractNumId w:val="56"/>
  </w:num>
  <w:num w:numId="59">
    <w:abstractNumId w:val="58"/>
  </w:num>
  <w:num w:numId="60">
    <w:abstractNumId w:val="4"/>
  </w:num>
  <w:num w:numId="61">
    <w:abstractNumId w:val="40"/>
  </w:num>
  <w:num w:numId="62">
    <w:abstractNumId w:val="17"/>
  </w:num>
  <w:num w:numId="63">
    <w:abstractNumId w:val="47"/>
  </w:num>
  <w:num w:numId="64">
    <w:abstractNumId w:val="25"/>
  </w:num>
  <w:num w:numId="65">
    <w:abstractNumId w:val="65"/>
  </w:num>
  <w:num w:numId="66">
    <w:abstractNumId w:val="64"/>
  </w:num>
  <w:num w:numId="67">
    <w:abstractNumId w:val="59"/>
  </w:num>
  <w:num w:numId="68">
    <w:abstractNumId w:val="3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F0E"/>
    <w:rsid w:val="00490F21"/>
    <w:rsid w:val="004D6F0E"/>
    <w:rsid w:val="006762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575BFD-9E06-43DE-A870-9D45EE0CC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9"/>
    </w:pPr>
    <w:rPr>
      <w:rFonts w:ascii="Microsoft YaHei" w:eastAsia="Microsoft YaHei" w:hAnsi="Microsoft YaHei" w:cs="Microsoft YaHei"/>
      <w:color w:val="000000"/>
      <w:sz w:val="19"/>
    </w:rPr>
  </w:style>
  <w:style w:type="paragraph" w:styleId="Heading1">
    <w:name w:val="heading 1"/>
    <w:next w:val="Normal"/>
    <w:link w:val="Heading1Char"/>
    <w:uiPriority w:val="9"/>
    <w:qFormat/>
    <w:pPr>
      <w:keepNext/>
      <w:keepLines/>
      <w:spacing w:after="0"/>
      <w:ind w:left="109"/>
      <w:outlineLvl w:val="0"/>
    </w:pPr>
    <w:rPr>
      <w:rFonts w:ascii="Microsoft YaHei" w:eastAsia="Microsoft YaHei" w:hAnsi="Microsoft YaHei" w:cs="Microsoft YaHei"/>
      <w:color w:val="1E9BD7"/>
      <w:sz w:val="44"/>
    </w:rPr>
  </w:style>
  <w:style w:type="paragraph" w:styleId="Heading2">
    <w:name w:val="heading 2"/>
    <w:next w:val="Normal"/>
    <w:link w:val="Heading2Char"/>
    <w:uiPriority w:val="9"/>
    <w:unhideWhenUsed/>
    <w:qFormat/>
    <w:pPr>
      <w:keepNext/>
      <w:keepLines/>
      <w:spacing w:after="45"/>
      <w:ind w:left="23" w:right="667" w:hanging="10"/>
      <w:outlineLvl w:val="1"/>
    </w:pPr>
    <w:rPr>
      <w:rFonts w:ascii="Microsoft YaHei" w:eastAsia="Microsoft YaHei" w:hAnsi="Microsoft YaHei" w:cs="Microsoft YaHei"/>
      <w:color w:val="000000"/>
      <w:sz w:val="31"/>
    </w:rPr>
  </w:style>
  <w:style w:type="paragraph" w:styleId="Heading3">
    <w:name w:val="heading 3"/>
    <w:next w:val="Normal"/>
    <w:link w:val="Heading3Char"/>
    <w:uiPriority w:val="9"/>
    <w:unhideWhenUsed/>
    <w:qFormat/>
    <w:pPr>
      <w:keepNext/>
      <w:keepLines/>
      <w:spacing w:after="163" w:line="248" w:lineRule="auto"/>
      <w:ind w:left="10" w:hanging="10"/>
      <w:outlineLvl w:val="2"/>
    </w:pPr>
    <w:rPr>
      <w:rFonts w:ascii="Microsoft YaHei" w:eastAsia="Microsoft YaHei" w:hAnsi="Microsoft YaHei" w:cs="Microsoft YaHei"/>
      <w:color w:val="000000"/>
      <w:sz w:val="23"/>
    </w:rPr>
  </w:style>
  <w:style w:type="paragraph" w:styleId="Heading4">
    <w:name w:val="heading 4"/>
    <w:next w:val="Normal"/>
    <w:link w:val="Heading4Char"/>
    <w:uiPriority w:val="9"/>
    <w:unhideWhenUsed/>
    <w:qFormat/>
    <w:pPr>
      <w:keepNext/>
      <w:keepLines/>
      <w:spacing w:after="163" w:line="248" w:lineRule="auto"/>
      <w:ind w:left="10" w:hanging="10"/>
      <w:outlineLvl w:val="3"/>
    </w:pPr>
    <w:rPr>
      <w:rFonts w:ascii="Microsoft YaHei" w:eastAsia="Microsoft YaHei" w:hAnsi="Microsoft YaHei" w:cs="Microsoft YaHei"/>
      <w:color w:val="000000"/>
      <w:sz w:val="23"/>
    </w:rPr>
  </w:style>
  <w:style w:type="paragraph" w:styleId="Heading5">
    <w:name w:val="heading 5"/>
    <w:next w:val="Normal"/>
    <w:link w:val="Heading5Char"/>
    <w:uiPriority w:val="9"/>
    <w:unhideWhenUsed/>
    <w:qFormat/>
    <w:pPr>
      <w:keepNext/>
      <w:keepLines/>
      <w:spacing w:after="102"/>
      <w:ind w:firstLine="3"/>
      <w:outlineLvl w:val="4"/>
    </w:pPr>
    <w:rPr>
      <w:rFonts w:ascii="Microsoft YaHei" w:eastAsia="Microsoft YaHei" w:hAnsi="Microsoft YaHei" w:cs="Microsoft YaHe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Microsoft YaHei" w:eastAsia="Microsoft YaHei" w:hAnsi="Microsoft YaHei" w:cs="Microsoft YaHei"/>
      <w:color w:val="000000"/>
      <w:sz w:val="31"/>
    </w:rPr>
  </w:style>
  <w:style w:type="character" w:customStyle="1" w:styleId="Heading1Char">
    <w:name w:val="Heading 1 Char"/>
    <w:link w:val="Heading1"/>
    <w:rPr>
      <w:rFonts w:ascii="Microsoft YaHei" w:eastAsia="Microsoft YaHei" w:hAnsi="Microsoft YaHei" w:cs="Microsoft YaHei"/>
      <w:color w:val="1E9BD7"/>
      <w:sz w:val="44"/>
    </w:rPr>
  </w:style>
  <w:style w:type="paragraph" w:customStyle="1" w:styleId="footnotedescription">
    <w:name w:val="footnote description"/>
    <w:next w:val="Normal"/>
    <w:link w:val="footnotedescriptionChar"/>
    <w:hidden/>
    <w:pPr>
      <w:spacing w:after="0" w:line="277" w:lineRule="auto"/>
      <w:ind w:left="307" w:hanging="251"/>
    </w:pPr>
    <w:rPr>
      <w:rFonts w:ascii="Microsoft YaHei" w:eastAsia="Microsoft YaHei" w:hAnsi="Microsoft YaHei" w:cs="Microsoft YaHei"/>
      <w:color w:val="000000"/>
      <w:sz w:val="16"/>
    </w:rPr>
  </w:style>
  <w:style w:type="character" w:customStyle="1" w:styleId="footnotedescriptionChar">
    <w:name w:val="footnote description Char"/>
    <w:link w:val="footnotedescription"/>
    <w:rPr>
      <w:rFonts w:ascii="Microsoft YaHei" w:eastAsia="Microsoft YaHei" w:hAnsi="Microsoft YaHei" w:cs="Microsoft YaHei"/>
      <w:color w:val="000000"/>
      <w:sz w:val="16"/>
    </w:rPr>
  </w:style>
  <w:style w:type="character" w:customStyle="1" w:styleId="Heading5Char">
    <w:name w:val="Heading 5 Char"/>
    <w:link w:val="Heading5"/>
    <w:rPr>
      <w:rFonts w:ascii="Microsoft YaHei" w:eastAsia="Microsoft YaHei" w:hAnsi="Microsoft YaHei" w:cs="Microsoft YaHei"/>
      <w:color w:val="000000"/>
      <w:sz w:val="20"/>
    </w:rPr>
  </w:style>
  <w:style w:type="character" w:customStyle="1" w:styleId="Heading3Char">
    <w:name w:val="Heading 3 Char"/>
    <w:link w:val="Heading3"/>
    <w:rPr>
      <w:rFonts w:ascii="Microsoft YaHei" w:eastAsia="Microsoft YaHei" w:hAnsi="Microsoft YaHei" w:cs="Microsoft YaHei"/>
      <w:color w:val="000000"/>
      <w:sz w:val="23"/>
    </w:rPr>
  </w:style>
  <w:style w:type="character" w:customStyle="1" w:styleId="Heading4Char">
    <w:name w:val="Heading 4 Char"/>
    <w:link w:val="Heading4"/>
    <w:rPr>
      <w:rFonts w:ascii="Microsoft YaHei" w:eastAsia="Microsoft YaHei" w:hAnsi="Microsoft YaHei" w:cs="Microsoft YaHei"/>
      <w:color w:val="000000"/>
      <w:sz w:val="23"/>
    </w:rPr>
  </w:style>
  <w:style w:type="character" w:customStyle="1" w:styleId="footnotemark">
    <w:name w:val="footnote mark"/>
    <w:hidden/>
    <w:rPr>
      <w:rFonts w:ascii="Times New Roman" w:eastAsia="Times New Roman" w:hAnsi="Times New Roman" w:cs="Times New Roman"/>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7.xml"/><Relationship Id="rId299" Type="http://schemas.openxmlformats.org/officeDocument/2006/relationships/footer" Target="footer100.xml"/><Relationship Id="rId21" Type="http://schemas.openxmlformats.org/officeDocument/2006/relationships/footer" Target="footer4.xml"/><Relationship Id="rId63" Type="http://schemas.openxmlformats.org/officeDocument/2006/relationships/header" Target="header20.xml"/><Relationship Id="rId159" Type="http://schemas.openxmlformats.org/officeDocument/2006/relationships/hyperlink" Target="http://www.alliancebernstein.com/" TargetMode="External"/><Relationship Id="rId324" Type="http://schemas.openxmlformats.org/officeDocument/2006/relationships/hyperlink" Target="https://www.bbh.com/en-us/investor-services/custody-and-fund-services/depositary-and-trustee" TargetMode="External"/><Relationship Id="rId366" Type="http://schemas.openxmlformats.org/officeDocument/2006/relationships/image" Target="media/image3.jpg"/><Relationship Id="rId170" Type="http://schemas.openxmlformats.org/officeDocument/2006/relationships/header" Target="header56.xml"/><Relationship Id="rId226" Type="http://schemas.openxmlformats.org/officeDocument/2006/relationships/header" Target="header73.xml"/><Relationship Id="rId268" Type="http://schemas.openxmlformats.org/officeDocument/2006/relationships/header" Target="header89.xml"/><Relationship Id="rId32" Type="http://schemas.openxmlformats.org/officeDocument/2006/relationships/footer" Target="footer8.xml"/><Relationship Id="rId74" Type="http://schemas.openxmlformats.org/officeDocument/2006/relationships/hyperlink" Target="http://www.alliancebernstein.com/" TargetMode="External"/><Relationship Id="rId128" Type="http://schemas.openxmlformats.org/officeDocument/2006/relationships/footer" Target="footer42.xml"/><Relationship Id="rId335" Type="http://schemas.openxmlformats.org/officeDocument/2006/relationships/hyperlink" Target="http://www.eifs.lu/alliancebernstein" TargetMode="External"/><Relationship Id="rId377" Type="http://schemas.openxmlformats.org/officeDocument/2006/relationships/hyperlink" Target="http://www.alliancebernstein.com/" TargetMode="External"/><Relationship Id="rId5" Type="http://schemas.openxmlformats.org/officeDocument/2006/relationships/footnotes" Target="footnotes.xml"/><Relationship Id="rId181" Type="http://schemas.openxmlformats.org/officeDocument/2006/relationships/hyperlink" Target="http://www.alliancebernstein.com/" TargetMode="External"/><Relationship Id="rId237" Type="http://schemas.openxmlformats.org/officeDocument/2006/relationships/header" Target="header77.xml"/><Relationship Id="rId279" Type="http://schemas.openxmlformats.org/officeDocument/2006/relationships/header" Target="header91.xml"/><Relationship Id="rId43" Type="http://schemas.openxmlformats.org/officeDocument/2006/relationships/hyperlink" Target="http://www.alliancebernstein.com/" TargetMode="External"/><Relationship Id="rId139" Type="http://schemas.openxmlformats.org/officeDocument/2006/relationships/footer" Target="footer45.xml"/><Relationship Id="rId290" Type="http://schemas.openxmlformats.org/officeDocument/2006/relationships/footer" Target="footer96.xml"/><Relationship Id="rId304" Type="http://schemas.openxmlformats.org/officeDocument/2006/relationships/header" Target="header104.xml"/><Relationship Id="rId346" Type="http://schemas.openxmlformats.org/officeDocument/2006/relationships/header" Target="header116.xml"/><Relationship Id="rId85" Type="http://schemas.openxmlformats.org/officeDocument/2006/relationships/footer" Target="footer25.xml"/><Relationship Id="rId150" Type="http://schemas.openxmlformats.org/officeDocument/2006/relationships/hyperlink" Target="http://www.alliancebernstein.com/go/ABFCPIExclusionChart" TargetMode="External"/><Relationship Id="rId192" Type="http://schemas.openxmlformats.org/officeDocument/2006/relationships/header" Target="header63.xml"/><Relationship Id="rId206" Type="http://schemas.openxmlformats.org/officeDocument/2006/relationships/hyperlink" Target="http://www.alliancebernstein.com/" TargetMode="External"/><Relationship Id="rId248" Type="http://schemas.openxmlformats.org/officeDocument/2006/relationships/hyperlink" Target="http://www.alliancebernstein.com/go/ABFCPIExclusionChart" TargetMode="External"/><Relationship Id="rId12" Type="http://schemas.openxmlformats.org/officeDocument/2006/relationships/footer" Target="footer1.xml"/><Relationship Id="rId108" Type="http://schemas.openxmlformats.org/officeDocument/2006/relationships/header" Target="header35.xml"/><Relationship Id="rId315" Type="http://schemas.openxmlformats.org/officeDocument/2006/relationships/hyperlink" Target="http://www.alliancebernstein.com/" TargetMode="External"/><Relationship Id="rId357" Type="http://schemas.openxmlformats.org/officeDocument/2006/relationships/header" Target="header121.xml"/><Relationship Id="rId54" Type="http://schemas.openxmlformats.org/officeDocument/2006/relationships/header" Target="header16.xml"/><Relationship Id="rId96" Type="http://schemas.openxmlformats.org/officeDocument/2006/relationships/footer" Target="footer30.xml"/><Relationship Id="rId161" Type="http://schemas.openxmlformats.org/officeDocument/2006/relationships/header" Target="header52.xml"/><Relationship Id="rId217" Type="http://schemas.openxmlformats.org/officeDocument/2006/relationships/footer" Target="footer70.xml"/><Relationship Id="rId259" Type="http://schemas.openxmlformats.org/officeDocument/2006/relationships/hyperlink" Target="http://www.alliancebernstein.com/" TargetMode="External"/><Relationship Id="rId23" Type="http://schemas.openxmlformats.org/officeDocument/2006/relationships/header" Target="header6.xml"/><Relationship Id="rId119" Type="http://schemas.openxmlformats.org/officeDocument/2006/relationships/header" Target="header39.xml"/><Relationship Id="rId270" Type="http://schemas.openxmlformats.org/officeDocument/2006/relationships/footer" Target="footer89.xml"/><Relationship Id="rId326" Type="http://schemas.openxmlformats.org/officeDocument/2006/relationships/hyperlink" Target="http://www.alliancebernstein.com/" TargetMode="External"/><Relationship Id="rId65" Type="http://schemas.openxmlformats.org/officeDocument/2006/relationships/footer" Target="footer20.xml"/><Relationship Id="rId130" Type="http://schemas.openxmlformats.org/officeDocument/2006/relationships/hyperlink" Target="http://www.alliancebernstein.com/" TargetMode="External"/><Relationship Id="rId368" Type="http://schemas.openxmlformats.org/officeDocument/2006/relationships/hyperlink" Target="https://www.alliancebernstein.com/content/dam/corporate/corporate-pdfs/ABGlobalStewardship.pdf" TargetMode="External"/><Relationship Id="rId172" Type="http://schemas.openxmlformats.org/officeDocument/2006/relationships/footer" Target="footer56.xml"/><Relationship Id="rId228" Type="http://schemas.openxmlformats.org/officeDocument/2006/relationships/footer" Target="footer73.xml"/><Relationship Id="rId281" Type="http://schemas.openxmlformats.org/officeDocument/2006/relationships/footer" Target="footer91.xml"/><Relationship Id="rId337" Type="http://schemas.openxmlformats.org/officeDocument/2006/relationships/hyperlink" Target="http://www.eifs.lu/alliancebernstein" TargetMode="External"/><Relationship Id="rId34" Type="http://schemas.openxmlformats.org/officeDocument/2006/relationships/footer" Target="footer9.xml"/><Relationship Id="rId76" Type="http://schemas.openxmlformats.org/officeDocument/2006/relationships/header" Target="header23.xml"/><Relationship Id="rId141" Type="http://schemas.openxmlformats.org/officeDocument/2006/relationships/hyperlink" Target="http://www.alliancebernstein.com/" TargetMode="External"/><Relationship Id="rId379" Type="http://schemas.openxmlformats.org/officeDocument/2006/relationships/header" Target="header127.xml"/><Relationship Id="rId7" Type="http://schemas.openxmlformats.org/officeDocument/2006/relationships/image" Target="media/image1.jpg"/><Relationship Id="rId183" Type="http://schemas.openxmlformats.org/officeDocument/2006/relationships/header" Target="header59.xml"/><Relationship Id="rId239" Type="http://schemas.openxmlformats.org/officeDocument/2006/relationships/footer" Target="footer77.xml"/><Relationship Id="rId250" Type="http://schemas.openxmlformats.org/officeDocument/2006/relationships/hyperlink" Target="http://www.alliancebernstein.com/go/ABFCPIExclusionChart" TargetMode="External"/><Relationship Id="rId292" Type="http://schemas.openxmlformats.org/officeDocument/2006/relationships/header" Target="header98.xml"/><Relationship Id="rId306" Type="http://schemas.openxmlformats.org/officeDocument/2006/relationships/footer" Target="footer104.xml"/><Relationship Id="rId45" Type="http://schemas.openxmlformats.org/officeDocument/2006/relationships/hyperlink" Target="http://www.alliancebernstein.com/go/ABFCPIExclusionChart" TargetMode="External"/><Relationship Id="rId87" Type="http://schemas.openxmlformats.org/officeDocument/2006/relationships/header" Target="header27.xml"/><Relationship Id="rId110" Type="http://schemas.openxmlformats.org/officeDocument/2006/relationships/footer" Target="footer35.xml"/><Relationship Id="rId348" Type="http://schemas.openxmlformats.org/officeDocument/2006/relationships/footer" Target="footer116.xml"/><Relationship Id="rId152" Type="http://schemas.openxmlformats.org/officeDocument/2006/relationships/hyperlink" Target="http://www.alliancebernstein.com/go/ABFCPIExclusionChart" TargetMode="External"/><Relationship Id="rId194" Type="http://schemas.openxmlformats.org/officeDocument/2006/relationships/hyperlink" Target="http://www.alliancebernstein.com/" TargetMode="External"/><Relationship Id="rId208" Type="http://schemas.openxmlformats.org/officeDocument/2006/relationships/header" Target="header68.xml"/><Relationship Id="rId261" Type="http://schemas.openxmlformats.org/officeDocument/2006/relationships/header" Target="header85.xml"/><Relationship Id="rId14" Type="http://schemas.openxmlformats.org/officeDocument/2006/relationships/header" Target="header3.xml"/><Relationship Id="rId56" Type="http://schemas.openxmlformats.org/officeDocument/2006/relationships/footer" Target="footer16.xml"/><Relationship Id="rId317" Type="http://schemas.openxmlformats.org/officeDocument/2006/relationships/hyperlink" Target="http://www.alliancebernstein.com/go/Sub-Inv-Manager-Affiliates" TargetMode="External"/><Relationship Id="rId359" Type="http://schemas.openxmlformats.org/officeDocument/2006/relationships/footer" Target="footer121.xml"/><Relationship Id="rId98" Type="http://schemas.openxmlformats.org/officeDocument/2006/relationships/header" Target="header32.xml"/><Relationship Id="rId121" Type="http://schemas.openxmlformats.org/officeDocument/2006/relationships/hyperlink" Target="http://www.alliancebernstein.com/" TargetMode="External"/><Relationship Id="rId163" Type="http://schemas.openxmlformats.org/officeDocument/2006/relationships/footer" Target="footer52.xml"/><Relationship Id="rId219" Type="http://schemas.openxmlformats.org/officeDocument/2006/relationships/header" Target="header72.xml"/><Relationship Id="rId370" Type="http://schemas.openxmlformats.org/officeDocument/2006/relationships/image" Target="media/image4.jpg"/><Relationship Id="rId230" Type="http://schemas.openxmlformats.org/officeDocument/2006/relationships/header" Target="header75.xml"/><Relationship Id="rId25" Type="http://schemas.openxmlformats.org/officeDocument/2006/relationships/hyperlink" Target="https://www.alliancebernstein.com/funds/abii/documents/annoucement/ab-lux-data-protection-disclosure-to-investors.pdf" TargetMode="External"/><Relationship Id="rId67" Type="http://schemas.openxmlformats.org/officeDocument/2006/relationships/footer" Target="footer21.xml"/><Relationship Id="rId272" Type="http://schemas.openxmlformats.org/officeDocument/2006/relationships/footer" Target="footer90.xml"/><Relationship Id="rId328" Type="http://schemas.openxmlformats.org/officeDocument/2006/relationships/header" Target="header110.xml"/><Relationship Id="rId132" Type="http://schemas.openxmlformats.org/officeDocument/2006/relationships/hyperlink" Target="http://www.alliancebernstein.com/go/ABFCPIExclusionChart" TargetMode="External"/><Relationship Id="rId174" Type="http://schemas.openxmlformats.org/officeDocument/2006/relationships/footer" Target="footer57.xml"/><Relationship Id="rId381" Type="http://schemas.openxmlformats.org/officeDocument/2006/relationships/footer" Target="footer127.xml"/><Relationship Id="rId241" Type="http://schemas.openxmlformats.org/officeDocument/2006/relationships/footer" Target="footer78.xml"/><Relationship Id="rId36" Type="http://schemas.openxmlformats.org/officeDocument/2006/relationships/hyperlink" Target="http://www.alliancebernstein.com/" TargetMode="External"/><Relationship Id="rId283" Type="http://schemas.openxmlformats.org/officeDocument/2006/relationships/header" Target="header93.xml"/><Relationship Id="rId339" Type="http://schemas.openxmlformats.org/officeDocument/2006/relationships/header" Target="header112.xml"/><Relationship Id="rId78" Type="http://schemas.openxmlformats.org/officeDocument/2006/relationships/footer" Target="footer23.xml"/><Relationship Id="rId101" Type="http://schemas.openxmlformats.org/officeDocument/2006/relationships/header" Target="header33.xml"/><Relationship Id="rId143" Type="http://schemas.openxmlformats.org/officeDocument/2006/relationships/header" Target="header47.xml"/><Relationship Id="rId185" Type="http://schemas.openxmlformats.org/officeDocument/2006/relationships/footer" Target="footer59.xml"/><Relationship Id="rId350" Type="http://schemas.openxmlformats.org/officeDocument/2006/relationships/footer" Target="footer117.xml"/><Relationship Id="rId9" Type="http://schemas.openxmlformats.org/officeDocument/2006/relationships/hyperlink" Target="http://www.abglobal.com.hk/" TargetMode="External"/><Relationship Id="rId210" Type="http://schemas.openxmlformats.org/officeDocument/2006/relationships/footer" Target="footer68.xml"/><Relationship Id="rId252" Type="http://schemas.openxmlformats.org/officeDocument/2006/relationships/hyperlink" Target="http://www.alliancebernstein.com/" TargetMode="External"/><Relationship Id="rId294" Type="http://schemas.openxmlformats.org/officeDocument/2006/relationships/footer" Target="footer98.xml"/><Relationship Id="rId308" Type="http://schemas.openxmlformats.org/officeDocument/2006/relationships/footer" Target="footer105.xml"/><Relationship Id="rId47" Type="http://schemas.openxmlformats.org/officeDocument/2006/relationships/hyperlink" Target="http://www.alliancebernstein.com/go/ABFCPIExclusionChart" TargetMode="External"/><Relationship Id="rId68" Type="http://schemas.openxmlformats.org/officeDocument/2006/relationships/hyperlink" Target="http://www.alliancebernstein.com/" TargetMode="External"/><Relationship Id="rId89" Type="http://schemas.openxmlformats.org/officeDocument/2006/relationships/hyperlink" Target="http://www.alliancebernstein.com/" TargetMode="External"/><Relationship Id="rId112" Type="http://schemas.openxmlformats.org/officeDocument/2006/relationships/footer" Target="footer36.xml"/><Relationship Id="rId133" Type="http://schemas.openxmlformats.org/officeDocument/2006/relationships/hyperlink" Target="http://www.alliancebernstein.com/go/ABFCPIExclusionChart" TargetMode="External"/><Relationship Id="rId154" Type="http://schemas.openxmlformats.org/officeDocument/2006/relationships/header" Target="header50.xml"/><Relationship Id="rId175" Type="http://schemas.openxmlformats.org/officeDocument/2006/relationships/hyperlink" Target="http://www.mdbg.net/chindict/chindict.php?page=worddict&amp;wdrst=1&amp;wdqb=hold" TargetMode="External"/><Relationship Id="rId340" Type="http://schemas.openxmlformats.org/officeDocument/2006/relationships/header" Target="header113.xml"/><Relationship Id="rId361" Type="http://schemas.openxmlformats.org/officeDocument/2006/relationships/header" Target="header123.xml"/><Relationship Id="rId196" Type="http://schemas.openxmlformats.org/officeDocument/2006/relationships/header" Target="header64.xml"/><Relationship Id="rId200" Type="http://schemas.openxmlformats.org/officeDocument/2006/relationships/header" Target="header66.xml"/><Relationship Id="rId382" Type="http://schemas.openxmlformats.org/officeDocument/2006/relationships/footer" Target="footer128.xml"/><Relationship Id="rId16" Type="http://schemas.openxmlformats.org/officeDocument/2006/relationships/image" Target="media/image2.jpg"/><Relationship Id="rId221" Type="http://schemas.openxmlformats.org/officeDocument/2006/relationships/hyperlink" Target="http://siteresources.worldbank.org/DATASTATISTICS/Resources/CLASS.XLS" TargetMode="External"/><Relationship Id="rId242" Type="http://schemas.openxmlformats.org/officeDocument/2006/relationships/header" Target="header79.xml"/><Relationship Id="rId263" Type="http://schemas.openxmlformats.org/officeDocument/2006/relationships/footer" Target="footer85.xml"/><Relationship Id="rId284" Type="http://schemas.openxmlformats.org/officeDocument/2006/relationships/footer" Target="footer93.xml"/><Relationship Id="rId319" Type="http://schemas.openxmlformats.org/officeDocument/2006/relationships/hyperlink" Target="http://www.alliancebernstein.com/go/renumeration_policy" TargetMode="External"/><Relationship Id="rId37" Type="http://schemas.openxmlformats.org/officeDocument/2006/relationships/header" Target="header10.xml"/><Relationship Id="rId58" Type="http://schemas.openxmlformats.org/officeDocument/2006/relationships/header" Target="header18.xml"/><Relationship Id="rId79" Type="http://schemas.openxmlformats.org/officeDocument/2006/relationships/header" Target="header24.xml"/><Relationship Id="rId102" Type="http://schemas.openxmlformats.org/officeDocument/2006/relationships/footer" Target="footer33.xml"/><Relationship Id="rId123" Type="http://schemas.openxmlformats.org/officeDocument/2006/relationships/header" Target="header40.xml"/><Relationship Id="rId144" Type="http://schemas.openxmlformats.org/officeDocument/2006/relationships/footer" Target="footer46.xml"/><Relationship Id="rId330" Type="http://schemas.openxmlformats.org/officeDocument/2006/relationships/footer" Target="footer110.xml"/><Relationship Id="rId90" Type="http://schemas.openxmlformats.org/officeDocument/2006/relationships/hyperlink" Target="http://www.alliancebernstein.com/" TargetMode="External"/><Relationship Id="rId165" Type="http://schemas.openxmlformats.org/officeDocument/2006/relationships/header" Target="header54.xml"/><Relationship Id="rId186" Type="http://schemas.openxmlformats.org/officeDocument/2006/relationships/header" Target="header60.xml"/><Relationship Id="rId351" Type="http://schemas.openxmlformats.org/officeDocument/2006/relationships/header" Target="header118.xml"/><Relationship Id="rId372" Type="http://schemas.openxmlformats.org/officeDocument/2006/relationships/header" Target="header125.xml"/><Relationship Id="rId211" Type="http://schemas.openxmlformats.org/officeDocument/2006/relationships/header" Target="header69.xml"/><Relationship Id="rId232" Type="http://schemas.openxmlformats.org/officeDocument/2006/relationships/hyperlink" Target="http://www.alliancebernstein.com/" TargetMode="External"/><Relationship Id="rId253" Type="http://schemas.openxmlformats.org/officeDocument/2006/relationships/header" Target="header82.xml"/><Relationship Id="rId274" Type="http://schemas.openxmlformats.org/officeDocument/2006/relationships/hyperlink" Target="http://www.alliancebernstein.com/" TargetMode="External"/><Relationship Id="rId295" Type="http://schemas.openxmlformats.org/officeDocument/2006/relationships/header" Target="header99.xml"/><Relationship Id="rId309" Type="http://schemas.openxmlformats.org/officeDocument/2006/relationships/header" Target="header106.xml"/><Relationship Id="rId27" Type="http://schemas.openxmlformats.org/officeDocument/2006/relationships/hyperlink" Target="http://www.alliancebernstein.com/go/ABFCPIExclusionChart" TargetMode="External"/><Relationship Id="rId48" Type="http://schemas.openxmlformats.org/officeDocument/2006/relationships/header" Target="header13.xml"/><Relationship Id="rId69" Type="http://schemas.openxmlformats.org/officeDocument/2006/relationships/hyperlink" Target="http://www.alliancebernstein.com/" TargetMode="External"/><Relationship Id="rId113" Type="http://schemas.openxmlformats.org/officeDocument/2006/relationships/hyperlink" Target="http://www.alliancebernstein.com/" TargetMode="External"/><Relationship Id="rId134" Type="http://schemas.openxmlformats.org/officeDocument/2006/relationships/header" Target="header43.xml"/><Relationship Id="rId320" Type="http://schemas.openxmlformats.org/officeDocument/2006/relationships/hyperlink" Target="http://www.alliancebernstein.com/go/renumeration_policy" TargetMode="External"/><Relationship Id="rId80" Type="http://schemas.openxmlformats.org/officeDocument/2006/relationships/footer" Target="footer24.xml"/><Relationship Id="rId155" Type="http://schemas.openxmlformats.org/officeDocument/2006/relationships/footer" Target="footer49.xml"/><Relationship Id="rId176" Type="http://schemas.openxmlformats.org/officeDocument/2006/relationships/hyperlink" Target="http://www.mdbg.net/chindict/chindict.php?page=worddict&amp;wdrst=1&amp;wdqb=have" TargetMode="External"/><Relationship Id="rId197" Type="http://schemas.openxmlformats.org/officeDocument/2006/relationships/header" Target="header65.xml"/><Relationship Id="rId341" Type="http://schemas.openxmlformats.org/officeDocument/2006/relationships/footer" Target="footer112.xml"/><Relationship Id="rId362" Type="http://schemas.openxmlformats.org/officeDocument/2006/relationships/footer" Target="footer123.xml"/><Relationship Id="rId383" Type="http://schemas.openxmlformats.org/officeDocument/2006/relationships/header" Target="header129.xml"/><Relationship Id="rId201" Type="http://schemas.openxmlformats.org/officeDocument/2006/relationships/footer" Target="footer66.xml"/><Relationship Id="rId222" Type="http://schemas.openxmlformats.org/officeDocument/2006/relationships/hyperlink" Target="http://siteresources.worldbank.org/DATASTATISTICS/Resources/CLASS.XLS" TargetMode="External"/><Relationship Id="rId243" Type="http://schemas.openxmlformats.org/officeDocument/2006/relationships/header" Target="header80.xml"/><Relationship Id="rId264" Type="http://schemas.openxmlformats.org/officeDocument/2006/relationships/footer" Target="footer86.xml"/><Relationship Id="rId285" Type="http://schemas.openxmlformats.org/officeDocument/2006/relationships/header" Target="header94.xml"/><Relationship Id="rId17" Type="http://schemas.openxmlformats.org/officeDocument/2006/relationships/hyperlink" Target="http://www.alliancebernstein.com/" TargetMode="External"/><Relationship Id="rId38" Type="http://schemas.openxmlformats.org/officeDocument/2006/relationships/header" Target="header11.xml"/><Relationship Id="rId59" Type="http://schemas.openxmlformats.org/officeDocument/2006/relationships/footer" Target="footer18.xml"/><Relationship Id="rId103" Type="http://schemas.openxmlformats.org/officeDocument/2006/relationships/hyperlink" Target="http://www.alliancebernstein.com/" TargetMode="External"/><Relationship Id="rId124" Type="http://schemas.openxmlformats.org/officeDocument/2006/relationships/header" Target="header41.xml"/><Relationship Id="rId310" Type="http://schemas.openxmlformats.org/officeDocument/2006/relationships/header" Target="header107.xml"/><Relationship Id="rId70" Type="http://schemas.openxmlformats.org/officeDocument/2006/relationships/hyperlink" Target="http://www.alliancebernstein.com/go/ABFCPIExclusionChart" TargetMode="External"/><Relationship Id="rId91" Type="http://schemas.openxmlformats.org/officeDocument/2006/relationships/header" Target="header28.xml"/><Relationship Id="rId145" Type="http://schemas.openxmlformats.org/officeDocument/2006/relationships/footer" Target="footer47.xml"/><Relationship Id="rId166" Type="http://schemas.openxmlformats.org/officeDocument/2006/relationships/footer" Target="footer54.xml"/><Relationship Id="rId187" Type="http://schemas.openxmlformats.org/officeDocument/2006/relationships/footer" Target="footer60.xml"/><Relationship Id="rId331" Type="http://schemas.openxmlformats.org/officeDocument/2006/relationships/header" Target="header111.xml"/><Relationship Id="rId352" Type="http://schemas.openxmlformats.org/officeDocument/2006/relationships/header" Target="header119.xml"/><Relationship Id="rId373" Type="http://schemas.openxmlformats.org/officeDocument/2006/relationships/footer" Target="footer124.xml"/><Relationship Id="rId1" Type="http://schemas.openxmlformats.org/officeDocument/2006/relationships/numbering" Target="numbering.xml"/><Relationship Id="rId212" Type="http://schemas.openxmlformats.org/officeDocument/2006/relationships/footer" Target="footer69.xml"/><Relationship Id="rId233" Type="http://schemas.openxmlformats.org/officeDocument/2006/relationships/hyperlink" Target="http://www.alliancebernstein.com/" TargetMode="External"/><Relationship Id="rId254" Type="http://schemas.openxmlformats.org/officeDocument/2006/relationships/header" Target="header83.xml"/><Relationship Id="rId28" Type="http://schemas.openxmlformats.org/officeDocument/2006/relationships/hyperlink" Target="http://www.alliancebernstein.com/go/ABFCPIExclusionChart" TargetMode="External"/><Relationship Id="rId49" Type="http://schemas.openxmlformats.org/officeDocument/2006/relationships/header" Target="header14.xml"/><Relationship Id="rId114" Type="http://schemas.openxmlformats.org/officeDocument/2006/relationships/hyperlink" Target="http://www.alliancebernstein.com/" TargetMode="External"/><Relationship Id="rId275" Type="http://schemas.openxmlformats.org/officeDocument/2006/relationships/hyperlink" Target="http://www.alliancebernstein.com/" TargetMode="External"/><Relationship Id="rId296" Type="http://schemas.openxmlformats.org/officeDocument/2006/relationships/footer" Target="footer99.xml"/><Relationship Id="rId300" Type="http://schemas.openxmlformats.org/officeDocument/2006/relationships/footer" Target="footer101.xml"/><Relationship Id="rId60" Type="http://schemas.openxmlformats.org/officeDocument/2006/relationships/hyperlink" Target="http://www.alliancebernstein.com/" TargetMode="External"/><Relationship Id="rId81" Type="http://schemas.openxmlformats.org/officeDocument/2006/relationships/hyperlink" Target="http://www.alliancebernstein.com/" TargetMode="External"/><Relationship Id="rId135" Type="http://schemas.openxmlformats.org/officeDocument/2006/relationships/header" Target="header44.xml"/><Relationship Id="rId156" Type="http://schemas.openxmlformats.org/officeDocument/2006/relationships/footer" Target="footer50.xml"/><Relationship Id="rId177" Type="http://schemas.openxmlformats.org/officeDocument/2006/relationships/hyperlink" Target="http://www.alliancebernstein.com/go/ABFCPIExclusionChart" TargetMode="External"/><Relationship Id="rId198" Type="http://schemas.openxmlformats.org/officeDocument/2006/relationships/footer" Target="footer64.xml"/><Relationship Id="rId321" Type="http://schemas.openxmlformats.org/officeDocument/2006/relationships/hyperlink" Target="https://www.bbh.com/en-us/investor-services/custody-and-fund-services/depositary-and-trustee" TargetMode="External"/><Relationship Id="rId342" Type="http://schemas.openxmlformats.org/officeDocument/2006/relationships/footer" Target="footer113.xml"/><Relationship Id="rId363" Type="http://schemas.openxmlformats.org/officeDocument/2006/relationships/hyperlink" Target="https://www.alliancebernstein.com/corporate-responsibility/responsible-investing.htm" TargetMode="External"/><Relationship Id="rId384" Type="http://schemas.openxmlformats.org/officeDocument/2006/relationships/footer" Target="footer129.xml"/><Relationship Id="rId202" Type="http://schemas.openxmlformats.org/officeDocument/2006/relationships/hyperlink" Target="http://www.alliancebernstein.com/go/ABFCPIExclusionChart" TargetMode="External"/><Relationship Id="rId223" Type="http://schemas.openxmlformats.org/officeDocument/2006/relationships/hyperlink" Target="http://www.alliancebernstein.com/go/ABFCPIExclusionChart" TargetMode="External"/><Relationship Id="rId244" Type="http://schemas.openxmlformats.org/officeDocument/2006/relationships/footer" Target="footer79.xml"/><Relationship Id="rId18" Type="http://schemas.openxmlformats.org/officeDocument/2006/relationships/hyperlink" Target="http://www.alliancebernstein.com/" TargetMode="External"/><Relationship Id="rId39" Type="http://schemas.openxmlformats.org/officeDocument/2006/relationships/footer" Target="footer10.xml"/><Relationship Id="rId265" Type="http://schemas.openxmlformats.org/officeDocument/2006/relationships/header" Target="header87.xml"/><Relationship Id="rId286" Type="http://schemas.openxmlformats.org/officeDocument/2006/relationships/header" Target="header95.xml"/><Relationship Id="rId50" Type="http://schemas.openxmlformats.org/officeDocument/2006/relationships/footer" Target="footer13.xml"/><Relationship Id="rId104" Type="http://schemas.openxmlformats.org/officeDocument/2006/relationships/hyperlink" Target="http://www.alliancebernstein.com/" TargetMode="External"/><Relationship Id="rId125" Type="http://schemas.openxmlformats.org/officeDocument/2006/relationships/footer" Target="footer40.xml"/><Relationship Id="rId146" Type="http://schemas.openxmlformats.org/officeDocument/2006/relationships/header" Target="header48.xml"/><Relationship Id="rId167" Type="http://schemas.openxmlformats.org/officeDocument/2006/relationships/hyperlink" Target="http://www.alliancebernstein.com/" TargetMode="External"/><Relationship Id="rId188" Type="http://schemas.openxmlformats.org/officeDocument/2006/relationships/header" Target="header61.xml"/><Relationship Id="rId311" Type="http://schemas.openxmlformats.org/officeDocument/2006/relationships/footer" Target="footer106.xml"/><Relationship Id="rId332" Type="http://schemas.openxmlformats.org/officeDocument/2006/relationships/footer" Target="footer111.xml"/><Relationship Id="rId353" Type="http://schemas.openxmlformats.org/officeDocument/2006/relationships/footer" Target="footer118.xml"/><Relationship Id="rId374" Type="http://schemas.openxmlformats.org/officeDocument/2006/relationships/footer" Target="footer125.xml"/><Relationship Id="rId71" Type="http://schemas.openxmlformats.org/officeDocument/2006/relationships/hyperlink" Target="http://www.alliancebernstein.com/go/ABFCPIExclusionChart" TargetMode="External"/><Relationship Id="rId92" Type="http://schemas.openxmlformats.org/officeDocument/2006/relationships/header" Target="header29.xml"/><Relationship Id="rId213" Type="http://schemas.openxmlformats.org/officeDocument/2006/relationships/hyperlink" Target="http://www.alliancebernstein.com/" TargetMode="External"/><Relationship Id="rId234" Type="http://schemas.openxmlformats.org/officeDocument/2006/relationships/hyperlink" Target="http://www.alliancebernstein.com/" TargetMode="External"/><Relationship Id="rId2" Type="http://schemas.openxmlformats.org/officeDocument/2006/relationships/styles" Target="styles.xml"/><Relationship Id="rId29" Type="http://schemas.openxmlformats.org/officeDocument/2006/relationships/header" Target="header7.xml"/><Relationship Id="rId255" Type="http://schemas.openxmlformats.org/officeDocument/2006/relationships/footer" Target="footer82.xml"/><Relationship Id="rId276" Type="http://schemas.openxmlformats.org/officeDocument/2006/relationships/hyperlink" Target="http://www.alliancebernstein.com/" TargetMode="External"/><Relationship Id="rId297" Type="http://schemas.openxmlformats.org/officeDocument/2006/relationships/header" Target="header100.xml"/><Relationship Id="rId40" Type="http://schemas.openxmlformats.org/officeDocument/2006/relationships/footer" Target="footer11.xml"/><Relationship Id="rId115" Type="http://schemas.openxmlformats.org/officeDocument/2006/relationships/header" Target="header37.xml"/><Relationship Id="rId136" Type="http://schemas.openxmlformats.org/officeDocument/2006/relationships/footer" Target="footer43.xml"/><Relationship Id="rId157" Type="http://schemas.openxmlformats.org/officeDocument/2006/relationships/header" Target="header51.xml"/><Relationship Id="rId178" Type="http://schemas.openxmlformats.org/officeDocument/2006/relationships/hyperlink" Target="http://www.alliancebernstein.com/go/ABFCPIExclusionChart" TargetMode="External"/><Relationship Id="rId301" Type="http://schemas.openxmlformats.org/officeDocument/2006/relationships/header" Target="header102.xml"/><Relationship Id="rId322" Type="http://schemas.openxmlformats.org/officeDocument/2006/relationships/hyperlink" Target="https://www.bbh.com/en-us/investor-services/custody-and-fund-services/depositary-and-trustee" TargetMode="External"/><Relationship Id="rId343" Type="http://schemas.openxmlformats.org/officeDocument/2006/relationships/header" Target="header114.xml"/><Relationship Id="rId364" Type="http://schemas.openxmlformats.org/officeDocument/2006/relationships/hyperlink" Target="https://www.alliancebernstein.com/corporate-responsibility/responsible-investing.htm" TargetMode="External"/><Relationship Id="rId61" Type="http://schemas.openxmlformats.org/officeDocument/2006/relationships/hyperlink" Target="http://www.alliancebernstein.com/" TargetMode="External"/><Relationship Id="rId82" Type="http://schemas.openxmlformats.org/officeDocument/2006/relationships/hyperlink" Target="http://www.alliancebernstein.com/" TargetMode="External"/><Relationship Id="rId199" Type="http://schemas.openxmlformats.org/officeDocument/2006/relationships/footer" Target="footer65.xml"/><Relationship Id="rId203" Type="http://schemas.openxmlformats.org/officeDocument/2006/relationships/hyperlink" Target="http://www.alliancebernstein.com/go/ABFCPIExclusionChart" TargetMode="External"/><Relationship Id="rId385" Type="http://schemas.openxmlformats.org/officeDocument/2006/relationships/fontTable" Target="fontTable.xml"/><Relationship Id="rId19" Type="http://schemas.openxmlformats.org/officeDocument/2006/relationships/header" Target="header4.xml"/><Relationship Id="rId224" Type="http://schemas.openxmlformats.org/officeDocument/2006/relationships/hyperlink" Target="http://www.alliancebernstein.com/go/ABFCPIExclusionChart" TargetMode="External"/><Relationship Id="rId245" Type="http://schemas.openxmlformats.org/officeDocument/2006/relationships/footer" Target="footer80.xml"/><Relationship Id="rId266" Type="http://schemas.openxmlformats.org/officeDocument/2006/relationships/footer" Target="footer87.xml"/><Relationship Id="rId287" Type="http://schemas.openxmlformats.org/officeDocument/2006/relationships/footer" Target="footer94.xml"/><Relationship Id="rId30" Type="http://schemas.openxmlformats.org/officeDocument/2006/relationships/header" Target="header8.xml"/><Relationship Id="rId105" Type="http://schemas.openxmlformats.org/officeDocument/2006/relationships/hyperlink" Target="http://www.alliancebernstein.com/go/ABFCPIExclusionChart%E3%80%82" TargetMode="External"/><Relationship Id="rId126" Type="http://schemas.openxmlformats.org/officeDocument/2006/relationships/footer" Target="footer41.xml"/><Relationship Id="rId147" Type="http://schemas.openxmlformats.org/officeDocument/2006/relationships/footer" Target="footer48.xml"/><Relationship Id="rId168" Type="http://schemas.openxmlformats.org/officeDocument/2006/relationships/hyperlink" Target="http://www.alliancebernstein.com/" TargetMode="External"/><Relationship Id="rId312" Type="http://schemas.openxmlformats.org/officeDocument/2006/relationships/footer" Target="footer107.xml"/><Relationship Id="rId333" Type="http://schemas.openxmlformats.org/officeDocument/2006/relationships/hyperlink" Target="http://www.eifs.lu/alliancebernstein" TargetMode="External"/><Relationship Id="rId354" Type="http://schemas.openxmlformats.org/officeDocument/2006/relationships/footer" Target="footer119.xml"/><Relationship Id="rId51" Type="http://schemas.openxmlformats.org/officeDocument/2006/relationships/footer" Target="footer14.xml"/><Relationship Id="rId72" Type="http://schemas.openxmlformats.org/officeDocument/2006/relationships/hyperlink" Target="http://www.alliancebernstein.com/go/ABFCPIExclusionChart" TargetMode="External"/><Relationship Id="rId93" Type="http://schemas.openxmlformats.org/officeDocument/2006/relationships/footer" Target="footer28.xml"/><Relationship Id="rId189" Type="http://schemas.openxmlformats.org/officeDocument/2006/relationships/header" Target="header62.xml"/><Relationship Id="rId375" Type="http://schemas.openxmlformats.org/officeDocument/2006/relationships/header" Target="header126.xml"/><Relationship Id="rId3" Type="http://schemas.openxmlformats.org/officeDocument/2006/relationships/settings" Target="settings.xml"/><Relationship Id="rId214" Type="http://schemas.openxmlformats.org/officeDocument/2006/relationships/hyperlink" Target="http://www.alliancebernstein.com/" TargetMode="External"/><Relationship Id="rId235" Type="http://schemas.openxmlformats.org/officeDocument/2006/relationships/hyperlink" Target="http://www.alliancebernstein.com/" TargetMode="External"/><Relationship Id="rId256" Type="http://schemas.openxmlformats.org/officeDocument/2006/relationships/footer" Target="footer83.xml"/><Relationship Id="rId277" Type="http://schemas.openxmlformats.org/officeDocument/2006/relationships/hyperlink" Target="http://www.mdbg.net/chindict/chindict.php?page=worddict&amp;wdrst=1&amp;wdqb=hold" TargetMode="External"/><Relationship Id="rId298" Type="http://schemas.openxmlformats.org/officeDocument/2006/relationships/header" Target="header101.xml"/><Relationship Id="rId116" Type="http://schemas.openxmlformats.org/officeDocument/2006/relationships/header" Target="header38.xml"/><Relationship Id="rId137" Type="http://schemas.openxmlformats.org/officeDocument/2006/relationships/footer" Target="footer44.xml"/><Relationship Id="rId158" Type="http://schemas.openxmlformats.org/officeDocument/2006/relationships/footer" Target="footer51.xml"/><Relationship Id="rId302" Type="http://schemas.openxmlformats.org/officeDocument/2006/relationships/footer" Target="footer102.xml"/><Relationship Id="rId323" Type="http://schemas.openxmlformats.org/officeDocument/2006/relationships/hyperlink" Target="https://www.bbh.com/en-us/investor-services/custody-and-fund-services/depositary-and-trustee" TargetMode="External"/><Relationship Id="rId344" Type="http://schemas.openxmlformats.org/officeDocument/2006/relationships/footer" Target="footer114.xml"/><Relationship Id="rId20" Type="http://schemas.openxmlformats.org/officeDocument/2006/relationships/header" Target="header5.xml"/><Relationship Id="rId41" Type="http://schemas.openxmlformats.org/officeDocument/2006/relationships/header" Target="header12.xml"/><Relationship Id="rId62" Type="http://schemas.openxmlformats.org/officeDocument/2006/relationships/header" Target="header19.xml"/><Relationship Id="rId83" Type="http://schemas.openxmlformats.org/officeDocument/2006/relationships/header" Target="header25.xml"/><Relationship Id="rId179" Type="http://schemas.openxmlformats.org/officeDocument/2006/relationships/hyperlink" Target="http://www.alliancebernstein.com/go/ABFCPIExclusionChart" TargetMode="External"/><Relationship Id="rId365" Type="http://schemas.openxmlformats.org/officeDocument/2006/relationships/hyperlink" Target="https://www.alliancebernstein.com/corporate-responsibility/responsible-investing.htm" TargetMode="External"/><Relationship Id="rId386" Type="http://schemas.openxmlformats.org/officeDocument/2006/relationships/theme" Target="theme/theme1.xml"/><Relationship Id="rId190" Type="http://schemas.openxmlformats.org/officeDocument/2006/relationships/footer" Target="footer61.xml"/><Relationship Id="rId204" Type="http://schemas.openxmlformats.org/officeDocument/2006/relationships/hyperlink" Target="http://www.alliancebernstein.com/go/ABFCPIExclusionChart" TargetMode="External"/><Relationship Id="rId225" Type="http://schemas.openxmlformats.org/officeDocument/2006/relationships/hyperlink" Target="http://www.alliancebernstein.com/go/ABFCPIExclusionChart" TargetMode="External"/><Relationship Id="rId246" Type="http://schemas.openxmlformats.org/officeDocument/2006/relationships/header" Target="header81.xml"/><Relationship Id="rId267" Type="http://schemas.openxmlformats.org/officeDocument/2006/relationships/header" Target="header88.xml"/><Relationship Id="rId288" Type="http://schemas.openxmlformats.org/officeDocument/2006/relationships/footer" Target="footer95.xml"/><Relationship Id="rId106" Type="http://schemas.openxmlformats.org/officeDocument/2006/relationships/hyperlink" Target="http://www.alliancebernstein.com/go/ABFCPIExclusionChart%E3%80%82" TargetMode="External"/><Relationship Id="rId127" Type="http://schemas.openxmlformats.org/officeDocument/2006/relationships/header" Target="header42.xml"/><Relationship Id="rId313" Type="http://schemas.openxmlformats.org/officeDocument/2006/relationships/header" Target="header108.xml"/><Relationship Id="rId10" Type="http://schemas.openxmlformats.org/officeDocument/2006/relationships/header" Target="header1.xml"/><Relationship Id="rId31" Type="http://schemas.openxmlformats.org/officeDocument/2006/relationships/footer" Target="footer7.xml"/><Relationship Id="rId52" Type="http://schemas.openxmlformats.org/officeDocument/2006/relationships/header" Target="header15.xml"/><Relationship Id="rId73" Type="http://schemas.openxmlformats.org/officeDocument/2006/relationships/hyperlink" Target="http://www.alliancebernstein.com/" TargetMode="External"/><Relationship Id="rId94" Type="http://schemas.openxmlformats.org/officeDocument/2006/relationships/footer" Target="footer29.xml"/><Relationship Id="rId148" Type="http://schemas.openxmlformats.org/officeDocument/2006/relationships/hyperlink" Target="http://www.alliancebernstein.com/" TargetMode="External"/><Relationship Id="rId169" Type="http://schemas.openxmlformats.org/officeDocument/2006/relationships/header" Target="header55.xml"/><Relationship Id="rId334" Type="http://schemas.openxmlformats.org/officeDocument/2006/relationships/hyperlink" Target="http://www.eifs.lu/alliancebernstein" TargetMode="External"/><Relationship Id="rId355" Type="http://schemas.openxmlformats.org/officeDocument/2006/relationships/header" Target="header120.xml"/><Relationship Id="rId376" Type="http://schemas.openxmlformats.org/officeDocument/2006/relationships/footer" Target="footer126.xml"/><Relationship Id="rId4" Type="http://schemas.openxmlformats.org/officeDocument/2006/relationships/webSettings" Target="webSettings.xml"/><Relationship Id="rId180" Type="http://schemas.openxmlformats.org/officeDocument/2006/relationships/hyperlink" Target="http://www.alliancebernstein.com/" TargetMode="External"/><Relationship Id="rId215" Type="http://schemas.openxmlformats.org/officeDocument/2006/relationships/header" Target="header70.xml"/><Relationship Id="rId236" Type="http://schemas.openxmlformats.org/officeDocument/2006/relationships/header" Target="header76.xml"/><Relationship Id="rId257" Type="http://schemas.openxmlformats.org/officeDocument/2006/relationships/header" Target="header84.xml"/><Relationship Id="rId278" Type="http://schemas.openxmlformats.org/officeDocument/2006/relationships/hyperlink" Target="http://www.mdbg.net/chindict/chindict.php?page=worddict&amp;wdrst=1&amp;wdqb=have" TargetMode="External"/><Relationship Id="rId303" Type="http://schemas.openxmlformats.org/officeDocument/2006/relationships/header" Target="header103.xml"/><Relationship Id="rId42" Type="http://schemas.openxmlformats.org/officeDocument/2006/relationships/footer" Target="footer12.xml"/><Relationship Id="rId84" Type="http://schemas.openxmlformats.org/officeDocument/2006/relationships/header" Target="header26.xml"/><Relationship Id="rId138" Type="http://schemas.openxmlformats.org/officeDocument/2006/relationships/header" Target="header45.xml"/><Relationship Id="rId345" Type="http://schemas.openxmlformats.org/officeDocument/2006/relationships/header" Target="header115.xml"/><Relationship Id="rId191" Type="http://schemas.openxmlformats.org/officeDocument/2006/relationships/footer" Target="footer62.xml"/><Relationship Id="rId205" Type="http://schemas.openxmlformats.org/officeDocument/2006/relationships/hyperlink" Target="http://www.alliancebernstein.com/" TargetMode="External"/><Relationship Id="rId247" Type="http://schemas.openxmlformats.org/officeDocument/2006/relationships/footer" Target="footer81.xml"/><Relationship Id="rId107" Type="http://schemas.openxmlformats.org/officeDocument/2006/relationships/header" Target="header34.xml"/><Relationship Id="rId289" Type="http://schemas.openxmlformats.org/officeDocument/2006/relationships/header" Target="header96.xml"/><Relationship Id="rId11" Type="http://schemas.openxmlformats.org/officeDocument/2006/relationships/header" Target="header2.xml"/><Relationship Id="rId53" Type="http://schemas.openxmlformats.org/officeDocument/2006/relationships/footer" Target="footer15.xml"/><Relationship Id="rId149" Type="http://schemas.openxmlformats.org/officeDocument/2006/relationships/hyperlink" Target="http://www.alliancebernstein.com/" TargetMode="External"/><Relationship Id="rId314" Type="http://schemas.openxmlformats.org/officeDocument/2006/relationships/footer" Target="footer108.xml"/><Relationship Id="rId356" Type="http://schemas.openxmlformats.org/officeDocument/2006/relationships/footer" Target="footer120.xml"/><Relationship Id="rId95" Type="http://schemas.openxmlformats.org/officeDocument/2006/relationships/header" Target="header30.xml"/><Relationship Id="rId160" Type="http://schemas.openxmlformats.org/officeDocument/2006/relationships/hyperlink" Target="http://www.alliancebernstein.com/" TargetMode="External"/><Relationship Id="rId216" Type="http://schemas.openxmlformats.org/officeDocument/2006/relationships/header" Target="header71.xml"/><Relationship Id="rId258" Type="http://schemas.openxmlformats.org/officeDocument/2006/relationships/footer" Target="footer84.xml"/><Relationship Id="rId22" Type="http://schemas.openxmlformats.org/officeDocument/2006/relationships/footer" Target="footer5.xml"/><Relationship Id="rId64" Type="http://schemas.openxmlformats.org/officeDocument/2006/relationships/footer" Target="footer19.xml"/><Relationship Id="rId118" Type="http://schemas.openxmlformats.org/officeDocument/2006/relationships/footer" Target="footer38.xml"/><Relationship Id="rId325" Type="http://schemas.openxmlformats.org/officeDocument/2006/relationships/hyperlink" Target="http://www.alliancebernstein.com/" TargetMode="External"/><Relationship Id="rId367" Type="http://schemas.openxmlformats.org/officeDocument/2006/relationships/hyperlink" Target="https://www.alliancebernstein.com/content/dam/corporate/corporate-pdfs/ABGlobalStewardship.pdf" TargetMode="External"/><Relationship Id="rId171" Type="http://schemas.openxmlformats.org/officeDocument/2006/relationships/footer" Target="footer55.xml"/><Relationship Id="rId227" Type="http://schemas.openxmlformats.org/officeDocument/2006/relationships/header" Target="header74.xml"/><Relationship Id="rId269" Type="http://schemas.openxmlformats.org/officeDocument/2006/relationships/footer" Target="footer88.xml"/><Relationship Id="rId33" Type="http://schemas.openxmlformats.org/officeDocument/2006/relationships/header" Target="header9.xml"/><Relationship Id="rId129" Type="http://schemas.openxmlformats.org/officeDocument/2006/relationships/hyperlink" Target="http://www.alliancebernstein.com/" TargetMode="External"/><Relationship Id="rId280" Type="http://schemas.openxmlformats.org/officeDocument/2006/relationships/header" Target="header92.xml"/><Relationship Id="rId336" Type="http://schemas.openxmlformats.org/officeDocument/2006/relationships/hyperlink" Target="http://www.eifs.lu/alliancebernstein" TargetMode="External"/><Relationship Id="rId75" Type="http://schemas.openxmlformats.org/officeDocument/2006/relationships/header" Target="header22.xml"/><Relationship Id="rId140" Type="http://schemas.openxmlformats.org/officeDocument/2006/relationships/hyperlink" Target="http://www.alliancebernstein.com/" TargetMode="External"/><Relationship Id="rId182" Type="http://schemas.openxmlformats.org/officeDocument/2006/relationships/header" Target="header58.xml"/><Relationship Id="rId378" Type="http://schemas.openxmlformats.org/officeDocument/2006/relationships/hyperlink" Target="http://www.alliancebernstein.com/" TargetMode="External"/><Relationship Id="rId6" Type="http://schemas.openxmlformats.org/officeDocument/2006/relationships/endnotes" Target="endnotes.xml"/><Relationship Id="rId238" Type="http://schemas.openxmlformats.org/officeDocument/2006/relationships/footer" Target="footer76.xml"/><Relationship Id="rId291" Type="http://schemas.openxmlformats.org/officeDocument/2006/relationships/header" Target="header97.xml"/><Relationship Id="rId305" Type="http://schemas.openxmlformats.org/officeDocument/2006/relationships/footer" Target="footer103.xml"/><Relationship Id="rId347" Type="http://schemas.openxmlformats.org/officeDocument/2006/relationships/footer" Target="footer115.xml"/><Relationship Id="rId44" Type="http://schemas.openxmlformats.org/officeDocument/2006/relationships/hyperlink" Target="http://www.alliancebernstein.com/" TargetMode="External"/><Relationship Id="rId86" Type="http://schemas.openxmlformats.org/officeDocument/2006/relationships/footer" Target="footer26.xml"/><Relationship Id="rId151" Type="http://schemas.openxmlformats.org/officeDocument/2006/relationships/hyperlink" Target="http://www.alliancebernstein.com/go/ABFCPIExclusionChart" TargetMode="External"/><Relationship Id="rId193" Type="http://schemas.openxmlformats.org/officeDocument/2006/relationships/footer" Target="footer63.xml"/><Relationship Id="rId207" Type="http://schemas.openxmlformats.org/officeDocument/2006/relationships/header" Target="header67.xml"/><Relationship Id="rId249" Type="http://schemas.openxmlformats.org/officeDocument/2006/relationships/hyperlink" Target="http://www.alliancebernstein.com/go/ABFCPIExclusionChart" TargetMode="External"/><Relationship Id="rId13" Type="http://schemas.openxmlformats.org/officeDocument/2006/relationships/footer" Target="footer2.xml"/><Relationship Id="rId109" Type="http://schemas.openxmlformats.org/officeDocument/2006/relationships/footer" Target="footer34.xml"/><Relationship Id="rId260" Type="http://schemas.openxmlformats.org/officeDocument/2006/relationships/hyperlink" Target="http://www.alliancebernstein.com/" TargetMode="External"/><Relationship Id="rId316" Type="http://schemas.openxmlformats.org/officeDocument/2006/relationships/hyperlink" Target="http://www.alliancebernstein.com/" TargetMode="External"/><Relationship Id="rId55" Type="http://schemas.openxmlformats.org/officeDocument/2006/relationships/header" Target="header17.xml"/><Relationship Id="rId97" Type="http://schemas.openxmlformats.org/officeDocument/2006/relationships/header" Target="header31.xml"/><Relationship Id="rId120" Type="http://schemas.openxmlformats.org/officeDocument/2006/relationships/footer" Target="footer39.xml"/><Relationship Id="rId358" Type="http://schemas.openxmlformats.org/officeDocument/2006/relationships/header" Target="header122.xml"/><Relationship Id="rId162" Type="http://schemas.openxmlformats.org/officeDocument/2006/relationships/header" Target="header53.xml"/><Relationship Id="rId218" Type="http://schemas.openxmlformats.org/officeDocument/2006/relationships/footer" Target="footer71.xml"/><Relationship Id="rId271" Type="http://schemas.openxmlformats.org/officeDocument/2006/relationships/header" Target="header90.xml"/><Relationship Id="rId24" Type="http://schemas.openxmlformats.org/officeDocument/2006/relationships/footer" Target="footer6.xml"/><Relationship Id="rId66" Type="http://schemas.openxmlformats.org/officeDocument/2006/relationships/header" Target="header21.xml"/><Relationship Id="rId131" Type="http://schemas.openxmlformats.org/officeDocument/2006/relationships/hyperlink" Target="http://www.alliancebernstein.com/go/ABFCPIExclusionChart" TargetMode="External"/><Relationship Id="rId327" Type="http://schemas.openxmlformats.org/officeDocument/2006/relationships/header" Target="header109.xml"/><Relationship Id="rId369" Type="http://schemas.openxmlformats.org/officeDocument/2006/relationships/hyperlink" Target="https://www.alliancebernstein.com/content/dam/corporate/corporate-pdfs/ABGlobalStewardship.pdf" TargetMode="External"/><Relationship Id="rId173" Type="http://schemas.openxmlformats.org/officeDocument/2006/relationships/header" Target="header57.xml"/><Relationship Id="rId229" Type="http://schemas.openxmlformats.org/officeDocument/2006/relationships/footer" Target="footer74.xml"/><Relationship Id="rId380" Type="http://schemas.openxmlformats.org/officeDocument/2006/relationships/header" Target="header128.xml"/><Relationship Id="rId240" Type="http://schemas.openxmlformats.org/officeDocument/2006/relationships/header" Target="header78.xml"/><Relationship Id="rId35" Type="http://schemas.openxmlformats.org/officeDocument/2006/relationships/hyperlink" Target="http://www.alliancebernstein.com/" TargetMode="External"/><Relationship Id="rId77" Type="http://schemas.openxmlformats.org/officeDocument/2006/relationships/footer" Target="footer22.xml"/><Relationship Id="rId100" Type="http://schemas.openxmlformats.org/officeDocument/2006/relationships/footer" Target="footer32.xml"/><Relationship Id="rId282" Type="http://schemas.openxmlformats.org/officeDocument/2006/relationships/footer" Target="footer92.xml"/><Relationship Id="rId338" Type="http://schemas.openxmlformats.org/officeDocument/2006/relationships/hyperlink" Target="http://www.eifs.lu/alliancebernstein" TargetMode="External"/><Relationship Id="rId8" Type="http://schemas.openxmlformats.org/officeDocument/2006/relationships/hyperlink" Target="http://www.abglobal.com.hk/" TargetMode="External"/><Relationship Id="rId142" Type="http://schemas.openxmlformats.org/officeDocument/2006/relationships/header" Target="header46.xml"/><Relationship Id="rId184" Type="http://schemas.openxmlformats.org/officeDocument/2006/relationships/footer" Target="footer58.xml"/><Relationship Id="rId251" Type="http://schemas.openxmlformats.org/officeDocument/2006/relationships/hyperlink" Target="http://www.alliancebernstein.com/" TargetMode="External"/><Relationship Id="rId46" Type="http://schemas.openxmlformats.org/officeDocument/2006/relationships/hyperlink" Target="http://www.alliancebernstein.com/go/ABFCPIExclusionChart" TargetMode="External"/><Relationship Id="rId293" Type="http://schemas.openxmlformats.org/officeDocument/2006/relationships/footer" Target="footer97.xml"/><Relationship Id="rId307" Type="http://schemas.openxmlformats.org/officeDocument/2006/relationships/header" Target="header105.xml"/><Relationship Id="rId349" Type="http://schemas.openxmlformats.org/officeDocument/2006/relationships/header" Target="header117.xml"/><Relationship Id="rId88" Type="http://schemas.openxmlformats.org/officeDocument/2006/relationships/footer" Target="footer27.xml"/><Relationship Id="rId111" Type="http://schemas.openxmlformats.org/officeDocument/2006/relationships/header" Target="header36.xml"/><Relationship Id="rId153" Type="http://schemas.openxmlformats.org/officeDocument/2006/relationships/header" Target="header49.xml"/><Relationship Id="rId195" Type="http://schemas.openxmlformats.org/officeDocument/2006/relationships/hyperlink" Target="http://www.alliancebernstein.com/" TargetMode="External"/><Relationship Id="rId209" Type="http://schemas.openxmlformats.org/officeDocument/2006/relationships/footer" Target="footer67.xml"/><Relationship Id="rId360" Type="http://schemas.openxmlformats.org/officeDocument/2006/relationships/footer" Target="footer122.xml"/><Relationship Id="rId220" Type="http://schemas.openxmlformats.org/officeDocument/2006/relationships/footer" Target="footer72.xml"/><Relationship Id="rId15" Type="http://schemas.openxmlformats.org/officeDocument/2006/relationships/footer" Target="footer3.xml"/><Relationship Id="rId57" Type="http://schemas.openxmlformats.org/officeDocument/2006/relationships/footer" Target="footer17.xml"/><Relationship Id="rId262" Type="http://schemas.openxmlformats.org/officeDocument/2006/relationships/header" Target="header86.xml"/><Relationship Id="rId318" Type="http://schemas.openxmlformats.org/officeDocument/2006/relationships/hyperlink" Target="http://www.alliancebernstein.com/go/Sub-Inv-Manager-Affiliates" TargetMode="External"/><Relationship Id="rId99" Type="http://schemas.openxmlformats.org/officeDocument/2006/relationships/footer" Target="footer31.xml"/><Relationship Id="rId122" Type="http://schemas.openxmlformats.org/officeDocument/2006/relationships/hyperlink" Target="http://www.alliancebernstein.com/" TargetMode="External"/><Relationship Id="rId164" Type="http://schemas.openxmlformats.org/officeDocument/2006/relationships/footer" Target="footer53.xml"/><Relationship Id="rId371" Type="http://schemas.openxmlformats.org/officeDocument/2006/relationships/header" Target="header124.xml"/><Relationship Id="rId26" Type="http://schemas.openxmlformats.org/officeDocument/2006/relationships/hyperlink" Target="https://www.alliancebernstein.com/funds/abii/documents/annoucement/ab-lux-data-protection-disclosure-to-investors.pdf" TargetMode="External"/><Relationship Id="rId231" Type="http://schemas.openxmlformats.org/officeDocument/2006/relationships/footer" Target="footer75.xml"/><Relationship Id="rId273" Type="http://schemas.openxmlformats.org/officeDocument/2006/relationships/hyperlink" Target="http://www.alliancebernstein.com/" TargetMode="External"/><Relationship Id="rId329" Type="http://schemas.openxmlformats.org/officeDocument/2006/relationships/footer" Target="footer10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45040</Words>
  <Characters>256732</Characters>
  <Application>Microsoft Office Word</Application>
  <DocSecurity>0</DocSecurity>
  <Lines>2139</Lines>
  <Paragraphs>602</Paragraphs>
  <ScaleCrop>false</ScaleCrop>
  <HeadingPairs>
    <vt:vector size="2" baseType="variant">
      <vt:variant>
        <vt:lpstr>Title</vt:lpstr>
      </vt:variant>
      <vt:variant>
        <vt:i4>1</vt:i4>
      </vt:variant>
    </vt:vector>
  </HeadingPairs>
  <TitlesOfParts>
    <vt:vector size="1" baseType="lpstr">
      <vt:lpstr>[Chi] AB FCP I - Prospectus March 2023_(c38494612v1)(Eng ref 38494554v1)</vt:lpstr>
    </vt:vector>
  </TitlesOfParts>
  <Company/>
  <LinksUpToDate>false</LinksUpToDate>
  <CharactersWithSpaces>301170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 AB FCP I - Prospectus March 2023_(c38494612v1)(Eng ref 38494554v1)</dc:title>
  <dc:subject/>
  <dc:creator>Vinson Cheng</dc:creator>
  <cp:keywords/>
  <cp:lastModifiedBy>Storm</cp:lastModifiedBy>
  <cp:revision>3</cp:revision>
  <dcterms:created xsi:type="dcterms:W3CDTF">2023-08-05T14:15:00Z</dcterms:created>
  <dcterms:modified xsi:type="dcterms:W3CDTF">2023-08-05T14:15:00Z</dcterms:modified>
</cp:coreProperties>
</file>