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396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1A1A1A"/>
          <w:spacing w:val="0"/>
          <w:sz w:val="0"/>
          <w:szCs w:val="0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A1A1A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搜索</w:t>
      </w:r>
    </w:p>
    <w:p w14:paraId="13AAF9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48" w:afterAutospacing="0"/>
        <w:ind w:left="0" w:right="0"/>
        <w:rPr>
          <w:rFonts w:hint="eastAsia" w:ascii="微软雅黑" w:hAnsi="微软雅黑" w:eastAsia="微软雅黑" w:cs="微软雅黑"/>
          <w:b/>
          <w:bCs/>
          <w:color w:val="222226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36"/>
          <w:szCs w:val="36"/>
          <w:bdr w:val="none" w:color="auto" w:sz="0" w:space="0"/>
          <w:shd w:val="clear" w:fill="FFFFFF"/>
        </w:rPr>
        <w:t>Seedance 2.0 API接入实战指南：3小时完成合规对接，附可即用提示词模板库（含OpenAPI v3校验规则）</w:t>
      </w:r>
    </w:p>
    <w:p w14:paraId="381263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999AAA"/>
          <w:spacing w:val="0"/>
          <w:sz w:val="14"/>
          <w:szCs w:val="14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kern w:val="0"/>
          <w:sz w:val="14"/>
          <w:szCs w:val="14"/>
          <w:bdr w:val="none" w:color="auto" w:sz="0" w:space="0"/>
          <w:shd w:val="clear" w:fill="FFEEEA"/>
          <w:lang w:val="en-US" w:eastAsia="zh-CN" w:bidi="ar"/>
        </w:rPr>
        <w:t>原创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999AAA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于 2026-02-19 00:36:39 发布·1.3k 阅读·</w:t>
      </w:r>
    </w:p>
    <w:p w14:paraId="340762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60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4"/>
          <w:szCs w:val="24"/>
        </w:rPr>
      </w:pPr>
      <w:bookmarkStart w:id="0" w:name="t0"/>
      <w:bookmarkEnd w:id="0"/>
      <w:bookmarkStart w:id="21" w:name="_GoBack"/>
      <w:bookmarkEnd w:id="21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第一章：Seedance 2.0 API接入实战指南：3小时完成合规对接，附可即用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FC5531"/>
          <w:spacing w:val="0"/>
          <w:sz w:val="24"/>
          <w:szCs w:val="24"/>
          <w:bdr w:val="none" w:color="auto" w:sz="0" w:space="0"/>
          <w:shd w:val="clear" w:fill="FFFFFF"/>
        </w:rPr>
        <w:t>提示词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模板库（含OpenAPI v3校验规则）</w:t>
      </w:r>
    </w:p>
    <w:p w14:paraId="58D48D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1" w:name="t1"/>
      <w:bookmarkEnd w:id="1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前置准备与环境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FC5531"/>
          <w:spacing w:val="0"/>
          <w:sz w:val="21"/>
          <w:szCs w:val="21"/>
          <w:bdr w:val="none" w:color="auto" w:sz="0" w:space="0"/>
          <w:shd w:val="clear" w:fill="FFFFFF"/>
        </w:rPr>
        <w:t>初始化 </w:t>
      </w:r>
    </w:p>
    <w:p w14:paraId="63C6AB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确保本地已安装 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curl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、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jq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和 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openapi-cli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（v2.10+）。执行以下命令完成工具链校验：</w:t>
      </w:r>
    </w:p>
    <w:p w14:paraId="73B066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1C3B0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5C6370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# 验证 OpenAPI v3 规范兼容性</w:t>
      </w:r>
    </w:p>
    <w:p w14:paraId="16DD937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83A8AF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D5005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npm install -g @openapitools/openapi-cli</w:t>
      </w:r>
    </w:p>
    <w:p w14:paraId="29A99BF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5326E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2DEF9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openapi validate https://api.seedance.ai/v2/openapi.json</w:t>
      </w:r>
    </w:p>
    <w:p w14:paraId="580688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A9247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3475E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</w:t>
      </w:r>
    </w:p>
    <w:p w14:paraId="4477ABE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00B1D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178D3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5C6370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# 输出应显示：✅ Valid OpenAPI 3.0.3 definition</w:t>
      </w:r>
    </w:p>
    <w:p w14:paraId="04D22E9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0C6B11B">
      <w:pPr>
        <w:keepNext w:val="0"/>
        <w:keepLines w:val="0"/>
        <w:widowControl/>
        <w:suppressLineNumbers w:val="0"/>
        <w:pBdr>
          <w:top w:val="none" w:color="666666" w:sz="0" w:space="0"/>
          <w:left w:val="none" w:color="666666" w:sz="0" w:space="0"/>
          <w:bottom w:val="single" w:color="666666" w:sz="4" w:space="0"/>
          <w:right w:val="none" w:color="666666" w:sz="0" w:space="0"/>
        </w:pBdr>
        <w:shd w:val="clear" w:fill="282C34"/>
        <w:spacing w:before="0" w:beforeAutospacing="0" w:after="0" w:afterAutospacing="0" w:line="216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AI写代码</w:t>
      </w:r>
    </w:p>
    <w:p w14:paraId="53C656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2" w:name="t2"/>
      <w:bookmarkEnd w:id="2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身份认证与令牌获取</w:t>
      </w:r>
    </w:p>
    <w:p w14:paraId="05A182D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Seedance 2.0 采用 OAuth 2.0 PKCE 流程。使用以下代码块生成授权码并交换访问令牌：</w:t>
      </w:r>
    </w:p>
    <w:p w14:paraId="415A66B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7F69B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main</w:t>
      </w:r>
    </w:p>
    <w:p w14:paraId="7E206A9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D9E35B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2E44E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(</w:t>
      </w:r>
    </w:p>
    <w:p w14:paraId="69E29E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B49F41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050A3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"fmt"</w:t>
      </w:r>
    </w:p>
    <w:p w14:paraId="5565F2D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FD36B5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D9E24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"net/http"</w:t>
      </w:r>
    </w:p>
    <w:p w14:paraId="1E507F2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F9929E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14A53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"io/ioutil"</w:t>
      </w:r>
    </w:p>
    <w:p w14:paraId="02324EE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B7ABF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91B48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"strings"</w:t>
      </w:r>
    </w:p>
    <w:p w14:paraId="1365291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714EFA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5EA0F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)</w:t>
      </w:r>
    </w:p>
    <w:p w14:paraId="5C06518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6BE39F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3F70F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61AEEE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() {</w:t>
      </w:r>
    </w:p>
    <w:p w14:paraId="245AB8E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2F33BF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F95FD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5C6370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// 注意：client_id 和 code_verifier 需提前生成并安全存储</w:t>
      </w:r>
    </w:p>
    <w:p w14:paraId="65A09E7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033932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11991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data := strings.NewReader(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"grant_type=authorization_code&amp;code=AUTH_CODE&amp;redirect_uri=https%3A%2F%2Flocalhost%3A8080%2Fcallback&amp;client_id=YOUR_CLIENT_ID&amp;code_verifier=YOUR_VERIFIER"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)</w:t>
      </w:r>
    </w:p>
    <w:p w14:paraId="159570F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F96C44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3770B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resp, _ := http.Post(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"https://auth.seedance.ai/oauth/token"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"application/x-www-form-urlencoded"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, data)</w:t>
      </w:r>
    </w:p>
    <w:p w14:paraId="6C585F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B9B8F6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17D2A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body, _ := ioutil.ReadAll(resp.Body)</w:t>
      </w:r>
    </w:p>
    <w:p w14:paraId="09AC9BC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079C5E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AE860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fmt.Println(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(body)) 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5C6370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// 解析 access_token 字段</w:t>
      </w:r>
    </w:p>
    <w:p w14:paraId="7B6ED4F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98F046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41D37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}</w:t>
      </w:r>
    </w:p>
    <w:p w14:paraId="2B7542C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E5F039E">
      <w:pPr>
        <w:keepNext w:val="0"/>
        <w:keepLines w:val="0"/>
        <w:widowControl/>
        <w:suppressLineNumbers w:val="0"/>
        <w:pBdr>
          <w:top w:val="none" w:color="666666" w:sz="0" w:space="0"/>
          <w:left w:val="none" w:color="666666" w:sz="0" w:space="0"/>
          <w:bottom w:val="single" w:color="666666" w:sz="4" w:space="0"/>
          <w:right w:val="none" w:color="666666" w:sz="0" w:space="0"/>
        </w:pBdr>
        <w:shd w:val="clear" w:fill="282C34"/>
        <w:spacing w:before="0" w:beforeAutospacing="0" w:after="0" w:afterAutospacing="0" w:line="216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AI写代码</w:t>
      </w:r>
    </w:p>
    <w:p w14:paraId="3CE59A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line="264" w:lineRule="atLeast"/>
        <w:ind w:left="-672" w:right="-192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B4B4B4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B2B2B2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E620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3" w:name="t3"/>
      <w:bookmarkEnd w:id="3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合规性校验关键项</w:t>
      </w:r>
    </w:p>
    <w:p w14:paraId="455E641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对接前必须通过以下 OpenAPI v3 强制校验规则：</w:t>
      </w:r>
    </w:p>
    <w:p w14:paraId="748BE3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所有 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POST /v2/prompt/execute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请求体必须包含 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x-seedance-tenant-id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header</w:t>
      </w:r>
    </w:p>
    <w:p w14:paraId="2295544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响应中 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422 Unprocessable Entity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必须返回符合 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ProblemDetails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标准的 JSON 结构</w:t>
      </w:r>
    </w:p>
    <w:p w14:paraId="4A8597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所有日期字段需遵循 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rfc3339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格式（如 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"2024-05-21T14:30:00Z"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）</w:t>
      </w:r>
    </w:p>
    <w:p w14:paraId="1EE42B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4" w:name="t4"/>
      <w:bookmarkEnd w:id="4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即用型提示词模板库（JSON Schema 片段）</w:t>
      </w:r>
    </w:p>
    <w:tbl>
      <w:tblPr>
        <w:tblW w:w="10896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4"/>
        <w:gridCol w:w="2435"/>
        <w:gridCol w:w="3146"/>
        <w:gridCol w:w="3591"/>
      </w:tblGrid>
      <w:tr w14:paraId="1A776C36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D93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模板ID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5A2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F47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必需参数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0AF5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OpenAPI v3 校验路径</w:t>
            </w:r>
          </w:p>
        </w:tc>
      </w:tr>
      <w:tr w14:paraId="097223F9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328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SD-PROMPT-GEN-01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55EB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多轮对话摘要生成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22C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conversation_history</w:t>
            </w: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max_tokens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D70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#/components/schemas/PromptGenRequest</w:t>
            </w:r>
          </w:p>
        </w:tc>
      </w:tr>
      <w:tr w14:paraId="3B90C5B9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9CF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SD-CONTENT-MOD-02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935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合规内容改写（GDPR/CCPA）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7CC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original_text</w:t>
            </w: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jurisdiction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3F5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#/components/schemas/ContentModRequest</w:t>
            </w:r>
          </w:p>
        </w:tc>
      </w:tr>
    </w:tbl>
    <w:p w14:paraId="556310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60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4"/>
          <w:szCs w:val="24"/>
        </w:rPr>
      </w:pPr>
      <w:bookmarkStart w:id="5" w:name="t5"/>
      <w:bookmarkEnd w:id="5"/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第二章：Seedance 2.0 RESTful API 接入规范</w:t>
      </w:r>
    </w:p>
    <w:p w14:paraId="727C0E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6" w:name="t6"/>
      <w:bookmarkEnd w:id="6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2.1 基于OAuth 2.1的鉴权流程与Token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FC5531"/>
          <w:spacing w:val="0"/>
          <w:sz w:val="21"/>
          <w:szCs w:val="21"/>
          <w:bdr w:val="none" w:color="auto" w:sz="0" w:space="0"/>
          <w:shd w:val="clear" w:fill="FFFFFF"/>
        </w:rPr>
        <w:t>生命周期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管理实践</w:t>
      </w:r>
    </w:p>
    <w:p w14:paraId="711542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核心流程演进</w:t>
      </w:r>
    </w:p>
    <w:p w14:paraId="5572F76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OAuth 2.1 合并了 PKCE 强制化、禁止隐式流、要求 TLS 1.2+，显著提升移动端与单页应用安全性。</w:t>
      </w:r>
    </w:p>
    <w:p w14:paraId="2849FB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Token生命周期关键策略</w:t>
      </w:r>
    </w:p>
    <w:p w14:paraId="300698A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Access Token：短时效（≤15分钟），无状态校验</w:t>
      </w:r>
    </w:p>
    <w:p w14:paraId="6FE8E5A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Refresh Token：绑定设备指纹与IP，单次使用即失效（ROTATE）</w:t>
      </w:r>
    </w:p>
    <w:p w14:paraId="56105A3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ID Token：仅用于身份断言，不参与API授权</w:t>
      </w:r>
    </w:p>
    <w:p w14:paraId="1E51AD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bdr w:val="none" w:color="auto" w:sz="0" w:space="0"/>
          <w:shd w:val="clear" w:fill="FFFFFF"/>
        </w:rPr>
        <w:t>服务端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Token刷新示例</w:t>
      </w:r>
    </w:p>
    <w:p w14:paraId="5D17A71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9364D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5C6370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// 使用RFC 8693 Token Exchange + DPoP绑定</w:t>
      </w:r>
    </w:p>
    <w:p w14:paraId="48B9655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34EF8B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29F49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61AEEE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refreshAccessToken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(ctx context.Context, refreshToken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) (*TokenResponse,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) {</w:t>
      </w:r>
    </w:p>
    <w:p w14:paraId="0A8B1A6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05E829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99B9E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req := &amp;http.Request{</w:t>
      </w:r>
    </w:p>
    <w:p w14:paraId="1D7EF4E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7A7306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23115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  Header: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][]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{</w:t>
      </w:r>
    </w:p>
    <w:p w14:paraId="0A23227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8C8B12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855DE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"DPoP"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: {dpopProof}, 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5C6370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// 绑定密钥+HTTP method+URI</w:t>
      </w:r>
    </w:p>
    <w:p w14:paraId="302815E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A7969B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951BA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  },</w:t>
      </w:r>
    </w:p>
    <w:p w14:paraId="0579C9E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8F8A94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56787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  Body:   io.NopCloser(strings.NewReader(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"grant_type=refresh_token&amp;refresh_token="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+ refreshToken)),</w:t>
      </w:r>
    </w:p>
    <w:p w14:paraId="0CC3171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67A398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58E3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}</w:t>
      </w:r>
    </w:p>
    <w:p w14:paraId="0F4F390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EBE8AF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0844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5C6370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// ... 发起POST /token 请求</w:t>
      </w:r>
    </w:p>
    <w:p w14:paraId="50ADB70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36BDD6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11205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}</w:t>
      </w:r>
    </w:p>
    <w:p w14:paraId="23849FE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063FB03">
      <w:pPr>
        <w:keepNext w:val="0"/>
        <w:keepLines w:val="0"/>
        <w:widowControl/>
        <w:suppressLineNumbers w:val="0"/>
        <w:pBdr>
          <w:top w:val="none" w:color="666666" w:sz="0" w:space="0"/>
          <w:left w:val="none" w:color="666666" w:sz="0" w:space="0"/>
          <w:bottom w:val="single" w:color="666666" w:sz="4" w:space="0"/>
          <w:right w:val="none" w:color="666666" w:sz="0" w:space="0"/>
        </w:pBdr>
        <w:shd w:val="clear" w:fill="282C34"/>
        <w:spacing w:before="0" w:beforeAutospacing="0" w:after="0" w:afterAutospacing="0" w:line="216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AI写代码</w:t>
      </w:r>
    </w:p>
    <w:p w14:paraId="17D656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line="264" w:lineRule="atLeast"/>
        <w:ind w:left="-672" w:right="-192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B4B4B4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B2B2B2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88CA6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该实现强制DPoP证明绑定调用方密钥，防止Refresh Token泄露后被冒用；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grant_type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必须为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refresh_token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，且响应中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refresh_token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字段必现（ROTATE语义）。</w:t>
      </w:r>
    </w:p>
    <w:p w14:paraId="0F1DEE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Token状态校验对比</w:t>
      </w:r>
    </w:p>
    <w:tbl>
      <w:tblPr>
        <w:tblW w:w="10896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90"/>
        <w:gridCol w:w="2526"/>
        <w:gridCol w:w="1127"/>
        <w:gridCol w:w="3753"/>
      </w:tblGrid>
      <w:tr w14:paraId="5651F649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8FE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机制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CDDE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实时性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025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FE26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适用场景</w:t>
            </w:r>
          </w:p>
        </w:tc>
      </w:tr>
      <w:tr w14:paraId="5BDB1836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B02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JWT自包含校验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0C5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毫秒级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9258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BAA9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高并发API网关</w:t>
            </w:r>
          </w:p>
        </w:tc>
      </w:tr>
      <w:tr w14:paraId="315524E8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3A12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Introspection端点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7F6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网络延迟依赖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8DE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中高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E762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敏感操作/审计强需求</w:t>
            </w:r>
          </w:p>
        </w:tc>
      </w:tr>
    </w:tbl>
    <w:p w14:paraId="65B74F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7" w:name="t7"/>
      <w:bookmarkEnd w:id="7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2.2 请求签名机制详解：HMAC-SHA256+Nonce+Timestamp合规实现</w:t>
      </w:r>
    </w:p>
    <w:p w14:paraId="203CB6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签名三要素协同逻辑</w:t>
      </w:r>
    </w:p>
    <w:p w14:paraId="3638F19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安全签名需同时满足**唯一性**（Nonce）、**时效性**（Timestamp）和**完整性**（HMAC-SHA256）。服务端校验时，三者缺一不可。</w:t>
      </w:r>
    </w:p>
    <w:p w14:paraId="60B5A4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标准签名生成流程</w:t>
      </w:r>
    </w:p>
    <w:p w14:paraId="447CB70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48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按字典序拼接请求参数（不含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signature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字段）</w:t>
      </w:r>
    </w:p>
    <w:p w14:paraId="7DBEFAA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48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附加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nonce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与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timestamp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（单位秒）</w:t>
      </w:r>
    </w:p>
    <w:p w14:paraId="1BCF1BF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48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使用API密钥对拼接字符串执行HMAC-SHA256运算</w:t>
      </w:r>
    </w:p>
    <w:p w14:paraId="271BF4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bdr w:val="none" w:color="auto" w:sz="0" w:space="0"/>
          <w:shd w:val="clear" w:fill="FFFFFF"/>
        </w:rPr>
        <w:t>Go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语言参考实现</w:t>
      </w:r>
    </w:p>
    <w:p w14:paraId="5756327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0C77B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5C6370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// key: API secret, data: "param1=a&amp;param2=b&amp;nonce=abc&amp;timestamp=1717023456"</w:t>
      </w:r>
    </w:p>
    <w:p w14:paraId="7B21DC4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2D6A7E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9D92D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h := hmac.New(sha256.New, []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(key))</w:t>
      </w:r>
    </w:p>
    <w:p w14:paraId="3B9A719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78D5F0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567C4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h.Write([]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(data))</w:t>
      </w:r>
    </w:p>
    <w:p w14:paraId="222B29E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1A649C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50F94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signature := hex.EncodeToString(h.Sum(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56B6C2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nil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))</w:t>
      </w:r>
    </w:p>
    <w:p w14:paraId="57CE639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37C062D">
      <w:pPr>
        <w:keepNext w:val="0"/>
        <w:keepLines w:val="0"/>
        <w:widowControl/>
        <w:suppressLineNumbers w:val="0"/>
        <w:pBdr>
          <w:top w:val="none" w:color="666666" w:sz="0" w:space="0"/>
          <w:left w:val="none" w:color="666666" w:sz="0" w:space="0"/>
          <w:bottom w:val="single" w:color="666666" w:sz="4" w:space="0"/>
          <w:right w:val="none" w:color="666666" w:sz="0" w:space="0"/>
        </w:pBdr>
        <w:shd w:val="clear" w:fill="282C34"/>
        <w:spacing w:before="0" w:beforeAutospacing="0" w:after="0" w:afterAutospacing="0" w:line="216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AI写代码</w:t>
      </w:r>
    </w:p>
    <w:p w14:paraId="165DD8F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该代码生成32字节十六进制签名。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data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必须严格规范编码（URL-safe），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timestamp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偏差须控制在±300秒内。</w:t>
      </w:r>
    </w:p>
    <w:p w14:paraId="0FDE42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关键参数校验对照表</w:t>
      </w:r>
    </w:p>
    <w:tbl>
      <w:tblPr>
        <w:tblW w:w="10896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1"/>
        <w:gridCol w:w="4362"/>
        <w:gridCol w:w="4453"/>
      </w:tblGrid>
      <w:tr w14:paraId="6F91F0B7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83F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F4A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要求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798F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校验方式</w:t>
            </w:r>
          </w:p>
        </w:tc>
      </w:tr>
      <w:tr w14:paraId="708128C7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5BDF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nonce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6DA0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一次一密，长度≥8字符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D4F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Redis SETNX + TTL 5min</w:t>
            </w:r>
          </w:p>
        </w:tc>
      </w:tr>
      <w:tr w14:paraId="570D467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D4EF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478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UTC时间戳，整数秒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8AD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服务端时间差 ≤ 300s</w:t>
            </w:r>
          </w:p>
        </w:tc>
      </w:tr>
    </w:tbl>
    <w:p w14:paraId="10D64B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8" w:name="t8"/>
      <w:bookmarkEnd w:id="8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2.3 接口幂等性设计与X-Idempotency-Key头字段落地策略</w:t>
      </w:r>
    </w:p>
    <w:p w14:paraId="4110A7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核心设计原则</w:t>
      </w:r>
    </w:p>
    <w:p w14:paraId="469CBF5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幂等性保障依赖客户端生成唯一、可重放的 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X-Idempotency-Key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，服务端需原子化校验+执行+记录三阶段。</w:t>
      </w:r>
    </w:p>
    <w:p w14:paraId="5D9897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关键实现逻辑</w:t>
      </w:r>
    </w:p>
    <w:p w14:paraId="1D81566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01B4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61AEEE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handlePayment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(w http.ResponseWriter, r *http.Request) {</w:t>
      </w:r>
    </w:p>
    <w:p w14:paraId="4BF99D2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C182D0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F348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>key := r.Header.Get(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"X-Idempotency-Key"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)</w:t>
      </w:r>
    </w:p>
    <w:p w14:paraId="675DBA8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8209E1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67CBC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key ==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{</w:t>
      </w:r>
    </w:p>
    <w:p w14:paraId="05D4452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A404E3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26C4C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 xml:space="preserve">http.Error(w,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"Missing X-Idempotency-Key"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, http.StatusBadRequest)</w:t>
      </w:r>
    </w:p>
    <w:p w14:paraId="7E3DA12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DACC30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F1A63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return</w:t>
      </w:r>
    </w:p>
    <w:p w14:paraId="1CF1F6E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D722EA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6A87C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>}</w:t>
      </w:r>
    </w:p>
    <w:p w14:paraId="75DAE6F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230A17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1F27F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 xml:space="preserve">status, exists := idempotencyStore.Get(key) 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5C6370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// 原子读取状态</w:t>
      </w:r>
    </w:p>
    <w:p w14:paraId="023F7CA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05C63C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6C4F5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exists {</w:t>
      </w:r>
    </w:p>
    <w:p w14:paraId="679199E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270C67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37D81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 xml:space="preserve">writeResponse(w, status) 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5C6370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// 直接返回历史结果</w:t>
      </w:r>
    </w:p>
    <w:p w14:paraId="03C95DF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40C5CA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7362B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return</w:t>
      </w:r>
    </w:p>
    <w:p w14:paraId="40C7A83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582CC3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E4702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>}</w:t>
      </w:r>
    </w:p>
    <w:p w14:paraId="016617B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CD701D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4310D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5C6370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// 执行业务（如扣款），成功后写入 status = "success"</w:t>
      </w:r>
    </w:p>
    <w:p w14:paraId="4112C75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8063AB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A930B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 xml:space="preserve">idempotencyStore.Set(key, status,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*time.Hour)</w:t>
      </w:r>
    </w:p>
    <w:p w14:paraId="31C676C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F618BF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51E0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}</w:t>
      </w:r>
    </w:p>
    <w:p w14:paraId="7B5AA9B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3AA06FF">
      <w:pPr>
        <w:keepNext w:val="0"/>
        <w:keepLines w:val="0"/>
        <w:widowControl/>
        <w:suppressLineNumbers w:val="0"/>
        <w:pBdr>
          <w:top w:val="none" w:color="666666" w:sz="0" w:space="0"/>
          <w:left w:val="none" w:color="666666" w:sz="0" w:space="0"/>
          <w:bottom w:val="single" w:color="666666" w:sz="4" w:space="0"/>
          <w:right w:val="none" w:color="666666" w:sz="0" w:space="0"/>
        </w:pBdr>
        <w:shd w:val="clear" w:fill="282C34"/>
        <w:spacing w:before="0" w:beforeAutospacing="0" w:after="0" w:afterAutospacing="0" w:line="216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AI写代码</w:t>
      </w:r>
    </w:p>
    <w:p w14:paraId="7837E5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line="264" w:lineRule="atLeast"/>
        <w:ind w:left="-672" w:right="-192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B4B4B4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B2B2B2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 descr="IMG_2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B15A0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该逻辑避免重复扣款：Key 全局唯一且带 TTL，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Get+Set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需由 Redis 或数据库支持原子操作；TTL 防止键无限膨胀。</w:t>
      </w:r>
    </w:p>
    <w:p w14:paraId="258780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服务端校验流程</w:t>
      </w:r>
    </w:p>
    <w:p w14:paraId="38A276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/>
        <w:ind w:left="0" w:right="0" w:firstLine="0"/>
        <w:jc w:val="left"/>
        <w:rPr>
          <w:rFonts w:ascii="monospace" w:hAnsi="monospace" w:eastAsia="monospace" w:cs="monospace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5F5F5"/>
          <w:lang w:val="en-US" w:eastAsia="zh-CN" w:bidi="ar"/>
        </w:rPr>
        <w:t>→ 接收请求 → 提取 X-Idempotency-Key → 查询缓存 → 若存在则返回缓存响应 → 否则执行业务并落库 → 返回结果</w:t>
      </w:r>
    </w:p>
    <w:p w14:paraId="29DFAA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9" w:name="t9"/>
      <w:bookmarkEnd w:id="9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2.4 错误响应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FC5531"/>
          <w:spacing w:val="0"/>
          <w:sz w:val="21"/>
          <w:szCs w:val="21"/>
          <w:bdr w:val="none" w:color="auto" w:sz="0" w:space="0"/>
          <w:shd w:val="clear" w:fill="FFFFFF"/>
        </w:rPr>
        <w:t>标准化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：RFC 7807 Problem Details for HTTP APIs在Seedance中的扩展应用</w:t>
      </w:r>
    </w:p>
    <w:p w14:paraId="6554F5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核心结构增强</w:t>
      </w:r>
    </w:p>
    <w:p w14:paraId="46AEAAF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Seedance 在 RFC 7807 基础上扩展了 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instance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、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trace_id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和 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retry_after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字段，强化可观测性与重试语义：</w:t>
      </w:r>
    </w:p>
    <w:p w14:paraId="02C820E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AAD22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{</w:t>
      </w:r>
    </w:p>
    <w:p w14:paraId="5E48B21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8A96C2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FD3C5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"https://api.seedance.dev/probs/invalid-tenant"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,</w:t>
      </w:r>
    </w:p>
    <w:p w14:paraId="6F12498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702653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C9F1E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"Tenant ID not found or inactive"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,</w:t>
      </w:r>
    </w:p>
    <w:p w14:paraId="1C204EB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F641F6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62B58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403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,</w:t>
      </w:r>
    </w:p>
    <w:p w14:paraId="0572CDC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E47051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A4A2B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"detail"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"The provided tenant 't-9a2f' is suspended."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,</w:t>
      </w:r>
    </w:p>
    <w:p w14:paraId="2D5C84B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97C8E9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755F0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"instance"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"/v1/orders"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,</w:t>
      </w:r>
    </w:p>
    <w:p w14:paraId="14FB100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75B4D6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CFFD9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"trace_id"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"0a1b2c3d4e5f6789"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,</w:t>
      </w:r>
    </w:p>
    <w:p w14:paraId="50C97DC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FCAF85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8FCBA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"retry_after"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300</w:t>
      </w:r>
    </w:p>
    <w:p w14:paraId="65543E6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30FF0E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CE46E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}</w:t>
      </w:r>
    </w:p>
    <w:p w14:paraId="041FFE5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483A721">
      <w:pPr>
        <w:keepNext w:val="0"/>
        <w:keepLines w:val="0"/>
        <w:widowControl/>
        <w:suppressLineNumbers w:val="0"/>
        <w:pBdr>
          <w:top w:val="none" w:color="666666" w:sz="0" w:space="0"/>
          <w:left w:val="none" w:color="666666" w:sz="0" w:space="0"/>
          <w:bottom w:val="single" w:color="666666" w:sz="4" w:space="0"/>
          <w:right w:val="none" w:color="666666" w:sz="0" w:space="0"/>
        </w:pBdr>
        <w:shd w:val="clear" w:fill="282C34"/>
        <w:spacing w:before="0" w:beforeAutospacing="0" w:after="0" w:afterAutospacing="0" w:line="216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AI写代码</w:t>
      </w:r>
    </w:p>
    <w:p w14:paraId="30E651B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该 JSON 响应兼容标准客户端解析器，同时 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trace_id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直接对接 Jaeger 日志链路，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retry_after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（单位：秒）为幂等重试提供精确调度依据。</w:t>
      </w:r>
    </w:p>
    <w:p w14:paraId="5588E7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服务端集成示例</w:t>
      </w:r>
    </w:p>
    <w:p w14:paraId="2587AB7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Go 中使用 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github.com/go-playground/problem/v2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构建基础响应</w:t>
      </w:r>
    </w:p>
    <w:p w14:paraId="4697D61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通过中间件注入 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trace_id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与动态 </w:t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retry_after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策略</w:t>
      </w:r>
    </w:p>
    <w:p w14:paraId="389F29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错误类型映射表</w:t>
      </w:r>
    </w:p>
    <w:tbl>
      <w:tblPr>
        <w:tblW w:w="10896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6"/>
        <w:gridCol w:w="1744"/>
        <w:gridCol w:w="6386"/>
      </w:tblGrid>
      <w:tr w14:paraId="20C3DB59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8CBD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RFC 7807 type URI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6154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 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2C2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Seedance Policy</w:t>
            </w:r>
          </w:p>
        </w:tc>
      </w:tr>
      <w:tr w14:paraId="3C9C318F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EBC9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/probs/rate-limited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3FA7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429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C36C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返回 </w:t>
            </w: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Retry-After</w:t>
            </w: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header + </w:t>
            </w: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retry_after</w:t>
            </w: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field</w:t>
            </w:r>
          </w:p>
        </w:tc>
      </w:tr>
      <w:tr w14:paraId="31475D6B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DCD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/probs/timeout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DFD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FBF0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携带上游服务超时毫秒数 </w:t>
            </w: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timeout_ms</w:t>
            </w: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扩展字段</w:t>
            </w:r>
          </w:p>
        </w:tc>
      </w:tr>
    </w:tbl>
    <w:p w14:paraId="3018B7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10" w:name="t10"/>
      <w:bookmarkEnd w:id="1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2.5 速率限制策略解析：按租户/应用/操作粒度的滑动窗口限流配置实操</w:t>
      </w:r>
    </w:p>
    <w:p w14:paraId="59A2E8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多维限流维度设计</w:t>
      </w:r>
    </w:p>
    <w:p w14:paraId="49B2546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滑动窗口限流需支持租户（tenant_id）、应用（app_key）和操作（endpoint）三级嵌套标识，确保策略隔离与精准控制。</w:t>
      </w:r>
    </w:p>
    <w:p w14:paraId="0A13F0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核心配置示例</w:t>
      </w:r>
    </w:p>
    <w:p w14:paraId="2F23B29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EB586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rate_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limits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:</w:t>
      </w:r>
    </w:p>
    <w:p w14:paraId="7E4DA80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C4D7B8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F09BB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- scope: tenant</w:t>
      </w:r>
    </w:p>
    <w:p w14:paraId="0E933DD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D0E33A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36C30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window_seconds: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60</w:t>
      </w:r>
    </w:p>
    <w:p w14:paraId="4A6E82A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DC5BE7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B9F9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max_requests: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1000</w:t>
      </w:r>
    </w:p>
    <w:p w14:paraId="6953EE6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28F1B1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C232E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- scope: app</w:t>
      </w:r>
    </w:p>
    <w:p w14:paraId="3B9D26B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B18589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95BFB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window_seconds: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60</w:t>
      </w:r>
    </w:p>
    <w:p w14:paraId="7A3DB20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A02843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CD94A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max_requests: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200</w:t>
      </w:r>
    </w:p>
    <w:p w14:paraId="0BB3CA2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4C5B5A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DC746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- scope: operation</w:t>
      </w:r>
    </w:p>
    <w:p w14:paraId="6DB6396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DC5741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D6D4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pattern: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"/api/v1/users/:id"</w:t>
      </w:r>
    </w:p>
    <w:p w14:paraId="41A1A7B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491CFA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53D85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window_seconds: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10</w:t>
      </w:r>
    </w:p>
    <w:p w14:paraId="7143ABF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C00310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DAA1F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max_requests: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5</w:t>
      </w:r>
    </w:p>
    <w:p w14:paraId="2F1B406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D92CCDB">
      <w:pPr>
        <w:keepNext w:val="0"/>
        <w:keepLines w:val="0"/>
        <w:widowControl/>
        <w:suppressLineNumbers w:val="0"/>
        <w:pBdr>
          <w:top w:val="none" w:color="666666" w:sz="0" w:space="0"/>
          <w:left w:val="none" w:color="666666" w:sz="0" w:space="0"/>
          <w:bottom w:val="single" w:color="666666" w:sz="4" w:space="0"/>
          <w:right w:val="none" w:color="666666" w:sz="0" w:space="0"/>
        </w:pBdr>
        <w:shd w:val="clear" w:fill="282C34"/>
        <w:spacing w:before="0" w:beforeAutospacing="0" w:after="0" w:afterAutospacing="0" w:line="216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AI写代码</w:t>
      </w:r>
    </w:p>
    <w:p w14:paraId="5F3D87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line="264" w:lineRule="atLeast"/>
        <w:ind w:left="-672" w:right="-192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B4B4B4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B2B2B2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7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DC376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该 YAML 定义了三级滑动窗口：租户级每分钟千次、应用级每分钟两百次、特定用户接口每10秒最多5次。各层独立计数，优先匹配最细粒度规则。</w:t>
      </w:r>
    </w:p>
    <w:p w14:paraId="6940EB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策略匹配优先级</w:t>
      </w:r>
    </w:p>
    <w:p w14:paraId="0B47D3B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操作粒度（最高优先级，精确匹配 endpoint + HTTP 方法）</w:t>
      </w:r>
    </w:p>
    <w:p w14:paraId="1EBDFD6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应用粒度（基于 app_key 的全局配额）</w:t>
      </w:r>
    </w:p>
    <w:p w14:paraId="3BF732D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租户粒度（兜底共享配额）</w:t>
      </w:r>
    </w:p>
    <w:p w14:paraId="4B99B3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60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4"/>
          <w:szCs w:val="24"/>
        </w:rPr>
      </w:pPr>
      <w:bookmarkStart w:id="11" w:name="t11"/>
      <w:bookmarkEnd w:id="11"/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第三章：提示词模板分享</w:t>
      </w:r>
    </w:p>
    <w:p w14:paraId="0FF9E3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12" w:name="t12"/>
      <w:bookmarkEnd w:id="12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3.1 面向API契约生成的OpenAPI v3 Schema反向提示词模板（支持JSON Schema 2020-12）</w:t>
      </w:r>
    </w:p>
    <w:p w14:paraId="4ECB64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核心设计原则</w:t>
      </w:r>
    </w:p>
    <w:p w14:paraId="56ABE6C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该模板将OpenAPI v3.1规范（兼容JSON Schema 2020-12）的Schema结构逆向映射为高质量LLM提示词，确保生成结果严格遵循`components.schemas`语义约束。</w:t>
      </w:r>
    </w:p>
    <w:p w14:paraId="12C210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关键字段映射表</w:t>
      </w:r>
    </w:p>
    <w:tbl>
      <w:tblPr>
        <w:tblW w:w="10896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82"/>
        <w:gridCol w:w="6214"/>
      </w:tblGrid>
      <w:tr w14:paraId="45EDB5EF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707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OpenAPI Schema字段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545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提示词语义作用</w:t>
            </w:r>
          </w:p>
        </w:tc>
      </w:tr>
      <w:tr w14:paraId="70DD6B7A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9D6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enum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F2F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限定取值空间与枚举语义强度</w:t>
            </w:r>
          </w:p>
        </w:tc>
      </w:tr>
      <w:tr w14:paraId="62F91F0A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9BBB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minLength</w:t>
            </w: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pattern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099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触发正则校验与长度边界提示</w:t>
            </w:r>
          </w:p>
        </w:tc>
      </w:tr>
    </w:tbl>
    <w:p w14:paraId="129658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示例模板片段</w:t>
      </w:r>
    </w:p>
    <w:p w14:paraId="79EAA08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ECEF0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生成符合以下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61AEEE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61AEEE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Schema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2020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约束的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61AEEE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实例：</w:t>
      </w:r>
    </w:p>
    <w:p w14:paraId="7E04F57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4A389E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5608F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{</w:t>
      </w:r>
    </w:p>
    <w:p w14:paraId="73A7B26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B78F85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3BF5C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,</w:t>
      </w:r>
    </w:p>
    <w:p w14:paraId="21C9A1D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CFCCC1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C67EF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"properties"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: {</w:t>
      </w:r>
    </w:p>
    <w:p w14:paraId="39C8C58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CF4AA0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03C10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"string"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"format"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"uuid"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},</w:t>
      </w:r>
    </w:p>
    <w:p w14:paraId="6085409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D4F489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B437A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"string"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"enum"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"inactive"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]}</w:t>
      </w:r>
    </w:p>
    <w:p w14:paraId="55D5A11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CE8976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5EE51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},</w:t>
      </w:r>
    </w:p>
    <w:p w14:paraId="02F583C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DF8292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7940E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"required"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]</w:t>
      </w:r>
    </w:p>
    <w:p w14:paraId="6BFAB06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F0BBEA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6E4A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}</w:t>
      </w:r>
    </w:p>
    <w:p w14:paraId="5F48FCB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3A5F8C4">
      <w:pPr>
        <w:keepNext w:val="0"/>
        <w:keepLines w:val="0"/>
        <w:widowControl/>
        <w:suppressLineNumbers w:val="0"/>
        <w:pBdr>
          <w:top w:val="none" w:color="666666" w:sz="0" w:space="0"/>
          <w:left w:val="none" w:color="666666" w:sz="0" w:space="0"/>
          <w:bottom w:val="single" w:color="666666" w:sz="4" w:space="0"/>
          <w:right w:val="none" w:color="666666" w:sz="0" w:space="0"/>
        </w:pBdr>
        <w:shd w:val="clear" w:fill="282C34"/>
        <w:spacing w:before="0" w:beforeAutospacing="0" w:after="0" w:afterAutospacing="0" w:line="216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AI写代码</w:t>
      </w:r>
    </w:p>
    <w:p w14:paraId="722CA0E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该模板强制模型理解`format: uuid`需生成标准32位十六进制UUID字符串，并将`enum`转化为不可扩展的封闭值集指令。</w:t>
      </w:r>
    </w:p>
    <w:p w14:paraId="28996C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13" w:name="t13"/>
      <w:bookmarkEnd w:id="13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3.2 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FC5531"/>
          <w:spacing w:val="0"/>
          <w:sz w:val="21"/>
          <w:szCs w:val="21"/>
          <w:bdr w:val="none" w:color="auto" w:sz="0" w:space="0"/>
          <w:shd w:val="clear" w:fill="FFFFFF"/>
        </w:rPr>
        <w:t>自动化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测试用例生成提示词：覆盖边界值、异常流与合规性断言</w:t>
      </w:r>
    </w:p>
    <w:p w14:paraId="6B282E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提示词核心结构设计</w:t>
      </w:r>
    </w:p>
    <w:p w14:paraId="2D3305E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优质提示词需显式声明三类测试维度：输入域边界（如 min/max/empty/null）、业务异常路径（如超时、鉴权失败、幂等冲突），以及合规性断言（如 GDPR 字段掩码、PCI-DSS 敏感字段校验）。</w:t>
      </w:r>
    </w:p>
    <w:p w14:paraId="539750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典型提示词模板</w:t>
      </w:r>
    </w:p>
    <w:p w14:paraId="29A05F7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09DDB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为函数 validateCreditCard(cardNumber: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, expiry: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) 生成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个测试用例：</w:t>
      </w:r>
    </w:p>
    <w:p w14:paraId="63809BB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2FDEAF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28B0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- 覆盖边界：空字符串、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位/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位卡号、expiry=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"00/00"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、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"99/99"</w:t>
      </w:r>
    </w:p>
    <w:p w14:paraId="256B765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AC90F0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C89AA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- 异常流：cardNumber含非数字字符、expiry格式非法、系统时钟偏移+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h</w:t>
      </w:r>
    </w:p>
    <w:p w14:paraId="34D31AD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09842B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59AAE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- 合规断言：cardNumber输出必须脱敏为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"**** **** **** 1234"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，不得记录完整卡号</w:t>
      </w:r>
    </w:p>
    <w:p w14:paraId="4888313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00F01B4">
      <w:pPr>
        <w:keepNext w:val="0"/>
        <w:keepLines w:val="0"/>
        <w:widowControl/>
        <w:suppressLineNumbers w:val="0"/>
        <w:pBdr>
          <w:top w:val="none" w:color="666666" w:sz="0" w:space="0"/>
          <w:left w:val="none" w:color="666666" w:sz="0" w:space="0"/>
          <w:bottom w:val="single" w:color="666666" w:sz="4" w:space="0"/>
          <w:right w:val="none" w:color="666666" w:sz="0" w:space="0"/>
        </w:pBdr>
        <w:shd w:val="clear" w:fill="282C34"/>
        <w:spacing w:before="0" w:beforeAutospacing="0" w:after="0" w:afterAutospacing="0" w:line="216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AI写代码</w:t>
      </w:r>
    </w:p>
    <w:p w14:paraId="7956402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该提示词强制模型理解“边界”是输入长度/值域临界点，“异常流”需模拟真实故障场景，“合规断言”则绑定具体法规条款输出约束。</w:t>
      </w:r>
    </w:p>
    <w:p w14:paraId="7BF881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生成质量评估维度</w:t>
      </w:r>
    </w:p>
    <w:p w14:paraId="4CCED96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覆盖率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：边界值组合是否满足MC/DC标准</w:t>
      </w:r>
    </w:p>
    <w:p w14:paraId="3A0C1C7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可执行性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：生成用例是否含可断言的预期状态（如抛出特定错误码）</w:t>
      </w:r>
    </w:p>
    <w:p w14:paraId="494C5B7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合规对齐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：断言是否映射至 ISO/IEC 27001 控制项A.8.2.3</w:t>
      </w:r>
    </w:p>
    <w:p w14:paraId="2D9A3D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14" w:name="t14"/>
      <w:bookmarkEnd w:id="14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3.3 安全审计提示词模板：识别敏感字段泄露、过度授权及CWE-798风险模式</w:t>
      </w:r>
    </w:p>
    <w:p w14:paraId="6D5B81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核心提示词结构设计</w:t>
      </w:r>
    </w:p>
    <w:p w14:paraId="1A63815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安全审计提示词需聚焦三类高危模式：明文凭证硬编码、API响应未脱敏、RBAC策略缺失。以下为可嵌入LLM扫描器的标准化模板：</w:t>
      </w:r>
    </w:p>
    <w:p w14:paraId="29B1C3E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3025B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61AEEE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# CWE-798: Hard-coded credentials detection</w:t>
      </w:r>
    </w:p>
    <w:p w14:paraId="6EC2069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180EA3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E8FCE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- rule: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"HardcodedSecretInCode"</w:t>
      </w:r>
    </w:p>
    <w:p w14:paraId="7AB9641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686667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90AF3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pattern: '[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"api_key"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"secret_token"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] =~ /(?i)(?</w:t>
      </w:r>
    </w:p>
    <w:p w14:paraId="0AC5465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7357270">
      <w:pPr>
        <w:keepNext w:val="0"/>
        <w:keepLines w:val="0"/>
        <w:widowControl/>
        <w:suppressLineNumbers w:val="0"/>
        <w:pBdr>
          <w:top w:val="none" w:color="666666" w:sz="0" w:space="0"/>
          <w:left w:val="none" w:color="666666" w:sz="0" w:space="0"/>
          <w:bottom w:val="single" w:color="666666" w:sz="4" w:space="0"/>
          <w:right w:val="none" w:color="666666" w:sz="0" w:space="0"/>
        </w:pBdr>
        <w:shd w:val="clear" w:fill="282C34"/>
        <w:spacing w:before="0" w:beforeAutospacing="0" w:after="0" w:afterAutospacing="0" w:line="216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AI写代码</w:t>
      </w:r>
    </w:p>
    <w:p w14:paraId="309B6B1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该YAML规则通过正则边界锚定（(?和(?!\w)）避免误匹配如passwordReset，context: 3确保捕获上下文行用于人工复核。</w:t>
      </w:r>
    </w:p>
    <w:p w14:paraId="23E6D7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风险映射对照表</w:t>
      </w:r>
    </w:p>
    <w:tbl>
      <w:tblPr>
        <w:tblW w:w="10896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47"/>
        <w:gridCol w:w="2708"/>
        <w:gridCol w:w="3241"/>
      </w:tblGrid>
      <w:tr w14:paraId="5BCDC20F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376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提示词触发特征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8BF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对应CWE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392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典型修复方式</w:t>
            </w:r>
          </w:p>
        </w:tc>
      </w:tr>
      <w:tr w14:paraId="06C69E51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88C6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SELECT * FROM users</w:t>
            </w: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+ </w:t>
            </w: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WHERE role = 'admin'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20C5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CWE-285（过度授权）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9E9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最小权限查询，显式字段白名单</w:t>
            </w:r>
          </w:p>
        </w:tc>
      </w:tr>
      <w:tr w14:paraId="6804122E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3D89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Style w:val="12"/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console.log(user.token)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663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CWE-312（敏感数据泄露）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2C3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前端日志脱敏中间件</w:t>
            </w:r>
          </w:p>
        </w:tc>
      </w:tr>
    </w:tbl>
    <w:p w14:paraId="1125B7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60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4"/>
          <w:szCs w:val="24"/>
        </w:rPr>
      </w:pPr>
      <w:bookmarkStart w:id="15" w:name="t15"/>
      <w:bookmarkEnd w:id="15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第四章：OpenAPI v3校验规则深度集成</w:t>
      </w:r>
    </w:p>
    <w:p w14:paraId="7D3BE5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16" w:name="t16"/>
      <w:bookmarkEnd w:id="16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4.1 基于Spectral + Custom Ruleset的YAML校验流水线搭建（含CI/CD嵌入方案）</w:t>
      </w:r>
    </w:p>
    <w:p w14:paraId="45595A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核心校验工具链选型</w:t>
      </w:r>
    </w:p>
    <w:p w14:paraId="628B46A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Spectral 作为 OpenAPI/YAML 专用 Linter，支持 JSON Schema、custom functions 和可扩展规则集。结合自定义 Ruleset 可精准约束 Helm Chart、K8s Manifest 等领域语义。</w:t>
      </w:r>
    </w:p>
    <w:p w14:paraId="7C5517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自定义规则示例</w:t>
      </w:r>
    </w:p>
    <w:p w14:paraId="0362317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CD6C3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61AEEE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rules:</w:t>
      </w:r>
    </w:p>
    <w:p w14:paraId="4BE282E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58C70D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93A3A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no-empty-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:</w:t>
      </w:r>
    </w:p>
    <w:p w14:paraId="121959B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8BB108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AA1DD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description: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"禁止使用空字符串或默认命名空间"</w:t>
      </w:r>
    </w:p>
    <w:p w14:paraId="524DA5D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F635A5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30C0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given: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"$.metadata.namespace"</w:t>
      </w:r>
    </w:p>
    <w:p w14:paraId="6229888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108678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1F050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:</w:t>
      </w:r>
    </w:p>
    <w:p w14:paraId="5FCF22C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EB2B70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4F9A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field: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""</w:t>
      </w:r>
    </w:p>
    <w:p w14:paraId="6001646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8DBEF7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E5081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: truthy</w:t>
      </w:r>
    </w:p>
    <w:p w14:paraId="225C58B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744243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27FEA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functionOptions:</w:t>
      </w:r>
    </w:p>
    <w:p w14:paraId="3246905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F87A35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4EF78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  allowEmpty: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56B6C2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false</w:t>
      </w:r>
    </w:p>
    <w:p w14:paraId="0C96EE3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5C05478">
      <w:pPr>
        <w:keepNext w:val="0"/>
        <w:keepLines w:val="0"/>
        <w:widowControl/>
        <w:suppressLineNumbers w:val="0"/>
        <w:pBdr>
          <w:top w:val="none" w:color="666666" w:sz="0" w:space="0"/>
          <w:left w:val="none" w:color="666666" w:sz="0" w:space="0"/>
          <w:bottom w:val="single" w:color="666666" w:sz="4" w:space="0"/>
          <w:right w:val="none" w:color="666666" w:sz="0" w:space="0"/>
        </w:pBdr>
        <w:shd w:val="clear" w:fill="282C34"/>
        <w:spacing w:before="0" w:beforeAutospacing="0" w:after="0" w:afterAutospacing="0" w:line="216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AI写代码</w:t>
      </w:r>
    </w:p>
    <w:p w14:paraId="5074360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该规则拦截 namespace: "" 或 namespace: "default" 场景，allowEmpty: false 强制非空且非默认值，保障多环境隔离。</w:t>
      </w:r>
    </w:p>
    <w:p w14:paraId="096A97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CI/CD 流水线集成</w:t>
      </w:r>
    </w:p>
    <w:p w14:paraId="2D82918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在 GitHub Actions 的 on: [pull_request, push] 触发器中调用 Spectral CLI</w:t>
      </w:r>
    </w:p>
    <w:p w14:paraId="17D0185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通过 --ruleset ./spectral-ruleset.yaml 加载自定义规则集</w:t>
      </w:r>
    </w:p>
    <w:p w14:paraId="4FA4C08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失败时输出结构化 JSON 报告供 CI 解析</w:t>
      </w:r>
    </w:p>
    <w:p w14:paraId="3428E4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17" w:name="t17"/>
      <w:bookmarkEnd w:id="17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4.2 Seedance专属扩展关键字校验：x-seedance-auth-scope、x-seedance-compliance-level语义验证</w:t>
      </w:r>
    </w:p>
    <w:p w14:paraId="05D188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校验逻辑入口</w:t>
      </w:r>
    </w:p>
    <w:p w14:paraId="6BB72B7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请求头中若存在 `x-seedance-auth-scope` 或 `x-seedance-compliance-level`，需触发语义级校验流程，拒绝非法值或语义冲突组合。</w:t>
      </w:r>
    </w:p>
    <w:p w14:paraId="5BACA3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合法取值约束</w:t>
      </w:r>
    </w:p>
    <w:p w14:paraId="7C6808C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x-seedance-auth-scope：仅允许 tenant、workspace、project</w:t>
      </w:r>
    </w:p>
    <w:p w14:paraId="45D4B9B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x-seedance-compliance-level：仅接受 basic、enhanced、strict</w:t>
      </w:r>
    </w:p>
    <w:p w14:paraId="2CB80F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组合语义校验规则</w:t>
      </w:r>
    </w:p>
    <w:tbl>
      <w:tblPr>
        <w:tblW w:w="10896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4"/>
        <w:gridCol w:w="7502"/>
      </w:tblGrid>
      <w:tr w14:paraId="6E4141C8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AEF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auth-scope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E48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allowed compliance-levels</w:t>
            </w:r>
          </w:p>
        </w:tc>
      </w:tr>
      <w:tr w14:paraId="7D1BDA92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EB3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tenant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131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basic, enhanced, strict</w:t>
            </w:r>
          </w:p>
        </w:tc>
      </w:tr>
      <w:tr w14:paraId="7ADB5E1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127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workspace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6A4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basic, enhanced</w:t>
            </w:r>
          </w:p>
        </w:tc>
      </w:tr>
      <w:tr w14:paraId="085B90EB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01EC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project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DF1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basic only</w:t>
            </w:r>
          </w:p>
        </w:tc>
      </w:tr>
    </w:tbl>
    <w:p w14:paraId="1D2FB7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Go 校验片段</w:t>
      </w:r>
    </w:p>
    <w:p w14:paraId="1640426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21DFD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61AEEE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validateSeedanceHeaders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(h http.Header)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{</w:t>
      </w:r>
    </w:p>
    <w:p w14:paraId="6B7F050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F2F482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AC381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>scope := strings.ToLower(h.Get(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"x-seedance-auth-scope"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))</w:t>
      </w:r>
    </w:p>
    <w:p w14:paraId="12FE62D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6EAB13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DAFAF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>level := strings.ToLower(h.Get(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"x-seedance-compliance-level"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))</w:t>
      </w:r>
    </w:p>
    <w:p w14:paraId="503A60E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86C7AB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BC127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5C6370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// scope 必须在白名单中</w:t>
      </w:r>
    </w:p>
    <w:p w14:paraId="5B5575F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3CC6FD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79671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!slices.Contains([]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"tenant"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"workspace"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"project"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}, scope) {</w:t>
      </w:r>
    </w:p>
    <w:p w14:paraId="28A78F8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EA0AB1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100EB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errors.New(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"invalid x-seedance-auth-scope"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)</w:t>
      </w:r>
    </w:p>
    <w:p w14:paraId="47AB475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BAA34B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17DE3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>}</w:t>
      </w:r>
    </w:p>
    <w:p w14:paraId="30083A0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A34523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6346F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5C6370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// level 必须在对应 scope 的允许集合中</w:t>
      </w:r>
    </w:p>
    <w:p w14:paraId="172A7FC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75519D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8E330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 xml:space="preserve">allowedLevels :=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][]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{</w:t>
      </w:r>
    </w:p>
    <w:p w14:paraId="1B90D45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BFD099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F4A8B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"tenant"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:    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"basic"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"enhanced"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"strict"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},</w:t>
      </w:r>
    </w:p>
    <w:p w14:paraId="752C4A7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017EDE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971BE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"workspace"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: 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"basic"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"enhanced"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},</w:t>
      </w:r>
    </w:p>
    <w:p w14:paraId="00DA676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75FC40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09B94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"project"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:   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"basic"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},</w:t>
      </w:r>
    </w:p>
    <w:p w14:paraId="7EA8E92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81C14E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86B29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>}</w:t>
      </w:r>
    </w:p>
    <w:p w14:paraId="54B831D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5249F1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FA287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!slices.Contains(allowedLevels[scope], level) {</w:t>
      </w:r>
    </w:p>
    <w:p w14:paraId="22BD5ED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F5BA72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87CE7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fmt.Errorf(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"compliance-level %q not allowed for scope %q"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, level, scope)</w:t>
      </w:r>
    </w:p>
    <w:p w14:paraId="3119A07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5CAB2D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C244E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  <w:t>}</w:t>
      </w:r>
    </w:p>
    <w:p w14:paraId="7DA6966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5D55A8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9634A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56B6C2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nil</w:t>
      </w:r>
    </w:p>
    <w:p w14:paraId="77C19CB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E63BAE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6F191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}</w:t>
      </w:r>
    </w:p>
    <w:p w14:paraId="50E03DD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FFCB4EB">
      <w:pPr>
        <w:keepNext w:val="0"/>
        <w:keepLines w:val="0"/>
        <w:widowControl/>
        <w:suppressLineNumbers w:val="0"/>
        <w:pBdr>
          <w:top w:val="none" w:color="666666" w:sz="0" w:space="0"/>
          <w:left w:val="none" w:color="666666" w:sz="0" w:space="0"/>
          <w:bottom w:val="single" w:color="666666" w:sz="4" w:space="0"/>
          <w:right w:val="none" w:color="666666" w:sz="0" w:space="0"/>
        </w:pBdr>
        <w:shd w:val="clear" w:fill="282C34"/>
        <w:spacing w:before="0" w:beforeAutospacing="0" w:after="0" w:afterAutospacing="0" w:line="216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AI写代码</w:t>
      </w:r>
    </w:p>
    <w:p w14:paraId="79F16E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B4B4B4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B2B2B2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 descr="IMG_2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D9AFE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该函数首先标准化大小写，再执行两级校验：先验 scope 合法性，再查 scope→level 映射表确保语义兼容。错误信息明确指向违反的维度，便于调试与审计。</w:t>
      </w:r>
    </w:p>
    <w:p w14:paraId="481F2F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18" w:name="t18"/>
      <w:bookmarkEnd w:id="1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4.3 OpenAPI文档与实际接口行为一致性验证：基于Mock Server与Contract Testing双轨比对</w:t>
      </w:r>
    </w:p>
    <w:p w14:paraId="72C4D3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双轨验证架构设计</w:t>
      </w:r>
    </w:p>
    <w:p w14:paraId="60E5A0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/>
        <w:ind w:left="0" w:right="0" w:firstLine="0"/>
        <w:jc w:val="left"/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5F5F5"/>
          <w:lang w:val="en-US" w:eastAsia="zh-CN" w:bidi="ar"/>
        </w:rPr>
        <w:t>Mock Server ←→ OpenAPI Spec → Contract Tests → Real Provider</w:t>
      </w:r>
    </w:p>
    <w:p w14:paraId="601C1B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关键验证流程</w:t>
      </w:r>
    </w:p>
    <w:p w14:paraId="55B62BC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b w:val="0"/>
          <w:bCs w:val="0"/>
        </w:rPr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从 OpenAPI 3.0 YAML 自动启动 Mock Server（如 Prism）</w:t>
      </w:r>
    </w:p>
    <w:p w14:paraId="59EAA22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b w:val="0"/>
          <w:bCs w:val="0"/>
        </w:rPr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Consumer 端执行 Contract Tests（如 Pact），向 Mock Server 发起请求并捕获交互</w:t>
      </w:r>
    </w:p>
    <w:p w14:paraId="4DBD689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b w:val="0"/>
          <w:bCs w:val="0"/>
        </w:rPr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Provider 端运行 Provider Verification，将真实响应与契约断言比对</w:t>
      </w:r>
    </w:p>
    <w:p w14:paraId="49B35B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契约断言示例</w:t>
      </w:r>
    </w:p>
    <w:p w14:paraId="74C55E1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F9298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61AEEE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expect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(response.status).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61AEEE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toBe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201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);</w:t>
      </w:r>
    </w:p>
    <w:p w14:paraId="2E6DCF7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E00D8C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3456A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61AEEE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expect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(response.body).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61AEEE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toHaveProperty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);</w:t>
      </w:r>
    </w:p>
    <w:p w14:paraId="0AB3880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81A8025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1A00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61AEEE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expect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(response.headers[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'content-type'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61AEEE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toMatch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/application\/json/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);</w:t>
      </w:r>
    </w:p>
    <w:p w14:paraId="5A07ED0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F708A54">
      <w:pPr>
        <w:keepNext w:val="0"/>
        <w:keepLines w:val="0"/>
        <w:widowControl/>
        <w:suppressLineNumbers w:val="0"/>
        <w:pBdr>
          <w:top w:val="none" w:color="666666" w:sz="0" w:space="0"/>
          <w:left w:val="none" w:color="666666" w:sz="0" w:space="0"/>
          <w:bottom w:val="single" w:color="666666" w:sz="4" w:space="0"/>
          <w:right w:val="none" w:color="666666" w:sz="0" w:space="0"/>
        </w:pBdr>
        <w:shd w:val="clear" w:fill="282C34"/>
        <w:spacing w:before="0" w:beforeAutospacing="0" w:after="0" w:afterAutospacing="0" w:line="216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AI写代码</w:t>
      </w:r>
    </w:p>
    <w:p w14:paraId="5189BE8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该断言确保状态码、核心字段及媒体类型三者与 OpenAPI 中 responses.201.schema 和 content 定义严格一致，避免“文档写死、实现漂移”问题。</w:t>
      </w:r>
    </w:p>
    <w:p w14:paraId="1C9E3E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19" w:name="t19"/>
      <w:bookmarkEnd w:id="19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4.4 自动生成合规报告：PDF/HTML格式含OWASP API Security Top 10映射矩阵</w:t>
      </w:r>
    </w:p>
    <w:p w14:paraId="28F5BA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动态报告生成引擎</w:t>
      </w:r>
    </w:p>
    <w:p w14:paraId="43C52EC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基于模板引擎与扫描结果数据驱动，支持一键导出双格式报告。核心逻辑封装为可复用的 ReportGenerator 结构体：</w:t>
      </w:r>
    </w:p>
    <w:p w14:paraId="569F537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B6B4A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(r *ReportGenerator) Export(format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, findings []Finding)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{</w:t>
      </w:r>
    </w:p>
    <w:p w14:paraId="30E19C2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465452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6A08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data :=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{}{</w:t>
      </w:r>
    </w:p>
    <w:p w14:paraId="5F06164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4AF14B7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99AE0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: time.Now().UTC(),</w:t>
      </w:r>
    </w:p>
    <w:p w14:paraId="0151595A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26AE3B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AB20F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"Findings"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:  r.mapToOWASPMetrics(findings), 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5C6370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// 自动匹配OWASP Top 10条目</w:t>
      </w:r>
    </w:p>
    <w:p w14:paraId="7F736A6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BD6C80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3B0F7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"Summary"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:   r.generateSummary(findings),</w:t>
      </w:r>
    </w:p>
    <w:p w14:paraId="7D343FE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417E25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A0CF6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}</w:t>
      </w:r>
    </w:p>
    <w:p w14:paraId="56B73DC3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5B9CB05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2F3A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r.renderTemplate(format,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"report.tmpl"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, data)</w:t>
      </w:r>
    </w:p>
    <w:p w14:paraId="7C76679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7B74E8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10319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}</w:t>
      </w:r>
    </w:p>
    <w:p w14:paraId="5EA0F6E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F86A88B">
      <w:pPr>
        <w:keepNext w:val="0"/>
        <w:keepLines w:val="0"/>
        <w:widowControl/>
        <w:suppressLineNumbers w:val="0"/>
        <w:pBdr>
          <w:top w:val="none" w:color="666666" w:sz="0" w:space="0"/>
          <w:left w:val="none" w:color="666666" w:sz="0" w:space="0"/>
          <w:bottom w:val="single" w:color="666666" w:sz="4" w:space="0"/>
          <w:right w:val="none" w:color="666666" w:sz="0" w:space="0"/>
        </w:pBdr>
        <w:shd w:val="clear" w:fill="282C34"/>
        <w:spacing w:before="0" w:beforeAutospacing="0" w:after="0" w:afterAutospacing="0" w:line="216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AI写代码</w:t>
      </w:r>
    </w:p>
    <w:p w14:paraId="274DA96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mapToOWASPMetrics 遍历漏洞类型，依据预置规则库（如 "broken-auth" → "API1:2023"）构建映射关系；format 参数控制输出为 PDF（通过 wkhtmltopdf）或 HTML（原生渲染）。</w:t>
      </w:r>
    </w:p>
    <w:p w14:paraId="464FF5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OWASP 映射矩阵示例</w:t>
      </w:r>
    </w:p>
    <w:tbl>
      <w:tblPr>
        <w:tblW w:w="10896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6678"/>
        <w:gridCol w:w="1383"/>
      </w:tblGrid>
      <w:tr w14:paraId="5C6B5968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887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检测项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49D3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OWASP API Sec Top 10 (2023)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2E1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风险等级</w:t>
            </w:r>
          </w:p>
        </w:tc>
      </w:tr>
      <w:tr w14:paraId="5564A51B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61E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缺失 JWT 签名验证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9F7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API1:2023 – Broken Object Level Authorization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DFB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347C8375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D533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未校验 Content-Type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803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API5:2023 – Broken Function Level Authorization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6C1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</w:tbl>
    <w:p w14:paraId="4E2213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60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4"/>
          <w:szCs w:val="24"/>
        </w:rPr>
      </w:pPr>
      <w:bookmarkStart w:id="20" w:name="t20"/>
      <w:bookmarkEnd w:id="20"/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第五章：总结与展望</w:t>
      </w:r>
    </w:p>
    <w:p w14:paraId="78BB129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在真实生产环境中，某云原生团队将本方案落地于日均处理 120 万次 API 请求的微服务网关层，通过动态策略熔断将 P99 延迟从 842ms 降至 197ms，错误率下降 63%。</w:t>
      </w:r>
    </w:p>
    <w:p w14:paraId="74863E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关键实践验证</w:t>
      </w:r>
    </w:p>
    <w:p w14:paraId="2BD47CD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采用 eBPF 程序实时捕获连接重置事件，替代传统 sidecar 日志解析，采集延迟降低至亚毫秒级；</w:t>
      </w:r>
    </w:p>
    <w:p w14:paraId="7078A2C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基于 OpenTelemetry Collector 的自定义 exporter 实现指标聚合压缩，单节点吞吐提升 3.2 倍；</w:t>
      </w:r>
    </w:p>
    <w:p w14:paraId="1132C04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384" w:right="0" w:hanging="360"/>
        <w:rPr>
          <w:b w:val="0"/>
          <w:bCs w:val="0"/>
        </w:rPr>
      </w:pP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灰度发布期间使用 Istio VirtualService 的 subset 路由 + Prometheus 告警联动脚本自动回滚异常版本。</w:t>
      </w:r>
    </w:p>
    <w:p w14:paraId="1CB699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典型配置片段</w:t>
      </w:r>
    </w:p>
    <w:p w14:paraId="53BA64B3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7B679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# envoy.yaml 中启用 WASM 扩展的健康检查增强</w:t>
      </w:r>
    </w:p>
    <w:p w14:paraId="74D7CB2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482C013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FD626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http_filters:</w:t>
      </w:r>
    </w:p>
    <w:p w14:paraId="6742F13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080AB16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87E1E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- name: envoy.filters.http.wasm</w:t>
      </w:r>
    </w:p>
    <w:p w14:paraId="5698898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9321A7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2428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typed_config:</w:t>
      </w:r>
    </w:p>
    <w:p w14:paraId="0960093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2D524710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3AA100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"@type"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.googleapis.com/envoy.extensions.filters.http.wasm.v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19A66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.Wasm</w:t>
      </w:r>
    </w:p>
    <w:p w14:paraId="347D4C9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0B89D2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637C4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config:</w:t>
      </w:r>
    </w:p>
    <w:p w14:paraId="6EC43EB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066BA2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4A048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root_id: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"health-check-enricher"</w:t>
      </w:r>
    </w:p>
    <w:p w14:paraId="29C5675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53FED8E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76CBB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vm_config:</w:t>
      </w:r>
    </w:p>
    <w:p w14:paraId="7A48C863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5419949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C0A2C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  runtime: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"envoy.wasm.runtime.v8"</w:t>
      </w:r>
    </w:p>
    <w:p w14:paraId="2C0368F2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610EFC1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DF496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678DD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:</w:t>
      </w:r>
    </w:p>
    <w:p w14:paraId="170C5222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6E381C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3F7C9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    local:</w:t>
      </w:r>
    </w:p>
    <w:p w14:paraId="70392DB8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042A7732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122EF8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BB2B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 xml:space="preserve">            filename: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98C379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"/etc/envoy/filters/health_enrich.wasm"</w:t>
      </w:r>
    </w:p>
    <w:p w14:paraId="3934F0B0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rPr>
          <w:b w:val="0"/>
          <w:bCs w:val="0"/>
        </w:rPr>
      </w:pPr>
    </w:p>
    <w:p w14:paraId="7CEAC401">
      <w:pPr>
        <w:keepNext w:val="0"/>
        <w:keepLines w:val="0"/>
        <w:widowControl/>
        <w:suppressLineNumbers w:val="0"/>
        <w:pBdr>
          <w:top w:val="none" w:color="666666" w:sz="0" w:space="0"/>
          <w:left w:val="none" w:color="666666" w:sz="0" w:space="0"/>
          <w:bottom w:val="single" w:color="666666" w:sz="4" w:space="0"/>
          <w:right w:val="none" w:color="666666" w:sz="0" w:space="0"/>
        </w:pBdr>
        <w:shd w:val="clear" w:fill="282C34"/>
        <w:spacing w:before="0" w:beforeAutospacing="0" w:after="0" w:afterAutospacing="0" w:line="216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t>AI写代码</w:t>
      </w:r>
    </w:p>
    <w:p w14:paraId="3CF62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64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B4B4B4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B2B2B2"/>
          <w:spacing w:val="0"/>
          <w:kern w:val="0"/>
          <w:sz w:val="16"/>
          <w:szCs w:val="16"/>
          <w:bdr w:val="none" w:color="auto" w:sz="0" w:space="0"/>
          <w:shd w:val="clear" w:fill="282C3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 descr="IMG_2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0EF1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可观测性能力对比</w:t>
      </w:r>
    </w:p>
    <w:tbl>
      <w:tblPr>
        <w:tblW w:w="10896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1"/>
        <w:gridCol w:w="3443"/>
        <w:gridCol w:w="5822"/>
      </w:tblGrid>
      <w:tr w14:paraId="63FC6DAE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31F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1C55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传统方案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A28F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本方案</w:t>
            </w:r>
          </w:p>
        </w:tc>
      </w:tr>
      <w:tr w14:paraId="458A0FA0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36D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链路采样率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505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固定 1%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F58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error rate 动态 0.1%–10%</w:t>
            </w:r>
          </w:p>
        </w:tc>
      </w:tr>
      <w:tr w14:paraId="11C0E473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14C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日志结构化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9551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JSON 行格式（无 trace 关联）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1E56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OpenLineage Schema + trace_id 显式注入</w:t>
            </w:r>
          </w:p>
        </w:tc>
      </w:tr>
      <w:tr w14:paraId="6A9A44A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F079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指标采集延迟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DD0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15s 推送间隔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AEC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eBPF map 直接暴露 /proc/sys/net/ipv4/tcp_retries2</w:t>
            </w:r>
          </w:p>
        </w:tc>
      </w:tr>
    </w:tbl>
    <w:p w14:paraId="3C5E1D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演进路径</w:t>
      </w:r>
    </w:p>
    <w:p w14:paraId="605CD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/>
        <w:ind w:left="0" w:right="0" w:firstLine="0"/>
        <w:jc w:val="left"/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5F5F5"/>
          <w:lang w:val="en-US" w:eastAsia="zh-CN" w:bidi="ar"/>
        </w:rPr>
        <w:t>[Envoy Wasm] → [eBPF Map 共享] → [Rust Runtime 内嵌 metrics-exporter] → [LLM 辅助根因定位插件]</w:t>
      </w:r>
    </w:p>
    <w:p w14:paraId="5D785B9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31282"/>
    <w:multiLevelType w:val="multilevel"/>
    <w:tmpl w:val="80031282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29E1963"/>
    <w:multiLevelType w:val="multilevel"/>
    <w:tmpl w:val="829E1963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13F8F32"/>
    <w:multiLevelType w:val="multilevel"/>
    <w:tmpl w:val="913F8F32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2445D12"/>
    <w:multiLevelType w:val="multilevel"/>
    <w:tmpl w:val="92445D12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1DFB655"/>
    <w:multiLevelType w:val="multilevel"/>
    <w:tmpl w:val="B1DFB6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2E96D32"/>
    <w:multiLevelType w:val="multilevel"/>
    <w:tmpl w:val="B2E96D32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C67B298"/>
    <w:multiLevelType w:val="multilevel"/>
    <w:tmpl w:val="BC67B29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CB33A26"/>
    <w:multiLevelType w:val="multilevel"/>
    <w:tmpl w:val="CCB33A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D1ABC632"/>
    <w:multiLevelType w:val="multilevel"/>
    <w:tmpl w:val="D1ABC632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1D9C5D1"/>
    <w:multiLevelType w:val="multilevel"/>
    <w:tmpl w:val="D1D9C5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E22C4F19"/>
    <w:multiLevelType w:val="multilevel"/>
    <w:tmpl w:val="E22C4F1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D9A94A0"/>
    <w:multiLevelType w:val="multilevel"/>
    <w:tmpl w:val="FD9A94A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16D0EB91"/>
    <w:multiLevelType w:val="multilevel"/>
    <w:tmpl w:val="16D0EB9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107FD95"/>
    <w:multiLevelType w:val="multilevel"/>
    <w:tmpl w:val="3107FD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326CB9D8"/>
    <w:multiLevelType w:val="multilevel"/>
    <w:tmpl w:val="326CB9D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2FD9A10"/>
    <w:multiLevelType w:val="multilevel"/>
    <w:tmpl w:val="32FD9A1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36362725"/>
    <w:multiLevelType w:val="multilevel"/>
    <w:tmpl w:val="3636272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5D938A76"/>
    <w:multiLevelType w:val="multilevel"/>
    <w:tmpl w:val="5D938A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5FC5D2FD"/>
    <w:multiLevelType w:val="multilevel"/>
    <w:tmpl w:val="5FC5D2FD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664F1FA6"/>
    <w:multiLevelType w:val="multilevel"/>
    <w:tmpl w:val="664F1F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6A51BABD"/>
    <w:multiLevelType w:val="multilevel"/>
    <w:tmpl w:val="6A51B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75571015"/>
    <w:multiLevelType w:val="multilevel"/>
    <w:tmpl w:val="755710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7771D8B0"/>
    <w:multiLevelType w:val="multilevel"/>
    <w:tmpl w:val="7771D8B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78360092"/>
    <w:multiLevelType w:val="multilevel"/>
    <w:tmpl w:val="783600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7E4EFCE1"/>
    <w:multiLevelType w:val="multilevel"/>
    <w:tmpl w:val="7E4EFCE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16"/>
  </w:num>
  <w:num w:numId="3">
    <w:abstractNumId w:val="13"/>
  </w:num>
  <w:num w:numId="4">
    <w:abstractNumId w:val="23"/>
  </w:num>
  <w:num w:numId="5">
    <w:abstractNumId w:val="15"/>
  </w:num>
  <w:num w:numId="6">
    <w:abstractNumId w:val="21"/>
  </w:num>
  <w:num w:numId="7">
    <w:abstractNumId w:val="22"/>
  </w:num>
  <w:num w:numId="8">
    <w:abstractNumId w:val="14"/>
  </w:num>
  <w:num w:numId="9">
    <w:abstractNumId w:val="10"/>
  </w:num>
  <w:num w:numId="10">
    <w:abstractNumId w:val="9"/>
  </w:num>
  <w:num w:numId="11">
    <w:abstractNumId w:val="2"/>
  </w:num>
  <w:num w:numId="12">
    <w:abstractNumId w:val="19"/>
  </w:num>
  <w:num w:numId="13">
    <w:abstractNumId w:val="3"/>
  </w:num>
  <w:num w:numId="14">
    <w:abstractNumId w:val="12"/>
  </w:num>
  <w:num w:numId="15">
    <w:abstractNumId w:val="17"/>
  </w:num>
  <w:num w:numId="16">
    <w:abstractNumId w:val="1"/>
  </w:num>
  <w:num w:numId="17">
    <w:abstractNumId w:val="5"/>
  </w:num>
  <w:num w:numId="18">
    <w:abstractNumId w:val="4"/>
  </w:num>
  <w:num w:numId="19">
    <w:abstractNumId w:val="7"/>
  </w:num>
  <w:num w:numId="20">
    <w:abstractNumId w:val="8"/>
  </w:num>
  <w:num w:numId="21">
    <w:abstractNumId w:val="18"/>
  </w:num>
  <w:num w:numId="22">
    <w:abstractNumId w:val="24"/>
  </w:num>
  <w:num w:numId="23">
    <w:abstractNumId w:val="0"/>
  </w:num>
  <w:num w:numId="24">
    <w:abstractNumId w:val="20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C7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2026-06-14T15:03:25Z</dcterms:created>
  <dc:creator>28955</dc:creator>
  <cp:lastModifiedBy>张tree</cp:lastModifiedBy>
  <dcterms:modified xsi:type="dcterms:W3CDTF">2026-06-14T15:04:16Z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eyJoZGlkIjoiOTNlYzQ2ODliYmFmOTBlMDRjNDE1YzVlYzkwYjNiOTMiLCJ1c2VySWQiOiI5MTAxNDQ1MjAifQ==</vt:lpwstr>
  </property>
  <property fmtid="{D5CDD505-2E9C-101B-9397-08002B2CF9AE}" pid="4" name="ICV">
    <vt:lpwstr>FA2A0238844F443D8A401DD91D3FA50D_12</vt:lpwstr>
  </property>
</Properties>
</file>