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81898"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23282D"/>
          <w:sz w:val="33"/>
        </w:rPr>
        <w:t>第六周记录（8.17—8.23）</w:t>
      </w:r>
    </w:p>
    <w:p w14:paraId="29FFD8A7">
      <w:pPr>
        <w:pStyle w:val="164"/>
      </w:pPr>
      <w:r>
        <w:rPr>
          <w:rFonts w:ascii="微软雅黑" w:hAnsi="微软雅黑" w:eastAsia="微软雅黑" w:cs="微软雅黑"/>
          <w:b/>
          <w:color w:val="2F6B5B"/>
          <w:sz w:val="24"/>
        </w:rPr>
        <w:t>1. 本周目标与方案选择</w:t>
      </w:r>
    </w:p>
    <w:p w14:paraId="58FD3543">
      <w:pPr>
        <w:spacing w:after="60"/>
      </w:pPr>
      <w:r>
        <w:rPr>
          <w:rFonts w:ascii="微软雅黑" w:hAnsi="微软雅黑" w:eastAsia="微软雅黑" w:cs="微软雅黑"/>
          <w:b/>
          <w:color w:val="23282D"/>
          <w:sz w:val="20"/>
        </w:rPr>
        <w:t>本周目标：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在第五周完成 DPMF 旁路采集与漂移检测的基础上，进一步完成“架构状态→漂移判定→行为证据→风险评分→防御建议→可解释报告”的感知闭环。为避免准确率仅依赖历史数据，本周重新调用 deepseek-v4-flash 采集多条件在线样本，并引入独立稳定负对照；同时把结构状态作为漂移主判据，将检索行为变化作为风险辅助证据，形成 DPM-MemEvolve 端到端原型。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45DED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shd w:val="clear" w:color="auto" w:fill="2F6B5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F8091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实验方向</w:t>
            </w:r>
          </w:p>
        </w:tc>
        <w:tc>
          <w:tcPr>
            <w:tcW w:w="3489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shd w:val="clear" w:color="auto" w:fill="2F6B5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D6F8BE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本周处理</w:t>
            </w:r>
          </w:p>
        </w:tc>
        <w:tc>
          <w:tcPr>
            <w:tcW w:w="3489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shd w:val="clear" w:color="auto" w:fill="2F6B5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B9FB52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结论定位</w:t>
            </w:r>
          </w:p>
        </w:tc>
      </w:tr>
      <w:tr w14:paraId="0E5C7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DB4EA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23282D"/>
                <w:sz w:val="16"/>
              </w:rPr>
              <w:t>在线样本扩充</w:t>
            </w:r>
          </w:p>
        </w:tc>
        <w:tc>
          <w:tcPr>
            <w:tcW w:w="3489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54A573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6"/>
              </w:rPr>
              <w:t>设置 S0、D1 Top-K=5、D2 Top-K=7、D3 history-firs</w:t>
            </w:r>
            <w:bookmarkStart w:id="0" w:name="_GoBack"/>
            <w:r>
              <w:rPr>
                <w:rFonts w:ascii="微软雅黑" w:hAnsi="微软雅黑" w:eastAsia="微软雅黑" w:cs="微软雅黑"/>
                <w:b w:val="0"/>
                <w:color w:val="23282D"/>
                <w:sz w:val="16"/>
              </w:rPr>
              <w:t>t、D4 comb</w:t>
            </w:r>
            <w:bookmarkEnd w:id="0"/>
            <w:r>
              <w:rPr>
                <w:rFonts w:ascii="微软雅黑" w:hAnsi="微软雅黑" w:eastAsia="微软雅黑" w:cs="微软雅黑"/>
                <w:b w:val="0"/>
                <w:color w:val="23282D"/>
                <w:sz w:val="16"/>
              </w:rPr>
              <w:t>ined；5 个查询变体×clean/poisoned。</w:t>
            </w:r>
          </w:p>
        </w:tc>
        <w:tc>
          <w:tcPr>
            <w:tcW w:w="3489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980D76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6"/>
              </w:rPr>
              <w:t>形成新的 Live 数据与独立稳定对照</w:t>
            </w:r>
          </w:p>
        </w:tc>
      </w:tr>
      <w:tr w14:paraId="43BEB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9FA5E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23282D"/>
                <w:sz w:val="16"/>
              </w:rPr>
              <w:t>感知准确率评估</w:t>
            </w:r>
          </w:p>
        </w:tc>
        <w:tc>
          <w:tcPr>
            <w:tcW w:w="3489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93C857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6"/>
              </w:rPr>
              <w:t>以原 S0 为参考，用 S0_repeat 负样本与 D1-D4 正样本评估 Structural / Behavioral 检测。</w:t>
            </w:r>
          </w:p>
        </w:tc>
        <w:tc>
          <w:tcPr>
            <w:tcW w:w="3489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783198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6"/>
              </w:rPr>
              <w:t>结构检测作为主判据，行为检测作为辅助证据</w:t>
            </w:r>
          </w:p>
        </w:tc>
      </w:tr>
      <w:tr w14:paraId="27F6B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E3F048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23282D"/>
                <w:sz w:val="16"/>
              </w:rPr>
              <w:t>端到端信号输出</w:t>
            </w:r>
          </w:p>
        </w:tc>
        <w:tc>
          <w:tcPr>
            <w:tcW w:w="3489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DD76DC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6"/>
              </w:rPr>
              <w:t>融合结构变化、行为不稳定、clean 效用下降和攻击暴露，输出 risk、defense recommendation，并调用 LLM 做后验解释。</w:t>
            </w:r>
          </w:p>
        </w:tc>
        <w:tc>
          <w:tcPr>
            <w:tcW w:w="3489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EA269D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6"/>
              </w:rPr>
              <w:t>完成反馈⑥要求的 DPM-MemEvolve 原型闭环</w:t>
            </w:r>
          </w:p>
        </w:tc>
      </w:tr>
    </w:tbl>
    <w:p w14:paraId="0A31C0D2">
      <w:pPr>
        <w:spacing w:after="20"/>
      </w:pPr>
    </w:p>
    <w:p w14:paraId="4ADFACCC">
      <w:pPr>
        <w:pStyle w:val="164"/>
      </w:pPr>
      <w:r>
        <w:rPr>
          <w:rFonts w:ascii="微软雅黑" w:hAnsi="微软雅黑" w:eastAsia="微软雅黑" w:cs="微软雅黑"/>
          <w:b/>
          <w:color w:val="2F6B5B"/>
          <w:sz w:val="24"/>
        </w:rPr>
        <w:t>2. 本周实际跑通的内容</w:t>
      </w:r>
    </w:p>
    <w:p w14:paraId="0CF9C569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重新调用 deepseek-v4-flash 生成 Week 6 Live 数据：5 种架构状态×5 个语义等价查询×clean/poisoned 两组，共 50 次在线试验；除检索 guidance 外，本周进一步让 Agent 基于检索结果生成最终回答，分离“毒记忆进入检索”和“最终回答实际被污染”两个层次。</w:t>
      </w:r>
    </w:p>
    <w:p w14:paraId="6E8F417E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增加独立稳定负对照 S0_repeat，共 10 个新样本。评估时原 S0_stable 的 10 个样本只作为 reference，不进入测试集；最终测试集由 10 个 stable negative 与 40 个 D1-D4 drift positive 组成，共 50 个样本。</w:t>
      </w:r>
    </w:p>
    <w:p w14:paraId="0C6AB851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Structural Detection 对 Top-K、retrieval-policy 与 combined 三类显式架构漂移实现 TP=40、TN=10、FP=0、FN=0，Accuracy / Precision / Recall / F1 均为 1.0000，Drift-Type Accuracy=1.0000。</w:t>
      </w:r>
    </w:p>
    <w:p w14:paraId="03769971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Behavioral Detection 使用检索记忆 ID 集合的 Jaccard distance，并固定阈值 0.40。结果为 Accuracy=0.8800、Precision=0.8864、Recall=0.9750、F1=0.9286，但稳定负样本 FPR=0.5000，说明行为变化不能单独作为架构漂移判据。</w:t>
      </w:r>
    </w:p>
    <w:p w14:paraId="77E537AE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误差分析发现两类关键现象：5 个 S0_repeat 样本在架构不变时出现 behavioral fluctuation；1 个 D3_history_first poisoned 样本在策略已漂移时 Jaccard=1.0、instability=0，形成 silent drift。由此明确“行为不同≠架构一定漂移，行为相同≠架构一定稳定”。</w:t>
      </w:r>
    </w:p>
    <w:p w14:paraId="03002EF4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完成端到端风险评分与防御建议：S0=0.1500 LOW/NONE；D1=0.3542 MEDIUM/F2；D2=0.3979 MEDIUM/F2；D3=0.5400 MEDIUM/F2；D4=0.6225 HIGH，推荐 F2 为主、F1 为辅。风险结果形成从稳定状态到组合漂移的梯度。</w:t>
      </w:r>
    </w:p>
    <w:p w14:paraId="73D5016F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完成 LLM-as-Judge 后验解释：对 5 个标准化 DPMF 事件分别生成简短解释。LLM 不参与漂移判定、风险计算或防御选择，只解释已经生成的结构化信号；5 个 summary 均与 DPMF 的 drift_type、risk_level 和 defense recommendation 保持一致。</w:t>
      </w:r>
    </w:p>
    <w:p w14:paraId="4C79042A">
      <w:pPr>
        <w:spacing w:after="40"/>
        <w:rPr>
          <w:rFonts w:ascii="微软雅黑" w:hAnsi="微软雅黑" w:eastAsia="微软雅黑" w:cs="微软雅黑"/>
          <w:b/>
          <w:color w:val="23282D"/>
          <w:sz w:val="21"/>
        </w:rPr>
      </w:pPr>
    </w:p>
    <w:p w14:paraId="1C366E7A">
      <w:pPr>
        <w:spacing w:after="40"/>
        <w:rPr>
          <w:rFonts w:ascii="微软雅黑" w:hAnsi="微软雅黑" w:eastAsia="微软雅黑" w:cs="微软雅黑"/>
          <w:b/>
          <w:color w:val="23282D"/>
          <w:sz w:val="21"/>
        </w:rPr>
      </w:pPr>
    </w:p>
    <w:p w14:paraId="6AD0C9ED">
      <w:pPr>
        <w:spacing w:after="40"/>
        <w:rPr>
          <w:rFonts w:ascii="微软雅黑" w:hAnsi="微软雅黑" w:eastAsia="微软雅黑" w:cs="微软雅黑"/>
          <w:b/>
          <w:color w:val="23282D"/>
          <w:sz w:val="21"/>
        </w:rPr>
      </w:pPr>
    </w:p>
    <w:p w14:paraId="3B9E3EF5">
      <w:pPr>
        <w:spacing w:after="40"/>
        <w:rPr>
          <w:rFonts w:ascii="微软雅黑" w:hAnsi="微软雅黑" w:eastAsia="微软雅黑" w:cs="微软雅黑"/>
          <w:b/>
          <w:color w:val="23282D"/>
          <w:sz w:val="21"/>
        </w:rPr>
      </w:pPr>
    </w:p>
    <w:p w14:paraId="40AC9762">
      <w:pPr>
        <w:spacing w:after="40"/>
      </w:pPr>
      <w:r>
        <w:rPr>
          <w:rFonts w:ascii="微软雅黑" w:hAnsi="微软雅黑" w:eastAsia="微软雅黑" w:cs="微软雅黑"/>
          <w:b/>
          <w:color w:val="23282D"/>
          <w:sz w:val="21"/>
        </w:rPr>
        <w:t>反馈⑥演示：DPM-MemEvolve 端到端信号与准确率</w:t>
      </w:r>
    </w:p>
    <w:p w14:paraId="4EE57DC4">
      <w:pPr>
        <w:spacing w:after="40"/>
      </w:pPr>
      <w:r>
        <w:rPr>
          <w:rFonts w:ascii="微软雅黑" w:hAnsi="微软雅黑" w:eastAsia="微软雅黑" w:cs="微软雅黑"/>
          <w:b w:val="0"/>
          <w:color w:val="23282D"/>
          <w:sz w:val="18"/>
        </w:rPr>
        <w:t>以 S0_repeat 与 D1-D4 为演示条件，DPMF 自动读取架构形态、识别漂移类型、汇总行为证据、计算安全风险并输出防御适配建议；同时用独立 50 样本测试集给出感知准确率。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2A9E4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shd w:val="clear" w:color="auto" w:fill="2F6B5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241AA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场景</w:t>
            </w:r>
          </w:p>
        </w:tc>
        <w:tc>
          <w:tcPr>
            <w:tcW w:w="252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shd w:val="clear" w:color="auto" w:fill="2F6B5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30CBEB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漂移类型</w:t>
            </w:r>
          </w:p>
        </w:tc>
        <w:tc>
          <w:tcPr>
            <w:tcW w:w="2088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shd w:val="clear" w:color="auto" w:fill="2F6B5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8A19D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行为不稳定度</w:t>
            </w:r>
          </w:p>
        </w:tc>
        <w:tc>
          <w:tcPr>
            <w:tcW w:w="223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shd w:val="clear" w:color="auto" w:fill="2F6B5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02F8E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DPMF 风险</w:t>
            </w:r>
          </w:p>
        </w:tc>
        <w:tc>
          <w:tcPr>
            <w:tcW w:w="180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shd w:val="clear" w:color="auto" w:fill="2F6B5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B7E608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防御建议</w:t>
            </w:r>
          </w:p>
        </w:tc>
      </w:tr>
      <w:tr w14:paraId="46A36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BC54E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23282D"/>
                <w:sz w:val="15"/>
              </w:rPr>
              <w:t>S0</w:t>
            </w:r>
          </w:p>
        </w:tc>
        <w:tc>
          <w:tcPr>
            <w:tcW w:w="252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047598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none</w:t>
            </w:r>
          </w:p>
        </w:tc>
        <w:tc>
          <w:tcPr>
            <w:tcW w:w="2088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A9C78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0.2800</w:t>
            </w:r>
          </w:p>
        </w:tc>
        <w:tc>
          <w:tcPr>
            <w:tcW w:w="223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D57BE4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0.1500 LOW</w:t>
            </w:r>
          </w:p>
        </w:tc>
        <w:tc>
          <w:tcPr>
            <w:tcW w:w="180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08D0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NONE</w:t>
            </w:r>
          </w:p>
        </w:tc>
      </w:tr>
      <w:tr w14:paraId="123A7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36932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23282D"/>
                <w:sz w:val="15"/>
              </w:rPr>
              <w:t>D1</w:t>
            </w:r>
          </w:p>
        </w:tc>
        <w:tc>
          <w:tcPr>
            <w:tcW w:w="252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8AD92F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Top-K 3→5</w:t>
            </w:r>
          </w:p>
        </w:tc>
        <w:tc>
          <w:tcPr>
            <w:tcW w:w="2088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96932A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0.4267</w:t>
            </w:r>
          </w:p>
        </w:tc>
        <w:tc>
          <w:tcPr>
            <w:tcW w:w="223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52BC3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0.3542 MEDIUM</w:t>
            </w:r>
          </w:p>
        </w:tc>
        <w:tc>
          <w:tcPr>
            <w:tcW w:w="180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25C33E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F2</w:t>
            </w:r>
          </w:p>
        </w:tc>
      </w:tr>
      <w:tr w14:paraId="2A015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B4110B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23282D"/>
                <w:sz w:val="15"/>
              </w:rPr>
              <w:t>D2</w:t>
            </w:r>
          </w:p>
        </w:tc>
        <w:tc>
          <w:tcPr>
            <w:tcW w:w="252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AA09F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Top-K 3→7</w:t>
            </w:r>
          </w:p>
        </w:tc>
        <w:tc>
          <w:tcPr>
            <w:tcW w:w="2088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DA7CD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0.5714</w:t>
            </w:r>
          </w:p>
        </w:tc>
        <w:tc>
          <w:tcPr>
            <w:tcW w:w="223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DA83B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0.3979 MEDIUM</w:t>
            </w:r>
          </w:p>
        </w:tc>
        <w:tc>
          <w:tcPr>
            <w:tcW w:w="180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8DFDC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F2</w:t>
            </w:r>
          </w:p>
        </w:tc>
      </w:tr>
      <w:tr w14:paraId="6CFF3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046A0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23282D"/>
                <w:sz w:val="15"/>
              </w:rPr>
              <w:t>D3</w:t>
            </w:r>
          </w:p>
        </w:tc>
        <w:tc>
          <w:tcPr>
            <w:tcW w:w="252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19E646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retrieval-policy</w:t>
            </w:r>
          </w:p>
        </w:tc>
        <w:tc>
          <w:tcPr>
            <w:tcW w:w="2088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9246B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0.5000</w:t>
            </w:r>
          </w:p>
        </w:tc>
        <w:tc>
          <w:tcPr>
            <w:tcW w:w="223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07C59A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0.5400 MEDIUM</w:t>
            </w:r>
          </w:p>
        </w:tc>
        <w:tc>
          <w:tcPr>
            <w:tcW w:w="180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DEE5B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F2</w:t>
            </w:r>
          </w:p>
        </w:tc>
      </w:tr>
      <w:tr w14:paraId="25FCE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A3F94F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23282D"/>
                <w:sz w:val="15"/>
              </w:rPr>
              <w:t>D4</w:t>
            </w:r>
          </w:p>
        </w:tc>
        <w:tc>
          <w:tcPr>
            <w:tcW w:w="252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749B5D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combined</w:t>
            </w:r>
          </w:p>
        </w:tc>
        <w:tc>
          <w:tcPr>
            <w:tcW w:w="2088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B47F2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0.4800</w:t>
            </w:r>
          </w:p>
        </w:tc>
        <w:tc>
          <w:tcPr>
            <w:tcW w:w="223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143C9C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0.6225 HIGH</w:t>
            </w:r>
          </w:p>
        </w:tc>
        <w:tc>
          <w:tcPr>
            <w:tcW w:w="180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AC77F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5"/>
              </w:rPr>
              <w:t>F2 + F1</w:t>
            </w:r>
          </w:p>
        </w:tc>
      </w:tr>
    </w:tbl>
    <w:p w14:paraId="65BF8697">
      <w:pPr>
        <w:spacing w:after="20"/>
      </w:pPr>
    </w:p>
    <w:p w14:paraId="6E66E09B">
      <w:pPr>
        <w:pageBreakBefore/>
        <w:rPr>
          <w:rFonts w:hint="eastAsia" w:eastAsia="微软雅黑"/>
          <w:lang w:eastAsia="zh-CN"/>
        </w:rPr>
      </w:pPr>
    </w:p>
    <w:p w14:paraId="2C142618">
      <w:pPr>
        <w:pStyle w:val="164"/>
      </w:pPr>
      <w:r>
        <w:rPr>
          <w:rFonts w:ascii="微软雅黑" w:hAnsi="微软雅黑" w:eastAsia="微软雅黑" w:cs="微软雅黑"/>
          <w:b/>
          <w:color w:val="2F6B5B"/>
          <w:sz w:val="24"/>
        </w:rPr>
        <w:t>反馈⑥结果图</w:t>
      </w:r>
    </w:p>
    <w:p w14:paraId="2D057064">
      <w:pPr>
        <w:spacing w:before="0" w:after="20"/>
        <w:jc w:val="center"/>
      </w:pPr>
      <w:r>
        <w:drawing>
          <wp:inline distT="0" distB="0" distL="114300" distR="114300">
            <wp:extent cx="4663440" cy="2694940"/>
            <wp:effectExtent l="0" t="0" r="1016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9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CFDF">
      <w:pPr>
        <w:spacing w:before="0" w:after="40"/>
        <w:jc w:val="center"/>
      </w:pPr>
      <w:r>
        <w:rPr>
          <w:rFonts w:ascii="微软雅黑" w:hAnsi="微软雅黑" w:eastAsia="微软雅黑" w:cs="微软雅黑"/>
          <w:b w:val="0"/>
          <w:color w:val="23282D"/>
          <w:sz w:val="18"/>
        </w:rPr>
        <w:t>图 1  DPMF Structural 与 Behavioral 检测指标对比</w:t>
      </w:r>
    </w:p>
    <w:p w14:paraId="13B2969F">
      <w:pPr>
        <w:spacing w:before="0" w:after="20"/>
        <w:jc w:val="center"/>
      </w:pPr>
      <w:r>
        <w:drawing>
          <wp:inline distT="0" distB="0" distL="114300" distR="114300">
            <wp:extent cx="4663440" cy="2555240"/>
            <wp:effectExtent l="0" t="0" r="1016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55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6B5A">
      <w:pPr>
        <w:spacing w:before="0" w:after="40"/>
        <w:jc w:val="center"/>
      </w:pPr>
      <w:r>
        <w:rPr>
          <w:rFonts w:ascii="微软雅黑" w:hAnsi="微软雅黑" w:eastAsia="微软雅黑" w:cs="微软雅黑"/>
          <w:b w:val="0"/>
          <w:color w:val="23282D"/>
          <w:sz w:val="18"/>
        </w:rPr>
        <w:t>图 2  不同架构状态下的平均 Retrieval Instability</w:t>
      </w:r>
    </w:p>
    <w:p w14:paraId="4E1CFE7B">
      <w:pPr>
        <w:spacing w:before="0" w:after="20"/>
        <w:jc w:val="center"/>
      </w:pPr>
      <w:r>
        <w:drawing>
          <wp:inline distT="0" distB="0" distL="114300" distR="114300">
            <wp:extent cx="4663440" cy="2555240"/>
            <wp:effectExtent l="0" t="0" r="1016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55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F8B5">
      <w:pPr>
        <w:spacing w:before="0" w:after="40"/>
        <w:jc w:val="center"/>
      </w:pPr>
      <w:r>
        <w:rPr>
          <w:rFonts w:ascii="微软雅黑" w:hAnsi="微软雅黑" w:eastAsia="微软雅黑" w:cs="微软雅黑"/>
          <w:b w:val="0"/>
          <w:color w:val="23282D"/>
          <w:sz w:val="18"/>
        </w:rPr>
        <w:t>图 3  不同架构漂移条件下的 DPMF Risk Score</w:t>
      </w:r>
    </w:p>
    <w:p w14:paraId="720105C9">
      <w:pPr>
        <w:pageBreakBefore/>
      </w:pPr>
    </w:p>
    <w:p w14:paraId="3B165BE0">
      <w:pPr>
        <w:pStyle w:val="164"/>
      </w:pPr>
      <w:r>
        <w:rPr>
          <w:rFonts w:ascii="微软雅黑" w:hAnsi="微软雅黑" w:eastAsia="微软雅黑" w:cs="微软雅黑"/>
          <w:b/>
          <w:color w:val="2F6B5B"/>
          <w:sz w:val="24"/>
        </w:rPr>
        <w:t>3. 目前的认识与限制</w:t>
      </w:r>
    </w:p>
    <w:p w14:paraId="635A6B77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本周最重要的认识是将“结构漂移”和“运行行为波动”分层处理。Structural signal 用于回答架构是否改变以及改变了什么；Behavioral signal 用于描述漂移是否已经在检索层产生外显影响，并参与后续风险评分。</w:t>
      </w:r>
    </w:p>
    <w:p w14:paraId="0FAE4DC6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Structural Detection 的 100% 仅针对本周显式构造的 Top-K、retrieval-policy 与二者组合漂移，不能解释为对所有未知架构漂移都达到 100%。后续若加入索引、存储格式或管理策略等结构性变化，还需要扩充状态字段与检测规则。</w:t>
      </w:r>
    </w:p>
    <w:p w14:paraId="5334737F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Behavioral Detection 的 Recall=97.5% 但 FPR=50%，说明固定 Jaccard 阈值 0.40 对当前小规模稳定样本偏敏感。该阈值在评估前固定、未按测试标签回调，但仍需要更多 no-drift 样本做系统标定。</w:t>
      </w:r>
    </w:p>
    <w:p w14:paraId="06D461F4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当前 risk_scorer 采用 structural 0.35、behavioral instability 0.25、clean utility drop 0.20、attack exposure 0.20，LOW/MEDIUM/HIGH 阈值为 0.30/0.60，仍属于 prototype heuristic；当前结果只说明风险梯度合理，并不代表权重已经统计最优。</w:t>
      </w:r>
    </w:p>
    <w:p w14:paraId="668F65F7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在线实验已从单一问题重复运行扩展为 5 个查询变体，并补充 Agent 最终回答指标，但语义仍围绕同一个 Python 事实问题，投毒记忆也仍是简化形式；后续需要更多事实域、攻击表达和记忆类型验证泛化性。</w:t>
      </w:r>
    </w:p>
    <w:p w14:paraId="079431F7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LLM-as-Judge 本周只作为 post-hoc explanation，不参与漂移真值或风险决策；当前只验证了 5 个解释结果与结构化信号一致，尚未单独评估解释质量。防御部分也仍停留在“推荐”，尚未完成 F1/F2 的真正在线动态切换。</w:t>
      </w:r>
    </w:p>
    <w:p w14:paraId="3AAC83A2">
      <w:pPr>
        <w:pStyle w:val="164"/>
      </w:pPr>
      <w:r>
        <w:rPr>
          <w:rFonts w:ascii="微软雅黑" w:hAnsi="微软雅黑" w:eastAsia="微软雅黑" w:cs="微软雅黑"/>
          <w:b/>
          <w:color w:val="2F6B5B"/>
          <w:sz w:val="24"/>
        </w:rPr>
        <w:t>4. 已整理的资产（MemEvolve）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33"/>
      </w:tblGrid>
      <w:tr w14:paraId="76D17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shd w:val="clear" w:color="auto" w:fill="2F6B5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11AC6D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文件</w:t>
            </w:r>
          </w:p>
        </w:tc>
        <w:tc>
          <w:tcPr>
            <w:tcW w:w="7056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shd w:val="clear" w:color="auto" w:fill="2F6B5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DB63C5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用途</w:t>
            </w:r>
          </w:p>
        </w:tc>
      </w:tr>
      <w:tr w14:paraId="46A37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DAF477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23282D"/>
                <w:sz w:val="16"/>
              </w:rPr>
              <w:t>scripts/generate_live_drift_cases.py / run_stable_repeat_live.py</w:t>
            </w:r>
          </w:p>
        </w:tc>
        <w:tc>
          <w:tcPr>
            <w:tcW w:w="7056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EB42D4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6"/>
              </w:rPr>
              <w:t>生成 5 类新鲜 Live 样本与独立稳定负对照，记录检索 guidance 与 Agent 最终回答。</w:t>
            </w:r>
          </w:p>
        </w:tc>
      </w:tr>
      <w:tr w14:paraId="799C0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05B3E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23282D"/>
                <w:sz w:val="16"/>
              </w:rPr>
              <w:t>scripts/evaluate_dpmf_accuracy.py</w:t>
            </w:r>
          </w:p>
        </w:tc>
        <w:tc>
          <w:tcPr>
            <w:tcW w:w="7056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886FFE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6"/>
              </w:rPr>
              <w:t>构造 50 样本测试集，计算 Structural / Behavioral Accuracy、Precision、Recall、F1、FPR 与逐场景检测率。</w:t>
            </w:r>
          </w:p>
        </w:tc>
      </w:tr>
      <w:tr w14:paraId="33B0F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739680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23282D"/>
                <w:sz w:val="16"/>
              </w:rPr>
              <w:t>scripts/run_dpmf_pipeline.py / llm_drift_judge.py</w:t>
            </w:r>
          </w:p>
        </w:tc>
        <w:tc>
          <w:tcPr>
            <w:tcW w:w="7056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DDAF9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6"/>
              </w:rPr>
              <w:t>完成架构状态→漂移检测→行为证据→风险评分→防御推荐→LLM 后验解释的端到端闭环。</w:t>
            </w:r>
          </w:p>
        </w:tc>
      </w:tr>
      <w:tr w14:paraId="7FF28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6DBED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23282D"/>
                <w:sz w:val="16"/>
              </w:rPr>
              <w:t>results/live/*.json / results/events/*.json</w:t>
            </w:r>
          </w:p>
        </w:tc>
        <w:tc>
          <w:tcPr>
            <w:tcW w:w="7056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73DACF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6"/>
              </w:rPr>
              <w:t>保存新鲜 API 实验、S0_repeat 负对照和 5 个标准化 DPMF 事件。</w:t>
            </w:r>
          </w:p>
        </w:tc>
      </w:tr>
      <w:tr w14:paraId="63C56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00CB35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23282D"/>
                <w:sz w:val="16"/>
              </w:rPr>
              <w:t>results/dpmf_detection_metrics.json / details.csv</w:t>
            </w:r>
          </w:p>
        </w:tc>
        <w:tc>
          <w:tcPr>
            <w:tcW w:w="7056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5E20F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6"/>
              </w:rPr>
              <w:t>保存整体感知准确率、误报/漏报细节与行为误差分析。</w:t>
            </w:r>
          </w:p>
        </w:tc>
      </w:tr>
      <w:tr w14:paraId="09E24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BCAF5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23282D"/>
                <w:sz w:val="16"/>
              </w:rPr>
              <w:t>results/week6_summary.json / figures/*.png / README.md</w:t>
            </w:r>
          </w:p>
        </w:tc>
        <w:tc>
          <w:tcPr>
            <w:tcW w:w="7056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  <w:insideH w:val="single" w:sz="4" w:space="0"/>
              <w:insideV w:val="single" w:sz="4" w:space="0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7DA211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3282D"/>
                <w:sz w:val="16"/>
              </w:rPr>
              <w:t>冻结第六周核心指标、三张结果图、复现实验说明与主要结论。</w:t>
            </w:r>
          </w:p>
        </w:tc>
      </w:tr>
    </w:tbl>
    <w:p w14:paraId="509570D4">
      <w:pPr>
        <w:spacing w:after="20"/>
      </w:pPr>
    </w:p>
    <w:p w14:paraId="43E8B249">
      <w:pPr>
        <w:pStyle w:val="164"/>
      </w:pPr>
      <w:r>
        <w:rPr>
          <w:rFonts w:ascii="微软雅黑" w:hAnsi="微软雅黑" w:eastAsia="微软雅黑" w:cs="微软雅黑"/>
          <w:b/>
          <w:color w:val="2F6B5B"/>
          <w:sz w:val="24"/>
        </w:rPr>
        <w:t>5. 下周准备做什么</w:t>
      </w:r>
    </w:p>
    <w:p w14:paraId="4CA48863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进入第七周动态防御雏形：把第四周已有 F1 Input Filter 与 F2 Retrieval Trust Gate 封装为统一接口的“防御算子”，明确输入、输出、启停状态和执行日志。</w:t>
      </w:r>
    </w:p>
    <w:p w14:paraId="75F4A3A1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实现最小 DPMF scheduler/orchestrator：读取本周标准化 drift event 与 risk/defense recommendation，查询 architecture_defense_mapping_v0.csv，并自动选择、装载或切换防御算子。</w:t>
      </w:r>
    </w:p>
    <w:p w14:paraId="6D7E5ED0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完成至少一个闭环演示：Stable → Drift Injection → DPMF Detection → Risk &amp; Mapping → Defense Switch → Post-defense Verification，记录攻击成功率、clean 保持率以及策略切换前后状态。</w:t>
      </w:r>
    </w:p>
    <w:p w14:paraId="44049F80">
      <w:pPr>
        <w:pStyle w:val="165"/>
        <w:keepLines/>
      </w:pPr>
      <w:r>
        <w:rPr>
          <w:rFonts w:ascii="微软雅黑" w:hAnsi="微软雅黑" w:eastAsia="微软雅黑" w:cs="微软雅黑"/>
          <w:b/>
          <w:color w:val="23282D"/>
          <w:sz w:val="20"/>
        </w:rPr>
        <w:t xml:space="preserve">• </w:t>
      </w:r>
      <w:r>
        <w:rPr>
          <w:rFonts w:ascii="微软雅黑" w:hAnsi="微软雅黑" w:eastAsia="微软雅黑" w:cs="微软雅黑"/>
          <w:b w:val="0"/>
          <w:color w:val="23282D"/>
          <w:sz w:val="20"/>
        </w:rPr>
        <w:t>在闭环可运行的前提下补充漂移检测延迟、策略切换开销和恢复时间等工程指标，并整理 README、阶段汇总与报告结果部分，形成反馈⑦所需的“漂移→感知→防御适配”演示。</w:t>
      </w:r>
    </w:p>
    <w:sectPr>
      <w:headerReference r:id="rId5" w:type="default"/>
      <w:footerReference r:id="rId6" w:type="default"/>
      <w:pgSz w:w="11906" w:h="16838"/>
      <w:pgMar w:top="720" w:right="720" w:bottom="720" w:left="720" w:header="340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23239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DA6AB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0422"/>
    <w:rsid w:val="00CB0664"/>
    <w:rsid w:val="00FC693F"/>
    <w:rsid w:val="04222C58"/>
    <w:rsid w:val="0DAD1AF9"/>
    <w:rsid w:val="2AF40B5F"/>
    <w:rsid w:val="31DC7C7E"/>
    <w:rsid w:val="4C545E73"/>
    <w:rsid w:val="595414B9"/>
    <w:rsid w:val="7D93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9" w:lineRule="auto"/>
    </w:pPr>
    <w:rPr>
      <w:rFonts w:ascii="Noto Sans CJK SC" w:hAnsi="Noto Sans CJK SC" w:eastAsia="Noto Sans CJK SC" w:cstheme="minorBidi"/>
      <w:color w:val="23282D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ection Heading"/>
    <w:qFormat/>
    <w:uiPriority w:val="0"/>
    <w:pPr>
      <w:keepNext/>
      <w:spacing w:before="140" w:after="60" w:line="276" w:lineRule="auto"/>
    </w:pPr>
    <w:rPr>
      <w:rFonts w:ascii="Noto Sans CJK SC" w:hAnsi="Noto Sans CJK SC" w:eastAsia="Noto Sans CJK SC" w:cstheme="minorBidi"/>
      <w:b/>
      <w:color w:val="2F6B5B"/>
      <w:sz w:val="24"/>
      <w:szCs w:val="22"/>
      <w:lang w:val="en-US" w:eastAsia="en-US" w:bidi="ar-SA"/>
    </w:rPr>
  </w:style>
  <w:style w:type="paragraph" w:customStyle="1" w:styleId="165">
    <w:name w:val="Compact Bullet"/>
    <w:basedOn w:val="1"/>
    <w:qFormat/>
    <w:uiPriority w:val="0"/>
    <w:pPr>
      <w:spacing w:after="36" w:line="259" w:lineRule="auto"/>
      <w:ind w:left="312" w:hanging="159"/>
    </w:pPr>
    <w:rPr>
      <w:rFonts w:ascii="Noto Sans CJK SC" w:hAnsi="Noto Sans CJK SC" w:eastAsia="Noto Sans CJK SC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1945</Words>
  <Characters>3635</Characters>
  <Lines>0</Lines>
  <Paragraphs>0</Paragraphs>
  <TotalTime>39</TotalTime>
  <ScaleCrop>false</ScaleCrop>
  <LinksUpToDate>false</LinksUpToDate>
  <CharactersWithSpaces>3942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李荣豪</dc:creator>
  <dc:description>generated by python-docx</dc:description>
  <cp:keywords>MemEvolve, 架构漂移, Top-K, 检索策略, DPMF</cp:keywords>
  <cp:lastModifiedBy>李荣豪</cp:lastModifiedBy>
  <dcterms:modified xsi:type="dcterms:W3CDTF">2026-08-31T13:34:43Z</dcterms:modified>
  <dc:subject>DPMF 分析与信号输出</dc:subject>
  <dc:title>第六周实验记录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eyJoZGlkIjoiMTk4M2IyNWU0OTkxZWEwODNkMjZkYzNhOWI4MDQ3Y2IiLCJ1c2VySWQiOiIxNzI4OTAyNDY0In0=</vt:lpwstr>
  </property>
  <property fmtid="{D5CDD505-2E9C-101B-9397-08002B2CF9AE}" pid="3" name="KSOProductBuildVer">
    <vt:lpwstr>2052-12.1.0.28043</vt:lpwstr>
  </property>
  <property fmtid="{D5CDD505-2E9C-101B-9397-08002B2CF9AE}" pid="4" name="ICV">
    <vt:lpwstr>E7A09ACB29AE495B90A42B9FA51027D6_12</vt:lpwstr>
  </property>
</Properties>
</file>