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b/>
          <w:color w:val="1F3A5F"/>
          <w:sz w:val="52"/>
        </w:rPr>
        <w:t>ИНВЕСТИЦИОННЫЙ МЕМОРАНДУМ</w:t>
      </w:r>
    </w:p>
    <w:p>
      <w:pPr>
        <w:jc w:val="center"/>
      </w:pPr>
      <w:r>
        <w:rPr>
          <w:color w:val="2E6DA4"/>
          <w:sz w:val="28"/>
        </w:rPr>
        <w:t>Запуск продаж мини-холодильников на Amazon Germany (FBA)</w:t>
      </w:r>
    </w:p>
    <w:p>
      <w:pPr>
        <w:jc w:val="center"/>
      </w:pPr>
      <w:r>
        <w:rPr>
          <w:i/>
          <w:color w:val="555555"/>
          <w:sz w:val="22"/>
        </w:rPr>
        <w:t>Закупка · Инвестиции · Окупаемость · Net Profit · GMV · P&amp;L</w:t>
      </w:r>
    </w:p>
    <w:p/>
    <w:p>
      <w:pPr>
        <w:jc w:val="center"/>
      </w:pPr>
      <w:r>
        <w:rPr>
          <w:b/>
          <w:color w:val="1F3A5F"/>
          <w:sz w:val="30"/>
        </w:rPr>
        <w:t>GESS MARKET OÜ</w:t>
      </w:r>
    </w:p>
    <w:p>
      <w:pPr>
        <w:jc w:val="center"/>
      </w:pPr>
      <w:r>
        <w:rPr>
          <w:color w:val="555555"/>
          <w:sz w:val="20"/>
        </w:rPr>
        <w:t>Эстония · VAT-регистрация Германия · 5 SKU термоэлектрических мини-холодильников</w:t>
        <w:br/>
        <w:t>Поставщик: Ningbo Iceberg (Китай) · Канал: Amazon.de Local FBA</w:t>
      </w:r>
    </w:p>
    <w:p/>
    <w:p/>
    <w:p>
      <w:pPr>
        <w:jc w:val="center"/>
      </w:pPr>
      <w:r>
        <w:rPr>
          <w:i/>
          <w:color w:val="555555"/>
          <w:sz w:val="18"/>
        </w:rPr>
        <w:t>Все расчёты в EUR · Курс USD/EUR = 0,8574 (30.05.2026) · Версия 1.0 · Июнь 2026</w:t>
      </w:r>
    </w:p>
    <w:p>
      <w:pPr>
        <w:jc w:val="center"/>
      </w:pPr>
      <w:r>
        <w:rPr>
          <w:i/>
          <w:color w:val="555555"/>
          <w:sz w:val="18"/>
        </w:rPr>
        <w:t>Статус: для рассмотрения инвесторами</w:t>
      </w:r>
    </w:p>
    <w:p>
      <w:r>
        <w:br w:type="page"/>
      </w:r>
    </w:p>
    <w:p>
      <w:pPr>
        <w:spacing w:before="280" w:after="100"/>
        <w:pBdr>
          <w:bottom w:val="single" w:sz="6" w:space="3" w:color="2e6da4"/>
        </w:pBdr>
      </w:pPr>
      <w:r>
        <w:rPr>
          <w:b/>
          <w:color w:val="1F3A5F"/>
          <w:sz w:val="32"/>
        </w:rPr>
        <w:t>1. Резюме для инвесторов</w:t>
      </w:r>
    </w:p>
    <w:p>
      <w:pPr>
        <w:spacing w:after="80"/>
        <w:jc w:val="both"/>
      </w:pPr>
      <w:r>
        <w:rPr>
          <w:b w:val="0"/>
          <w:i w:val="0"/>
          <w:sz w:val="21"/>
        </w:rPr>
        <w:t>Проект — запуск 5 SKU термоэлектрических мини-холодильников (5–6 л) на Amazon Germany по модели Local FBA в качестве первого этапа выхода на рынок ЕС. Плановый объём — 90 шт/мес на SKU (450 шт/мес, 5 400 шт/год, ~9 контейнеров 40HQ). Цель пилота — подтвердить юнит-экономику и снизить рекламную нагрузку (TACoS) до прибыльного уровня, после чего масштабироваться по объёму и географии (Pan-EU).</w:t>
      </w:r>
    </w:p>
    <w:p/>
    <w:p>
      <w:pPr>
        <w:spacing w:after="80"/>
        <w:jc w:val="left"/>
      </w:pPr>
      <w:r>
        <w:rPr>
          <w:b/>
          <w:i w:val="0"/>
          <w:color w:val="1F3A5F"/>
          <w:sz w:val="22"/>
        </w:rPr>
        <w:t>Ключевые показатели — базовый сценарий (только Германия)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6da4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€296 946</w:t>
            </w:r>
          </w:p>
        </w:tc>
        <w:tc>
          <w:tcPr>
            <w:tcW w:type="dxa" w:w="216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€25 726</w:t>
            </w:r>
          </w:p>
        </w:tc>
        <w:tc>
          <w:tcPr>
            <w:tcW w:type="dxa" w:w="2160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23,3%</w:t>
            </w:r>
          </w:p>
        </w:tc>
        <w:tc>
          <w:tcPr>
            <w:tcW w:type="dxa" w:w="2160"/>
            <w:shd w:val="clear" w:color="auto" w:fill="b87d00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19,6%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16"/>
              </w:rPr>
              <w:t>Годовой GMV</w:t>
            </w:r>
          </w:p>
        </w:tc>
        <w:tc>
          <w:tcPr>
            <w:tcW w:type="dxa" w:w="2160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16"/>
              </w:rPr>
              <w:t>Потребность в финанс.</w:t>
            </w:r>
          </w:p>
        </w:tc>
        <w:tc>
          <w:tcPr>
            <w:tcW w:type="dxa" w:w="2160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16"/>
              </w:rPr>
              <w:t>Brutto-маржа (Net Rev)</w:t>
            </w:r>
          </w:p>
        </w:tc>
        <w:tc>
          <w:tcPr>
            <w:tcW w:type="dxa" w:w="2160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16"/>
              </w:rPr>
              <w:t>Break-even TACoS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€13 685</w:t>
            </w:r>
          </w:p>
        </w:tc>
        <w:tc>
          <w:tcPr>
            <w:tcW w:type="dxa" w:w="2160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53,2%</w:t>
            </w:r>
          </w:p>
        </w:tc>
        <w:tc>
          <w:tcPr>
            <w:tcW w:type="dxa" w:w="216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M31</w:t>
            </w:r>
          </w:p>
        </w:tc>
        <w:tc>
          <w:tcPr>
            <w:tcW w:type="dxa" w:w="2160"/>
            <w:shd w:val="clear" w:color="auto" w:fill="2e6da4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€29 585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16"/>
              </w:rPr>
              <w:t>Net Profit Год 2</w:t>
            </w:r>
          </w:p>
        </w:tc>
        <w:tc>
          <w:tcPr>
            <w:tcW w:type="dxa" w:w="2160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16"/>
              </w:rPr>
              <w:t>ROI 2-го года</w:t>
            </w:r>
          </w:p>
        </w:tc>
        <w:tc>
          <w:tcPr>
            <w:tcW w:type="dxa" w:w="2160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16"/>
              </w:rPr>
              <w:t>Полная окупаемость</w:t>
            </w:r>
          </w:p>
        </w:tc>
        <w:tc>
          <w:tcPr>
            <w:tcW w:type="dxa" w:w="2160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16"/>
              </w:rPr>
              <w:t>Бюджет пилота (+15%)</w:t>
            </w:r>
          </w:p>
        </w:tc>
      </w:tr>
    </w:tbl>
    <w:p/>
    <w:p>
      <w:pPr>
        <w:spacing w:after="80"/>
        <w:jc w:val="left"/>
      </w:pPr>
      <w:r>
        <w:rPr>
          <w:b/>
          <w:i w:val="0"/>
          <w:color w:val="1F3A5F"/>
          <w:sz w:val="23"/>
        </w:rPr>
        <w:t>Главный вывод</w:t>
      </w:r>
    </w:p>
    <w:p>
      <w:pPr>
        <w:spacing w:after="80"/>
        <w:jc w:val="both"/>
      </w:pPr>
      <w:r>
        <w:rPr>
          <w:b w:val="0"/>
          <w:i w:val="0"/>
          <w:sz w:val="21"/>
        </w:rPr>
        <w:t>Проект экономически жизнеспособен, но прибыльность определяется одним рычагом — TACoS (доля рекламы в выручке). Юнит-экономика положительна по всем 5 SKU (Brutto €8,15–15,43/шт, в среднем €10,78), но «окно прибыльности» узкое: точка безубыточности — TACoS 19,6%. Год 1 — плановый убыток €10 071 (инвестиция в ранкинг), Год 2 — выход в прибыль €13 685, полная кумулятивная окупаемость — месяц 31 (~2,6 года).</w:t>
      </w:r>
    </w:p>
    <w:p>
      <w:pPr>
        <w:spacing w:after="80"/>
        <w:jc w:val="both"/>
      </w:pPr>
      <w:r>
        <w:rPr>
          <w:b/>
          <w:i w:val="0"/>
          <w:color w:val="1F3A5F"/>
          <w:sz w:val="21"/>
        </w:rPr>
        <w:t>Рекомендация: запустить пилот в Германии на 12 месяцев с бюджетом €29 585 при жёстком контроле TACoS. Решение о масштабировании / Pan-EU — после месяца 6 по фактическим данным.</w:t>
      </w:r>
    </w:p>
    <w:p>
      <w:pPr>
        <w:spacing w:before="280" w:after="100"/>
        <w:pBdr>
          <w:bottom w:val="single" w:sz="6" w:space="3" w:color="2e6da4"/>
        </w:pBdr>
      </w:pPr>
      <w:r>
        <w:rPr>
          <w:b/>
          <w:color w:val="1F3A5F"/>
          <w:sz w:val="32"/>
        </w:rPr>
        <w:t>2. Закупка и структура себестоимости</w:t>
      </w:r>
    </w:p>
    <w:p>
      <w:pPr>
        <w:spacing w:after="80"/>
        <w:jc w:val="both"/>
      </w:pPr>
      <w:r>
        <w:rPr>
          <w:b w:val="0"/>
          <w:i w:val="0"/>
          <w:sz w:val="21"/>
        </w:rPr>
        <w:t>Товар закупается у Ningbo Iceberg (Китай) на условиях FOB, 5 SKU в двух размерных категориях FBA. Ниже — закупочные цены и полная себестоимость до склада FBA (landed cost).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41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Объём / тип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FOB USD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FOB EUR</w:t>
            </w:r>
          </w:p>
        </w:tc>
        <w:tc>
          <w:tcPr>
            <w:tcW w:type="dxa" w:w="96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РРЦ €</w:t>
            </w:r>
          </w:p>
        </w:tc>
        <w:tc>
          <w:tcPr>
            <w:tcW w:type="dxa" w:w="147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Размер FBA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MFR SK 25 white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 л / cooling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$15,50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€13,29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49,99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Small ≤3,9 кг</w:t>
            </w:r>
          </w:p>
        </w:tc>
      </w:tr>
      <w:tr>
        <w:tc>
          <w:tcPr>
            <w:tcW w:type="dxa" w:w="2041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MFR SK 25 pink</w:t>
            </w:r>
          </w:p>
        </w:tc>
        <w:tc>
          <w:tcPr>
            <w:tcW w:type="dxa" w:w="181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 л / cooling</w:t>
            </w:r>
          </w:p>
        </w:tc>
        <w:tc>
          <w:tcPr>
            <w:tcW w:type="dxa" w:w="113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$15,50</w:t>
            </w:r>
          </w:p>
        </w:tc>
        <w:tc>
          <w:tcPr>
            <w:tcW w:type="dxa" w:w="113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€13,29</w:t>
            </w:r>
          </w:p>
        </w:tc>
        <w:tc>
          <w:tcPr>
            <w:tcW w:type="dxa" w:w="96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49,99</w:t>
            </w:r>
          </w:p>
        </w:tc>
        <w:tc>
          <w:tcPr>
            <w:tcW w:type="dxa" w:w="147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Small ≤3,9 кг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MFR SK 60 white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 л / cool&amp;heat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$18,50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€15,87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59,99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Large ≤5,9 кг</w:t>
            </w:r>
          </w:p>
        </w:tc>
      </w:tr>
      <w:tr>
        <w:tc>
          <w:tcPr>
            <w:tcW w:type="dxa" w:w="2041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MFA-5L-B</w:t>
            </w:r>
          </w:p>
        </w:tc>
        <w:tc>
          <w:tcPr>
            <w:tcW w:type="dxa" w:w="181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 л / black</w:t>
            </w:r>
          </w:p>
        </w:tc>
        <w:tc>
          <w:tcPr>
            <w:tcW w:type="dxa" w:w="113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$16,30</w:t>
            </w:r>
          </w:p>
        </w:tc>
        <w:tc>
          <w:tcPr>
            <w:tcW w:type="dxa" w:w="113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€13,98</w:t>
            </w:r>
          </w:p>
        </w:tc>
        <w:tc>
          <w:tcPr>
            <w:tcW w:type="dxa" w:w="96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49,99</w:t>
            </w:r>
          </w:p>
        </w:tc>
        <w:tc>
          <w:tcPr>
            <w:tcW w:type="dxa" w:w="147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Small ≤3,9 кг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MFA-6L-F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 л / faux-leather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$19,40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€16,64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64,99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Large ≤5,9 кг</w:t>
            </w:r>
          </w:p>
        </w:tc>
      </w:tr>
    </w:tbl>
    <w:p/>
    <w:p>
      <w:pPr>
        <w:spacing w:after="80"/>
        <w:jc w:val="left"/>
      </w:pPr>
      <w:r>
        <w:rPr>
          <w:b/>
          <w:i w:val="0"/>
          <w:color w:val="1F3A5F"/>
          <w:sz w:val="21"/>
        </w:rPr>
        <w:t>Landed cost на FBA-склад (пример SK 60)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49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Статья затрат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€/ед.</w:t>
            </w:r>
          </w:p>
        </w:tc>
        <w:tc>
          <w:tcPr>
            <w:tcW w:type="dxa" w:w="294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4649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COGS — FOB ($18,50 × 0,8574)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15,87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закупка у поставщика</w:t>
            </w:r>
          </w:p>
        </w:tc>
      </w:tr>
      <w:tr>
        <w:tc>
          <w:tcPr>
            <w:tcW w:type="dxa" w:w="4649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Морской фрахт Китай→Гамбург</w:t>
            </w:r>
          </w:p>
        </w:tc>
        <w:tc>
          <w:tcPr>
            <w:tcW w:type="dxa" w:w="113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0,77</w:t>
            </w:r>
          </w:p>
        </w:tc>
        <w:tc>
          <w:tcPr>
            <w:tcW w:type="dxa" w:w="2948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FCL 40HQ, ~600 шт</w:t>
            </w:r>
          </w:p>
        </w:tc>
      </w:tr>
      <w:tr>
        <w:tc>
          <w:tcPr>
            <w:tcW w:type="dxa" w:w="4649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Пошлина 2,5% от CIF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0,42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HS 8418.29, MFN из Китая</w:t>
            </w:r>
          </w:p>
        </w:tc>
      </w:tr>
      <w:tr>
        <w:tc>
          <w:tcPr>
            <w:tcW w:type="dxa" w:w="4649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Порт + брокер + доставка в Reinbek</w:t>
            </w:r>
          </w:p>
        </w:tc>
        <w:tc>
          <w:tcPr>
            <w:tcW w:type="dxa" w:w="113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5,00</w:t>
            </w:r>
          </w:p>
        </w:tc>
        <w:tc>
          <w:tcPr>
            <w:tcW w:type="dxa" w:w="2948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средняя оценка</w:t>
            </w:r>
          </w:p>
        </w:tc>
      </w:tr>
      <w:tr>
        <w:tc>
          <w:tcPr>
            <w:tcW w:type="dxa" w:w="4649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3PL handling (приёмка/pick&amp;pack)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0,80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тариф 3PL Reinbek</w:t>
            </w:r>
          </w:p>
        </w:tc>
      </w:tr>
      <w:tr>
        <w:tc>
          <w:tcPr>
            <w:tcW w:type="dxa" w:w="4649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Доставка 3PL → Amazon FBA</w:t>
            </w:r>
          </w:p>
        </w:tc>
        <w:tc>
          <w:tcPr>
            <w:tcW w:type="dxa" w:w="113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1,20</w:t>
            </w:r>
          </w:p>
        </w:tc>
        <w:tc>
          <w:tcPr>
            <w:tcW w:type="dxa" w:w="2948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паллеты MBX/SPD</w:t>
            </w:r>
          </w:p>
        </w:tc>
      </w:tr>
      <w:tr>
        <w:tc>
          <w:tcPr>
            <w:tcW w:type="dxa" w:w="4649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ИТОГО Landed Cost на FBA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24,05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«нулевая точка» P&amp;L</w:t>
            </w:r>
          </w:p>
        </w:tc>
      </w:tr>
    </w:tbl>
    <w:p/>
    <w:p>
      <w:pPr>
        <w:spacing w:after="80"/>
        <w:jc w:val="both"/>
      </w:pPr>
      <w:r>
        <w:rPr>
          <w:b w:val="0"/>
          <w:i/>
          <w:color w:val="555555"/>
          <w:sz w:val="19"/>
        </w:rPr>
        <w:t>Закупка первого контейнера 40HQ (≈600 шт, все SKU) — €13 659 landed. Это оборотный капитал: возвращается через продажи за ~1,3 мес и реинвестируется в следующий контейнер. На балансе постоянно «висит» ~1 контейнер запасов.</w:t>
      </w:r>
    </w:p>
    <w:p>
      <w:pPr>
        <w:spacing w:before="280" w:after="100"/>
        <w:pBdr>
          <w:bottom w:val="single" w:sz="6" w:space="3" w:color="2e6da4"/>
        </w:pBdr>
      </w:pPr>
      <w:r>
        <w:rPr>
          <w:b/>
          <w:color w:val="1F3A5F"/>
          <w:sz w:val="32"/>
        </w:rPr>
        <w:t>3. Юнит-экономика: куда уходит каждый €</w:t>
      </w:r>
    </w:p>
    <w:p>
      <w:pPr>
        <w:spacing w:after="80"/>
        <w:jc w:val="both"/>
      </w:pPr>
      <w:r>
        <w:rPr>
          <w:b w:val="0"/>
          <w:i w:val="0"/>
          <w:sz w:val="21"/>
        </w:rPr>
        <w:t>Структура цены продажи показывает «потолок» маржи. До рекламы маржинальный вклад (Brutto) составляет 23,3% от Net Revenue — это максимум, ниже которого находится любая чистая прибыль. 79% розничной цены уходит на прямые издержки (COGS, комиссии Amazon, НДС) ещё до рекламных расходов.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486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nit_e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486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7"/>
        </w:rPr>
        <w:t>Рис. 1. Распределение выручки по статьям (средний SKU)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443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Статья (средний SKU)</w:t>
            </w:r>
          </w:p>
        </w:tc>
        <w:tc>
          <w:tcPr>
            <w:tcW w:type="dxa" w:w="130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€/ед.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 от Net Rev</w:t>
            </w:r>
          </w:p>
        </w:tc>
      </w:tr>
      <w:tr>
        <w:tc>
          <w:tcPr>
            <w:tcW w:type="dxa" w:w="5443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РРЦ (с НДС 19%)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54,99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119,0%</w:t>
            </w:r>
          </w:p>
        </w:tc>
      </w:tr>
      <w:tr>
        <w:tc>
          <w:tcPr>
            <w:tcW w:type="dxa" w:w="5443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− НДС 19%</w:t>
            </w:r>
          </w:p>
        </w:tc>
        <w:tc>
          <w:tcPr>
            <w:tcW w:type="dxa" w:w="130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(8,78)</w:t>
            </w:r>
          </w:p>
        </w:tc>
        <w:tc>
          <w:tcPr>
            <w:tcW w:type="dxa" w:w="1928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(19,0%)</w:t>
            </w:r>
          </w:p>
        </w:tc>
      </w:tr>
      <w:tr>
        <w:tc>
          <w:tcPr>
            <w:tcW w:type="dxa" w:w="5443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Net Revenue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46,21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100,0%</w:t>
            </w:r>
          </w:p>
        </w:tc>
      </w:tr>
      <w:tr>
        <w:tc>
          <w:tcPr>
            <w:tcW w:type="dxa" w:w="5443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− COGS landed at FBA</w:t>
            </w:r>
          </w:p>
        </w:tc>
        <w:tc>
          <w:tcPr>
            <w:tcW w:type="dxa" w:w="130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(24,05)</w:t>
            </w:r>
          </w:p>
        </w:tc>
        <w:tc>
          <w:tcPr>
            <w:tcW w:type="dxa" w:w="1928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(52,1%)</w:t>
            </w:r>
          </w:p>
        </w:tc>
      </w:tr>
      <w:tr>
        <w:tc>
          <w:tcPr>
            <w:tcW w:type="dxa" w:w="5443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− Amazon fees (referral+FBA+storage+WEEE+returns)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(11,39)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(24,6%)</w:t>
            </w:r>
          </w:p>
        </w:tc>
      </w:tr>
      <w:tr>
        <w:tc>
          <w:tcPr>
            <w:tcW w:type="dxa" w:w="5443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= BRUTTO Profit (до рекламы)</w:t>
            </w:r>
          </w:p>
        </w:tc>
        <w:tc>
          <w:tcPr>
            <w:tcW w:type="dxa" w:w="130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10,77</w:t>
            </w:r>
          </w:p>
        </w:tc>
        <w:tc>
          <w:tcPr>
            <w:tcW w:type="dxa" w:w="1928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23,3%</w:t>
            </w:r>
          </w:p>
        </w:tc>
      </w:tr>
      <w:tr>
        <w:tc>
          <w:tcPr>
            <w:tcW w:type="dxa" w:w="5443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− Реклама @ TACoS 15%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(8,25)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(17,9%)</w:t>
            </w:r>
          </w:p>
        </w:tc>
      </w:tr>
      <w:tr>
        <w:tc>
          <w:tcPr>
            <w:tcW w:type="dxa" w:w="5443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= Net Profit / шт @ TACoS 15%</w:t>
            </w:r>
          </w:p>
        </w:tc>
        <w:tc>
          <w:tcPr>
            <w:tcW w:type="dxa" w:w="130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2,52</w:t>
            </w:r>
          </w:p>
        </w:tc>
        <w:tc>
          <w:tcPr>
            <w:tcW w:type="dxa" w:w="1928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5,5%</w:t>
            </w:r>
          </w:p>
        </w:tc>
      </w:tr>
      <w:tr>
        <w:tc>
          <w:tcPr>
            <w:tcW w:type="dxa" w:w="5443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= Net Profit / шт @ TACoS 20%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(0,23)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(0,5%)</w:t>
            </w:r>
          </w:p>
        </w:tc>
      </w:tr>
    </w:tbl>
    <w:p>
      <w:pPr>
        <w:spacing w:after="40"/>
        <w:jc w:val="both"/>
      </w:pPr>
      <w:r>
        <w:rPr>
          <w:b w:val="0"/>
          <w:i/>
          <w:color w:val="555555"/>
          <w:sz w:val="19"/>
        </w:rPr>
        <w:t>Brutto-маржа 23,3% — структурный потолок. Маржа 15–20% net в этой категории недостижима: она требовала бы TACoS ≤6–7% (зрелый органический трафик через 2–3 года). Реальная цель — 4–5% net при TACoS 15%.</w:t>
      </w:r>
    </w:p>
    <w:p>
      <w:pPr>
        <w:spacing w:before="280" w:after="100"/>
        <w:pBdr>
          <w:bottom w:val="single" w:sz="6" w:space="3" w:color="2e6da4"/>
        </w:pBdr>
      </w:pPr>
      <w:r>
        <w:rPr>
          <w:b/>
          <w:color w:val="1F3A5F"/>
          <w:sz w:val="32"/>
        </w:rPr>
        <w:t>4. GMV — валовая выручка</w:t>
      </w:r>
    </w:p>
    <w:p>
      <w:pPr>
        <w:spacing w:after="80"/>
        <w:jc w:val="both"/>
      </w:pPr>
      <w:r>
        <w:rPr>
          <w:b w:val="0"/>
          <w:i w:val="0"/>
          <w:sz w:val="21"/>
        </w:rPr>
        <w:t>GMV (Gross Merchandise Value) — суммарная выручка с НДС при плановом объёме 450 шт/мес.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608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РРЦ €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Шт./мес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GMV/мес €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Доля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MFR SK 25 white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49,99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4 499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18,2%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MFR SK 25 pink</w:t>
            </w:r>
          </w:p>
        </w:tc>
        <w:tc>
          <w:tcPr>
            <w:tcW w:type="dxa" w:w="124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49,99</w:t>
            </w:r>
          </w:p>
        </w:tc>
        <w:tc>
          <w:tcPr>
            <w:tcW w:type="dxa" w:w="136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4 499</w:t>
            </w:r>
          </w:p>
        </w:tc>
        <w:tc>
          <w:tcPr>
            <w:tcW w:type="dxa" w:w="124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18,2%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MFR SK 60 white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59,99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5 399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21,8%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MFA-5L-B</w:t>
            </w:r>
          </w:p>
        </w:tc>
        <w:tc>
          <w:tcPr>
            <w:tcW w:type="dxa" w:w="124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49,99</w:t>
            </w:r>
          </w:p>
        </w:tc>
        <w:tc>
          <w:tcPr>
            <w:tcW w:type="dxa" w:w="136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4 499</w:t>
            </w:r>
          </w:p>
        </w:tc>
        <w:tc>
          <w:tcPr>
            <w:tcW w:type="dxa" w:w="124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18,2%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MFA-6L-F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64,99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5 849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23,6%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ИТОГО</w:t>
            </w:r>
          </w:p>
        </w:tc>
        <w:tc>
          <w:tcPr>
            <w:tcW w:type="dxa" w:w="124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6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450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24 746</w:t>
            </w:r>
          </w:p>
        </w:tc>
        <w:tc>
          <w:tcPr>
            <w:tcW w:type="dxa" w:w="124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6da4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€296 946</w:t>
            </w:r>
          </w:p>
        </w:tc>
        <w:tc>
          <w:tcPr>
            <w:tcW w:type="dxa" w:w="216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€249 541</w:t>
            </w:r>
          </w:p>
        </w:tc>
        <w:tc>
          <w:tcPr>
            <w:tcW w:type="dxa" w:w="2160"/>
            <w:shd w:val="clear" w:color="auto" w:fill="b87d00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€47 405</w:t>
            </w:r>
          </w:p>
        </w:tc>
        <w:tc>
          <w:tcPr>
            <w:tcW w:type="dxa" w:w="2160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5 400 шт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16"/>
              </w:rPr>
              <w:t>Годовой GMV (с НДС)</w:t>
            </w:r>
          </w:p>
        </w:tc>
        <w:tc>
          <w:tcPr>
            <w:tcW w:type="dxa" w:w="2160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16"/>
              </w:rPr>
              <w:t>Годовая Net Revenue</w:t>
            </w:r>
          </w:p>
        </w:tc>
        <w:tc>
          <w:tcPr>
            <w:tcW w:type="dxa" w:w="2160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16"/>
              </w:rPr>
              <w:t>Годовой НДС к уплате</w:t>
            </w:r>
          </w:p>
        </w:tc>
        <w:tc>
          <w:tcPr>
            <w:tcW w:type="dxa" w:w="2160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16"/>
              </w:rPr>
              <w:t>Годовой объём</w:t>
            </w:r>
          </w:p>
        </w:tc>
      </w:tr>
    </w:tbl>
    <w:p>
      <w:pPr>
        <w:spacing w:before="280" w:after="100"/>
        <w:pBdr>
          <w:bottom w:val="single" w:sz="6" w:space="3" w:color="2e6da4"/>
        </w:pBdr>
      </w:pPr>
      <w:r>
        <w:rPr>
          <w:b/>
          <w:color w:val="1F3A5F"/>
          <w:sz w:val="32"/>
        </w:rPr>
        <w:t>5. P&amp;L — отчёт о прибылях и убытках</w:t>
      </w:r>
    </w:p>
    <w:p>
      <w:pPr>
        <w:spacing w:after="80"/>
        <w:jc w:val="both"/>
      </w:pPr>
      <w:r>
        <w:rPr>
          <w:b w:val="0"/>
          <w:i w:val="0"/>
          <w:sz w:val="21"/>
        </w:rPr>
        <w:t>P&amp;L на стабильной экономике (Год 2, TACoS 15%): от GMV к чистой прибыли. Реклама — главная переменная: при целевом TACoS 15% проект прибылен, при стартовом 30% — убыточен.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471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nl_waterf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47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7"/>
        </w:rPr>
        <w:t>Рис. 2. P&amp;L-водопад: от GMV к Net Profit (Год 2, базовый сценарий)</w:t>
      </w:r>
    </w:p>
    <w:p>
      <w:pPr>
        <w:spacing w:after="80"/>
        <w:jc w:val="left"/>
      </w:pPr>
      <w:r>
        <w:rPr>
          <w:b/>
          <w:i w:val="0"/>
          <w:color w:val="1F3A5F"/>
          <w:sz w:val="21"/>
        </w:rPr>
        <w:t>Помесячный денежный поток Года 1 (базовый сценарий)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TACoS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Brutto €/мес</w:t>
            </w:r>
          </w:p>
        </w:tc>
        <w:tc>
          <w:tcPr>
            <w:tcW w:type="dxa" w:w="192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Реклама €/мес</w:t>
            </w:r>
          </w:p>
        </w:tc>
        <w:tc>
          <w:tcPr>
            <w:tcW w:type="dxa" w:w="204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Чистый поток €/мес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М 1–3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4 851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(7 424)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(2 572)</w:t>
            </w:r>
          </w:p>
        </w:tc>
      </w:tr>
      <w:tr>
        <w:tc>
          <w:tcPr>
            <w:tcW w:type="dxa" w:w="1928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М 4–6</w:t>
            </w:r>
          </w:p>
        </w:tc>
        <w:tc>
          <w:tcPr>
            <w:tcW w:type="dxa" w:w="124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25%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4 851</w:t>
            </w:r>
          </w:p>
        </w:tc>
        <w:tc>
          <w:tcPr>
            <w:tcW w:type="dxa" w:w="1928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(6 186)</w:t>
            </w:r>
          </w:p>
        </w:tc>
        <w:tc>
          <w:tcPr>
            <w:tcW w:type="dxa" w:w="204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(1 335)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М 7–9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4 851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(4 949)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(98)</w:t>
            </w:r>
          </w:p>
        </w:tc>
      </w:tr>
      <w:tr>
        <w:tc>
          <w:tcPr>
            <w:tcW w:type="dxa" w:w="1928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М 10–12</w:t>
            </w:r>
          </w:p>
        </w:tc>
        <w:tc>
          <w:tcPr>
            <w:tcW w:type="dxa" w:w="124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4 851</w:t>
            </w:r>
          </w:p>
        </w:tc>
        <w:tc>
          <w:tcPr>
            <w:tcW w:type="dxa" w:w="1928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(4 207)</w:t>
            </w:r>
          </w:p>
        </w:tc>
        <w:tc>
          <w:tcPr>
            <w:tcW w:type="dxa" w:w="204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+644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ИТОГ Год 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ср. 23%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58 227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(68 298)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(10 071)</w:t>
            </w:r>
          </w:p>
        </w:tc>
      </w:tr>
      <w:tr>
        <w:tc>
          <w:tcPr>
            <w:tcW w:type="dxa" w:w="1928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Год 2</w:t>
            </w:r>
          </w:p>
        </w:tc>
        <w:tc>
          <w:tcPr>
            <w:tcW w:type="dxa" w:w="124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58 227</w:t>
            </w:r>
          </w:p>
        </w:tc>
        <w:tc>
          <w:tcPr>
            <w:tcW w:type="dxa" w:w="1928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(44 542)</w:t>
            </w:r>
          </w:p>
        </w:tc>
        <w:tc>
          <w:tcPr>
            <w:tcW w:type="dxa" w:w="204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+13 685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Год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58 227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(38 603)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+19 624</w:t>
            </w:r>
          </w:p>
        </w:tc>
      </w:tr>
    </w:tbl>
    <w:p>
      <w:pPr>
        <w:spacing w:before="280" w:after="100"/>
        <w:pBdr>
          <w:bottom w:val="single" w:sz="6" w:space="3" w:color="2e6da4"/>
        </w:pBdr>
      </w:pPr>
      <w:r>
        <w:rPr>
          <w:b/>
          <w:color w:val="1F3A5F"/>
          <w:sz w:val="32"/>
        </w:rPr>
        <w:t>6. Чистая прибыль — три сценария</w:t>
      </w:r>
    </w:p>
    <w:p>
      <w:pPr>
        <w:spacing w:after="80"/>
        <w:jc w:val="both"/>
      </w:pPr>
      <w:r>
        <w:rPr>
          <w:b w:val="0"/>
          <w:i w:val="0"/>
          <w:sz w:val="21"/>
        </w:rPr>
        <w:t>Прибыльность зависит от траектории снижения TACoS. Три сценария отражают разную скорость набора органического трафика.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20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cenarios_n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2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7"/>
        </w:rPr>
        <w:t>Рис. 3. Чистая прибыль по сценариям, Год 1–3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948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Консерватив.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Базовый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Оптимистич.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Средний TACoS, Год 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18%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TACoS Год 2+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13%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Net Profit Год 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(€19 721)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(€10 071)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(€1 162)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Net Profit Год 2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(€1 162)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€13 685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€19 624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Net Profit Год 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€4 777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€19 624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€25 563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Кумулятивно 3 года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(€16 107)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€23 238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€44 024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Потребность в финанс.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€33 440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€25 726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€21 724</w:t>
            </w:r>
          </w:p>
        </w:tc>
      </w:tr>
      <w:tr>
        <w:tc>
          <w:tcPr>
            <w:tcW w:type="dxa" w:w="2948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Полная окупаемость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M111 (~9 лет)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M31 (~2,6 г.)</w:t>
            </w:r>
          </w:p>
        </w:tc>
        <w:tc>
          <w:tcPr>
            <w:tcW w:type="dxa" w:w="1701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M22 (~1,8 г.)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ROI 2-го года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−3,5%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53,2%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90,3%</w:t>
            </w:r>
          </w:p>
        </w:tc>
      </w:tr>
    </w:tbl>
    <w:p>
      <w:pPr>
        <w:spacing w:before="280" w:after="100"/>
        <w:pBdr>
          <w:bottom w:val="single" w:sz="6" w:space="3" w:color="2e6da4"/>
        </w:pBdr>
      </w:pPr>
      <w:r>
        <w:rPr>
          <w:b/>
          <w:color w:val="1F3A5F"/>
          <w:sz w:val="32"/>
        </w:rPr>
        <w:t>7. Инвестиции и окупаемость</w:t>
      </w:r>
    </w:p>
    <w:p>
      <w:pPr>
        <w:spacing w:after="80"/>
        <w:jc w:val="both"/>
      </w:pPr>
      <w:r>
        <w:rPr>
          <w:b w:val="0"/>
          <w:i w:val="0"/>
          <w:sz w:val="21"/>
        </w:rPr>
        <w:t>Потребность в финансировании базового сценария — €25 726: это не «потерянные» деньги, а оборотный капитал (53% — первый контейнер) и финансирование операционного убытка Года 1 (47%). С учётом 15% резерва рекомендуемый бюджет пилота — €29 585.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310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invest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310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7"/>
        </w:rPr>
        <w:t>Рис. 4. Структура инвестиций (бюджет пилота)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20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yb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20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7"/>
        </w:rPr>
        <w:t>Рис. 5. Кумулятивный денежный поток: пик cash burn в M9, окупаемость в M31</w:t>
      </w:r>
    </w:p>
    <w:p>
      <w:pPr>
        <w:spacing w:after="80"/>
        <w:jc w:val="left"/>
      </w:pPr>
      <w:r>
        <w:rPr>
          <w:b/>
          <w:i w:val="0"/>
          <w:color w:val="1F3A5F"/>
          <w:sz w:val="21"/>
        </w:rPr>
        <w:t>Три метрики окупаемости</w:t>
      </w:r>
    </w:p>
    <w:p>
      <w:pPr>
        <w:pStyle w:val="ListBullet"/>
        <w:spacing w:after="40"/>
      </w:pPr>
      <w:r>
        <w:rPr>
          <w:b/>
          <w:sz w:val="21"/>
        </w:rPr>
        <w:t xml:space="preserve">Операционная (M10): </w:t>
      </w:r>
      <w:r>
        <w:rPr>
          <w:sz w:val="21"/>
        </w:rPr>
        <w:t xml:space="preserve"> впервые ежемесячный денежный поток выходит в плюс.</w:t>
      </w:r>
    </w:p>
    <w:p>
      <w:pPr>
        <w:pStyle w:val="ListBullet"/>
        <w:spacing w:after="40"/>
      </w:pPr>
      <w:r>
        <w:rPr>
          <w:b/>
          <w:sz w:val="21"/>
        </w:rPr>
        <w:t xml:space="preserve">Окупаемость контейнера (12 мес.): </w:t>
      </w:r>
      <w:r>
        <w:rPr>
          <w:sz w:val="21"/>
        </w:rPr>
        <w:t xml:space="preserve"> товарный капитал €13 659 ÷ €1 140/мес на экономике Года 2.</w:t>
      </w:r>
    </w:p>
    <w:p>
      <w:pPr>
        <w:pStyle w:val="ListBullet"/>
        <w:spacing w:after="40"/>
      </w:pPr>
      <w:r>
        <w:rPr>
          <w:b/>
          <w:sz w:val="21"/>
        </w:rPr>
        <w:t xml:space="preserve">Полная кумулятивная (M31, ~2,6 года): </w:t>
      </w:r>
      <w:r>
        <w:rPr>
          <w:sz w:val="21"/>
        </w:rPr>
        <w:t xml:space="preserve"> совокупный денежный поток с нуля выходит в плюс; далее — чистая прибыль.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€25 726</w:t>
            </w:r>
          </w:p>
        </w:tc>
        <w:tc>
          <w:tcPr>
            <w:tcW w:type="dxa" w:w="2160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53,2%</w:t>
            </w:r>
          </w:p>
        </w:tc>
        <w:tc>
          <w:tcPr>
            <w:tcW w:type="dxa" w:w="2160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76,3%</w:t>
            </w:r>
          </w:p>
        </w:tc>
        <w:tc>
          <w:tcPr>
            <w:tcW w:type="dxa" w:w="2160"/>
            <w:shd w:val="clear" w:color="auto" w:fill="b87d00"/>
          </w:tcPr>
          <w:p>
            <w:pPr>
              <w:jc w:val="center"/>
            </w:pPr>
            <w:r/>
            <w:r>
              <w:rPr>
                <w:b/>
                <w:color w:val="FFFFFF"/>
                <w:sz w:val="30"/>
              </w:rPr>
              <w:t>M31</w:t>
            </w:r>
          </w:p>
        </w:tc>
      </w:tr>
      <w:tr>
        <w:tc>
          <w:tcPr>
            <w:tcW w:type="dxa" w:w="2160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16"/>
              </w:rPr>
              <w:t>Потребность в финанс.</w:t>
            </w:r>
          </w:p>
        </w:tc>
        <w:tc>
          <w:tcPr>
            <w:tcW w:type="dxa" w:w="2160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16"/>
              </w:rPr>
              <w:t>ROI Год 2</w:t>
            </w:r>
          </w:p>
        </w:tc>
        <w:tc>
          <w:tcPr>
            <w:tcW w:type="dxa" w:w="2160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16"/>
              </w:rPr>
              <w:t>ROI Год 3</w:t>
            </w:r>
          </w:p>
        </w:tc>
        <w:tc>
          <w:tcPr>
            <w:tcW w:type="dxa" w:w="2160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color w:val="555555"/>
                <w:sz w:val="16"/>
              </w:rPr>
              <w:t>Полная окупаемость</w:t>
            </w:r>
          </w:p>
        </w:tc>
      </w:tr>
    </w:tbl>
    <w:p>
      <w:pPr>
        <w:spacing w:before="280" w:after="100"/>
        <w:pBdr>
          <w:bottom w:val="single" w:sz="6" w:space="3" w:color="2e6da4"/>
        </w:pBdr>
      </w:pPr>
      <w:r>
        <w:rPr>
          <w:b/>
          <w:color w:val="1F3A5F"/>
          <w:sz w:val="32"/>
        </w:rPr>
        <w:t>8. Чувствительность и риски</w:t>
      </w:r>
    </w:p>
    <w:p>
      <w:pPr>
        <w:spacing w:after="80"/>
        <w:jc w:val="both"/>
      </w:pPr>
      <w:r>
        <w:rPr>
          <w:b w:val="0"/>
          <w:i w:val="0"/>
          <w:sz w:val="21"/>
        </w:rPr>
        <w:t>TACoS — главный риск-фактор: каждый процентный пункт = ±€2 970 годовой прибыли. Break-even — TACoS 19,6%.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524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ac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2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7"/>
        </w:rPr>
        <w:t>Рис. 6. Чувствительность годовой прибыли к TACoS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Фактор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Изменение</w:t>
            </w:r>
          </w:p>
        </w:tc>
        <w:tc>
          <w:tcPr>
            <w:tcW w:type="dxa" w:w="249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Эффект на прибыль/год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TACoS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±1 п.п.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±€2 970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KPI №1, еженед. контроль</w:t>
            </w:r>
          </w:p>
        </w:tc>
      </w:tr>
      <w:tr>
        <w:tc>
          <w:tcPr>
            <w:tcW w:type="dxa" w:w="1928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COGS (закупка)</w:t>
            </w:r>
          </w:p>
        </w:tc>
        <w:tc>
          <w:tcPr>
            <w:tcW w:type="dxa" w:w="181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−10%</w:t>
            </w:r>
          </w:p>
        </w:tc>
        <w:tc>
          <w:tcPr>
            <w:tcW w:type="dxa" w:w="249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+€8 208</w:t>
            </w:r>
          </w:p>
        </w:tc>
        <w:tc>
          <w:tcPr>
            <w:tcW w:type="dxa" w:w="2268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переговоры с Ningbo Iceberg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РРЦ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−€5 (ценовая война)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−€21 926 → убыток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удержание цены, дифференциация</w:t>
            </w:r>
          </w:p>
        </w:tc>
      </w:tr>
      <w:tr>
        <w:tc>
          <w:tcPr>
            <w:tcW w:type="dxa" w:w="1928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Курс USD/EUR</w:t>
            </w:r>
          </w:p>
        </w:tc>
        <w:tc>
          <w:tcPr>
            <w:tcW w:type="dxa" w:w="181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±5%</w:t>
            </w:r>
          </w:p>
        </w:tc>
        <w:tc>
          <w:tcPr>
            <w:tcW w:type="dxa" w:w="2494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±~30%</w:t>
            </w:r>
          </w:p>
        </w:tc>
        <w:tc>
          <w:tcPr>
            <w:tcW w:type="dxa" w:w="2268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форвардное хеджирование $90k</w:t>
            </w:r>
          </w:p>
        </w:tc>
      </w:tr>
    </w:tbl>
    <w:p/>
    <w:p>
      <w:pPr>
        <w:spacing w:after="80"/>
        <w:jc w:val="left"/>
      </w:pPr>
      <w:r>
        <w:rPr>
          <w:b/>
          <w:i w:val="0"/>
          <w:color w:val="1F3A5F"/>
          <w:sz w:val="21"/>
        </w:rPr>
        <w:t>Ключевые риски</w:t>
      </w:r>
    </w:p>
    <w:p>
      <w:pPr>
        <w:pStyle w:val="ListBullet"/>
        <w:spacing w:after="40"/>
      </w:pPr>
      <w:r>
        <w:rPr>
          <w:sz w:val="21"/>
        </w:rPr>
        <w:t>TACoS не опускается ниже 20% → постоянная убыточность. Митигация: stop-loss на M6.</w:t>
      </w:r>
    </w:p>
    <w:p>
      <w:pPr>
        <w:pStyle w:val="ListBullet"/>
        <w:spacing w:after="40"/>
      </w:pPr>
      <w:r>
        <w:rPr>
          <w:sz w:val="21"/>
        </w:rPr>
        <w:t>Ценовая война (Upstreman €49,99) → снижение РРЦ разрушает экономику. Митигация: дифференциация брендом/дизайном.</w:t>
      </w:r>
    </w:p>
    <w:p>
      <w:pPr>
        <w:pStyle w:val="ListBullet"/>
        <w:spacing w:after="40"/>
      </w:pPr>
      <w:r>
        <w:rPr>
          <w:sz w:val="21"/>
        </w:rPr>
        <w:t>Сезонность (пик апр–сент, спад окт–март). Митигация: старт в апреле–мае, планирование поставок на пик.</w:t>
      </w:r>
    </w:p>
    <w:p>
      <w:pPr>
        <w:pStyle w:val="ListBullet"/>
        <w:spacing w:after="40"/>
      </w:pPr>
      <w:r>
        <w:rPr>
          <w:sz w:val="21"/>
        </w:rPr>
        <w:t>Высокая конкуренция (AstroAI, YASHE, FOHERE). Митигация: A+ Content, Brand Story, работа с отзывами (Vine).</w:t>
      </w:r>
    </w:p>
    <w:p>
      <w:pPr>
        <w:spacing w:before="280" w:after="100"/>
        <w:pBdr>
          <w:bottom w:val="single" w:sz="6" w:space="3" w:color="2e6da4"/>
        </w:pBdr>
      </w:pPr>
      <w:r>
        <w:rPr>
          <w:b/>
          <w:color w:val="1F3A5F"/>
          <w:sz w:val="32"/>
        </w:rPr>
        <w:t>9. Масштабирование объёма (5 и 10 шт/день/SKU)</w:t>
      </w:r>
    </w:p>
    <w:p>
      <w:pPr>
        <w:spacing w:after="80"/>
        <w:jc w:val="both"/>
      </w:pPr>
      <w:r>
        <w:rPr>
          <w:b w:val="0"/>
          <w:i w:val="0"/>
          <w:sz w:val="21"/>
        </w:rPr>
        <w:t>Анализ объёмов 3 / 5 / 10 шт/день на SKU показывает: объём улучшает абсолютную прибыль и ROI, но НЕ повышает % маржинальности — он определяется юнит-экономикой и TACoS. При TACoS 20% любой объём убыточен; масштабирование имеет смысл ТОЛЬКО после снижения TACoS до 15%.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94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al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9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7"/>
        </w:rPr>
        <w:t>Рис. 7. Сценарии масштабирования при TACoS 15%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21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175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3 шт/день</w:t>
            </w:r>
          </w:p>
        </w:tc>
        <w:tc>
          <w:tcPr>
            <w:tcW w:type="dxa" w:w="175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5 шт/день</w:t>
            </w:r>
          </w:p>
        </w:tc>
        <w:tc>
          <w:tcPr>
            <w:tcW w:type="dxa" w:w="175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10 шт/день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Шт/год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5 475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9 125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18 250</w:t>
            </w:r>
          </w:p>
        </w:tc>
      </w:tr>
      <w:tr>
        <w:tc>
          <w:tcPr>
            <w:tcW w:type="dxa" w:w="2721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GMV / год</w:t>
            </w:r>
          </w:p>
        </w:tc>
        <w:tc>
          <w:tcPr>
            <w:tcW w:type="dxa" w:w="175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€301 тыс</w:t>
            </w:r>
          </w:p>
        </w:tc>
        <w:tc>
          <w:tcPr>
            <w:tcW w:type="dxa" w:w="175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€502 тыс</w:t>
            </w:r>
          </w:p>
        </w:tc>
        <w:tc>
          <w:tcPr>
            <w:tcW w:type="dxa" w:w="175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€1,0 млн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Net Profit @ TACoS 15%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+€5,4 тыс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+€14,6 тыс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+€37,6 тыс</w:t>
            </w:r>
          </w:p>
        </w:tc>
      </w:tr>
      <w:tr>
        <w:tc>
          <w:tcPr>
            <w:tcW w:type="dxa" w:w="2721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Net Margin @ TACoS 15%</w:t>
            </w:r>
          </w:p>
        </w:tc>
        <w:tc>
          <w:tcPr>
            <w:tcW w:type="dxa" w:w="175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2,1%</w:t>
            </w:r>
          </w:p>
        </w:tc>
        <w:tc>
          <w:tcPr>
            <w:tcW w:type="dxa" w:w="175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3,5%</w:t>
            </w:r>
          </w:p>
        </w:tc>
        <w:tc>
          <w:tcPr>
            <w:tcW w:type="dxa" w:w="175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4,5%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Net Profit @ TACoS 20%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(€9,6 тыс)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(€10,5 тыс)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(€12,6 тыс)</w:t>
            </w:r>
          </w:p>
        </w:tc>
      </w:tr>
      <w:tr>
        <w:tc>
          <w:tcPr>
            <w:tcW w:type="dxa" w:w="2721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Стартовый капитал</w:t>
            </w:r>
          </w:p>
        </w:tc>
        <w:tc>
          <w:tcPr>
            <w:tcW w:type="dxa" w:w="175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€31,6 тыс</w:t>
            </w:r>
          </w:p>
        </w:tc>
        <w:tc>
          <w:tcPr>
            <w:tcW w:type="dxa" w:w="175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€47,1 тыс</w:t>
            </w:r>
          </w:p>
        </w:tc>
        <w:tc>
          <w:tcPr>
            <w:tcW w:type="dxa" w:w="175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€85,7 тыс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Окупаемость @ 15%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5,8 лет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3,2 года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2,3 года</w:t>
            </w:r>
          </w:p>
        </w:tc>
      </w:tr>
      <w:tr>
        <w:tc>
          <w:tcPr>
            <w:tcW w:type="dxa" w:w="2721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ROI Года 2+ @ 15%</w:t>
            </w:r>
          </w:p>
        </w:tc>
        <w:tc>
          <w:tcPr>
            <w:tcW w:type="dxa" w:w="175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17%</w:t>
            </w:r>
          </w:p>
        </w:tc>
        <w:tc>
          <w:tcPr>
            <w:tcW w:type="dxa" w:w="175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31%</w:t>
            </w:r>
          </w:p>
        </w:tc>
        <w:tc>
          <w:tcPr>
            <w:tcW w:type="dxa" w:w="1757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44%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Риск при срыве TACoS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Управляемый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Существенный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Критический</w:t>
            </w:r>
          </w:p>
        </w:tc>
      </w:tr>
    </w:tbl>
    <w:p>
      <w:pPr>
        <w:spacing w:after="40"/>
        <w:jc w:val="both"/>
      </w:pPr>
      <w:r>
        <w:rPr>
          <w:b w:val="0"/>
          <w:i/>
          <w:color w:val="555555"/>
          <w:sz w:val="17"/>
        </w:rPr>
        <w:t>Примечание: блок масштабирования рассчитан по 365 дням/год (5 475 шт) с постоянными расходами €8 400/год и базовым TACoS 20%; основной бизнес-кейс — по 5 400 шт/год с поквартальной траекторией TACoS. Разница методик не меняет выводов.</w:t>
      </w:r>
    </w:p>
    <w:p>
      <w:pPr>
        <w:spacing w:before="280" w:after="100"/>
        <w:pBdr>
          <w:bottom w:val="single" w:sz="6" w:space="3" w:color="2e6da4"/>
        </w:pBdr>
      </w:pPr>
      <w:r>
        <w:rPr>
          <w:b/>
          <w:color w:val="1F3A5F"/>
          <w:sz w:val="32"/>
        </w:rPr>
        <w:t>10. Вывод и рекомендация для инвесторов</w:t>
      </w:r>
    </w:p>
    <w:p>
      <w:pPr>
        <w:spacing w:after="80"/>
        <w:jc w:val="left"/>
      </w:pPr>
      <w:r>
        <w:rPr>
          <w:b/>
          <w:i w:val="0"/>
          <w:color w:val="1F3A5F"/>
          <w:sz w:val="21"/>
        </w:rPr>
        <w:t>Обоснование по трём осям финансового анализа:</w:t>
      </w:r>
    </w:p>
    <w:p>
      <w:pPr>
        <w:pStyle w:val="ListBullet"/>
        <w:spacing w:after="40"/>
      </w:pPr>
      <w:r>
        <w:rPr>
          <w:b/>
          <w:sz w:val="21"/>
        </w:rPr>
        <w:t xml:space="preserve">Ось 1. Операционная экономика — ПОЛОЖИТЕЛЬНА. </w:t>
      </w:r>
      <w:r>
        <w:rPr>
          <w:sz w:val="21"/>
        </w:rPr>
        <w:t xml:space="preserve"> Brutto-маржа 23,3%, €4 852/мес вклада; все 5 SKU прибыльны на уровне единицы — нет «слабого звена».</w:t>
      </w:r>
    </w:p>
    <w:p>
      <w:pPr>
        <w:pStyle w:val="ListBullet"/>
        <w:spacing w:after="40"/>
      </w:pPr>
      <w:r>
        <w:rPr>
          <w:b/>
          <w:sz w:val="21"/>
        </w:rPr>
        <w:t xml:space="preserve">Ось 2. Инвестиции и возврат — ПРИЕМЛЕМЫЙ ROI. </w:t>
      </w:r>
      <w:r>
        <w:rPr>
          <w:sz w:val="21"/>
        </w:rPr>
        <w:t xml:space="preserve"> ROI 53% (Год 2) и 76% (Год 3) — выше депозита (2–3%), гособлигаций DE (2,5%) и среднего S&amp;P 500 (7–10%). Это венчурная инвестиция в товарный бизнес с реальным риском неполного возврата.</w:t>
      </w:r>
    </w:p>
    <w:p>
      <w:pPr>
        <w:pStyle w:val="ListBullet"/>
        <w:spacing w:after="40"/>
      </w:pPr>
      <w:r>
        <w:rPr>
          <w:b/>
          <w:sz w:val="21"/>
        </w:rPr>
        <w:t xml:space="preserve">Ось 3. Затраты и точка безубыточности — УЗКОЕ ОКНО. </w:t>
      </w:r>
      <w:r>
        <w:rPr>
          <w:sz w:val="21"/>
        </w:rPr>
        <w:t xml:space="preserve"> break-even TACoS 19,6%, узкое окно прибыльности. Контроль TACoS — критичен.</w:t>
      </w:r>
    </w:p>
    <w:p/>
    <w:p>
      <w:pPr>
        <w:spacing w:after="80"/>
        <w:jc w:val="left"/>
      </w:pPr>
      <w:r>
        <w:rPr>
          <w:b/>
          <w:i w:val="0"/>
          <w:color w:val="2E7D32"/>
          <w:sz w:val="25"/>
        </w:rPr>
        <w:t>ВЕРДИКТ: ЗАПУСК РЕКОМЕНДОВАН в формате 12-месячного пилота.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Параметр пилота</w:t>
            </w:r>
          </w:p>
        </w:tc>
        <w:tc>
          <w:tcPr>
            <w:tcW w:type="dxa" w:w="6236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Бюджет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€29 585 (вкл. 15% резерв)</w:t>
            </w:r>
          </w:p>
        </w:tc>
      </w:tr>
      <w:tr>
        <w:tc>
          <w:tcPr>
            <w:tcW w:type="dxa" w:w="2835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Длительность</w:t>
            </w:r>
          </w:p>
        </w:tc>
        <w:tc>
          <w:tcPr>
            <w:tcW w:type="dxa" w:w="6236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 месяцев, только Германия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Точка решения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Месяц 6 (продолжение / сворачивание)</w:t>
            </w:r>
          </w:p>
        </w:tc>
      </w:tr>
      <w:tr>
        <w:tc>
          <w:tcPr>
            <w:tcW w:type="dxa" w:w="2835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Stop-loss</w:t>
            </w:r>
          </w:p>
        </w:tc>
        <w:tc>
          <w:tcPr>
            <w:tcW w:type="dxa" w:w="6236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кумулятивный убыток &gt;€27 тыс к M6 → закрытие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Целевой KPI к M12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TACoS ≤ 17%, прибыль ≥ €500/мес, рейтинг ≥ 4,0★</w:t>
            </w:r>
          </w:p>
        </w:tc>
      </w:tr>
      <w:tr>
        <w:tc>
          <w:tcPr>
            <w:tcW w:type="dxa" w:w="2835"/>
            <w:shd w:val="clear" w:color="auto" w:fill="eef3f8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Масштабирование</w:t>
            </w:r>
          </w:p>
        </w:tc>
        <w:tc>
          <w:tcPr>
            <w:tcW w:type="dxa" w:w="6236"/>
            <w:shd w:val="clear" w:color="auto" w:fill="eef3f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Год 2 → 5 шт/день, Год 3 → 10 шт/день (при TACoS ≤15%)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b/>
                <w:color w:val="1F3A5F"/>
                <w:sz w:val="18"/>
              </w:rPr>
              <w:t>Pan-EU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после 6 мес. при TACoS ≤20% в DE и положительном ROI</w:t>
            </w:r>
          </w:p>
        </w:tc>
      </w:tr>
    </w:tbl>
    <w:p/>
    <w:p>
      <w:pPr>
        <w:spacing w:after="80"/>
        <w:jc w:val="both"/>
      </w:pPr>
      <w:r>
        <w:rPr>
          <w:b/>
          <w:i w:val="0"/>
          <w:color w:val="1F3A5F"/>
          <w:sz w:val="21"/>
        </w:rPr>
        <w:t>Реалистичные ожидания: это НЕ бизнес «с окупаемостью за 12 месяцев». Это инвестиция с горизонтом 2,5–3,5 года при условии дисциплины в управлении рекламной нагрузкой (TACoS). Маржинальность 15–20% net недостижима через объём — она про контроль TACoS.</w:t>
      </w:r>
    </w:p>
    <w:p/>
    <w:p>
      <w:r>
        <w:rPr>
          <w:i/>
          <w:color w:val="555555"/>
          <w:sz w:val="16"/>
        </w:rPr>
        <w:t>Источник: финансовая модель GESS_MARKET_FBA_Calculator_v1.xlsx, бизнес-кейс DE FBA, сценарии 5/10 шт/день. Данные перепроверены по TARIC (Access2Markets EC), Amazon Rate Card 2026, ставкам НДС 2026. Все расчёты в EUR, USD/EUR=0,8574.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