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textAlignment w:val="baseline"/>
        <w:rPr>
          <w:rFonts w:ascii="Arial" w:hAnsi="Arial" w:eastAsia="Times New Roman" w:cs="Arial"/>
          <w:color w:val="000000"/>
          <w:sz w:val="20"/>
          <w:szCs w:val="20"/>
        </w:rPr>
      </w:pPr>
      <w:r>
        <w:rPr>
          <w:rFonts w:eastAsia="Times New Roman" w:cs="Arial" w:ascii="Arial" w:hAnsi="Arial"/>
          <w:b/>
          <w:bCs/>
          <w:color w:val="177D92"/>
          <w:sz w:val="20"/>
          <w:szCs w:val="20"/>
        </w:rPr>
        <w:t>E2.6</w:t>
      </w:r>
      <w:r>
        <w:rPr>
          <w:rFonts w:eastAsia="Times New Roman" w:cs="Arial" w:ascii="Arial" w:hAnsi="Arial"/>
          <w:color w:val="000000"/>
          <w:sz w:val="20"/>
          <w:szCs w:val="20"/>
        </w:rPr>
        <w:t xml:space="preserve"> The following items are taken from the financial statements of Carmen Co. at </w:t>
      </w:r>
      <w:bookmarkStart w:id="0" w:name="_GoBack"/>
      <w:bookmarkEnd w:id="0"/>
      <w:r>
        <w:rPr>
          <w:rFonts w:eastAsia="Times New Roman" w:cs="Arial" w:ascii="Arial" w:hAnsi="Arial"/>
          <w:color w:val="000000"/>
          <w:sz w:val="20"/>
          <w:szCs w:val="20"/>
        </w:rPr>
        <w:t>December 31, 2022.</w:t>
      </w:r>
    </w:p>
    <w:p>
      <w:pPr>
        <w:pStyle w:val="Normal"/>
        <w:spacing w:lineRule="auto" w:line="240" w:before="0" w:after="0"/>
        <w:textAlignment w:val="baseline"/>
        <w:rPr>
          <w:rFonts w:ascii="Arial" w:hAnsi="Arial" w:eastAsia="Times New Roman" w:cs="Arial"/>
          <w:color w:val="000000"/>
          <w:sz w:val="6"/>
          <w:szCs w:val="6"/>
        </w:rPr>
      </w:pPr>
      <w:r>
        <w:rPr>
          <w:rFonts w:eastAsia="Times New Roman" w:cs="Arial" w:ascii="Arial" w:hAnsi="Arial"/>
          <w:color w:val="000000"/>
          <w:sz w:val="6"/>
          <w:szCs w:val="6"/>
        </w:rPr>
      </w:r>
    </w:p>
    <w:tbl>
      <w:tblPr>
        <w:tblStyle w:val="TableGrid"/>
        <w:tblW w:w="954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04"/>
        <w:gridCol w:w="901"/>
        <w:gridCol w:w="2704"/>
        <w:gridCol w:w="900"/>
        <w:gridCol w:w="2521"/>
        <w:gridCol w:w="809"/>
      </w:tblGrid>
      <w:tr>
        <w:trPr>
          <w:trHeight w:val="233"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Land</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$195,600</w:t>
            </w:r>
          </w:p>
        </w:tc>
        <w:tc>
          <w:tcPr>
            <w:tcW w:w="2704" w:type="dxa"/>
            <w:tcBorders/>
          </w:tcPr>
          <w:p>
            <w:pPr>
              <w:pStyle w:val="Normal"/>
              <w:widowControl/>
              <w:spacing w:lineRule="auto" w:line="240" w:before="0" w:after="0"/>
              <w:jc w:val="left"/>
              <w:textAlignment w:val="baseline"/>
              <w:rPr>
                <w:rFonts w:ascii="Arial" w:hAnsi="Arial" w:eastAsia="Times New Roman" w:cs="Arial"/>
                <w:sz w:val="16"/>
                <w:szCs w:val="16"/>
              </w:rPr>
            </w:pPr>
            <w:r>
              <w:rPr>
                <w:rFonts w:eastAsia="Times New Roman" w:cs="Arial" w:ascii="Arial" w:hAnsi="Arial"/>
                <w:kern w:val="0"/>
                <w:sz w:val="16"/>
                <w:szCs w:val="16"/>
                <w:lang w:val="en-US" w:eastAsia="en-US" w:bidi="ar-SA"/>
              </w:rPr>
              <w:t>Notes receivable (due in 2023)</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5,300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Accum. Dep. - equipment</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18,720</w:t>
            </w:r>
          </w:p>
        </w:tc>
      </w:tr>
      <w:tr>
        <w:trPr>
          <w:trHeight w:val="260"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Accounts receivable</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21,700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Accum. Dep. - land improvements</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12,600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Interest payable</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3,600</w:t>
            </w:r>
          </w:p>
        </w:tc>
      </w:tr>
      <w:tr>
        <w:trPr>
          <w:trHeight w:val="251"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Supplies</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9,200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Common stock</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75,000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Income taxes payable</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14,700</w:t>
            </w:r>
          </w:p>
        </w:tc>
      </w:tr>
      <w:tr>
        <w:trPr>
          <w:trHeight w:val="269"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Cash</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11,840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Retained earnings (12/31/22)</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495,000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Patents</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46,700</w:t>
            </w:r>
          </w:p>
        </w:tc>
      </w:tr>
      <w:tr>
        <w:trPr>
          <w:trHeight w:val="260"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Equipment</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82,400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Accum. Dep. - buildings</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32,600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Investments in stock (long-term)</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71,500</w:t>
            </w:r>
          </w:p>
        </w:tc>
      </w:tr>
      <w:tr>
        <w:trPr>
          <w:trHeight w:val="260"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Buildings</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261,200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Accounts payable</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9,500</w:t>
            </w:r>
          </w:p>
        </w:tc>
        <w:tc>
          <w:tcPr>
            <w:tcW w:w="2521" w:type="dxa"/>
            <w:tcBorders/>
          </w:tcPr>
          <w:p>
            <w:pPr>
              <w:pStyle w:val="Normal"/>
              <w:widowControl/>
              <w:spacing w:lineRule="auto" w:line="240" w:before="0" w:after="0"/>
              <w:jc w:val="left"/>
              <w:textAlignment w:val="baseline"/>
              <w:rPr>
                <w:rFonts w:ascii="Arial" w:hAnsi="Arial" w:eastAsia="Times New Roman" w:cs="Arial"/>
                <w:sz w:val="16"/>
                <w:szCs w:val="16"/>
              </w:rPr>
            </w:pPr>
            <w:r>
              <w:rPr>
                <w:rFonts w:eastAsia="Times New Roman" w:cs="Arial" w:ascii="Arial" w:hAnsi="Arial"/>
                <w:kern w:val="0"/>
                <w:sz w:val="16"/>
                <w:szCs w:val="16"/>
                <w:lang w:val="en-US" w:eastAsia="en-US" w:bidi="ar-SA"/>
              </w:rPr>
              <w:t>Debt investments (short-term)</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4,100</w:t>
            </w:r>
          </w:p>
        </w:tc>
      </w:tr>
      <w:tr>
        <w:trPr>
          <w:trHeight w:val="260"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Land improvements</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45,780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Mortgage payable</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93,600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r>
          </w:p>
        </w:tc>
      </w:tr>
    </w:tbl>
    <w:p>
      <w:pPr>
        <w:pStyle w:val="Normal"/>
        <w:spacing w:lineRule="auto" w:line="240" w:before="0" w:after="0"/>
        <w:textAlignment w:val="baseline"/>
        <w:rPr>
          <w:rFonts w:ascii="Arial" w:hAnsi="Arial" w:eastAsia="Times New Roman" w:cs="Arial"/>
          <w:color w:val="000000"/>
          <w:sz w:val="12"/>
          <w:szCs w:val="12"/>
        </w:rPr>
      </w:pPr>
      <w:r>
        <w:rPr>
          <w:rFonts w:eastAsia="Times New Roman" w:cs="Arial" w:ascii="Arial" w:hAnsi="Arial"/>
          <w:color w:val="000000"/>
          <w:sz w:val="12"/>
          <w:szCs w:val="12"/>
        </w:rPr>
      </w:r>
    </w:p>
    <w:p>
      <w:pPr>
        <w:pStyle w:val="Normal"/>
        <w:spacing w:lineRule="auto" w:line="240" w:before="0" w:after="0"/>
        <w:textAlignment w:val="baseline"/>
        <w:rPr>
          <w:rFonts w:ascii="Arial" w:hAnsi="Arial" w:eastAsia="Times New Roman" w:cs="Arial"/>
          <w:color w:val="000000"/>
          <w:sz w:val="20"/>
          <w:szCs w:val="20"/>
        </w:rPr>
      </w:pPr>
      <w:r>
        <w:rPr>
          <w:rFonts w:eastAsia="Times New Roman" w:cs="Arial" w:ascii="Arial" w:hAnsi="Arial"/>
          <w:b/>
          <w:bCs/>
          <w:color w:val="BE3333"/>
          <w:sz w:val="20"/>
          <w:szCs w:val="20"/>
        </w:rPr>
        <w:t>Instructions</w:t>
      </w:r>
    </w:p>
    <w:p>
      <w:pPr>
        <w:pStyle w:val="Normal"/>
        <w:spacing w:lineRule="auto" w:line="240" w:before="120" w:after="120"/>
        <w:textAlignment w:val="baseline"/>
        <w:rPr>
          <w:rFonts w:ascii="Arial" w:hAnsi="Arial" w:eastAsia="Times New Roman" w:cs="Arial"/>
          <w:color w:val="000000"/>
          <w:sz w:val="20"/>
          <w:szCs w:val="20"/>
        </w:rPr>
      </w:pPr>
      <w:r>
        <w:rPr>
          <w:rFonts w:eastAsia="Times New Roman" w:cs="Arial" w:ascii="Arial" w:hAnsi="Arial"/>
          <w:color w:val="000000"/>
          <w:sz w:val="20"/>
          <w:szCs w:val="20"/>
        </w:rPr>
        <w:t>Prepare a classified balance sheet. Assume that $9,100 of the mortgage payable will be paid in 2023.</w:t>
      </w:r>
    </w:p>
    <w:tbl>
      <w:tblPr>
        <w:tblStyle w:val="TableGrid"/>
        <w:tblW w:w="9350" w:type="dxa"/>
        <w:jc w:val="center"/>
        <w:tblInd w:w="0" w:type="dxa"/>
        <w:tblLayout w:type="fixed"/>
        <w:tblCellMar>
          <w:top w:w="0" w:type="dxa"/>
          <w:left w:w="108" w:type="dxa"/>
          <w:bottom w:w="0" w:type="dxa"/>
          <w:right w:w="108" w:type="dxa"/>
        </w:tblCellMar>
        <w:tblLook w:val="0480" w:noHBand="0" w:noVBand="1" w:firstColumn="1" w:lastRow="0" w:lastColumn="0" w:firstRow="0"/>
      </w:tblPr>
      <w:tblGrid>
        <w:gridCol w:w="5665"/>
        <w:gridCol w:w="1889"/>
        <w:gridCol w:w="1796"/>
      </w:tblGrid>
      <w:tr>
        <w:trPr>
          <w:trHeight w:val="764" w:hRule="atLeast"/>
        </w:trPr>
        <w:tc>
          <w:tcPr>
            <w:tcW w:w="9350" w:type="dxa"/>
            <w:gridSpan w:val="3"/>
            <w:tcBorders/>
          </w:tcPr>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9350" w:type="dxa"/>
            <w:gridSpan w:val="3"/>
            <w:tcBorders/>
            <w:vAlign w:val="center"/>
          </w:tcPr>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Assets</w:t>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Current Assets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Total Current Assets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Long Term Investments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Property, Plant, and Equipment</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Total Property, Plant, and Equipment</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Intangibles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rHeight w:val="350" w:hRule="atLeast"/>
        </w:trPr>
        <w:tc>
          <w:tcPr>
            <w:tcW w:w="5665" w:type="dxa"/>
            <w:tcBorders/>
            <w:vAlign w:val="center"/>
          </w:tcPr>
          <w:p>
            <w:pPr>
              <w:pStyle w:val="Normal"/>
              <w:widowControl/>
              <w:spacing w:lineRule="auto" w:line="240" w:before="0" w:after="0"/>
              <w:jc w:val="left"/>
              <w:textAlignment w:val="baseline"/>
              <w:rPr>
                <w:rFonts w:ascii="Arial" w:hAnsi="Arial" w:eastAsia="Times New Roman" w:cs="Arial"/>
                <w:b/>
                <w:b/>
                <w:bCs/>
                <w:sz w:val="20"/>
                <w:szCs w:val="20"/>
              </w:rPr>
            </w:pPr>
            <w:r>
              <w:rPr>
                <w:rFonts w:eastAsia="Times New Roman" w:cs="Arial" w:ascii="Arial" w:hAnsi="Arial"/>
                <w:b/>
                <w:bCs/>
                <w:kern w:val="0"/>
                <w:sz w:val="20"/>
                <w:szCs w:val="20"/>
                <w:lang w:val="en-US" w:eastAsia="en-US" w:bidi="ar-SA"/>
              </w:rPr>
              <w:t>Total Assets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9350" w:type="dxa"/>
            <w:gridSpan w:val="3"/>
            <w:tcBorders/>
          </w:tcPr>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Liabilities and Stockholders’ Equity</w:t>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Current Liabilities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ind w:left="720" w:hanging="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Total Current Liabilities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Long-term Liabilities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rHeight w:val="215" w:hRule="atLeast"/>
        </w:trPr>
        <w:tc>
          <w:tcPr>
            <w:tcW w:w="5665" w:type="dxa"/>
            <w:tcBorders/>
          </w:tcPr>
          <w:p>
            <w:pPr>
              <w:pStyle w:val="BodyLarge"/>
              <w:widowControl/>
              <w:tabs>
                <w:tab w:val="clear" w:pos="720"/>
                <w:tab w:val="right" w:pos="6210" w:leader="dot"/>
                <w:tab w:val="right" w:pos="7830" w:leader="none"/>
                <w:tab w:val="right" w:pos="8280" w:leader="none"/>
                <w:tab w:val="decimal" w:pos="9840" w:leader="none"/>
                <w:tab w:val="right" w:pos="9940" w:leader="none"/>
              </w:tabs>
              <w:spacing w:before="0" w:after="0"/>
              <w:jc w:val="left"/>
              <w:rPr>
                <w:rFonts w:ascii="Arial" w:hAnsi="Arial" w:cs="Arial"/>
                <w:sz w:val="20"/>
              </w:rPr>
            </w:pPr>
            <w:r>
              <w:rPr>
                <w:rFonts w:cs="Arial" w:ascii="Arial" w:hAnsi="Arial"/>
                <w:kern w:val="0"/>
                <w:sz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 xml:space="preserve">Total Liabilities </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Stockholders’ Equity</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Total Stockholders’ Equity</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rHeight w:val="404" w:hRule="atLeast"/>
        </w:trPr>
        <w:tc>
          <w:tcPr>
            <w:tcW w:w="5665" w:type="dxa"/>
            <w:tcBorders/>
            <w:vAlign w:val="center"/>
          </w:tcPr>
          <w:p>
            <w:pPr>
              <w:pStyle w:val="Normal"/>
              <w:widowControl/>
              <w:spacing w:lineRule="auto" w:line="240" w:before="0" w:after="0"/>
              <w:jc w:val="left"/>
              <w:textAlignment w:val="baseline"/>
              <w:rPr>
                <w:rFonts w:ascii="Arial" w:hAnsi="Arial" w:eastAsia="Times New Roman" w:cs="Arial"/>
                <w:b/>
                <w:b/>
                <w:bCs/>
                <w:sz w:val="20"/>
                <w:szCs w:val="20"/>
              </w:rPr>
            </w:pPr>
            <w:r>
              <w:rPr>
                <w:rFonts w:eastAsia="Times New Roman" w:cs="Arial" w:ascii="Arial" w:hAnsi="Arial"/>
                <w:b/>
                <w:bCs/>
                <w:kern w:val="0"/>
                <w:sz w:val="20"/>
                <w:szCs w:val="20"/>
                <w:lang w:val="en-US" w:eastAsia="en-US" w:bidi="ar-SA"/>
              </w:rPr>
              <w:t>Total Liabilities and Stockholders’ Equity</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bl>
    <w:p>
      <w:pPr>
        <w:pStyle w:val="Normal"/>
        <w:rPr>
          <w:rFonts w:ascii="Arial" w:hAnsi="Arial" w:eastAsia="Times New Roman" w:cs="Arial"/>
          <w:color w:val="000000"/>
          <w:sz w:val="20"/>
          <w:szCs w:val="20"/>
        </w:rPr>
      </w:pPr>
      <w:r>
        <w:br w:type="page"/>
      </w:r>
      <w:r>
        <w:rPr>
          <w:rFonts w:eastAsia="Times New Roman" w:cs="Arial" w:ascii="Arial" w:hAnsi="Arial"/>
          <w:b/>
          <w:bCs/>
          <w:color w:val="177D92"/>
          <w:sz w:val="20"/>
          <w:szCs w:val="20"/>
        </w:rPr>
        <w:t>E2.9</w:t>
      </w:r>
      <w:r>
        <w:rPr>
          <w:rFonts w:eastAsia="Times New Roman" w:cs="Arial" w:ascii="Arial" w:hAnsi="Arial"/>
          <w:color w:val="000000"/>
          <w:sz w:val="20"/>
          <w:szCs w:val="20"/>
        </w:rPr>
        <w:t xml:space="preserve"> The chief financial officer (CFO) of Myeneke Corporation requested that the accounting department prepare a preliminary balance sheet on December 30, 2022, so that the CFO could get an idea of how the company stood. He knows that certain debt agreements with its creditors require the company to maintain a current ratio of at least 2:1. The preliminary balance sheet is as follows.</w:t>
      </w:r>
    </w:p>
    <w:tbl>
      <w:tblPr>
        <w:tblW w:w="10013" w:type="dxa"/>
        <w:jc w:val="left"/>
        <w:tblInd w:w="-270" w:type="dxa"/>
        <w:tblLayout w:type="fixed"/>
        <w:tblCellMar>
          <w:top w:w="48" w:type="dxa"/>
          <w:left w:w="240" w:type="dxa"/>
          <w:bottom w:w="48" w:type="dxa"/>
          <w:right w:w="240" w:type="dxa"/>
        </w:tblCellMar>
        <w:tblLook w:val="04a0" w:noHBand="0" w:noVBand="1" w:firstColumn="1" w:lastRow="0" w:lastColumn="0" w:firstRow="1"/>
      </w:tblPr>
      <w:tblGrid>
        <w:gridCol w:w="2121"/>
        <w:gridCol w:w="1131"/>
        <w:gridCol w:w="1192"/>
        <w:gridCol w:w="3246"/>
        <w:gridCol w:w="1130"/>
        <w:gridCol w:w="1192"/>
      </w:tblGrid>
      <w:tr>
        <w:trPr>
          <w:tblHeader w:val="true"/>
        </w:trPr>
        <w:tc>
          <w:tcPr>
            <w:tcW w:w="10012" w:type="dxa"/>
            <w:gridSpan w:val="6"/>
            <w:tcBorders>
              <w:top w:val="single" w:sz="6" w:space="0" w:color="000000"/>
              <w:bottom w:val="single" w:sz="6" w:space="0" w:color="000000"/>
            </w:tcBorders>
          </w:tcPr>
          <w:p>
            <w:pPr>
              <w:pStyle w:val="Normal"/>
              <w:widowControl w:val="false"/>
              <w:spacing w:lineRule="auto" w:line="240" w:before="0" w:after="0"/>
              <w:jc w:val="center"/>
              <w:rPr>
                <w:rFonts w:ascii="Arial" w:hAnsi="Arial" w:eastAsia="Times New Roman" w:cs="Arial"/>
                <w:b/>
                <w:b/>
                <w:bCs/>
                <w:sz w:val="16"/>
                <w:szCs w:val="16"/>
              </w:rPr>
            </w:pPr>
            <w:r>
              <w:rPr>
                <w:rFonts w:eastAsia="Times New Roman" w:cs="Arial" w:ascii="Arial" w:hAnsi="Arial"/>
                <w:b/>
                <w:bCs/>
                <w:sz w:val="16"/>
                <w:szCs w:val="16"/>
              </w:rPr>
              <w:t>Myeneke Corp.</w:t>
              <w:br/>
              <w:t>Balance Sheet</w:t>
              <w:br/>
              <w:t>December 30, 2022</w:t>
            </w:r>
          </w:p>
        </w:tc>
      </w:tr>
      <w:tr>
        <w:trPr/>
        <w:tc>
          <w:tcPr>
            <w:tcW w:w="212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Current assets</w:t>
            </w:r>
          </w:p>
        </w:tc>
        <w:tc>
          <w:tcPr>
            <w:tcW w:w="113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3246"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Current liabilities</w:t>
            </w:r>
          </w:p>
        </w:tc>
        <w:tc>
          <w:tcPr>
            <w:tcW w:w="1130"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r>
      <w:tr>
        <w:trPr/>
        <w:tc>
          <w:tcPr>
            <w:tcW w:w="2121" w:type="dxa"/>
            <w:tcBorders/>
            <w:tcMar>
              <w:left w:w="450" w:type="dxa"/>
            </w:tcMar>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Cash</w:t>
            </w:r>
          </w:p>
        </w:tc>
        <w:tc>
          <w:tcPr>
            <w:tcW w:w="1131"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$25,000</w:t>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3246" w:type="dxa"/>
            <w:tcBorders/>
            <w:tcMar>
              <w:left w:w="450" w:type="dxa"/>
            </w:tcMar>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Accounts payable</w:t>
            </w:r>
          </w:p>
        </w:tc>
        <w:tc>
          <w:tcPr>
            <w:tcW w:w="1130"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$ 20,000</w:t>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r>
      <w:tr>
        <w:trPr/>
        <w:tc>
          <w:tcPr>
            <w:tcW w:w="2121" w:type="dxa"/>
            <w:tcBorders/>
            <w:tcMar>
              <w:left w:w="450" w:type="dxa"/>
            </w:tcMar>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Accounts receivable</w:t>
            </w:r>
          </w:p>
        </w:tc>
        <w:tc>
          <w:tcPr>
            <w:tcW w:w="1131"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30,000</w:t>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3246" w:type="dxa"/>
            <w:tcBorders/>
            <w:tcMar>
              <w:left w:w="450" w:type="dxa"/>
            </w:tcMar>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Salaries and wages payable</w:t>
            </w:r>
          </w:p>
        </w:tc>
        <w:tc>
          <w:tcPr>
            <w:tcW w:w="1130"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 </w:t>
            </w:r>
            <w:r>
              <w:rPr>
                <w:rFonts w:eastAsia="Times New Roman" w:cs="Arial" w:ascii="Arial" w:hAnsi="Arial"/>
                <w:sz w:val="16"/>
                <w:szCs w:val="16"/>
              </w:rPr>
              <w:t>10,000</w:t>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   30,000</w:t>
            </w:r>
          </w:p>
        </w:tc>
      </w:tr>
      <w:tr>
        <w:trPr/>
        <w:tc>
          <w:tcPr>
            <w:tcW w:w="2121" w:type="dxa"/>
            <w:tcBorders/>
            <w:tcMar>
              <w:left w:w="450" w:type="dxa"/>
            </w:tcMar>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Prepaid insurance</w:t>
            </w:r>
          </w:p>
        </w:tc>
        <w:tc>
          <w:tcPr>
            <w:tcW w:w="1131"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  </w:t>
            </w:r>
            <w:r>
              <w:rPr>
                <w:rFonts w:eastAsia="Times New Roman" w:cs="Arial" w:ascii="Arial" w:hAnsi="Arial"/>
                <w:sz w:val="16"/>
                <w:szCs w:val="16"/>
              </w:rPr>
              <w:t>5,000</w:t>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   60,000</w:t>
            </w:r>
          </w:p>
        </w:tc>
        <w:tc>
          <w:tcPr>
            <w:tcW w:w="3246"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Long-term liabilities</w:t>
            </w:r>
          </w:p>
        </w:tc>
        <w:tc>
          <w:tcPr>
            <w:tcW w:w="1130"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r>
      <w:tr>
        <w:trPr/>
        <w:tc>
          <w:tcPr>
            <w:tcW w:w="212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Equipment (net)</w:t>
            </w:r>
          </w:p>
        </w:tc>
        <w:tc>
          <w:tcPr>
            <w:tcW w:w="113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 </w:t>
            </w:r>
            <w:r>
              <w:rPr>
                <w:rFonts w:eastAsia="Times New Roman" w:cs="Arial" w:ascii="Arial" w:hAnsi="Arial"/>
                <w:sz w:val="16"/>
                <w:szCs w:val="16"/>
              </w:rPr>
              <w:t>200,000</w:t>
            </w:r>
          </w:p>
        </w:tc>
        <w:tc>
          <w:tcPr>
            <w:tcW w:w="3246" w:type="dxa"/>
            <w:tcBorders/>
            <w:tcMar>
              <w:left w:w="450" w:type="dxa"/>
            </w:tcMar>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Notes payable</w:t>
            </w:r>
          </w:p>
        </w:tc>
        <w:tc>
          <w:tcPr>
            <w:tcW w:w="1130"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 </w:t>
            </w:r>
            <w:r>
              <w:rPr>
                <w:rFonts w:eastAsia="Times New Roman" w:cs="Arial" w:ascii="Arial" w:hAnsi="Arial"/>
                <w:sz w:val="16"/>
                <w:szCs w:val="16"/>
              </w:rPr>
              <w:t>80,000</w:t>
            </w:r>
          </w:p>
        </w:tc>
      </w:tr>
      <w:tr>
        <w:trPr/>
        <w:tc>
          <w:tcPr>
            <w:tcW w:w="212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Total assets</w:t>
            </w:r>
          </w:p>
        </w:tc>
        <w:tc>
          <w:tcPr>
            <w:tcW w:w="113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$260,000</w:t>
            </w:r>
          </w:p>
        </w:tc>
        <w:tc>
          <w:tcPr>
            <w:tcW w:w="3246" w:type="dxa"/>
            <w:tcBorders/>
            <w:tcMar>
              <w:left w:w="600" w:type="dxa"/>
            </w:tcMar>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Total liabilities</w:t>
            </w:r>
          </w:p>
        </w:tc>
        <w:tc>
          <w:tcPr>
            <w:tcW w:w="1130"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110,000</w:t>
            </w:r>
          </w:p>
        </w:tc>
      </w:tr>
      <w:tr>
        <w:trPr/>
        <w:tc>
          <w:tcPr>
            <w:tcW w:w="2121"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113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3246"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Stockholders’ equity</w:t>
            </w:r>
          </w:p>
        </w:tc>
        <w:tc>
          <w:tcPr>
            <w:tcW w:w="1130"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r>
      <w:tr>
        <w:trPr/>
        <w:tc>
          <w:tcPr>
            <w:tcW w:w="2121"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113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3246" w:type="dxa"/>
            <w:tcBorders/>
            <w:tcMar>
              <w:left w:w="450" w:type="dxa"/>
            </w:tcMar>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Common stock</w:t>
            </w:r>
          </w:p>
        </w:tc>
        <w:tc>
          <w:tcPr>
            <w:tcW w:w="1130"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100,000</w:t>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r>
      <w:tr>
        <w:trPr/>
        <w:tc>
          <w:tcPr>
            <w:tcW w:w="2121"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113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3246" w:type="dxa"/>
            <w:tcBorders/>
            <w:tcMar>
              <w:left w:w="450" w:type="dxa"/>
            </w:tcMar>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Retained earnings</w:t>
            </w:r>
          </w:p>
        </w:tc>
        <w:tc>
          <w:tcPr>
            <w:tcW w:w="1130"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 </w:t>
            </w:r>
            <w:r>
              <w:rPr>
                <w:rFonts w:eastAsia="Times New Roman" w:cs="Arial" w:ascii="Arial" w:hAnsi="Arial"/>
                <w:sz w:val="16"/>
                <w:szCs w:val="16"/>
              </w:rPr>
              <w:t>50,000</w:t>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 </w:t>
            </w:r>
            <w:r>
              <w:rPr>
                <w:rFonts w:eastAsia="Times New Roman" w:cs="Arial" w:ascii="Arial" w:hAnsi="Arial"/>
                <w:sz w:val="16"/>
                <w:szCs w:val="16"/>
              </w:rPr>
              <w:t>150,000</w:t>
            </w:r>
          </w:p>
        </w:tc>
      </w:tr>
      <w:tr>
        <w:trPr/>
        <w:tc>
          <w:tcPr>
            <w:tcW w:w="2121"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1131"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r>
          </w:p>
        </w:tc>
        <w:tc>
          <w:tcPr>
            <w:tcW w:w="3246"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t>Total liabilities and stockholders’ equity</w:t>
            </w:r>
          </w:p>
        </w:tc>
        <w:tc>
          <w:tcPr>
            <w:tcW w:w="1130" w:type="dxa"/>
            <w:tcBorders/>
          </w:tcPr>
          <w:p>
            <w:pPr>
              <w:pStyle w:val="Normal"/>
              <w:widowControl w:val="false"/>
              <w:spacing w:lineRule="auto" w:line="240" w:before="0" w:after="0"/>
              <w:rPr>
                <w:rFonts w:ascii="Arial" w:hAnsi="Arial" w:eastAsia="Times New Roman" w:cs="Arial"/>
                <w:sz w:val="16"/>
                <w:szCs w:val="16"/>
              </w:rPr>
            </w:pPr>
            <w:r>
              <w:rPr>
                <w:rFonts w:eastAsia="Times New Roman" w:cs="Arial" w:ascii="Arial" w:hAnsi="Arial"/>
                <w:sz w:val="16"/>
                <w:szCs w:val="16"/>
              </w:rPr>
            </w:r>
          </w:p>
        </w:tc>
        <w:tc>
          <w:tcPr>
            <w:tcW w:w="1192" w:type="dxa"/>
            <w:tcBorders/>
          </w:tcPr>
          <w:p>
            <w:pPr>
              <w:pStyle w:val="Normal"/>
              <w:widowControl w:val="false"/>
              <w:spacing w:lineRule="auto" w:line="240" w:before="0" w:after="0"/>
              <w:jc w:val="right"/>
              <w:rPr>
                <w:rFonts w:ascii="Arial" w:hAnsi="Arial" w:eastAsia="Times New Roman" w:cs="Arial"/>
                <w:sz w:val="16"/>
                <w:szCs w:val="16"/>
              </w:rPr>
            </w:pPr>
            <w:r>
              <w:rPr>
                <w:rFonts w:eastAsia="Times New Roman" w:cs="Arial" w:ascii="Arial" w:hAnsi="Arial"/>
                <w:sz w:val="16"/>
                <w:szCs w:val="16"/>
              </w:rPr>
              <w:t>$260,000</w:t>
            </w:r>
          </w:p>
        </w:tc>
      </w:tr>
    </w:tbl>
    <w:p>
      <w:pPr>
        <w:pStyle w:val="Normal"/>
        <w:spacing w:lineRule="auto" w:line="240" w:before="0" w:after="0"/>
        <w:textAlignment w:val="baseline"/>
        <w:rPr>
          <w:rFonts w:ascii="Arial" w:hAnsi="Arial" w:eastAsia="Times New Roman" w:cs="Arial"/>
          <w:color w:val="000000"/>
          <w:sz w:val="20"/>
          <w:szCs w:val="20"/>
        </w:rPr>
      </w:pPr>
      <w:r>
        <w:rPr>
          <w:rFonts w:eastAsia="Times New Roman" w:cs="Arial" w:ascii="Arial" w:hAnsi="Arial"/>
          <w:b/>
          <w:bCs/>
          <w:color w:val="BE3333"/>
          <w:sz w:val="20"/>
          <w:szCs w:val="20"/>
        </w:rPr>
        <w:t>Instructions</w:t>
      </w:r>
    </w:p>
    <w:p>
      <w:pPr>
        <w:pStyle w:val="Normal"/>
        <w:numPr>
          <w:ilvl w:val="0"/>
          <w:numId w:val="3"/>
        </w:numPr>
        <w:tabs>
          <w:tab w:val="clear" w:pos="720"/>
        </w:tabs>
        <w:spacing w:lineRule="auto" w:line="240" w:before="120" w:after="0"/>
        <w:ind w:left="360" w:hanging="360"/>
        <w:textAlignment w:val="baseline"/>
        <w:rPr>
          <w:rFonts w:ascii="Arial" w:hAnsi="Arial" w:eastAsia="Times New Roman" w:cs="Arial"/>
          <w:color w:val="000000"/>
          <w:sz w:val="20"/>
          <w:szCs w:val="20"/>
        </w:rPr>
      </w:pPr>
      <w:r>
        <w:rPr>
          <w:rFonts w:eastAsia="Times New Roman" w:cs="Arial" w:ascii="Arial" w:hAnsi="Arial"/>
          <w:color w:val="000000"/>
          <w:sz w:val="20"/>
          <w:szCs w:val="20"/>
        </w:rPr>
        <w:t>Calculate the current ratio and working capital based on the preliminary balance sheet.</w:t>
      </w:r>
    </w:p>
    <w:p>
      <w:pPr>
        <w:pStyle w:val="Normal"/>
        <w:spacing w:lineRule="auto" w:line="240" w:before="120" w:after="0"/>
        <w:ind w:left="360" w:hanging="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120" w:after="0"/>
        <w:ind w:left="360" w:hanging="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120" w:after="0"/>
        <w:ind w:left="360" w:hanging="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120" w:after="0"/>
        <w:ind w:left="360" w:hanging="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numPr>
          <w:ilvl w:val="0"/>
          <w:numId w:val="3"/>
        </w:numPr>
        <w:tabs>
          <w:tab w:val="clear" w:pos="720"/>
        </w:tabs>
        <w:spacing w:lineRule="auto" w:line="240" w:before="120" w:after="0"/>
        <w:ind w:left="360" w:hanging="360"/>
        <w:textAlignment w:val="baseline"/>
        <w:rPr>
          <w:rFonts w:ascii="Arial" w:hAnsi="Arial" w:eastAsia="Times New Roman" w:cs="Arial"/>
          <w:color w:val="000000"/>
          <w:sz w:val="20"/>
          <w:szCs w:val="20"/>
        </w:rPr>
      </w:pPr>
      <w:r>
        <w:rPr>
          <w:rFonts w:eastAsia="Times New Roman" w:cs="Arial" w:ascii="Arial" w:hAnsi="Arial"/>
          <w:color w:val="000000"/>
          <w:sz w:val="20"/>
          <w:szCs w:val="20"/>
        </w:rPr>
        <w:t>Based on the results in (a), the CFO requested that $20,000 of cash be used to pay off the balance of the Accounts Payable account on December 31, 2022. Calculate the new current ratio and working capital after the company takes these actions.</w:t>
      </w:r>
    </w:p>
    <w:p>
      <w:pPr>
        <w:pStyle w:val="Normal"/>
        <w:spacing w:lineRule="auto" w:line="240" w:before="120" w:after="0"/>
        <w:ind w:left="360" w:hanging="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120" w:after="0"/>
        <w:ind w:left="360" w:hanging="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numPr>
          <w:ilvl w:val="0"/>
          <w:numId w:val="3"/>
        </w:numPr>
        <w:tabs>
          <w:tab w:val="clear" w:pos="720"/>
        </w:tabs>
        <w:spacing w:lineRule="auto" w:line="240" w:before="120" w:after="0"/>
        <w:ind w:left="360" w:hanging="360"/>
        <w:textAlignment w:val="baseline"/>
        <w:rPr>
          <w:rFonts w:ascii="Arial" w:hAnsi="Arial" w:eastAsia="Times New Roman" w:cs="Arial"/>
          <w:color w:val="000000"/>
          <w:sz w:val="20"/>
          <w:szCs w:val="20"/>
        </w:rPr>
      </w:pPr>
      <w:r>
        <w:rPr>
          <w:rFonts w:eastAsia="Times New Roman" w:cs="Arial" w:ascii="Arial" w:hAnsi="Arial"/>
          <w:color w:val="000000"/>
          <w:sz w:val="20"/>
          <w:szCs w:val="20"/>
        </w:rPr>
        <w:t>Discuss the pros and cons of the current ratio and working capital as measures of liquidity.</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numPr>
          <w:ilvl w:val="0"/>
          <w:numId w:val="3"/>
        </w:numPr>
        <w:tabs>
          <w:tab w:val="clear" w:pos="720"/>
        </w:tabs>
        <w:spacing w:lineRule="auto" w:line="240" w:before="120" w:after="0"/>
        <w:ind w:left="360" w:hanging="360"/>
        <w:textAlignment w:val="baseline"/>
        <w:rPr>
          <w:rFonts w:ascii="Arial" w:hAnsi="Arial" w:eastAsia="Times New Roman" w:cs="Arial"/>
          <w:color w:val="000000"/>
          <w:sz w:val="20"/>
          <w:szCs w:val="20"/>
        </w:rPr>
      </w:pPr>
      <w:r>
        <w:rPr>
          <w:rFonts w:eastAsia="Times New Roman" w:cs="Arial" w:ascii="Arial" w:hAnsi="Arial"/>
          <w:color w:val="000000"/>
          <w:sz w:val="20"/>
          <w:szCs w:val="20"/>
        </w:rPr>
        <w:t>Was it unethical for the CFO to take these steps?</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b/>
          <w:b/>
          <w:bCs/>
          <w:color w:val="177D92"/>
          <w:sz w:val="20"/>
          <w:szCs w:val="20"/>
        </w:rPr>
      </w:pPr>
      <w:r>
        <w:rPr>
          <w:rFonts w:eastAsia="Times New Roman" w:cs="Arial" w:ascii="Arial" w:hAnsi="Arial"/>
          <w:b/>
          <w:bCs/>
          <w:color w:val="177D92"/>
          <w:sz w:val="20"/>
          <w:szCs w:val="20"/>
        </w:rPr>
        <w:t>P2.2</w:t>
      </w:r>
      <w:r>
        <w:rPr>
          <w:rFonts w:eastAsia="Times New Roman" w:cs="Arial" w:ascii="Arial" w:hAnsi="Arial"/>
          <w:color w:val="000000"/>
          <w:sz w:val="20"/>
          <w:szCs w:val="20"/>
        </w:rPr>
        <w:t>  These items are taken from the financial statements of Martin Corporation for 2022.</w:t>
      </w:r>
    </w:p>
    <w:tbl>
      <w:tblPr>
        <w:tblStyle w:val="TableGrid"/>
        <w:tblW w:w="954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04"/>
        <w:gridCol w:w="901"/>
        <w:gridCol w:w="2704"/>
        <w:gridCol w:w="900"/>
        <w:gridCol w:w="2521"/>
        <w:gridCol w:w="809"/>
      </w:tblGrid>
      <w:tr>
        <w:trPr>
          <w:trHeight w:val="233"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Retained earnings (beginning of year)</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$31,000</w:t>
            </w:r>
          </w:p>
        </w:tc>
        <w:tc>
          <w:tcPr>
            <w:tcW w:w="2704" w:type="dxa"/>
            <w:tcBorders/>
          </w:tcPr>
          <w:p>
            <w:pPr>
              <w:pStyle w:val="Normal"/>
              <w:widowControl/>
              <w:spacing w:lineRule="auto" w:line="240" w:before="0" w:after="0"/>
              <w:jc w:val="left"/>
              <w:textAlignment w:val="baseline"/>
              <w:rPr>
                <w:rFonts w:ascii="Arial" w:hAnsi="Arial" w:eastAsia="Times New Roman" w:cs="Arial"/>
                <w:sz w:val="16"/>
                <w:szCs w:val="16"/>
              </w:rPr>
            </w:pPr>
            <w:r>
              <w:rPr>
                <w:rFonts w:eastAsia="Times New Roman" w:cs="Arial" w:ascii="Arial" w:hAnsi="Arial"/>
                <w:kern w:val="0"/>
                <w:sz w:val="16"/>
                <w:szCs w:val="16"/>
                <w:lang w:val="en-US" w:eastAsia="en-US" w:bidi="ar-SA"/>
              </w:rPr>
              <w:t>Common stock</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12,000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Accounts receivable</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11,700</w:t>
            </w:r>
          </w:p>
        </w:tc>
      </w:tr>
      <w:tr>
        <w:trPr>
          <w:trHeight w:val="260"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Utilities expense</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2,000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Dividends</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12,000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Insurance expense</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2,200</w:t>
            </w:r>
          </w:p>
        </w:tc>
      </w:tr>
      <w:tr>
        <w:trPr>
          <w:trHeight w:val="251"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Equipment</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66,000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Service revenue</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68,000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Salaries and wages expense</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37,000</w:t>
            </w:r>
          </w:p>
        </w:tc>
      </w:tr>
      <w:tr>
        <w:trPr>
          <w:trHeight w:val="269"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Accounts payable</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18,300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Prepaid insurance</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3,500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Accumulated depreciation—equipment</w:t>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17,600</w:t>
            </w:r>
          </w:p>
        </w:tc>
      </w:tr>
      <w:tr>
        <w:trPr>
          <w:trHeight w:val="260"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Cash</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10,100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Maintenance and repairs expense</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1,800</w:t>
            </w:r>
          </w:p>
        </w:tc>
        <w:tc>
          <w:tcPr>
            <w:tcW w:w="2521"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r>
          </w:p>
        </w:tc>
      </w:tr>
      <w:tr>
        <w:trPr>
          <w:trHeight w:val="260" w:hRule="atLeast"/>
        </w:trPr>
        <w:tc>
          <w:tcPr>
            <w:tcW w:w="1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Salaries and wages payable</w:t>
            </w:r>
          </w:p>
        </w:tc>
        <w:tc>
          <w:tcPr>
            <w:tcW w:w="901"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3,000</w:t>
            </w:r>
          </w:p>
        </w:tc>
        <w:tc>
          <w:tcPr>
            <w:tcW w:w="2704" w:type="dxa"/>
            <w:tcBorders/>
          </w:tcPr>
          <w:p>
            <w:pPr>
              <w:pStyle w:val="Normal"/>
              <w:widowControl/>
              <w:spacing w:lineRule="auto" w:line="240" w:before="0" w:after="0"/>
              <w:jc w:val="lef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Depreciation expense</w:t>
            </w:r>
          </w:p>
        </w:tc>
        <w:tc>
          <w:tcPr>
            <w:tcW w:w="900"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kern w:val="0"/>
                <w:sz w:val="16"/>
                <w:szCs w:val="16"/>
                <w:lang w:val="en-US" w:eastAsia="en-US" w:bidi="ar-SA"/>
              </w:rPr>
              <w:t>3,600</w:t>
            </w:r>
          </w:p>
        </w:tc>
        <w:tc>
          <w:tcPr>
            <w:tcW w:w="2521" w:type="dxa"/>
            <w:tcBorders/>
          </w:tcPr>
          <w:p>
            <w:pPr>
              <w:pStyle w:val="Normal"/>
              <w:widowControl/>
              <w:spacing w:lineRule="auto" w:line="240" w:before="0" w:after="0"/>
              <w:jc w:val="left"/>
              <w:textAlignment w:val="baseline"/>
              <w:rPr>
                <w:rFonts w:ascii="Arial" w:hAnsi="Arial" w:eastAsia="Times New Roman" w:cs="Arial"/>
                <w:sz w:val="16"/>
                <w:szCs w:val="16"/>
              </w:rPr>
            </w:pPr>
            <w:r>
              <w:rPr>
                <w:rFonts w:eastAsia="Times New Roman" w:cs="Arial" w:ascii="Arial" w:hAnsi="Arial"/>
                <w:kern w:val="0"/>
                <w:sz w:val="16"/>
                <w:szCs w:val="16"/>
                <w:lang w:val="en-US" w:eastAsia="en-US" w:bidi="ar-SA"/>
              </w:rPr>
            </w:r>
          </w:p>
        </w:tc>
        <w:tc>
          <w:tcPr>
            <w:tcW w:w="809" w:type="dxa"/>
            <w:tcBorders/>
          </w:tcPr>
          <w:p>
            <w:pPr>
              <w:pStyle w:val="Normal"/>
              <w:widowControl/>
              <w:spacing w:lineRule="auto" w:line="240" w:before="0" w:after="0"/>
              <w:jc w:val="right"/>
              <w:textAlignment w:val="baseline"/>
              <w:rPr>
                <w:rFonts w:ascii="Arial" w:hAnsi="Arial" w:eastAsia="Times New Roman" w:cs="Arial"/>
                <w:color w:val="000000"/>
                <w:sz w:val="16"/>
                <w:szCs w:val="16"/>
              </w:rPr>
            </w:pPr>
            <w:r>
              <w:rPr>
                <w:rFonts w:eastAsia="Times New Roman" w:cs="Arial" w:ascii="Arial" w:hAnsi="Arial"/>
                <w:color w:val="000000"/>
                <w:kern w:val="0"/>
                <w:sz w:val="16"/>
                <w:szCs w:val="16"/>
                <w:lang w:val="en-US" w:eastAsia="en-US" w:bidi="ar-SA"/>
              </w:rPr>
            </w:r>
          </w:p>
        </w:tc>
      </w:tr>
    </w:tbl>
    <w:p>
      <w:pPr>
        <w:pStyle w:val="Normal"/>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0" w:after="0"/>
        <w:textAlignment w:val="baseline"/>
        <w:rPr>
          <w:rFonts w:ascii="Arial" w:hAnsi="Arial" w:eastAsia="Times New Roman" w:cs="Arial"/>
          <w:color w:val="000000"/>
          <w:sz w:val="20"/>
          <w:szCs w:val="20"/>
        </w:rPr>
      </w:pPr>
      <w:r>
        <w:rPr>
          <w:rFonts w:eastAsia="Times New Roman" w:cs="Arial" w:ascii="Arial" w:hAnsi="Arial"/>
          <w:b/>
          <w:bCs/>
          <w:color w:val="BE3333"/>
          <w:sz w:val="20"/>
          <w:szCs w:val="20"/>
        </w:rPr>
        <w:t>Instructions</w:t>
      </w:r>
      <w:r>
        <w:rPr>
          <w:rFonts w:eastAsia="Times New Roman" w:cs="Arial" w:ascii="Arial" w:hAnsi="Arial"/>
          <w:color w:val="000000"/>
          <w:sz w:val="20"/>
          <w:szCs w:val="20"/>
        </w:rPr>
        <w:t>: Prepare an income statement, a retained earnings statement, and a classified balance sheet as of December 31, 2022.</w:t>
      </w:r>
    </w:p>
    <w:p>
      <w:pPr>
        <w:pStyle w:val="Normal"/>
        <w:spacing w:lineRule="auto" w:line="240" w:before="0" w:after="0"/>
        <w:textAlignment w:val="baseline"/>
        <w:rPr>
          <w:rFonts w:ascii="Arial" w:hAnsi="Arial" w:eastAsia="Times New Roman" w:cs="Arial"/>
          <w:color w:val="000000"/>
          <w:sz w:val="8"/>
          <w:szCs w:val="8"/>
        </w:rPr>
      </w:pPr>
      <w:r>
        <w:rPr>
          <w:rFonts w:eastAsia="Times New Roman" w:cs="Arial" w:ascii="Arial" w:hAnsi="Arial"/>
          <w:color w:val="000000"/>
          <w:sz w:val="8"/>
          <w:szCs w:val="8"/>
        </w:rPr>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665"/>
        <w:gridCol w:w="1889"/>
        <w:gridCol w:w="1796"/>
      </w:tblGrid>
      <w:tr>
        <w:trPr>
          <w:trHeight w:val="764" w:hRule="atLeast"/>
        </w:trPr>
        <w:tc>
          <w:tcPr>
            <w:tcW w:w="9350" w:type="dxa"/>
            <w:gridSpan w:val="3"/>
            <w:tcBorders/>
          </w:tcPr>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Martin Corporation</w:t>
            </w:r>
          </w:p>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Income Statement</w:t>
            </w:r>
          </w:p>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For EOY December 31</w:t>
            </w:r>
            <w:r>
              <w:rPr>
                <w:rFonts w:eastAsia="Times New Roman" w:cs="Arial" w:ascii="Arial" w:hAnsi="Arial"/>
                <w:kern w:val="0"/>
                <w:sz w:val="20"/>
                <w:szCs w:val="20"/>
                <w:vertAlign w:val="superscript"/>
                <w:lang w:val="en-US" w:eastAsia="en-US" w:bidi="ar-SA"/>
              </w:rPr>
              <w:t>st</w:t>
            </w:r>
            <w:r>
              <w:rPr>
                <w:rFonts w:eastAsia="Times New Roman" w:cs="Arial" w:ascii="Arial" w:hAnsi="Arial"/>
                <w:kern w:val="0"/>
                <w:sz w:val="20"/>
                <w:szCs w:val="20"/>
                <w:lang w:val="en-US" w:eastAsia="en-US" w:bidi="ar-SA"/>
              </w:rPr>
              <w:t xml:space="preserve"> 2022</w:t>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Revenues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kern w:val="0"/>
                <w:sz w:val="20"/>
                <w:szCs w:val="20"/>
                <w:lang w:val="en-US" w:eastAsia="en-US" w:bidi="ar-SA"/>
              </w:rPr>
            </w:pPr>
            <w:r>
              <w:rPr>
                <w:rFonts w:eastAsia="Times New Roman" w:cs="Arial" w:ascii="Arial" w:hAnsi="Arial"/>
                <w:kern w:val="0"/>
                <w:sz w:val="20"/>
                <w:szCs w:val="20"/>
                <w:lang w:val="en-US" w:eastAsia="en-US" w:bidi="ar-SA"/>
              </w:rPr>
              <w:t>Service Revenue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68000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68000</w:t>
            </w:r>
          </w:p>
        </w:tc>
      </w:tr>
      <w:tr>
        <w:trPr/>
        <w:tc>
          <w:tcPr>
            <w:tcW w:w="5665" w:type="dxa"/>
            <w:tcBorders/>
          </w:tcPr>
          <w:p>
            <w:pPr>
              <w:pStyle w:val="Normal"/>
              <w:widowControl/>
              <w:spacing w:lineRule="auto" w:line="240" w:before="0" w:after="0"/>
              <w:jc w:val="both"/>
              <w:textAlignment w:val="baseline"/>
              <w:rPr>
                <w:rFonts w:ascii="Arial" w:hAnsi="Arial" w:eastAsia="Times New Roman" w:cs="Arial"/>
                <w:kern w:val="0"/>
                <w:sz w:val="20"/>
                <w:szCs w:val="20"/>
                <w:lang w:val="en-US" w:eastAsia="en-US" w:bidi="ar-SA"/>
              </w:rPr>
            </w:pPr>
            <w:r>
              <w:rPr>
                <w:rFonts w:eastAsia="Times New Roman" w:cs="Arial" w:ascii="Arial" w:hAnsi="Arial"/>
                <w:kern w:val="0"/>
                <w:sz w:val="20"/>
                <w:szCs w:val="20"/>
                <w:lang w:val="en-US" w:eastAsia="en-US" w:bidi="ar-SA"/>
              </w:rPr>
              <w:t>Expenses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kern w:val="0"/>
                <w:sz w:val="20"/>
                <w:szCs w:val="20"/>
                <w:lang w:val="en-US" w:eastAsia="en-US" w:bidi="ar-SA"/>
              </w:rPr>
            </w:pPr>
            <w:r>
              <w:rPr>
                <w:rFonts w:eastAsia="Times New Roman" w:cs="Arial" w:ascii="Arial" w:hAnsi="Arial"/>
                <w:kern w:val="0"/>
                <w:sz w:val="20"/>
                <w:szCs w:val="20"/>
                <w:lang w:val="en-US" w:eastAsia="en-US" w:bidi="ar-SA"/>
              </w:rPr>
              <w:t>Utilities Expense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2000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kern w:val="0"/>
                <w:sz w:val="20"/>
                <w:szCs w:val="20"/>
                <w:lang w:val="en-US" w:eastAsia="en-US" w:bidi="ar-SA"/>
              </w:rPr>
            </w:pPr>
            <w:r>
              <w:rPr>
                <w:rFonts w:eastAsia="Times New Roman" w:cs="Arial" w:ascii="Arial" w:hAnsi="Arial"/>
                <w:kern w:val="0"/>
                <w:sz w:val="20"/>
                <w:szCs w:val="20"/>
                <w:lang w:val="en-US" w:eastAsia="en-US" w:bidi="ar-SA"/>
              </w:rPr>
              <w:t>Maintenance &amp; Repairs Expense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1800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kern w:val="0"/>
                <w:sz w:val="20"/>
                <w:szCs w:val="20"/>
                <w:lang w:val="en-US" w:eastAsia="en-US" w:bidi="ar-SA"/>
              </w:rPr>
            </w:pPr>
            <w:r>
              <w:rPr>
                <w:rFonts w:eastAsia="Times New Roman" w:cs="Arial" w:ascii="Arial" w:hAnsi="Arial"/>
                <w:kern w:val="0"/>
                <w:sz w:val="20"/>
                <w:szCs w:val="20"/>
                <w:lang w:val="en-US" w:eastAsia="en-US" w:bidi="ar-SA"/>
              </w:rPr>
              <w:t>Depreciation Expense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3600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kern w:val="0"/>
                <w:sz w:val="20"/>
                <w:szCs w:val="20"/>
                <w:lang w:val="en-US" w:eastAsia="en-US" w:bidi="ar-SA"/>
              </w:rPr>
            </w:pPr>
            <w:r>
              <w:rPr>
                <w:rFonts w:eastAsia="Times New Roman" w:cs="Arial" w:ascii="Arial" w:hAnsi="Arial"/>
                <w:kern w:val="0"/>
                <w:sz w:val="20"/>
                <w:szCs w:val="20"/>
                <w:lang w:val="en-US" w:eastAsia="en-US" w:bidi="ar-SA"/>
              </w:rPr>
              <w:t>Insurance Expense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2200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kern w:val="0"/>
                <w:sz w:val="20"/>
                <w:szCs w:val="20"/>
                <w:lang w:val="en-US" w:eastAsia="en-US" w:bidi="ar-SA"/>
              </w:rPr>
            </w:pPr>
            <w:r>
              <w:rPr>
                <w:rFonts w:eastAsia="Times New Roman" w:cs="Arial" w:ascii="Arial" w:hAnsi="Arial"/>
                <w:kern w:val="0"/>
                <w:sz w:val="20"/>
                <w:szCs w:val="20"/>
                <w:lang w:val="en-US" w:eastAsia="en-US" w:bidi="ar-SA"/>
              </w:rPr>
              <w:t>Salaries &amp; Wages Expense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37000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 xml:space="preserve">     </w:t>
            </w:r>
            <w:r>
              <w:rPr>
                <w:rFonts w:eastAsia="Times New Roman" w:cs="Arial" w:ascii="Arial" w:hAnsi="Arial"/>
                <w:kern w:val="0"/>
                <w:sz w:val="20"/>
                <w:szCs w:val="20"/>
                <w:lang w:val="en-US" w:eastAsia="en-US" w:bidi="ar-SA"/>
              </w:rPr>
              <w:t>Total Expenses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44600</w:t>
            </w:r>
          </w:p>
        </w:tc>
      </w:tr>
      <w:tr>
        <w:trPr/>
        <w:tc>
          <w:tcPr>
            <w:tcW w:w="5665" w:type="dxa"/>
            <w:tcBorders/>
          </w:tcPr>
          <w:p>
            <w:pPr>
              <w:pStyle w:val="Normal"/>
              <w:widowControl/>
              <w:spacing w:lineRule="auto" w:line="240" w:before="0" w:after="0"/>
              <w:jc w:val="both"/>
              <w:textAlignment w:val="baseline"/>
              <w:rPr>
                <w:rFonts w:ascii="Arial" w:hAnsi="Arial" w:eastAsia="Times New Roman" w:cs="Arial"/>
                <w:b/>
                <w:b/>
                <w:bCs/>
                <w:sz w:val="20"/>
                <w:szCs w:val="20"/>
              </w:rPr>
            </w:pPr>
            <w:r>
              <w:rPr>
                <w:rFonts w:eastAsia="Times New Roman" w:cs="Arial" w:ascii="Arial" w:hAnsi="Arial"/>
                <w:b/>
                <w:bCs/>
                <w:kern w:val="0"/>
                <w:sz w:val="20"/>
                <w:szCs w:val="20"/>
                <w:lang w:val="en-US" w:eastAsia="en-US" w:bidi="ar-SA"/>
              </w:rPr>
              <w:t>Net Income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21400</w:t>
            </w:r>
          </w:p>
        </w:tc>
      </w:tr>
    </w:tbl>
    <w:p>
      <w:pPr>
        <w:pStyle w:val="Normal"/>
        <w:rPr>
          <w:rFonts w:ascii="Arial" w:hAnsi="Arial" w:eastAsia="Times New Roman" w:cs="Arial"/>
          <w:b/>
          <w:b/>
          <w:bCs/>
          <w:color w:val="177D92"/>
          <w:sz w:val="6"/>
          <w:szCs w:val="6"/>
        </w:rPr>
      </w:pPr>
      <w:r>
        <w:rPr>
          <w:rFonts w:eastAsia="Times New Roman" w:cs="Arial" w:ascii="Arial" w:hAnsi="Arial"/>
          <w:b/>
          <w:bCs/>
          <w:color w:val="177D92"/>
          <w:sz w:val="6"/>
          <w:szCs w:val="6"/>
        </w:rPr>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665"/>
        <w:gridCol w:w="1889"/>
        <w:gridCol w:w="1796"/>
      </w:tblGrid>
      <w:tr>
        <w:trPr/>
        <w:tc>
          <w:tcPr>
            <w:tcW w:w="9350" w:type="dxa"/>
            <w:gridSpan w:val="3"/>
            <w:tcBorders/>
          </w:tcPr>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Martin Corporation</w:t>
            </w:r>
          </w:p>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Retained Earnings Statement</w:t>
            </w:r>
          </w:p>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For EOY December 31</w:t>
            </w:r>
            <w:r>
              <w:rPr>
                <w:rFonts w:eastAsia="Times New Roman" w:cs="Arial" w:ascii="Arial" w:hAnsi="Arial"/>
                <w:kern w:val="0"/>
                <w:sz w:val="20"/>
                <w:szCs w:val="20"/>
                <w:vertAlign w:val="superscript"/>
                <w:lang w:val="en-US" w:eastAsia="en-US" w:bidi="ar-SA"/>
              </w:rPr>
              <w:t>st</w:t>
            </w:r>
            <w:r>
              <w:rPr>
                <w:rFonts w:eastAsia="Times New Roman" w:cs="Arial" w:ascii="Arial" w:hAnsi="Arial"/>
                <w:kern w:val="0"/>
                <w:sz w:val="20"/>
                <w:szCs w:val="20"/>
                <w:lang w:val="en-US" w:eastAsia="en-US" w:bidi="ar-SA"/>
              </w:rPr>
              <w:t>, 2022</w:t>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Retained Earnings (Beginning of Year)</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31000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 xml:space="preserve">Add: </w:t>
            </w:r>
            <w:r>
              <w:rPr>
                <w:rFonts w:eastAsia="Times New Roman" w:cs="Arial" w:ascii="Arial" w:hAnsi="Arial"/>
                <w:kern w:val="0"/>
                <w:sz w:val="20"/>
                <w:szCs w:val="20"/>
                <w:lang w:val="en-US" w:eastAsia="en-US" w:bidi="ar-SA"/>
              </w:rPr>
              <w:t>Net Income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21400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52400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 xml:space="preserve">Less: </w:t>
            </w:r>
            <w:r>
              <w:rPr>
                <w:rFonts w:eastAsia="Times New Roman" w:cs="Arial" w:ascii="Arial" w:hAnsi="Arial"/>
                <w:kern w:val="0"/>
                <w:sz w:val="20"/>
                <w:szCs w:val="20"/>
                <w:lang w:val="en-US" w:eastAsia="en-US" w:bidi="ar-SA"/>
              </w:rPr>
              <w:t>Dividends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12000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 xml:space="preserve">Retained Earnings – December </w:t>
            </w:r>
            <w:r>
              <w:rPr>
                <w:rFonts w:eastAsia="Times New Roman" w:cs="Arial" w:ascii="Arial" w:hAnsi="Arial"/>
                <w:kern w:val="0"/>
                <w:sz w:val="20"/>
                <w:szCs w:val="20"/>
                <w:lang w:val="en-US" w:eastAsia="en-US" w:bidi="ar-SA"/>
              </w:rPr>
              <w:t>31</w:t>
            </w:r>
            <w:r>
              <w:rPr>
                <w:rFonts w:eastAsia="Times New Roman" w:cs="Arial" w:ascii="Arial" w:hAnsi="Arial"/>
                <w:kern w:val="0"/>
                <w:sz w:val="20"/>
                <w:szCs w:val="20"/>
                <w:vertAlign w:val="superscript"/>
                <w:lang w:val="en-US" w:eastAsia="en-US" w:bidi="ar-SA"/>
              </w:rPr>
              <w:t>st</w:t>
            </w:r>
            <w:r>
              <w:rPr>
                <w:rFonts w:eastAsia="Times New Roman" w:cs="Arial" w:ascii="Arial" w:hAnsi="Arial"/>
                <w:kern w:val="0"/>
                <w:sz w:val="20"/>
                <w:szCs w:val="20"/>
                <w:lang w:val="en-US" w:eastAsia="en-US" w:bidi="ar-SA"/>
              </w:rPr>
              <w:t>, 2022</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40400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bl>
    <w:p>
      <w:pPr>
        <w:pStyle w:val="Normal"/>
        <w:rPr>
          <w:rFonts w:ascii="Arial" w:hAnsi="Arial" w:eastAsia="Times New Roman" w:cs="Arial"/>
          <w:b/>
          <w:b/>
          <w:bCs/>
          <w:color w:val="177D92"/>
          <w:sz w:val="8"/>
          <w:szCs w:val="8"/>
        </w:rPr>
      </w:pPr>
      <w:r>
        <w:rPr>
          <w:rFonts w:eastAsia="Times New Roman" w:cs="Arial" w:ascii="Arial" w:hAnsi="Arial"/>
          <w:b/>
          <w:bCs/>
          <w:color w:val="177D92"/>
          <w:sz w:val="8"/>
          <w:szCs w:val="8"/>
        </w:rPr>
      </w:r>
    </w:p>
    <w:tbl>
      <w:tblPr>
        <w:tblStyle w:val="TableGrid"/>
        <w:tblW w:w="9350" w:type="dxa"/>
        <w:jc w:val="center"/>
        <w:tblInd w:w="0" w:type="dxa"/>
        <w:tblLayout w:type="fixed"/>
        <w:tblCellMar>
          <w:top w:w="0" w:type="dxa"/>
          <w:left w:w="108" w:type="dxa"/>
          <w:bottom w:w="0" w:type="dxa"/>
          <w:right w:w="108" w:type="dxa"/>
        </w:tblCellMar>
        <w:tblLook w:val="0480" w:noHBand="0" w:noVBand="1" w:firstColumn="1" w:lastRow="0" w:lastColumn="0" w:firstRow="0"/>
      </w:tblPr>
      <w:tblGrid>
        <w:gridCol w:w="5665"/>
        <w:gridCol w:w="1889"/>
        <w:gridCol w:w="1796"/>
      </w:tblGrid>
      <w:tr>
        <w:trPr>
          <w:trHeight w:val="764" w:hRule="atLeast"/>
        </w:trPr>
        <w:tc>
          <w:tcPr>
            <w:tcW w:w="9350" w:type="dxa"/>
            <w:gridSpan w:val="3"/>
            <w:tcBorders/>
          </w:tcPr>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Martin Corporation</w:t>
            </w:r>
          </w:p>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Balance Sheet</w:t>
            </w:r>
          </w:p>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as of December 31</w:t>
            </w:r>
            <w:r>
              <w:rPr>
                <w:rFonts w:eastAsia="Times New Roman" w:cs="Arial" w:ascii="Arial" w:hAnsi="Arial"/>
                <w:kern w:val="0"/>
                <w:sz w:val="20"/>
                <w:szCs w:val="20"/>
                <w:vertAlign w:val="superscript"/>
                <w:lang w:val="en-US" w:eastAsia="en-US" w:bidi="ar-SA"/>
              </w:rPr>
              <w:t>st</w:t>
            </w:r>
            <w:r>
              <w:rPr>
                <w:rFonts w:eastAsia="Times New Roman" w:cs="Arial" w:ascii="Arial" w:hAnsi="Arial"/>
                <w:kern w:val="0"/>
                <w:sz w:val="20"/>
                <w:szCs w:val="20"/>
                <w:lang w:val="en-US" w:eastAsia="en-US" w:bidi="ar-SA"/>
              </w:rPr>
              <w:t>, 2022</w:t>
            </w:r>
          </w:p>
        </w:tc>
      </w:tr>
      <w:tr>
        <w:trPr/>
        <w:tc>
          <w:tcPr>
            <w:tcW w:w="9350" w:type="dxa"/>
            <w:gridSpan w:val="3"/>
            <w:tcBorders/>
            <w:vAlign w:val="center"/>
          </w:tcPr>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Assets</w:t>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Current Assets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Cash</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10100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Prepaid Insurance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3500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Accounts Receivable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11700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Total Current Assets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25300</w:t>
            </w:r>
          </w:p>
        </w:tc>
      </w:tr>
      <w:tr>
        <w:trPr/>
        <w:tc>
          <w:tcPr>
            <w:tcW w:w="5665" w:type="dxa"/>
            <w:tcBorders/>
            <w:vAlign w:val="center"/>
          </w:tcPr>
          <w:p>
            <w:pPr>
              <w:pStyle w:val="Normal"/>
              <w:widowControl/>
              <w:spacing w:lineRule="auto" w:line="240" w:before="0" w:after="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Property, Plant, and Equipment</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Equipment</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66000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Less: Accumulated Depreciation</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17600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vAlign w:val="center"/>
          </w:tcPr>
          <w:p>
            <w:pPr>
              <w:pStyle w:val="Normal"/>
              <w:widowControl/>
              <w:spacing w:lineRule="auto" w:line="240" w:before="0" w:after="0"/>
              <w:ind w:left="720" w:hanging="0"/>
              <w:jc w:val="left"/>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Total Property, Plant, and Equipment</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48400</w:t>
            </w:r>
          </w:p>
        </w:tc>
      </w:tr>
      <w:tr>
        <w:trPr>
          <w:trHeight w:val="278" w:hRule="atLeast"/>
        </w:trPr>
        <w:tc>
          <w:tcPr>
            <w:tcW w:w="5665" w:type="dxa"/>
            <w:tcBorders/>
            <w:vAlign w:val="center"/>
          </w:tcPr>
          <w:p>
            <w:pPr>
              <w:pStyle w:val="Normal"/>
              <w:widowControl/>
              <w:spacing w:lineRule="auto" w:line="240" w:before="0" w:after="0"/>
              <w:jc w:val="left"/>
              <w:textAlignment w:val="baseline"/>
              <w:rPr>
                <w:rFonts w:ascii="Arial" w:hAnsi="Arial" w:eastAsia="Times New Roman" w:cs="Arial"/>
                <w:b/>
                <w:b/>
                <w:bCs/>
                <w:sz w:val="20"/>
                <w:szCs w:val="20"/>
              </w:rPr>
            </w:pPr>
            <w:r>
              <w:rPr>
                <w:rFonts w:eastAsia="Times New Roman" w:cs="Arial" w:ascii="Arial" w:hAnsi="Arial"/>
                <w:b/>
                <w:bCs/>
                <w:kern w:val="0"/>
                <w:sz w:val="20"/>
                <w:szCs w:val="20"/>
                <w:lang w:val="en-US" w:eastAsia="en-US" w:bidi="ar-SA"/>
              </w:rPr>
              <w:t>Total Assets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73700</w:t>
            </w:r>
          </w:p>
        </w:tc>
      </w:tr>
      <w:tr>
        <w:trPr/>
        <w:tc>
          <w:tcPr>
            <w:tcW w:w="9350" w:type="dxa"/>
            <w:gridSpan w:val="3"/>
            <w:tcBorders/>
          </w:tcPr>
          <w:p>
            <w:pPr>
              <w:pStyle w:val="Normal"/>
              <w:widowControl/>
              <w:spacing w:lineRule="auto" w:line="240" w:before="0" w:after="0"/>
              <w:jc w:val="center"/>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Liabilities and Stockholders’ Equity</w:t>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Current Liabilities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Accounts Payable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18300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Salaries &amp; Wages Payable</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3000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ind w:left="720" w:hanging="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Total Current Liabilities</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21300</w:t>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Stockholders’ Equity</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Common Stock</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12000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Retained Earnings, December 31, 2022</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40400</w:t>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r>
      <w:tr>
        <w:trPr/>
        <w:tc>
          <w:tcPr>
            <w:tcW w:w="5665"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Total Stockholders’ Equity</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52400</w:t>
            </w:r>
          </w:p>
        </w:tc>
      </w:tr>
      <w:tr>
        <w:trPr>
          <w:trHeight w:val="260" w:hRule="atLeast"/>
        </w:trPr>
        <w:tc>
          <w:tcPr>
            <w:tcW w:w="5665" w:type="dxa"/>
            <w:tcBorders/>
            <w:vAlign w:val="center"/>
          </w:tcPr>
          <w:p>
            <w:pPr>
              <w:pStyle w:val="Normal"/>
              <w:widowControl/>
              <w:spacing w:lineRule="auto" w:line="240" w:before="0" w:after="0"/>
              <w:jc w:val="left"/>
              <w:textAlignment w:val="baseline"/>
              <w:rPr>
                <w:rFonts w:ascii="Arial" w:hAnsi="Arial" w:eastAsia="Times New Roman" w:cs="Arial"/>
                <w:b/>
                <w:b/>
                <w:bCs/>
                <w:sz w:val="20"/>
                <w:szCs w:val="20"/>
              </w:rPr>
            </w:pPr>
            <w:r>
              <w:rPr>
                <w:rFonts w:eastAsia="Times New Roman" w:cs="Arial" w:ascii="Arial" w:hAnsi="Arial"/>
                <w:b/>
                <w:bCs/>
                <w:kern w:val="0"/>
                <w:sz w:val="20"/>
                <w:szCs w:val="20"/>
                <w:lang w:val="en-US" w:eastAsia="en-US" w:bidi="ar-SA"/>
              </w:rPr>
              <w:t>Total Liabilities and Stockholders’ Equity</w:t>
            </w:r>
          </w:p>
        </w:tc>
        <w:tc>
          <w:tcPr>
            <w:tcW w:w="1889"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r>
          </w:p>
        </w:tc>
        <w:tc>
          <w:tcPr>
            <w:tcW w:w="1796" w:type="dxa"/>
            <w:tcBorders/>
          </w:tcPr>
          <w:p>
            <w:pPr>
              <w:pStyle w:val="Normal"/>
              <w:widowControl/>
              <w:spacing w:lineRule="auto" w:line="240" w:before="0" w:after="0"/>
              <w:jc w:val="both"/>
              <w:textAlignment w:val="baseline"/>
              <w:rPr>
                <w:rFonts w:ascii="Arial" w:hAnsi="Arial" w:eastAsia="Times New Roman" w:cs="Arial"/>
                <w:sz w:val="20"/>
                <w:szCs w:val="20"/>
              </w:rPr>
            </w:pPr>
            <w:r>
              <w:rPr>
                <w:rFonts w:eastAsia="Times New Roman" w:cs="Arial" w:ascii="Arial" w:hAnsi="Arial"/>
                <w:kern w:val="0"/>
                <w:sz w:val="20"/>
                <w:szCs w:val="20"/>
                <w:lang w:val="en-US" w:eastAsia="en-US" w:bidi="ar-SA"/>
              </w:rPr>
              <w:t>73700</w:t>
            </w:r>
          </w:p>
        </w:tc>
      </w:tr>
    </w:tbl>
    <w:p>
      <w:pPr>
        <w:pStyle w:val="Normal"/>
        <w:spacing w:lineRule="auto" w:line="240" w:before="0" w:after="0"/>
        <w:textAlignment w:val="baseline"/>
        <w:rPr>
          <w:rFonts w:ascii="Arial" w:hAnsi="Arial" w:eastAsia="Times New Roman" w:cs="Arial"/>
          <w:b/>
          <w:b/>
          <w:bCs/>
          <w:color w:val="177D92"/>
          <w:sz w:val="20"/>
          <w:szCs w:val="20"/>
        </w:rPr>
      </w:pPr>
      <w:r>
        <w:rPr>
          <w:rFonts w:eastAsia="Times New Roman" w:cs="Arial" w:ascii="Arial" w:hAnsi="Arial"/>
          <w:b/>
          <w:bCs/>
          <w:color w:val="177D92"/>
          <w:sz w:val="20"/>
          <w:szCs w:val="20"/>
        </w:rPr>
      </w:r>
    </w:p>
    <w:p>
      <w:pPr>
        <w:pStyle w:val="Normal"/>
        <w:rPr>
          <w:rFonts w:ascii="Arial" w:hAnsi="Arial" w:eastAsia="Times New Roman" w:cs="Arial"/>
          <w:b/>
          <w:b/>
          <w:bCs/>
          <w:color w:val="177D92"/>
          <w:sz w:val="20"/>
          <w:szCs w:val="20"/>
        </w:rPr>
      </w:pPr>
      <w:r>
        <w:rPr>
          <w:rFonts w:eastAsia="Times New Roman" w:cs="Arial" w:ascii="Arial" w:hAnsi="Arial"/>
          <w:b/>
          <w:bCs/>
          <w:color w:val="177D92"/>
          <w:sz w:val="20"/>
          <w:szCs w:val="20"/>
        </w:rPr>
      </w:r>
      <w:r>
        <w:br w:type="page"/>
      </w:r>
    </w:p>
    <w:p>
      <w:pPr>
        <w:pStyle w:val="Normal"/>
        <w:spacing w:lineRule="auto" w:line="240" w:before="0" w:after="0"/>
        <w:textAlignment w:val="baseline"/>
        <w:rPr>
          <w:rFonts w:ascii="Arial" w:hAnsi="Arial" w:eastAsia="Times New Roman" w:cs="Arial"/>
          <w:color w:val="000000"/>
          <w:sz w:val="20"/>
          <w:szCs w:val="20"/>
        </w:rPr>
      </w:pPr>
      <w:r>
        <w:rPr>
          <w:rFonts w:eastAsia="Times New Roman" w:cs="Arial" w:ascii="Arial" w:hAnsi="Arial"/>
          <w:b/>
          <w:bCs/>
          <w:color w:val="177D92"/>
          <w:sz w:val="20"/>
          <w:szCs w:val="20"/>
        </w:rPr>
        <w:t>E2.10</w:t>
      </w:r>
      <w:r>
        <w:rPr>
          <w:rFonts w:eastAsia="Times New Roman" w:cs="Arial" w:ascii="Arial" w:hAnsi="Arial"/>
          <w:color w:val="000000"/>
          <w:sz w:val="20"/>
          <w:szCs w:val="20"/>
        </w:rPr>
        <w:t xml:space="preserve"> Suppose the following data were taken from the 2022 and 2021 financial statements of </w:t>
      </w:r>
      <w:r>
        <w:rPr>
          <w:rFonts w:eastAsia="Times New Roman" w:cs="Arial" w:ascii="Arial" w:hAnsi="Arial"/>
          <w:b/>
          <w:bCs/>
          <w:color w:val="BE3333"/>
          <w:sz w:val="20"/>
          <w:szCs w:val="20"/>
        </w:rPr>
        <w:t>American Eagle Outfitters</w:t>
      </w:r>
      <w:r>
        <w:rPr>
          <w:rFonts w:eastAsia="Times New Roman" w:cs="Arial" w:ascii="Arial" w:hAnsi="Arial"/>
          <w:color w:val="000000"/>
          <w:sz w:val="20"/>
          <w:szCs w:val="20"/>
        </w:rPr>
        <w:t>. (All numbers, including share data, are in thousands.)</w:t>
      </w:r>
    </w:p>
    <w:tbl>
      <w:tblPr>
        <w:tblW w:w="4810" w:type="dxa"/>
        <w:jc w:val="center"/>
        <w:tblInd w:w="0" w:type="dxa"/>
        <w:tblLayout w:type="fixed"/>
        <w:tblCellMar>
          <w:top w:w="48" w:type="dxa"/>
          <w:left w:w="240" w:type="dxa"/>
          <w:bottom w:w="48" w:type="dxa"/>
          <w:right w:w="240" w:type="dxa"/>
        </w:tblCellMar>
        <w:tblLook w:val="04a0" w:noHBand="0" w:noVBand="1" w:firstColumn="1" w:lastRow="0" w:lastColumn="0" w:firstRow="1"/>
      </w:tblPr>
      <w:tblGrid>
        <w:gridCol w:w="1959"/>
        <w:gridCol w:w="1370"/>
        <w:gridCol w:w="1481"/>
      </w:tblGrid>
      <w:tr>
        <w:trPr>
          <w:tblHeader w:val="true"/>
        </w:trPr>
        <w:tc>
          <w:tcPr>
            <w:tcW w:w="1959" w:type="dxa"/>
            <w:tcBorders/>
          </w:tcPr>
          <w:p>
            <w:pPr>
              <w:pStyle w:val="Normal"/>
              <w:widowControl w:val="false"/>
              <w:spacing w:lineRule="auto" w:line="240" w:before="0" w:after="0"/>
              <w:rPr>
                <w:rFonts w:ascii="Arial" w:hAnsi="Arial" w:eastAsia="Times New Roman" w:cs="Arial"/>
                <w:b/>
                <w:b/>
                <w:bCs/>
                <w:sz w:val="20"/>
                <w:szCs w:val="20"/>
              </w:rPr>
            </w:pPr>
            <w:r>
              <w:rPr>
                <w:rFonts w:eastAsia="Times New Roman" w:cs="Arial" w:ascii="Arial" w:hAnsi="Arial"/>
                <w:b/>
                <w:bCs/>
                <w:sz w:val="20"/>
                <w:szCs w:val="20"/>
              </w:rPr>
              <w:t> </w:t>
            </w:r>
          </w:p>
        </w:tc>
        <w:tc>
          <w:tcPr>
            <w:tcW w:w="1370" w:type="dxa"/>
            <w:tcBorders/>
          </w:tcPr>
          <w:p>
            <w:pPr>
              <w:pStyle w:val="Normal"/>
              <w:widowControl w:val="false"/>
              <w:spacing w:lineRule="auto" w:line="240" w:before="0" w:after="0"/>
              <w:jc w:val="center"/>
              <w:rPr>
                <w:rFonts w:ascii="Arial" w:hAnsi="Arial" w:eastAsia="Times New Roman" w:cs="Arial"/>
                <w:b/>
                <w:b/>
                <w:bCs/>
                <w:sz w:val="20"/>
                <w:szCs w:val="20"/>
              </w:rPr>
            </w:pPr>
            <w:r>
              <w:rPr>
                <w:rFonts w:eastAsia="Times New Roman" w:cs="Arial" w:ascii="Arial" w:hAnsi="Arial"/>
                <w:b/>
                <w:bCs/>
                <w:sz w:val="20"/>
                <w:szCs w:val="20"/>
              </w:rPr>
              <w:t>2022</w:t>
            </w:r>
          </w:p>
        </w:tc>
        <w:tc>
          <w:tcPr>
            <w:tcW w:w="1481" w:type="dxa"/>
            <w:tcBorders/>
          </w:tcPr>
          <w:p>
            <w:pPr>
              <w:pStyle w:val="Normal"/>
              <w:widowControl w:val="false"/>
              <w:spacing w:lineRule="auto" w:line="240" w:before="0" w:after="0"/>
              <w:jc w:val="center"/>
              <w:rPr>
                <w:rFonts w:ascii="Arial" w:hAnsi="Arial" w:eastAsia="Times New Roman" w:cs="Arial"/>
                <w:b/>
                <w:b/>
                <w:bCs/>
                <w:sz w:val="20"/>
                <w:szCs w:val="20"/>
              </w:rPr>
            </w:pPr>
            <w:r>
              <w:rPr>
                <w:rFonts w:eastAsia="Times New Roman" w:cs="Arial" w:ascii="Arial" w:hAnsi="Arial"/>
                <w:b/>
                <w:bCs/>
                <w:sz w:val="20"/>
                <w:szCs w:val="20"/>
              </w:rPr>
              <w:t>2021</w:t>
            </w:r>
          </w:p>
        </w:tc>
      </w:tr>
      <w:tr>
        <w:trPr/>
        <w:tc>
          <w:tcPr>
            <w:tcW w:w="1959" w:type="dxa"/>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Current assets</w:t>
            </w:r>
          </w:p>
        </w:tc>
        <w:tc>
          <w:tcPr>
            <w:tcW w:w="1370"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$ 925,359</w:t>
            </w:r>
          </w:p>
        </w:tc>
        <w:tc>
          <w:tcPr>
            <w:tcW w:w="1481"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$1,020,834</w:t>
            </w:r>
          </w:p>
        </w:tc>
      </w:tr>
      <w:tr>
        <w:trPr/>
        <w:tc>
          <w:tcPr>
            <w:tcW w:w="1959" w:type="dxa"/>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Total assets</w:t>
            </w:r>
          </w:p>
        </w:tc>
        <w:tc>
          <w:tcPr>
            <w:tcW w:w="1370"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1,963,676</w:t>
            </w:r>
          </w:p>
        </w:tc>
        <w:tc>
          <w:tcPr>
            <w:tcW w:w="1481"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1,867,680</w:t>
            </w:r>
          </w:p>
        </w:tc>
      </w:tr>
      <w:tr>
        <w:trPr/>
        <w:tc>
          <w:tcPr>
            <w:tcW w:w="1959" w:type="dxa"/>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Current liabilities</w:t>
            </w:r>
          </w:p>
        </w:tc>
        <w:tc>
          <w:tcPr>
            <w:tcW w:w="1370"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401,763</w:t>
            </w:r>
          </w:p>
        </w:tc>
        <w:tc>
          <w:tcPr>
            <w:tcW w:w="1481"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376,178</w:t>
            </w:r>
          </w:p>
        </w:tc>
      </w:tr>
      <w:tr>
        <w:trPr/>
        <w:tc>
          <w:tcPr>
            <w:tcW w:w="1959" w:type="dxa"/>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Total liabilities</w:t>
            </w:r>
          </w:p>
        </w:tc>
        <w:tc>
          <w:tcPr>
            <w:tcW w:w="1370"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554,645</w:t>
            </w:r>
          </w:p>
        </w:tc>
        <w:tc>
          <w:tcPr>
            <w:tcW w:w="1481"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527,216</w:t>
            </w:r>
          </w:p>
        </w:tc>
      </w:tr>
      <w:tr>
        <w:trPr/>
        <w:tc>
          <w:tcPr>
            <w:tcW w:w="1959" w:type="dxa"/>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Net income</w:t>
            </w:r>
          </w:p>
        </w:tc>
        <w:tc>
          <w:tcPr>
            <w:tcW w:w="1370"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179,061</w:t>
            </w:r>
          </w:p>
        </w:tc>
        <w:tc>
          <w:tcPr>
            <w:tcW w:w="1481" w:type="dxa"/>
            <w:tcBorders/>
          </w:tcPr>
          <w:p>
            <w:pPr>
              <w:pStyle w:val="Normal"/>
              <w:widowControl w:val="false"/>
              <w:spacing w:lineRule="auto" w:line="240" w:before="0" w:after="0"/>
              <w:jc w:val="right"/>
              <w:rPr>
                <w:rFonts w:ascii="Arial" w:hAnsi="Arial" w:eastAsia="Times New Roman" w:cs="Arial"/>
                <w:sz w:val="20"/>
                <w:szCs w:val="20"/>
              </w:rPr>
            </w:pPr>
            <w:r>
              <w:rPr>
                <w:rFonts w:eastAsia="Times New Roman" w:cs="Arial" w:ascii="Arial" w:hAnsi="Arial"/>
                <w:sz w:val="20"/>
                <w:szCs w:val="20"/>
              </w:rPr>
              <w:t>400,019</w:t>
            </w:r>
          </w:p>
        </w:tc>
      </w:tr>
    </w:tbl>
    <w:p>
      <w:pPr>
        <w:pStyle w:val="Normal"/>
        <w:spacing w:lineRule="auto" w:line="240" w:before="0" w:after="0"/>
        <w:textAlignment w:val="baseline"/>
        <w:rPr>
          <w:rFonts w:ascii="Arial" w:hAnsi="Arial" w:eastAsia="Times New Roman" w:cs="Arial"/>
          <w:color w:val="000000"/>
          <w:sz w:val="20"/>
          <w:szCs w:val="20"/>
        </w:rPr>
      </w:pPr>
      <w:r>
        <w:rPr>
          <w:rFonts w:eastAsia="Times New Roman" w:cs="Arial" w:ascii="Arial" w:hAnsi="Arial"/>
          <w:b/>
          <w:bCs/>
          <w:color w:val="BE3333"/>
          <w:sz w:val="20"/>
          <w:szCs w:val="20"/>
        </w:rPr>
        <w:t xml:space="preserve">Instructions: </w:t>
      </w:r>
      <w:r>
        <w:rPr>
          <w:rFonts w:eastAsia="Times New Roman" w:cs="Arial" w:ascii="Arial" w:hAnsi="Arial"/>
          <w:color w:val="000000"/>
          <w:sz w:val="20"/>
          <w:szCs w:val="20"/>
        </w:rPr>
        <w:t>Perform each of the following.</w:t>
      </w:r>
    </w:p>
    <w:p>
      <w:pPr>
        <w:pStyle w:val="Normal"/>
        <w:numPr>
          <w:ilvl w:val="0"/>
          <w:numId w:val="1"/>
        </w:numPr>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Calculate the current ratio for each year.</w:t>
      </w:r>
    </w:p>
    <w:p>
      <w:pPr>
        <w:pStyle w:val="Normal"/>
        <w:bidi w:val="0"/>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Annual Current Ratio = current assets / current liabilities</w:t>
      </w:r>
    </w:p>
    <w:p>
      <w:pPr>
        <w:pStyle w:val="Normal"/>
        <w:bidi w:val="0"/>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2022 = 2.713699</w:t>
      </w:r>
    </w:p>
    <w:p>
      <w:pPr>
        <w:pStyle w:val="Normal"/>
        <w:bidi w:val="0"/>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2021 = 2.303246</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numPr>
          <w:ilvl w:val="0"/>
          <w:numId w:val="1"/>
        </w:numPr>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Calculate the debt to assets ratio for each year.</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Annual Debt-To-Assets ratio = Total Liabilities / Total Assets</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 xml:space="preserve">2022 = </w:t>
      </w:r>
      <w:r>
        <w:rPr>
          <w:rFonts w:eastAsia="Times New Roman" w:cs="Arial" w:ascii="Arial" w:hAnsi="Arial"/>
          <w:color w:val="000000"/>
          <w:sz w:val="20"/>
          <w:szCs w:val="20"/>
        </w:rPr>
        <w:t xml:space="preserve">0.282452 </w:t>
      </w:r>
      <w:r>
        <w:rPr>
          <w:rFonts w:eastAsia="Times New Roman" w:cs="Arial" w:ascii="Arial" w:hAnsi="Arial"/>
          <w:color w:val="000000"/>
          <w:sz w:val="20"/>
          <w:szCs w:val="20"/>
        </w:rPr>
        <w:t>(28.24%)</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 xml:space="preserve">2021 = 0.282284 </w:t>
      </w:r>
      <w:r>
        <w:rPr>
          <w:rFonts w:eastAsia="Times New Roman" w:cs="Arial" w:ascii="Arial" w:hAnsi="Arial"/>
          <w:color w:val="000000"/>
          <w:sz w:val="20"/>
          <w:szCs w:val="20"/>
        </w:rPr>
        <w:t>(28.23%)</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numPr>
          <w:ilvl w:val="0"/>
          <w:numId w:val="1"/>
        </w:numPr>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Discuss American Eagle’s solvency in 2022 versus 2021.</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American Eagle’s solvency remained relatively the same from 2021 to 2022. Its ratio of 28.24% mean that every dollar of assets was financed by 28.24 cents of debt. For a retailer, this is pretty pretty poor. This low solvency suggests that American Eagle’s ability to meet its debt payments was questionable.</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spacing w:lineRule="auto" w:line="240" w:before="0" w:after="0"/>
        <w:textAlignment w:val="baseline"/>
        <w:rPr>
          <w:rFonts w:ascii="Arial" w:hAnsi="Arial" w:eastAsia="Times New Roman" w:cs="Arial"/>
          <w:color w:val="000000"/>
          <w:sz w:val="20"/>
          <w:szCs w:val="20"/>
        </w:rPr>
      </w:pPr>
      <w:r>
        <w:rPr>
          <w:rFonts w:eastAsia="Times New Roman" w:cs="Arial" w:ascii="Arial" w:hAnsi="Arial"/>
          <w:b/>
          <w:bCs/>
          <w:color w:val="177D92"/>
          <w:sz w:val="20"/>
          <w:szCs w:val="20"/>
        </w:rPr>
        <w:t>P2.4</w:t>
      </w:r>
      <w:r>
        <w:rPr>
          <w:rFonts w:eastAsia="Times New Roman" w:cs="Arial" w:ascii="Arial" w:hAnsi="Arial"/>
          <w:color w:val="000000"/>
          <w:sz w:val="20"/>
          <w:szCs w:val="20"/>
        </w:rPr>
        <w:t xml:space="preserve"> Comparative financial statement data for Loeb Corporation and Bowsh Corporation, two competitors, appear below. All balance sheet data are as of December 31, 2022.</w:t>
      </w:r>
    </w:p>
    <w:p>
      <w:pPr>
        <w:pStyle w:val="Normal"/>
        <w:spacing w:lineRule="auto" w:line="240" w:before="0" w:after="0"/>
        <w:textAlignment w:val="baseline"/>
        <w:rPr>
          <w:rFonts w:ascii="Arial" w:hAnsi="Arial" w:eastAsia="Times New Roman" w:cs="Arial"/>
          <w:color w:val="000000"/>
          <w:sz w:val="8"/>
          <w:szCs w:val="8"/>
        </w:rPr>
      </w:pPr>
      <w:r>
        <w:rPr>
          <w:rFonts w:eastAsia="Times New Roman" w:cs="Arial" w:ascii="Arial" w:hAnsi="Arial"/>
          <w:color w:val="000000"/>
          <w:sz w:val="8"/>
          <w:szCs w:val="8"/>
        </w:rPr>
      </w:r>
    </w:p>
    <w:tbl>
      <w:tblPr>
        <w:tblW w:w="6232" w:type="dxa"/>
        <w:jc w:val="center"/>
        <w:tblInd w:w="0" w:type="dxa"/>
        <w:tblLayout w:type="fixed"/>
        <w:tblCellMar>
          <w:top w:w="48" w:type="dxa"/>
          <w:left w:w="240" w:type="dxa"/>
          <w:bottom w:w="48" w:type="dxa"/>
          <w:right w:w="240" w:type="dxa"/>
        </w:tblCellMar>
        <w:tblLook w:val="04a0" w:noHBand="0" w:noVBand="1" w:firstColumn="1" w:lastRow="0" w:lastColumn="0" w:firstRow="1"/>
      </w:tblPr>
      <w:tblGrid>
        <w:gridCol w:w="2092"/>
        <w:gridCol w:w="1989"/>
        <w:gridCol w:w="2151"/>
      </w:tblGrid>
      <w:tr>
        <w:trPr>
          <w:tblHeader w:val="true"/>
        </w:trPr>
        <w:tc>
          <w:tcPr>
            <w:tcW w:w="2092" w:type="dxa"/>
            <w:tcBorders/>
          </w:tcPr>
          <w:p>
            <w:pPr>
              <w:pStyle w:val="Normal"/>
              <w:widowControl w:val="false"/>
              <w:spacing w:lineRule="auto" w:line="240" w:before="0" w:after="0"/>
              <w:rPr>
                <w:rFonts w:ascii="Arial" w:hAnsi="Arial" w:eastAsia="Times New Roman" w:cs="Arial"/>
                <w:b/>
                <w:b/>
                <w:bCs/>
                <w:sz w:val="18"/>
                <w:szCs w:val="18"/>
              </w:rPr>
            </w:pPr>
            <w:r>
              <w:rPr>
                <w:rFonts w:eastAsia="Times New Roman" w:cs="Arial" w:ascii="Arial" w:hAnsi="Arial"/>
                <w:b/>
                <w:bCs/>
                <w:sz w:val="18"/>
                <w:szCs w:val="18"/>
              </w:rPr>
              <w:t> </w:t>
            </w:r>
          </w:p>
        </w:tc>
        <w:tc>
          <w:tcPr>
            <w:tcW w:w="1989" w:type="dxa"/>
            <w:tcBorders/>
          </w:tcPr>
          <w:p>
            <w:pPr>
              <w:pStyle w:val="Normal"/>
              <w:widowControl w:val="false"/>
              <w:spacing w:lineRule="auto" w:line="240" w:before="0" w:after="0"/>
              <w:jc w:val="center"/>
              <w:rPr>
                <w:rFonts w:ascii="Arial" w:hAnsi="Arial" w:eastAsia="Times New Roman" w:cs="Arial"/>
                <w:b/>
                <w:b/>
                <w:bCs/>
                <w:sz w:val="18"/>
                <w:szCs w:val="18"/>
              </w:rPr>
            </w:pPr>
            <w:r>
              <w:rPr>
                <w:rFonts w:eastAsia="Times New Roman" w:cs="Arial" w:ascii="Arial" w:hAnsi="Arial"/>
                <w:b/>
                <w:bCs/>
                <w:sz w:val="18"/>
                <w:szCs w:val="18"/>
              </w:rPr>
              <w:t>Loeb Corporation</w:t>
            </w:r>
          </w:p>
        </w:tc>
        <w:tc>
          <w:tcPr>
            <w:tcW w:w="2151" w:type="dxa"/>
            <w:tcBorders/>
          </w:tcPr>
          <w:p>
            <w:pPr>
              <w:pStyle w:val="Normal"/>
              <w:widowControl w:val="false"/>
              <w:spacing w:lineRule="auto" w:line="240" w:before="0" w:after="0"/>
              <w:jc w:val="center"/>
              <w:rPr>
                <w:rFonts w:ascii="Arial" w:hAnsi="Arial" w:eastAsia="Times New Roman" w:cs="Arial"/>
                <w:b/>
                <w:b/>
                <w:bCs/>
                <w:sz w:val="18"/>
                <w:szCs w:val="18"/>
              </w:rPr>
            </w:pPr>
            <w:r>
              <w:rPr>
                <w:rFonts w:eastAsia="Times New Roman" w:cs="Arial" w:ascii="Arial" w:hAnsi="Arial"/>
                <w:b/>
                <w:bCs/>
                <w:sz w:val="18"/>
                <w:szCs w:val="18"/>
              </w:rPr>
              <w:t>Bowsh Corporation</w:t>
            </w:r>
          </w:p>
        </w:tc>
      </w:tr>
      <w:tr>
        <w:trPr>
          <w:tblHeader w:val="true"/>
        </w:trPr>
        <w:tc>
          <w:tcPr>
            <w:tcW w:w="2092" w:type="dxa"/>
            <w:tcBorders/>
          </w:tcPr>
          <w:p>
            <w:pPr>
              <w:pStyle w:val="Normal"/>
              <w:widowControl w:val="false"/>
              <w:spacing w:lineRule="auto" w:line="240" w:before="0" w:after="0"/>
              <w:rPr>
                <w:rFonts w:ascii="Arial" w:hAnsi="Arial" w:eastAsia="Times New Roman" w:cs="Arial"/>
                <w:b/>
                <w:b/>
                <w:bCs/>
                <w:sz w:val="18"/>
                <w:szCs w:val="18"/>
              </w:rPr>
            </w:pPr>
            <w:r>
              <w:rPr>
                <w:rFonts w:eastAsia="Times New Roman" w:cs="Arial" w:ascii="Arial" w:hAnsi="Arial"/>
                <w:b/>
                <w:bCs/>
                <w:sz w:val="18"/>
                <w:szCs w:val="18"/>
              </w:rPr>
              <w:t> </w:t>
            </w:r>
          </w:p>
        </w:tc>
        <w:tc>
          <w:tcPr>
            <w:tcW w:w="1989" w:type="dxa"/>
            <w:tcBorders/>
          </w:tcPr>
          <w:p>
            <w:pPr>
              <w:pStyle w:val="Normal"/>
              <w:widowControl w:val="false"/>
              <w:spacing w:lineRule="auto" w:line="240" w:before="0" w:after="0"/>
              <w:jc w:val="center"/>
              <w:rPr>
                <w:rFonts w:ascii="Arial" w:hAnsi="Arial" w:eastAsia="Times New Roman" w:cs="Arial"/>
                <w:b/>
                <w:b/>
                <w:bCs/>
                <w:sz w:val="18"/>
                <w:szCs w:val="18"/>
              </w:rPr>
            </w:pPr>
            <w:r>
              <w:rPr>
                <w:rFonts w:eastAsia="Times New Roman" w:cs="Arial" w:ascii="Arial" w:hAnsi="Arial"/>
                <w:b/>
                <w:bCs/>
                <w:sz w:val="18"/>
                <w:szCs w:val="18"/>
              </w:rPr>
              <w:t>2022</w:t>
            </w:r>
          </w:p>
        </w:tc>
        <w:tc>
          <w:tcPr>
            <w:tcW w:w="2151" w:type="dxa"/>
            <w:tcBorders/>
          </w:tcPr>
          <w:p>
            <w:pPr>
              <w:pStyle w:val="Normal"/>
              <w:widowControl w:val="false"/>
              <w:spacing w:lineRule="auto" w:line="240" w:before="0" w:after="0"/>
              <w:jc w:val="center"/>
              <w:rPr>
                <w:rFonts w:ascii="Arial" w:hAnsi="Arial" w:eastAsia="Times New Roman" w:cs="Arial"/>
                <w:b/>
                <w:b/>
                <w:bCs/>
                <w:sz w:val="18"/>
                <w:szCs w:val="18"/>
              </w:rPr>
            </w:pPr>
            <w:r>
              <w:rPr>
                <w:rFonts w:eastAsia="Times New Roman" w:cs="Arial" w:ascii="Arial" w:hAnsi="Arial"/>
                <w:b/>
                <w:bCs/>
                <w:sz w:val="18"/>
                <w:szCs w:val="18"/>
              </w:rPr>
              <w:t>2022</w:t>
            </w:r>
          </w:p>
        </w:tc>
      </w:tr>
      <w:tr>
        <w:trPr/>
        <w:tc>
          <w:tcPr>
            <w:tcW w:w="2092" w:type="dxa"/>
            <w:tcBorders/>
          </w:tcPr>
          <w:p>
            <w:pPr>
              <w:pStyle w:val="Normal"/>
              <w:widowControl w:val="false"/>
              <w:spacing w:lineRule="auto" w:line="240" w:before="0" w:after="0"/>
              <w:rPr>
                <w:rFonts w:ascii="Arial" w:hAnsi="Arial" w:eastAsia="Times New Roman" w:cs="Arial"/>
                <w:sz w:val="18"/>
                <w:szCs w:val="18"/>
              </w:rPr>
            </w:pPr>
            <w:r>
              <w:rPr>
                <w:rFonts w:eastAsia="Times New Roman" w:cs="Arial" w:ascii="Arial" w:hAnsi="Arial"/>
                <w:sz w:val="18"/>
                <w:szCs w:val="18"/>
              </w:rPr>
              <w:t>Net sales</w:t>
            </w:r>
          </w:p>
        </w:tc>
        <w:tc>
          <w:tcPr>
            <w:tcW w:w="1989"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$1,800,000  </w:t>
            </w:r>
          </w:p>
        </w:tc>
        <w:tc>
          <w:tcPr>
            <w:tcW w:w="2151"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$620,000  </w:t>
            </w:r>
          </w:p>
        </w:tc>
      </w:tr>
      <w:tr>
        <w:trPr/>
        <w:tc>
          <w:tcPr>
            <w:tcW w:w="2092" w:type="dxa"/>
            <w:tcBorders/>
          </w:tcPr>
          <w:p>
            <w:pPr>
              <w:pStyle w:val="Normal"/>
              <w:widowControl w:val="false"/>
              <w:spacing w:lineRule="auto" w:line="240" w:before="0" w:after="0"/>
              <w:rPr>
                <w:rFonts w:ascii="Arial" w:hAnsi="Arial" w:eastAsia="Times New Roman" w:cs="Arial"/>
                <w:sz w:val="18"/>
                <w:szCs w:val="18"/>
              </w:rPr>
            </w:pPr>
            <w:r>
              <w:rPr>
                <w:rFonts w:eastAsia="Times New Roman" w:cs="Arial" w:ascii="Arial" w:hAnsi="Arial"/>
                <w:sz w:val="18"/>
                <w:szCs w:val="18"/>
              </w:rPr>
              <w:t>Cost of goods sold</w:t>
            </w:r>
          </w:p>
        </w:tc>
        <w:tc>
          <w:tcPr>
            <w:tcW w:w="1989"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1,175,000  </w:t>
            </w:r>
          </w:p>
        </w:tc>
        <w:tc>
          <w:tcPr>
            <w:tcW w:w="2151"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340,000  </w:t>
            </w:r>
          </w:p>
        </w:tc>
      </w:tr>
      <w:tr>
        <w:trPr/>
        <w:tc>
          <w:tcPr>
            <w:tcW w:w="2092" w:type="dxa"/>
            <w:tcBorders/>
          </w:tcPr>
          <w:p>
            <w:pPr>
              <w:pStyle w:val="Normal"/>
              <w:widowControl w:val="false"/>
              <w:spacing w:lineRule="auto" w:line="240" w:before="0" w:after="0"/>
              <w:rPr>
                <w:rFonts w:ascii="Arial" w:hAnsi="Arial" w:eastAsia="Times New Roman" w:cs="Arial"/>
                <w:sz w:val="18"/>
                <w:szCs w:val="18"/>
              </w:rPr>
            </w:pPr>
            <w:r>
              <w:rPr>
                <w:rFonts w:eastAsia="Times New Roman" w:cs="Arial" w:ascii="Arial" w:hAnsi="Arial"/>
                <w:sz w:val="18"/>
                <w:szCs w:val="18"/>
              </w:rPr>
              <w:t>Operating expenses</w:t>
            </w:r>
          </w:p>
        </w:tc>
        <w:tc>
          <w:tcPr>
            <w:tcW w:w="1989"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283,000  </w:t>
            </w:r>
          </w:p>
        </w:tc>
        <w:tc>
          <w:tcPr>
            <w:tcW w:w="2151"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98,000  </w:t>
            </w:r>
          </w:p>
        </w:tc>
      </w:tr>
      <w:tr>
        <w:trPr/>
        <w:tc>
          <w:tcPr>
            <w:tcW w:w="2092" w:type="dxa"/>
            <w:tcBorders/>
          </w:tcPr>
          <w:p>
            <w:pPr>
              <w:pStyle w:val="Normal"/>
              <w:widowControl w:val="false"/>
              <w:spacing w:lineRule="auto" w:line="240" w:before="0" w:after="0"/>
              <w:rPr>
                <w:rFonts w:ascii="Arial" w:hAnsi="Arial" w:eastAsia="Times New Roman" w:cs="Arial"/>
                <w:sz w:val="18"/>
                <w:szCs w:val="18"/>
              </w:rPr>
            </w:pPr>
            <w:r>
              <w:rPr>
                <w:rFonts w:eastAsia="Times New Roman" w:cs="Arial" w:ascii="Arial" w:hAnsi="Arial"/>
                <w:sz w:val="18"/>
                <w:szCs w:val="18"/>
              </w:rPr>
              <w:t>Interest expense</w:t>
            </w:r>
          </w:p>
        </w:tc>
        <w:tc>
          <w:tcPr>
            <w:tcW w:w="1989"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9,000  </w:t>
            </w:r>
          </w:p>
        </w:tc>
        <w:tc>
          <w:tcPr>
            <w:tcW w:w="2151"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3,800  </w:t>
            </w:r>
          </w:p>
        </w:tc>
      </w:tr>
      <w:tr>
        <w:trPr/>
        <w:tc>
          <w:tcPr>
            <w:tcW w:w="2092" w:type="dxa"/>
            <w:tcBorders/>
          </w:tcPr>
          <w:p>
            <w:pPr>
              <w:pStyle w:val="Normal"/>
              <w:widowControl w:val="false"/>
              <w:spacing w:lineRule="auto" w:line="240" w:before="0" w:after="0"/>
              <w:rPr>
                <w:rFonts w:ascii="Arial" w:hAnsi="Arial" w:eastAsia="Times New Roman" w:cs="Arial"/>
                <w:sz w:val="18"/>
                <w:szCs w:val="18"/>
              </w:rPr>
            </w:pPr>
            <w:r>
              <w:rPr>
                <w:rFonts w:eastAsia="Times New Roman" w:cs="Arial" w:ascii="Arial" w:hAnsi="Arial"/>
                <w:sz w:val="18"/>
                <w:szCs w:val="18"/>
              </w:rPr>
              <w:t>Income tax expense</w:t>
            </w:r>
          </w:p>
        </w:tc>
        <w:tc>
          <w:tcPr>
            <w:tcW w:w="1989"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85,000  </w:t>
            </w:r>
          </w:p>
        </w:tc>
        <w:tc>
          <w:tcPr>
            <w:tcW w:w="2151"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36,000  </w:t>
            </w:r>
          </w:p>
        </w:tc>
      </w:tr>
      <w:tr>
        <w:trPr/>
        <w:tc>
          <w:tcPr>
            <w:tcW w:w="2092" w:type="dxa"/>
            <w:tcBorders/>
          </w:tcPr>
          <w:p>
            <w:pPr>
              <w:pStyle w:val="Normal"/>
              <w:widowControl w:val="false"/>
              <w:spacing w:lineRule="auto" w:line="240" w:before="0" w:after="0"/>
              <w:rPr>
                <w:rFonts w:ascii="Arial" w:hAnsi="Arial" w:eastAsia="Times New Roman" w:cs="Arial"/>
                <w:sz w:val="18"/>
                <w:szCs w:val="18"/>
              </w:rPr>
            </w:pPr>
            <w:r>
              <w:rPr>
                <w:rFonts w:eastAsia="Times New Roman" w:cs="Arial" w:ascii="Arial" w:hAnsi="Arial"/>
                <w:sz w:val="18"/>
                <w:szCs w:val="18"/>
              </w:rPr>
              <w:t>Current assets</w:t>
            </w:r>
          </w:p>
        </w:tc>
        <w:tc>
          <w:tcPr>
            <w:tcW w:w="1989"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407,200  </w:t>
            </w:r>
          </w:p>
        </w:tc>
        <w:tc>
          <w:tcPr>
            <w:tcW w:w="2151"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190,336  </w:t>
            </w:r>
          </w:p>
        </w:tc>
      </w:tr>
      <w:tr>
        <w:trPr/>
        <w:tc>
          <w:tcPr>
            <w:tcW w:w="2092" w:type="dxa"/>
            <w:tcBorders/>
          </w:tcPr>
          <w:p>
            <w:pPr>
              <w:pStyle w:val="Normal"/>
              <w:widowControl w:val="false"/>
              <w:spacing w:lineRule="auto" w:line="240" w:before="0" w:after="0"/>
              <w:rPr>
                <w:rFonts w:ascii="Arial" w:hAnsi="Arial" w:eastAsia="Times New Roman" w:cs="Arial"/>
                <w:sz w:val="18"/>
                <w:szCs w:val="18"/>
              </w:rPr>
            </w:pPr>
            <w:r>
              <w:rPr>
                <w:rFonts w:eastAsia="Times New Roman" w:cs="Arial" w:ascii="Arial" w:hAnsi="Arial"/>
                <w:sz w:val="18"/>
                <w:szCs w:val="18"/>
              </w:rPr>
              <w:t>Plant assets (net)</w:t>
            </w:r>
          </w:p>
        </w:tc>
        <w:tc>
          <w:tcPr>
            <w:tcW w:w="1989"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532,000  </w:t>
            </w:r>
          </w:p>
        </w:tc>
        <w:tc>
          <w:tcPr>
            <w:tcW w:w="2151"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139,728  </w:t>
            </w:r>
          </w:p>
        </w:tc>
      </w:tr>
      <w:tr>
        <w:trPr/>
        <w:tc>
          <w:tcPr>
            <w:tcW w:w="2092" w:type="dxa"/>
            <w:tcBorders/>
          </w:tcPr>
          <w:p>
            <w:pPr>
              <w:pStyle w:val="Normal"/>
              <w:widowControl w:val="false"/>
              <w:spacing w:lineRule="auto" w:line="240" w:before="0" w:after="0"/>
              <w:rPr>
                <w:rFonts w:ascii="Arial" w:hAnsi="Arial" w:eastAsia="Times New Roman" w:cs="Arial"/>
                <w:sz w:val="18"/>
                <w:szCs w:val="18"/>
              </w:rPr>
            </w:pPr>
            <w:r>
              <w:rPr>
                <w:rFonts w:eastAsia="Times New Roman" w:cs="Arial" w:ascii="Arial" w:hAnsi="Arial"/>
                <w:sz w:val="18"/>
                <w:szCs w:val="18"/>
              </w:rPr>
              <w:t>Current liabilities</w:t>
            </w:r>
          </w:p>
        </w:tc>
        <w:tc>
          <w:tcPr>
            <w:tcW w:w="1989"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66,325  </w:t>
            </w:r>
          </w:p>
        </w:tc>
        <w:tc>
          <w:tcPr>
            <w:tcW w:w="2151"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33,716  </w:t>
            </w:r>
          </w:p>
        </w:tc>
      </w:tr>
      <w:tr>
        <w:trPr/>
        <w:tc>
          <w:tcPr>
            <w:tcW w:w="2092" w:type="dxa"/>
            <w:tcBorders/>
          </w:tcPr>
          <w:p>
            <w:pPr>
              <w:pStyle w:val="Normal"/>
              <w:widowControl w:val="false"/>
              <w:spacing w:lineRule="auto" w:line="240" w:before="0" w:after="0"/>
              <w:rPr>
                <w:rFonts w:ascii="Arial" w:hAnsi="Arial" w:eastAsia="Times New Roman" w:cs="Arial"/>
                <w:sz w:val="18"/>
                <w:szCs w:val="18"/>
              </w:rPr>
            </w:pPr>
            <w:r>
              <w:rPr>
                <w:rFonts w:eastAsia="Times New Roman" w:cs="Arial" w:ascii="Arial" w:hAnsi="Arial"/>
                <w:sz w:val="18"/>
                <w:szCs w:val="18"/>
              </w:rPr>
              <w:t>Long-term liabilities</w:t>
            </w:r>
          </w:p>
        </w:tc>
        <w:tc>
          <w:tcPr>
            <w:tcW w:w="1989"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108,500  </w:t>
            </w:r>
          </w:p>
        </w:tc>
        <w:tc>
          <w:tcPr>
            <w:tcW w:w="2151" w:type="dxa"/>
            <w:tcBorders/>
          </w:tcPr>
          <w:p>
            <w:pPr>
              <w:pStyle w:val="Normal"/>
              <w:widowControl w:val="false"/>
              <w:spacing w:lineRule="auto" w:line="240" w:before="0" w:after="0"/>
              <w:jc w:val="right"/>
              <w:rPr>
                <w:rFonts w:ascii="Arial" w:hAnsi="Arial" w:eastAsia="Times New Roman" w:cs="Arial"/>
                <w:sz w:val="18"/>
                <w:szCs w:val="18"/>
              </w:rPr>
            </w:pPr>
            <w:r>
              <w:rPr>
                <w:rFonts w:eastAsia="Times New Roman" w:cs="Arial" w:ascii="Arial" w:hAnsi="Arial"/>
                <w:sz w:val="18"/>
                <w:szCs w:val="18"/>
              </w:rPr>
              <w:t>40,684  </w:t>
            </w:r>
          </w:p>
        </w:tc>
      </w:tr>
    </w:tbl>
    <w:p>
      <w:pPr>
        <w:pStyle w:val="Normal"/>
        <w:spacing w:lineRule="auto" w:line="240" w:before="0" w:after="0"/>
        <w:textAlignment w:val="baseline"/>
        <w:rPr>
          <w:rFonts w:ascii="Arial" w:hAnsi="Arial" w:eastAsia="Times New Roman" w:cs="Arial"/>
          <w:color w:val="000000"/>
          <w:sz w:val="20"/>
          <w:szCs w:val="20"/>
        </w:rPr>
      </w:pPr>
      <w:r>
        <w:rPr>
          <w:rFonts w:eastAsia="Times New Roman" w:cs="Arial" w:ascii="Arial" w:hAnsi="Arial"/>
          <w:b/>
          <w:bCs/>
          <w:color w:val="BE3333"/>
          <w:sz w:val="20"/>
          <w:szCs w:val="20"/>
        </w:rPr>
        <w:t>Instructions</w:t>
      </w:r>
    </w:p>
    <w:p>
      <w:pPr>
        <w:pStyle w:val="Normal"/>
        <w:spacing w:lineRule="auto" w:line="240" w:before="0" w:after="0"/>
        <w:textAlignment w:val="baseline"/>
        <w:rPr>
          <w:rFonts w:ascii="Arial" w:hAnsi="Arial" w:eastAsia="Times New Roman" w:cs="Arial"/>
          <w:color w:val="000000"/>
          <w:sz w:val="20"/>
          <w:szCs w:val="20"/>
        </w:rPr>
      </w:pPr>
      <w:r>
        <w:rPr/>
      </w:r>
    </w:p>
    <w:p>
      <w:pPr>
        <w:pStyle w:val="Normal"/>
        <w:numPr>
          <w:ilvl w:val="0"/>
          <w:numId w:val="2"/>
        </w:numPr>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Comment on the relative liquidity of the companies by computing working capital and the current ratio for each company for 2022.</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Annual Current Ratio = current assets / current liabilities</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Loeb Corp. Annual Current Ratio = 6.139</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r>
      <w:r>
        <w:rPr>
          <w:rFonts w:eastAsia="Times New Roman" w:cs="Arial" w:ascii="Arial" w:hAnsi="Arial"/>
          <w:color w:val="000000"/>
          <w:sz w:val="20"/>
          <w:szCs w:val="20"/>
        </w:rPr>
        <w:t>Bowsh Corp. Annual Current Ratio = 5.64</w:t>
      </w:r>
      <w:r>
        <w:rPr>
          <w:rFonts w:eastAsia="Times New Roman" w:cs="Arial" w:ascii="Arial" w:hAnsi="Arial"/>
          <w:color w:val="000000"/>
          <w:sz w:val="20"/>
          <w:szCs w:val="20"/>
        </w:rPr>
        <w:t>5</w:t>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ab/>
        <w:t>A ratio above 1 means current assets exceed liabilities, and, generally, the higher the ratio, the better.</w:t>
        <w:tab/>
      </w:r>
    </w:p>
    <w:p>
      <w:pPr>
        <w:pStyle w:val="Normal"/>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r>
    </w:p>
    <w:p>
      <w:pPr>
        <w:pStyle w:val="Normal"/>
        <w:numPr>
          <w:ilvl w:val="0"/>
          <w:numId w:val="2"/>
        </w:numPr>
        <w:spacing w:lineRule="auto" w:line="240" w:before="12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Comment on the relative solvency of the companies by computing the debt to assets ratio for each company for 2022.</w:t>
      </w:r>
    </w:p>
    <w:p>
      <w:pPr>
        <w:pStyle w:val="Normal"/>
        <w:numPr>
          <w:ilvl w:val="0"/>
          <w:numId w:val="0"/>
        </w:numPr>
        <w:spacing w:lineRule="auto" w:line="240" w:before="120" w:after="0"/>
        <w:ind w:left="720" w:hanging="0"/>
        <w:textAlignment w:val="baseline"/>
        <w:rPr>
          <w:rFonts w:ascii="Arial" w:hAnsi="Arial" w:eastAsia="Times New Roman" w:cs="Arial"/>
          <w:color w:val="000000"/>
          <w:sz w:val="20"/>
          <w:szCs w:val="20"/>
        </w:rPr>
      </w:pPr>
      <w:r>
        <w:rPr>
          <w:rFonts w:eastAsia="Times New Roman" w:cs="Arial" w:ascii="Arial" w:hAnsi="Arial"/>
          <w:color w:val="000000"/>
          <w:sz w:val="20"/>
          <w:szCs w:val="20"/>
        </w:rPr>
        <w:t>Annual Debt-To-Assets ratio = Total Liabilities / Total Assets</w:t>
      </w:r>
    </w:p>
    <w:p>
      <w:pPr>
        <w:pStyle w:val="Normal"/>
        <w:numPr>
          <w:ilvl w:val="0"/>
          <w:numId w:val="0"/>
        </w:numPr>
        <w:spacing w:lineRule="auto" w:line="240" w:before="120" w:after="0"/>
        <w:ind w:left="720" w:hanging="0"/>
        <w:textAlignment w:val="baseline"/>
        <w:rPr>
          <w:rFonts w:ascii="Arial" w:hAnsi="Arial" w:eastAsia="Times New Roman" w:cs="Arial"/>
          <w:color w:val="000000"/>
          <w:sz w:val="20"/>
          <w:szCs w:val="20"/>
        </w:rPr>
      </w:pPr>
      <w:r>
        <w:rPr>
          <w:rFonts w:eastAsia="Times New Roman" w:cs="Arial" w:ascii="Arial" w:hAnsi="Arial"/>
          <w:color w:val="000000"/>
          <w:sz w:val="20"/>
          <w:szCs w:val="20"/>
        </w:rPr>
        <w:t>Loeb Corp : (Current Liabilities + Long-Term Liabilities) / (Current Assets / Plant Assets) = 0.186</w:t>
      </w:r>
    </w:p>
    <w:p>
      <w:pPr>
        <w:pStyle w:val="Normal"/>
        <w:numPr>
          <w:ilvl w:val="0"/>
          <w:numId w:val="0"/>
        </w:numPr>
        <w:spacing w:lineRule="auto" w:line="240" w:before="120" w:after="0"/>
        <w:ind w:left="720" w:hanging="0"/>
        <w:textAlignment w:val="baseline"/>
        <w:rPr>
          <w:rFonts w:ascii="Arial" w:hAnsi="Arial" w:eastAsia="Times New Roman" w:cs="Arial"/>
          <w:color w:val="000000"/>
          <w:sz w:val="20"/>
          <w:szCs w:val="20"/>
        </w:rPr>
      </w:pPr>
      <w:r>
        <w:rPr>
          <w:rFonts w:eastAsia="Times New Roman" w:cs="Arial" w:ascii="Arial" w:hAnsi="Arial"/>
          <w:color w:val="000000"/>
          <w:sz w:val="20"/>
          <w:szCs w:val="20"/>
        </w:rPr>
        <w:t>Bowsh Corp : (Current Liabilities + Long-Term Liabilities) / (Current Assets / Plant Assets) = 0.225</w:t>
      </w:r>
    </w:p>
    <w:sectPr>
      <w:headerReference w:type="default" r:id="rId2"/>
      <w:footerReference w:type="default" r:id="rId3"/>
      <w:type w:val="nextPage"/>
      <w:pgSz w:w="12240" w:h="15840"/>
      <w:pgMar w:left="1440" w:right="810" w:header="720" w:top="1440" w:footer="720" w:bottom="12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 ARABIC </w:instrText>
    </w:r>
    <w:r>
      <w:rPr/>
      <w:fldChar w:fldCharType="separate"/>
    </w:r>
    <w:r>
      <w:rPr/>
      <w:t>4</w:t>
    </w:r>
    <w:r>
      <w:rPr/>
      <w:fldChar w:fldCharType="end"/>
    </w:r>
    <w:r>
      <w:rPr/>
      <w:t xml:space="preserve"> of </w:t>
    </w:r>
    <w:r>
      <w:rPr/>
      <w:fldChar w:fldCharType="begin"/>
    </w:r>
    <w:r>
      <w:rPr/>
      <w:instrText> NUMPAGES \* ARABIC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w:hAnsi="Arial" w:cs="Arial"/>
        <w:sz w:val="20"/>
        <w:szCs w:val="20"/>
      </w:rPr>
    </w:pPr>
    <w:r>
      <w:rPr>
        <w:rFonts w:cs="Arial" w:ascii="Arial" w:hAnsi="Arial"/>
        <w:sz w:val="20"/>
        <w:szCs w:val="20"/>
      </w:rPr>
      <w:t>Module 2, Chapter 2 Handout</w:t>
    </w:r>
  </w:p>
  <w:p>
    <w:pPr>
      <w:pStyle w:val="Header"/>
      <w:jc w:val="center"/>
      <w:rPr>
        <w:rFonts w:ascii="Arial" w:hAnsi="Arial" w:cs="Arial"/>
        <w:sz w:val="20"/>
        <w:szCs w:val="20"/>
      </w:rPr>
    </w:pPr>
    <w:r>
      <w:rPr>
        <w:rFonts w:cs="Arial" w:ascii="Arial" w:hAnsi="Arial"/>
        <w:sz w:val="20"/>
        <w:szCs w:val="20"/>
      </w:rPr>
      <w:t>A Further Look at the Balance Sheet</w:t>
    </w:r>
  </w:p>
  <w:p>
    <w:pPr>
      <w:pStyle w:val="Header"/>
      <w:rPr>
        <w:rFonts w:ascii="Arial" w:hAnsi="Arial" w:cs="Arial"/>
        <w:sz w:val="20"/>
        <w:szCs w:val="20"/>
      </w:rPr>
    </w:pPr>
    <w:r>
      <w:rPr>
        <w:rFonts w:cs="Arial" w:ascii="Arial" w:hAnsi="Arial"/>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basedOn w:val="Normal"/>
    <w:next w:val="Normal"/>
    <w:link w:val="Heading4Char"/>
    <w:uiPriority w:val="9"/>
    <w:semiHidden/>
    <w:unhideWhenUsed/>
    <w:qFormat/>
    <w:rsid w:val="00d320de"/>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6">
    <w:name w:val="Heading 6"/>
    <w:basedOn w:val="Normal"/>
    <w:link w:val="Heading6Char"/>
    <w:uiPriority w:val="9"/>
    <w:qFormat/>
    <w:rsid w:val="00034e0f"/>
    <w:pPr>
      <w:spacing w:lineRule="auto" w:line="240" w:beforeAutospacing="1" w:afterAutospacing="1"/>
      <w:outlineLvl w:val="5"/>
    </w:pPr>
    <w:rPr>
      <w:rFonts w:ascii="Times New Roman" w:hAnsi="Times New Roman" w:eastAsia="Times New Roman" w:cs="Times New Roman"/>
      <w:b/>
      <w:bCs/>
      <w:sz w:val="15"/>
      <w:szCs w:val="15"/>
    </w:rPr>
  </w:style>
  <w:style w:type="character" w:styleId="DefaultParagraphFont" w:default="1">
    <w:name w:val="Default Paragraph Font"/>
    <w:uiPriority w:val="1"/>
    <w:semiHidden/>
    <w:unhideWhenUsed/>
    <w:qFormat/>
    <w:rPr/>
  </w:style>
  <w:style w:type="character" w:styleId="Orange" w:customStyle="1">
    <w:name w:val="orange"/>
    <w:basedOn w:val="DefaultParagraphFont"/>
    <w:qFormat/>
    <w:rsid w:val="000029a7"/>
    <w:rPr/>
  </w:style>
  <w:style w:type="character" w:styleId="Label" w:customStyle="1">
    <w:name w:val="label"/>
    <w:basedOn w:val="DefaultParagraphFont"/>
    <w:qFormat/>
    <w:rsid w:val="000029a7"/>
    <w:rPr/>
  </w:style>
  <w:style w:type="character" w:styleId="Blue1" w:customStyle="1">
    <w:name w:val="blue1"/>
    <w:basedOn w:val="DefaultParagraphFont"/>
    <w:qFormat/>
    <w:rsid w:val="000029a7"/>
    <w:rPr/>
  </w:style>
  <w:style w:type="character" w:styleId="InternetLink">
    <w:name w:val="Hyperlink"/>
    <w:basedOn w:val="DefaultParagraphFont"/>
    <w:uiPriority w:val="99"/>
    <w:semiHidden/>
    <w:unhideWhenUsed/>
    <w:rsid w:val="000029a7"/>
    <w:rPr>
      <w:color w:val="0000FF"/>
      <w:u w:val="single"/>
    </w:rPr>
  </w:style>
  <w:style w:type="character" w:styleId="HeaderChar" w:customStyle="1">
    <w:name w:val="Header Char"/>
    <w:basedOn w:val="DefaultParagraphFont"/>
    <w:link w:val="Header"/>
    <w:uiPriority w:val="99"/>
    <w:qFormat/>
    <w:rsid w:val="000029a7"/>
    <w:rPr/>
  </w:style>
  <w:style w:type="character" w:styleId="FooterChar" w:customStyle="1">
    <w:name w:val="Footer Char"/>
    <w:basedOn w:val="DefaultParagraphFont"/>
    <w:link w:val="Footer"/>
    <w:uiPriority w:val="99"/>
    <w:qFormat/>
    <w:rsid w:val="000029a7"/>
    <w:rPr/>
  </w:style>
  <w:style w:type="character" w:styleId="Exercisenumber" w:customStyle="1">
    <w:name w:val="exercise-number"/>
    <w:basedOn w:val="DefaultParagraphFont"/>
    <w:qFormat/>
    <w:rsid w:val="0082452b"/>
    <w:rPr/>
  </w:style>
  <w:style w:type="character" w:styleId="Exerciseicon" w:customStyle="1">
    <w:name w:val="exerciseicon"/>
    <w:basedOn w:val="DefaultParagraphFont"/>
    <w:qFormat/>
    <w:rsid w:val="0082452b"/>
    <w:rPr/>
  </w:style>
  <w:style w:type="character" w:styleId="Emphasis">
    <w:name w:val="Emphasis"/>
    <w:basedOn w:val="DefaultParagraphFont"/>
    <w:uiPriority w:val="20"/>
    <w:qFormat/>
    <w:rsid w:val="0082452b"/>
    <w:rPr>
      <w:i/>
      <w:iCs/>
    </w:rPr>
  </w:style>
  <w:style w:type="character" w:styleId="Textdecorationunderline" w:customStyle="1">
    <w:name w:val="text-decoration:underline"/>
    <w:basedOn w:val="DefaultParagraphFont"/>
    <w:qFormat/>
    <w:rsid w:val="0082452b"/>
    <w:rPr/>
  </w:style>
  <w:style w:type="character" w:styleId="Itemnumber" w:customStyle="1">
    <w:name w:val="item-number"/>
    <w:basedOn w:val="DefaultParagraphFont"/>
    <w:qFormat/>
    <w:rsid w:val="0082452b"/>
    <w:rPr/>
  </w:style>
  <w:style w:type="character" w:styleId="Borderbottom3px" w:customStyle="1">
    <w:name w:val="border-bottom:3px"/>
    <w:basedOn w:val="DefaultParagraphFont"/>
    <w:qFormat/>
    <w:rsid w:val="00370ffe"/>
    <w:rPr/>
  </w:style>
  <w:style w:type="character" w:styleId="Strong">
    <w:name w:val="Strong"/>
    <w:basedOn w:val="DefaultParagraphFont"/>
    <w:uiPriority w:val="22"/>
    <w:qFormat/>
    <w:rsid w:val="00370ffe"/>
    <w:rPr>
      <w:b/>
      <w:bCs/>
    </w:rPr>
  </w:style>
  <w:style w:type="character" w:styleId="Red1" w:customStyle="1">
    <w:name w:val="red1"/>
    <w:basedOn w:val="DefaultParagraphFont"/>
    <w:qFormat/>
    <w:rsid w:val="003b65a2"/>
    <w:rPr/>
  </w:style>
  <w:style w:type="character" w:styleId="Un" w:customStyle="1">
    <w:name w:val="un"/>
    <w:basedOn w:val="DefaultParagraphFont"/>
    <w:qFormat/>
    <w:rsid w:val="003b65a2"/>
    <w:rPr/>
  </w:style>
  <w:style w:type="character" w:styleId="Un2" w:customStyle="1">
    <w:name w:val="un2"/>
    <w:basedOn w:val="DefaultParagraphFont"/>
    <w:qFormat/>
    <w:rsid w:val="003b65a2"/>
    <w:rPr/>
  </w:style>
  <w:style w:type="character" w:styleId="Heading6Char" w:customStyle="1">
    <w:name w:val="Heading 6 Char"/>
    <w:basedOn w:val="DefaultParagraphFont"/>
    <w:link w:val="Heading6"/>
    <w:uiPriority w:val="9"/>
    <w:qFormat/>
    <w:rsid w:val="00034e0f"/>
    <w:rPr>
      <w:rFonts w:ascii="Times New Roman" w:hAnsi="Times New Roman" w:eastAsia="Times New Roman" w:cs="Times New Roman"/>
      <w:b/>
      <w:bCs/>
      <w:sz w:val="15"/>
      <w:szCs w:val="15"/>
    </w:rPr>
  </w:style>
  <w:style w:type="character" w:styleId="Heading4Char" w:customStyle="1">
    <w:name w:val="Heading 4 Char"/>
    <w:basedOn w:val="DefaultParagraphFont"/>
    <w:link w:val="Heading4"/>
    <w:uiPriority w:val="9"/>
    <w:semiHidden/>
    <w:qFormat/>
    <w:rsid w:val="00d320de"/>
    <w:rPr>
      <w:rFonts w:ascii="Calibri Light" w:hAnsi="Calibri Light" w:eastAsia="" w:cs="" w:asciiTheme="majorHAnsi" w:cstheme="majorBidi" w:eastAsiaTheme="majorEastAsia" w:hAnsiTheme="majorHAnsi"/>
      <w:i/>
      <w:iCs/>
      <w:color w:val="2E74B5" w:themeColor="accent1" w:themeShade="bf"/>
    </w:rPr>
  </w:style>
  <w:style w:type="character" w:styleId="Lscolorblue" w:customStyle="1">
    <w:name w:val="lscolorblue"/>
    <w:basedOn w:val="DefaultParagraphFont"/>
    <w:qFormat/>
    <w:rsid w:val="00e264ea"/>
    <w:rPr/>
  </w:style>
  <w:style w:type="character" w:styleId="Lscolorred" w:customStyle="1">
    <w:name w:val="lscolorred"/>
    <w:basedOn w:val="DefaultParagraphFont"/>
    <w:qFormat/>
    <w:rsid w:val="00e264ea"/>
    <w:rPr/>
  </w:style>
  <w:style w:type="character" w:styleId="BodyLargeChar" w:customStyle="1">
    <w:name w:val="Body (Large) Char"/>
    <w:link w:val="BodyLarge"/>
    <w:qFormat/>
    <w:rsid w:val="00543fe6"/>
    <w:rPr>
      <w:rFonts w:ascii="Helvetica" w:hAnsi="Helvetica" w:eastAsia="Times New Roman" w:cs="Times New Roman"/>
      <w:b/>
      <w:sz w:val="28"/>
      <w:szCs w:val="20"/>
    </w:rPr>
  </w:style>
  <w:style w:type="character" w:styleId="Brunderl" w:customStyle="1">
    <w:name w:val="br_underl"/>
    <w:basedOn w:val="DefaultParagraphFont"/>
    <w:qFormat/>
    <w:rsid w:val="00a8294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0029a7"/>
    <w:pPr>
      <w:spacing w:lineRule="auto" w:line="240" w:beforeAutospacing="1" w:afterAutospacing="1"/>
    </w:pPr>
    <w:rPr>
      <w:rFonts w:ascii="Times New Roman" w:hAnsi="Times New Roman" w:eastAsia="Times New Roman" w:cs="Times New Roman"/>
      <w:sz w:val="24"/>
      <w:szCs w:val="24"/>
    </w:rPr>
  </w:style>
  <w:style w:type="paragraph" w:styleId="Blue" w:customStyle="1">
    <w:name w:val="blue"/>
    <w:basedOn w:val="Normal"/>
    <w:qFormat/>
    <w:rsid w:val="000029a7"/>
    <w:pPr>
      <w:spacing w:lineRule="auto" w:line="240" w:beforeAutospacing="1" w:afterAutospacing="1"/>
    </w:pPr>
    <w:rPr>
      <w:rFonts w:ascii="Times New Roman" w:hAnsi="Times New Roman" w:eastAsia="Times New Roman" w:cs="Times New Roman"/>
      <w:sz w:val="24"/>
      <w:szCs w:val="24"/>
    </w:rPr>
  </w:style>
  <w:style w:type="paragraph" w:styleId="Paralist1" w:customStyle="1">
    <w:name w:val="paralist1"/>
    <w:basedOn w:val="Normal"/>
    <w:qFormat/>
    <w:rsid w:val="000029a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029a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029a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29a7"/>
    <w:pPr>
      <w:tabs>
        <w:tab w:val="clear" w:pos="720"/>
        <w:tab w:val="center" w:pos="4680" w:leader="none"/>
        <w:tab w:val="right" w:pos="9360" w:leader="none"/>
      </w:tabs>
      <w:spacing w:lineRule="auto" w:line="240" w:before="0" w:after="0"/>
    </w:pPr>
    <w:rPr/>
  </w:style>
  <w:style w:type="paragraph" w:styleId="Paralist2" w:customStyle="1">
    <w:name w:val="paralist2"/>
    <w:basedOn w:val="Normal"/>
    <w:qFormat/>
    <w:rsid w:val="00da55a7"/>
    <w:pPr>
      <w:spacing w:lineRule="auto" w:line="240" w:beforeAutospacing="1" w:afterAutospacing="1"/>
    </w:pPr>
    <w:rPr>
      <w:rFonts w:ascii="Times New Roman" w:hAnsi="Times New Roman" w:eastAsia="Times New Roman" w:cs="Times New Roman"/>
      <w:sz w:val="24"/>
      <w:szCs w:val="24"/>
    </w:rPr>
  </w:style>
  <w:style w:type="paragraph" w:styleId="Paraindent1" w:customStyle="1">
    <w:name w:val="paraindent1"/>
    <w:basedOn w:val="Normal"/>
    <w:qFormat/>
    <w:rsid w:val="00d320de"/>
    <w:pPr>
      <w:spacing w:lineRule="auto" w:line="240" w:beforeAutospacing="1" w:afterAutospacing="1"/>
    </w:pPr>
    <w:rPr>
      <w:rFonts w:ascii="Times New Roman" w:hAnsi="Times New Roman" w:eastAsia="Times New Roman" w:cs="Times New Roman"/>
      <w:sz w:val="24"/>
      <w:szCs w:val="24"/>
    </w:rPr>
  </w:style>
  <w:style w:type="paragraph" w:styleId="BodyLarge" w:customStyle="1">
    <w:name w:val="Body (Large)"/>
    <w:basedOn w:val="Normal"/>
    <w:link w:val="BodyLargeChar"/>
    <w:qFormat/>
    <w:rsid w:val="001e7d8d"/>
    <w:pPr>
      <w:spacing w:lineRule="exact" w:line="320" w:before="0" w:after="0"/>
    </w:pPr>
    <w:rPr>
      <w:rFonts w:ascii="Helvetica" w:hAnsi="Helvetica" w:eastAsia="Times New Roman" w:cs="Times New Roman"/>
      <w:b/>
      <w:sz w:val="28"/>
      <w:szCs w:val="20"/>
    </w:rPr>
  </w:style>
  <w:style w:type="paragraph" w:styleId="Question" w:customStyle="1">
    <w:name w:val="question"/>
    <w:basedOn w:val="Normal"/>
    <w:qFormat/>
    <w:rsid w:val="00e264ea"/>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53f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1638ADDAA8AB4A8EE763358FE405D9" ma:contentTypeVersion="13" ma:contentTypeDescription="Create a new document." ma:contentTypeScope="" ma:versionID="b519d6325727218272a4daaf96ee4fff">
  <xsd:schema xmlns:xsd="http://www.w3.org/2001/XMLSchema" xmlns:xs="http://www.w3.org/2001/XMLSchema" xmlns:p="http://schemas.microsoft.com/office/2006/metadata/properties" xmlns:ns3="6c379782-2b44-4db3-a8e2-f4a6042ecd09" xmlns:ns4="aa5d5232-5bbf-49f6-886f-bd7c88b57238" targetNamespace="http://schemas.microsoft.com/office/2006/metadata/properties" ma:root="true" ma:fieldsID="32c57e69bdcf530921f82821ac4e114d" ns3:_="" ns4:_="">
    <xsd:import namespace="6c379782-2b44-4db3-a8e2-f4a6042ecd09"/>
    <xsd:import namespace="aa5d5232-5bbf-49f6-886f-bd7c88b572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79782-2b44-4db3-a8e2-f4a6042ecd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5d5232-5bbf-49f6-886f-bd7c88b5723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429E-70B8-4476-8239-19E8BB925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79782-2b44-4db3-a8e2-f4a6042ecd09"/>
    <ds:schemaRef ds:uri="aa5d5232-5bbf-49f6-886f-bd7c88b57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3B98A1-2412-40D4-BAF6-BE063726EFB0}">
  <ds:schemaRefs>
    <ds:schemaRef ds:uri="http://schemas.microsoft.com/sharepoint/v3/contenttype/forms"/>
  </ds:schemaRefs>
</ds:datastoreItem>
</file>

<file path=customXml/itemProps3.xml><?xml version="1.0" encoding="utf-8"?>
<ds:datastoreItem xmlns:ds="http://schemas.openxmlformats.org/officeDocument/2006/customXml" ds:itemID="{B725F3FE-A8F4-4A40-B7DE-99016856CF29}">
  <ds:schemaRefs>
    <ds:schemaRef ds:uri="http://schemas.microsoft.com/office/2006/documentManagement/types"/>
    <ds:schemaRef ds:uri="http://schemas.microsoft.com/office/infopath/2007/PartnerControls"/>
    <ds:schemaRef ds:uri="6c379782-2b44-4db3-a8e2-f4a6042ecd09"/>
    <ds:schemaRef ds:uri="http://purl.org/dc/elements/1.1/"/>
    <ds:schemaRef ds:uri="http://schemas.microsoft.com/office/2006/metadata/properties"/>
    <ds:schemaRef ds:uri="http://purl.org/dc/terms/"/>
    <ds:schemaRef ds:uri="aa5d5232-5bbf-49f6-886f-bd7c88b57238"/>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CBCD697-6D28-46BE-87CC-C41D4D6E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LibreOffice/7.0.3.1$Linux_X86_64 LibreOffice_project/00$Build-1</Application>
  <Pages>5</Pages>
  <Words>977</Words>
  <Characters>5677</Characters>
  <CharactersWithSpaces>6436</CharactersWithSpaces>
  <Paragraphs>281</Paragraphs>
  <Company>COB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2020-07-24T22:37:00Z</dcterms:created>
  <dc:creator>Young,Falene</dc:creator>
  <dc:description/>
  <dc:language>en-US</dc:language>
  <cp:lastModifiedBy/>
  <dcterms:modified xsi:type="dcterms:W3CDTF">2021-01-27T19:21:55Z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COB</vt:lpwstr>
  </property>
  <property fmtid="{D5CDD505-2E9C-101B-9397-08002B2CF9AE}" pid="4" name="ContentTypeId">
    <vt:lpwstr>0x010100FB1638ADDAA8AB4A8EE763358FE405D9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