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F3A4D"/>
          <w:sz w:val="56"/>
          <w:szCs w:val="56"/>
        </w:rPr>
        <w:t xml:space="preserve">TRI VANANDA</w:t>
      </w:r>
    </w:p>
    <w:p>
      <w:pPr>
        <w:spacing w:after="40"/>
        <w:jc w:val="center"/>
      </w:pPr>
      <w:r>
        <w:rPr>
          <w:color w:val="2E7D74"/>
          <w:sz w:val="22"/>
          <w:szCs w:val="22"/>
        </w:rPr>
        <w:t xml:space="preserve">Multigenerational Well-Living Community  •  Phuket, Thailand</w:t>
      </w:r>
    </w:p>
    <w:p>
      <w:pPr>
        <w:spacing w:after="0" w:before="600"/>
        <w:jc w:val="center"/>
      </w:pPr>
      <w:r>
        <w:rPr>
          <w:b/>
          <w:bCs/>
          <w:color w:val="9C7C38"/>
          <w:sz w:val="32"/>
          <w:szCs w:val="32"/>
        </w:rPr>
        <w:t xml:space="preserve">U.S. / GLOBAL PR AGENCY PROPOSALS</w:t>
      </w:r>
    </w:p>
    <w:p>
      <w:pPr>
        <w:spacing w:after="600"/>
        <w:jc w:val="center"/>
      </w:pPr>
      <w:r>
        <w:rPr>
          <w:color w:val="444444"/>
          <w:sz w:val="26"/>
          <w:szCs w:val="26"/>
        </w:rPr>
        <w:t xml:space="preserve">Full Content Summary of Three Submissions</w:t>
      </w:r>
    </w:p>
    <w:p>
      <w:pPr>
        <w:spacing w:before="400"/>
        <w:jc w:val="center"/>
      </w:pPr>
      <w:r>
        <w:rPr>
          <w:b/>
          <w:bCs/>
          <w:color w:val="1F3A4D"/>
          <w:sz w:val="22"/>
          <w:szCs w:val="22"/>
        </w:rPr>
        <w:t xml:space="preserve">Victoria King Public Relations  •  J/PR  •  Relevance International</w:t>
      </w:r>
    </w:p>
    <w:p>
      <w:pPr>
        <w:spacing w:before="1200"/>
        <w:jc w:val="center"/>
      </w:pPr>
      <w:r>
        <w:rPr>
          <w:color w:val="444444"/>
          <w:sz w:val="22"/>
          <w:szCs w:val="22"/>
        </w:rPr>
        <w:t xml:space="preserve">Prepared for the Board of Directors</w:t>
      </w:r>
    </w:p>
    <w:p>
      <w:pPr>
        <w:spacing w:after="0"/>
        <w:jc w:val="center"/>
      </w:pPr>
      <w:r>
        <w:rPr>
          <w:color w:val="444444"/>
          <w:sz w:val="22"/>
          <w:szCs w:val="22"/>
        </w:rPr>
        <w:t xml:space="preserve">June 2026</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Purpose of This Document</w:t>
      </w:r>
    </w:p>
    <w:p>
      <w:pPr>
        <w:spacing w:after="120" w:line="276"/>
      </w:pPr>
      <w:r>
        <w:t xml:space="preserve">This document summarizes, in full, the three public relations proposals submitted to Tri Vananda for the introduction of the community and its residential villas to U.S. and global high-net-worth (HNW) audiences. It captures each agency’s positioning, scope of services, proposed team, relevant case studies, fees, and notable strengths and considerations.</w:t>
      </w:r>
    </w:p>
    <w:p>
      <w:pPr>
        <w:spacing w:after="120" w:line="276"/>
      </w:pPr>
      <w:r>
        <w:t xml:space="preserve">It is intended as a complete reference companion to the board presentation. No agency is recommended here; the comparison is presented on the facts as submitted so the board can weigh each option against Tri Vananda’s priorities — including the ability to support multiple workstreams across 2026 and 2027, and flexibility of engagement.</w:t>
      </w:r>
    </w:p>
    <w:p>
      <w:pPr>
        <w:spacing w:after="120" w:line="276"/>
      </w:pPr>
      <w:r>
        <w:t xml:space="preserve">The three submissions are: </w:t>
      </w:r>
      <w:r>
        <w:rPr>
          <w:b/>
          <w:bCs/>
        </w:rPr>
        <w:t xml:space="preserve">Victoria King Public Relations (VKPR)</w:t>
      </w:r>
      <w:r>
        <w:t xml:space="preserve">, a boutique Los Angeles–based luxury hospitality and residential specialist; </w:t>
      </w:r>
      <w:r>
        <w:rPr>
          <w:b/>
          <w:bCs/>
        </w:rPr>
        <w:t xml:space="preserve">J/PR</w:t>
      </w:r>
      <w:r>
        <w:t xml:space="preserve">, a global, award-winning luxury travel, lifestyle and real estate agency; and </w:t>
      </w:r>
      <w:r>
        <w:rPr>
          <w:b/>
          <w:bCs/>
        </w:rPr>
        <w:t xml:space="preserve">Relevance International (RI)</w:t>
      </w:r>
      <w:r>
        <w:t xml:space="preserve">, a full-service global communications and marketing agency specializing in real estate and branded residences.</w:t>
      </w:r>
    </w:p>
    <w:p>
      <w:pPr>
        <w:pStyle w:val="Heading2"/>
      </w:pPr>
      <w:r>
        <w:t xml:space="preserve">Project Context (as understood across the three proposals)</w:t>
      </w:r>
    </w:p>
    <w:p>
      <w:pPr>
        <w:pStyle w:val="ListParagraph"/>
        <w:numPr>
          <w:ilvl w:val="0"/>
          <w:numId w:val="2"/>
        </w:numPr>
        <w:spacing w:after="60" w:line="264"/>
      </w:pPr>
      <w:r>
        <w:t xml:space="preserve">Tri Vananda is a multigenerational “well-living” community in Phuket, anchored by luxury residential villas (cited as a limited, exclusive collection — VKPR notes 2–4 bedroom villas from approx. USD $2.1M; RI references an exclusive 40 villas).</w:t>
      </w:r>
    </w:p>
    <w:p>
      <w:pPr>
        <w:pStyle w:val="ListParagraph"/>
        <w:numPr>
          <w:ilvl w:val="0"/>
          <w:numId w:val="2"/>
        </w:numPr>
        <w:spacing w:after="60" w:line="264"/>
      </w:pPr>
      <w:r>
        <w:t xml:space="preserve">Wellness ecosystem includes the Health Resort by Clinique La Prairie (opening late 2026), PATAMA Wellness, The Farm &amp; JAMPA, the Community House &amp; Wetlands, and the Tri Vananda Farm House (2027).</w:t>
      </w:r>
    </w:p>
    <w:p>
      <w:pPr>
        <w:pStyle w:val="ListParagraph"/>
        <w:numPr>
          <w:ilvl w:val="0"/>
          <w:numId w:val="2"/>
        </w:numPr>
        <w:spacing w:after="60" w:line="264"/>
      </w:pPr>
      <w:r>
        <w:t xml:space="preserve">Existing Montara Hospitality Group / Trisara relationship in Phuket is a recurring reference point — both VKPR and J/PR currently represent Trisara.</w:t>
      </w:r>
    </w:p>
    <w:p>
      <w:pPr>
        <w:pStyle w:val="ListParagraph"/>
        <w:numPr>
          <w:ilvl w:val="0"/>
          <w:numId w:val="2"/>
        </w:numPr>
        <w:spacing w:after="60" w:line="264"/>
      </w:pPr>
      <w:r>
        <w:t xml:space="preserve">Shared communications challenge: translating a complex, future-forward, multi-part offering into a clear proposition that drives qualified buyer interest and villa sales among global HNW/UHNW audiences.</w:t>
      </w:r>
    </w:p>
    <w:p>
      <w:r>
        <w:br w:type="page"/>
      </w:r>
    </w:p>
    <w:p>
      <w:pPr>
        <w:pStyle w:val="Heading1"/>
      </w:pPr>
      <w:r>
        <w:t xml:space="preserve">At-a-Glance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0"/>
        <w:gridCol w:w="2440"/>
        <w:gridCol w:w="2440"/>
        <w:gridCol w:w="2440"/>
      </w:tblGrid>
      <w:tr>
        <w:trPr>
          <w:tblHeader/>
        </w:trPr>
        <w:tc>
          <w:tcPr>
            <w:tcW w:type="dxa" w:w="2040"/>
            <w:tcBorders>
              <w:top w:val="single" w:color="CCCCCC" w:sz="1"/>
              <w:left w:val="single" w:color="CCCCCC" w:sz="1"/>
              <w:bottom w:val="single" w:color="CCCCCC" w:sz="1"/>
              <w:right w:val="single" w:color="CCCCCC" w:sz="1"/>
            </w:tcBorders>
            <w:shd w:fill="1F3A4D" w:val="clear"/>
            <w:tcMar>
              <w:top w:type="dxa" w:w="80"/>
              <w:left w:type="dxa" w:w="120"/>
              <w:bottom w:type="dxa" w:w="80"/>
              <w:right w:type="dxa" w:w="120"/>
            </w:tcMar>
            <w:vAlign w:val="center"/>
          </w:tcPr>
          <w:p>
            <w:pPr>
              <w:jc w:val="left"/>
            </w:pPr>
            <w:r>
              <w:rPr>
                <w:b/>
                <w:bCs/>
                <w:color w:val="FFFFFF"/>
                <w:sz w:val="19"/>
                <w:szCs w:val="19"/>
              </w:rPr>
              <w:t xml:space="preserve"/>
            </w:r>
          </w:p>
        </w:tc>
        <w:tc>
          <w:tcPr>
            <w:tcW w:type="dxa" w:w="2440"/>
            <w:tcBorders>
              <w:top w:val="single" w:color="CCCCCC" w:sz="1"/>
              <w:left w:val="single" w:color="CCCCCC" w:sz="1"/>
              <w:bottom w:val="single" w:color="CCCCCC" w:sz="1"/>
              <w:right w:val="single" w:color="CCCCCC" w:sz="1"/>
            </w:tcBorders>
            <w:shd w:fill="1F3A4D" w:val="clear"/>
            <w:tcMar>
              <w:top w:type="dxa" w:w="80"/>
              <w:left w:type="dxa" w:w="120"/>
              <w:bottom w:type="dxa" w:w="80"/>
              <w:right w:type="dxa" w:w="120"/>
            </w:tcMar>
            <w:vAlign w:val="center"/>
          </w:tcPr>
          <w:p>
            <w:pPr>
              <w:jc w:val="left"/>
            </w:pPr>
            <w:r>
              <w:rPr>
                <w:b/>
                <w:bCs/>
                <w:color w:val="FFFFFF"/>
                <w:sz w:val="19"/>
                <w:szCs w:val="19"/>
              </w:rPr>
              <w:t xml:space="preserve">Victoria King PR (VKPR)</w:t>
            </w:r>
          </w:p>
        </w:tc>
        <w:tc>
          <w:tcPr>
            <w:tcW w:type="dxa" w:w="2440"/>
            <w:tcBorders>
              <w:top w:val="single" w:color="CCCCCC" w:sz="1"/>
              <w:left w:val="single" w:color="CCCCCC" w:sz="1"/>
              <w:bottom w:val="single" w:color="CCCCCC" w:sz="1"/>
              <w:right w:val="single" w:color="CCCCCC" w:sz="1"/>
            </w:tcBorders>
            <w:shd w:fill="1F3A4D" w:val="clear"/>
            <w:tcMar>
              <w:top w:type="dxa" w:w="80"/>
              <w:left w:type="dxa" w:w="120"/>
              <w:bottom w:type="dxa" w:w="80"/>
              <w:right w:type="dxa" w:w="120"/>
            </w:tcMar>
            <w:vAlign w:val="center"/>
          </w:tcPr>
          <w:p>
            <w:pPr>
              <w:jc w:val="left"/>
            </w:pPr>
            <w:r>
              <w:rPr>
                <w:b/>
                <w:bCs/>
                <w:color w:val="FFFFFF"/>
                <w:sz w:val="19"/>
                <w:szCs w:val="19"/>
              </w:rPr>
              <w:t xml:space="preserve">J/PR</w:t>
            </w:r>
          </w:p>
        </w:tc>
        <w:tc>
          <w:tcPr>
            <w:tcW w:type="dxa" w:w="2440"/>
            <w:tcBorders>
              <w:top w:val="single" w:color="CCCCCC" w:sz="1"/>
              <w:left w:val="single" w:color="CCCCCC" w:sz="1"/>
              <w:bottom w:val="single" w:color="CCCCCC" w:sz="1"/>
              <w:right w:val="single" w:color="CCCCCC" w:sz="1"/>
            </w:tcBorders>
            <w:shd w:fill="1F3A4D" w:val="clear"/>
            <w:tcMar>
              <w:top w:type="dxa" w:w="80"/>
              <w:left w:type="dxa" w:w="120"/>
              <w:bottom w:type="dxa" w:w="80"/>
              <w:right w:type="dxa" w:w="120"/>
            </w:tcMar>
            <w:vAlign w:val="center"/>
          </w:tcPr>
          <w:p>
            <w:pPr>
              <w:jc w:val="left"/>
            </w:pPr>
            <w:r>
              <w:rPr>
                <w:b/>
                <w:bCs/>
                <w:color w:val="FFFFFF"/>
                <w:sz w:val="19"/>
                <w:szCs w:val="19"/>
              </w:rPr>
              <w:t xml:space="preserve">Relevance International (RI)</w:t>
            </w:r>
          </w:p>
        </w:tc>
      </w:tr>
      <w:tr>
        <w:tc>
          <w:tcPr>
            <w:tcW w:type="dxa" w:w="2040"/>
            <w:tcBorders>
              <w:top w:val="single" w:color="CCCCCC" w:sz="1"/>
              <w:left w:val="single" w:color="CCCCCC" w:sz="1"/>
              <w:bottom w:val="single" w:color="CCCCCC" w:sz="1"/>
              <w:right w:val="single" w:color="CCCCCC" w:sz="1"/>
            </w:tcBorders>
            <w:shd w:fill="EEF3F2" w:val="clear"/>
            <w:tcMar>
              <w:top w:type="dxa" w:w="80"/>
              <w:left w:type="dxa" w:w="120"/>
              <w:bottom w:type="dxa" w:w="80"/>
              <w:right w:type="dxa" w:w="120"/>
            </w:tcMar>
            <w:vAlign w:val="center"/>
          </w:tcPr>
          <w:p>
            <w:pPr>
              <w:jc w:val="left"/>
            </w:pPr>
            <w:r>
              <w:rPr>
                <w:b/>
                <w:bCs/>
                <w:color w:val="000000"/>
                <w:sz w:val="19"/>
                <w:szCs w:val="19"/>
              </w:rPr>
              <w:t xml:space="preserve">Monthly fee</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2E7D74"/>
                <w:sz w:val="19"/>
                <w:szCs w:val="19"/>
              </w:rPr>
              <w:t xml:space="preserve">USD $5,500</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2E7D74"/>
                <w:sz w:val="19"/>
                <w:szCs w:val="19"/>
              </w:rPr>
              <w:t xml:space="preserve">USD $6,860</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2E7D74"/>
                <w:sz w:val="19"/>
                <w:szCs w:val="19"/>
              </w:rPr>
              <w:t xml:space="preserve">USD $8,000</w:t>
            </w:r>
          </w:p>
        </w:tc>
      </w:tr>
      <w:tr>
        <w:tc>
          <w:tcPr>
            <w:tcW w:type="dxa" w:w="2040"/>
            <w:tcBorders>
              <w:top w:val="single" w:color="CCCCCC" w:sz="1"/>
              <w:left w:val="single" w:color="CCCCCC" w:sz="1"/>
              <w:bottom w:val="single" w:color="CCCCCC" w:sz="1"/>
              <w:right w:val="single" w:color="CCCCCC" w:sz="1"/>
            </w:tcBorders>
            <w:shd w:fill="EEF3F2" w:val="clear"/>
            <w:tcMar>
              <w:top w:type="dxa" w:w="80"/>
              <w:left w:type="dxa" w:w="120"/>
              <w:bottom w:type="dxa" w:w="80"/>
              <w:right w:type="dxa" w:w="120"/>
            </w:tcMar>
            <w:vAlign w:val="center"/>
          </w:tcPr>
          <w:p>
            <w:pPr>
              <w:jc w:val="left"/>
            </w:pPr>
            <w:r>
              <w:rPr>
                <w:b/>
                <w:bCs/>
                <w:color w:val="000000"/>
                <w:sz w:val="19"/>
                <w:szCs w:val="19"/>
              </w:rPr>
              <w:t xml:space="preserve">Fee detail</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19"/>
                <w:szCs w:val="19"/>
              </w:rPr>
              <w:t xml:space="preserve">All-inclusive retainer; ~$400/yr database &amp; clip-monitoring; OOP at cost</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19"/>
                <w:szCs w:val="19"/>
              </w:rPr>
              <w:t xml:space="preserve">$6,500 retainer + $195 admin/tech (3%) + $165 media monitoring</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19"/>
                <w:szCs w:val="19"/>
              </w:rPr>
              <w:t xml:space="preserve">$8,000 PR retainer; scope tailorable</w:t>
            </w:r>
          </w:p>
        </w:tc>
      </w:tr>
      <w:tr>
        <w:tc>
          <w:tcPr>
            <w:tcW w:type="dxa" w:w="2040"/>
            <w:tcBorders>
              <w:top w:val="single" w:color="CCCCCC" w:sz="1"/>
              <w:left w:val="single" w:color="CCCCCC" w:sz="1"/>
              <w:bottom w:val="single" w:color="CCCCCC" w:sz="1"/>
              <w:right w:val="single" w:color="CCCCCC" w:sz="1"/>
            </w:tcBorders>
            <w:shd w:fill="EEF3F2" w:val="clear"/>
            <w:tcMar>
              <w:top w:type="dxa" w:w="80"/>
              <w:left w:type="dxa" w:w="120"/>
              <w:bottom w:type="dxa" w:w="80"/>
              <w:right w:type="dxa" w:w="120"/>
            </w:tcMar>
            <w:vAlign w:val="center"/>
          </w:tcPr>
          <w:p>
            <w:pPr>
              <w:jc w:val="left"/>
            </w:pPr>
            <w:r>
              <w:rPr>
                <w:b/>
                <w:bCs/>
                <w:color w:val="000000"/>
                <w:sz w:val="19"/>
                <w:szCs w:val="19"/>
              </w:rPr>
              <w:t xml:space="preserve">Term</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19"/>
                <w:szCs w:val="19"/>
              </w:rPr>
              <w:t xml:space="preserve">1-year minimum</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19"/>
                <w:szCs w:val="19"/>
              </w:rPr>
              <w:t xml:space="preserve">Ongoing (retainer)</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19"/>
                <w:szCs w:val="19"/>
              </w:rPr>
              <w:t xml:space="preserve">1-year minimum</w:t>
            </w:r>
          </w:p>
        </w:tc>
      </w:tr>
      <w:tr>
        <w:tc>
          <w:tcPr>
            <w:tcW w:type="dxa" w:w="2040"/>
            <w:tcBorders>
              <w:top w:val="single" w:color="CCCCCC" w:sz="1"/>
              <w:left w:val="single" w:color="CCCCCC" w:sz="1"/>
              <w:bottom w:val="single" w:color="CCCCCC" w:sz="1"/>
              <w:right w:val="single" w:color="CCCCCC" w:sz="1"/>
            </w:tcBorders>
            <w:shd w:fill="EEF3F2" w:val="clear"/>
            <w:tcMar>
              <w:top w:type="dxa" w:w="80"/>
              <w:left w:type="dxa" w:w="120"/>
              <w:bottom w:type="dxa" w:w="80"/>
              <w:right w:type="dxa" w:w="120"/>
            </w:tcMar>
            <w:vAlign w:val="center"/>
          </w:tcPr>
          <w:p>
            <w:pPr>
              <w:jc w:val="left"/>
            </w:pPr>
            <w:r>
              <w:rPr>
                <w:b/>
                <w:bCs/>
                <w:color w:val="000000"/>
                <w:sz w:val="19"/>
                <w:szCs w:val="19"/>
              </w:rPr>
              <w:t xml:space="preserve">Model</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19"/>
                <w:szCs w:val="19"/>
              </w:rPr>
              <w:t xml:space="preserve">Boutique, PR-led</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19"/>
                <w:szCs w:val="19"/>
              </w:rPr>
              <w:t xml:space="preserve">Boutique feel, big-agency capability; PR + social + influencer + content</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19"/>
                <w:szCs w:val="19"/>
              </w:rPr>
              <w:t xml:space="preserve">Full-service 360° (PR, social, paid, SEO/AI, branding, experiential, advertising, CRM)</w:t>
            </w:r>
          </w:p>
        </w:tc>
      </w:tr>
      <w:tr>
        <w:tc>
          <w:tcPr>
            <w:tcW w:type="dxa" w:w="2040"/>
            <w:tcBorders>
              <w:top w:val="single" w:color="CCCCCC" w:sz="1"/>
              <w:left w:val="single" w:color="CCCCCC" w:sz="1"/>
              <w:bottom w:val="single" w:color="CCCCCC" w:sz="1"/>
              <w:right w:val="single" w:color="CCCCCC" w:sz="1"/>
            </w:tcBorders>
            <w:shd w:fill="EEF3F2" w:val="clear"/>
            <w:tcMar>
              <w:top w:type="dxa" w:w="80"/>
              <w:left w:type="dxa" w:w="120"/>
              <w:bottom w:type="dxa" w:w="80"/>
              <w:right w:type="dxa" w:w="120"/>
            </w:tcMar>
            <w:vAlign w:val="center"/>
          </w:tcPr>
          <w:p>
            <w:pPr>
              <w:jc w:val="left"/>
            </w:pPr>
            <w:r>
              <w:rPr>
                <w:b/>
                <w:bCs/>
                <w:color w:val="000000"/>
                <w:sz w:val="19"/>
                <w:szCs w:val="19"/>
              </w:rPr>
              <w:t xml:space="preserve">Geographic focus</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19"/>
                <w:szCs w:val="19"/>
              </w:rPr>
              <w:t xml:space="preserve">North America (US + Canada)</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19"/>
                <w:szCs w:val="19"/>
              </w:rPr>
              <w:t xml:space="preserve">U.S.-led, global reach</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19"/>
                <w:szCs w:val="19"/>
              </w:rPr>
              <w:t xml:space="preserve">Global (NY, London, LA, Dubai + affiliate network)</w:t>
            </w:r>
          </w:p>
        </w:tc>
      </w:tr>
      <w:tr>
        <w:tc>
          <w:tcPr>
            <w:tcW w:type="dxa" w:w="2040"/>
            <w:tcBorders>
              <w:top w:val="single" w:color="CCCCCC" w:sz="1"/>
              <w:left w:val="single" w:color="CCCCCC" w:sz="1"/>
              <w:bottom w:val="single" w:color="CCCCCC" w:sz="1"/>
              <w:right w:val="single" w:color="CCCCCC" w:sz="1"/>
            </w:tcBorders>
            <w:shd w:fill="EEF3F2" w:val="clear"/>
            <w:tcMar>
              <w:top w:type="dxa" w:w="80"/>
              <w:left w:type="dxa" w:w="120"/>
              <w:bottom w:type="dxa" w:w="80"/>
              <w:right w:type="dxa" w:w="120"/>
            </w:tcMar>
            <w:vAlign w:val="center"/>
          </w:tcPr>
          <w:p>
            <w:pPr>
              <w:jc w:val="left"/>
            </w:pPr>
            <w:r>
              <w:rPr>
                <w:b/>
                <w:bCs/>
                <w:color w:val="000000"/>
                <w:sz w:val="19"/>
                <w:szCs w:val="19"/>
              </w:rPr>
              <w:t xml:space="preserve">Offices</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19"/>
                <w:szCs w:val="19"/>
              </w:rPr>
              <w:t xml:space="preserve">LA (HQ), NY, Denver, Miami</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19"/>
                <w:szCs w:val="19"/>
              </w:rPr>
              <w:t xml:space="preserve">San Diego, LA, NY, SF, Denver, Scottsdale, Nashville, Atlanta, Toronto, London</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19"/>
                <w:szCs w:val="19"/>
              </w:rPr>
              <w:t xml:space="preserve">New York, London, LA, Dubai + global affiliates</w:t>
            </w:r>
          </w:p>
        </w:tc>
      </w:tr>
      <w:tr>
        <w:tc>
          <w:tcPr>
            <w:tcW w:type="dxa" w:w="2040"/>
            <w:tcBorders>
              <w:top w:val="single" w:color="CCCCCC" w:sz="1"/>
              <w:left w:val="single" w:color="CCCCCC" w:sz="1"/>
              <w:bottom w:val="single" w:color="CCCCCC" w:sz="1"/>
              <w:right w:val="single" w:color="CCCCCC" w:sz="1"/>
            </w:tcBorders>
            <w:shd w:fill="EEF3F2" w:val="clear"/>
            <w:tcMar>
              <w:top w:type="dxa" w:w="80"/>
              <w:left w:type="dxa" w:w="120"/>
              <w:bottom w:type="dxa" w:w="80"/>
              <w:right w:type="dxa" w:w="120"/>
            </w:tcMar>
            <w:vAlign w:val="center"/>
          </w:tcPr>
          <w:p>
            <w:pPr>
              <w:jc w:val="left"/>
            </w:pPr>
            <w:r>
              <w:rPr>
                <w:b/>
                <w:bCs/>
                <w:color w:val="000000"/>
                <w:sz w:val="19"/>
                <w:szCs w:val="19"/>
              </w:rPr>
              <w:t xml:space="preserve">Existing Trisara / Montara link</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9C7C38"/>
                <w:sz w:val="19"/>
                <w:szCs w:val="19"/>
              </w:rPr>
              <w:t xml:space="preserve">Yes — represents Trisara; deep Montara familiarity</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19"/>
                <w:szCs w:val="19"/>
              </w:rPr>
              <w:t xml:space="preserve">Yes — Trisara in wellness portfolio</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19"/>
                <w:szCs w:val="19"/>
              </w:rPr>
              <w:t xml:space="preserve">No prior relationship cited</w:t>
            </w:r>
          </w:p>
        </w:tc>
      </w:tr>
      <w:tr>
        <w:tc>
          <w:tcPr>
            <w:tcW w:type="dxa" w:w="2040"/>
            <w:tcBorders>
              <w:top w:val="single" w:color="CCCCCC" w:sz="1"/>
              <w:left w:val="single" w:color="CCCCCC" w:sz="1"/>
              <w:bottom w:val="single" w:color="CCCCCC" w:sz="1"/>
              <w:right w:val="single" w:color="CCCCCC" w:sz="1"/>
            </w:tcBorders>
            <w:shd w:fill="EEF3F2" w:val="clear"/>
            <w:tcMar>
              <w:top w:type="dxa" w:w="80"/>
              <w:left w:type="dxa" w:w="120"/>
              <w:bottom w:type="dxa" w:w="80"/>
              <w:right w:type="dxa" w:w="120"/>
            </w:tcMar>
            <w:vAlign w:val="center"/>
          </w:tcPr>
          <w:p>
            <w:pPr>
              <w:jc w:val="left"/>
            </w:pPr>
            <w:r>
              <w:rPr>
                <w:b/>
                <w:bCs/>
                <w:color w:val="000000"/>
                <w:sz w:val="19"/>
                <w:szCs w:val="19"/>
              </w:rPr>
              <w:t xml:space="preserve">Distinctive strength</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19"/>
                <w:szCs w:val="19"/>
              </w:rPr>
              <w:t xml:space="preserve">Relationship + value; regional U.S. penetration</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19"/>
                <w:szCs w:val="19"/>
              </w:rPr>
              <w:t xml:space="preserve">Wellness + influencer depth; modern AI/social measurement</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19"/>
                <w:szCs w:val="19"/>
              </w:rPr>
              <w:t xml:space="preserve">Breadth, big creative ideas, real-estate sellout track record, flexibility</w:t>
            </w:r>
          </w:p>
        </w:tc>
      </w:tr>
      <w:tr>
        <w:tc>
          <w:tcPr>
            <w:tcW w:type="dxa" w:w="2040"/>
            <w:tcBorders>
              <w:top w:val="single" w:color="CCCCCC" w:sz="1"/>
              <w:left w:val="single" w:color="CCCCCC" w:sz="1"/>
              <w:bottom w:val="single" w:color="CCCCCC" w:sz="1"/>
              <w:right w:val="single" w:color="CCCCCC" w:sz="1"/>
            </w:tcBorders>
            <w:shd w:fill="EEF3F2" w:val="clear"/>
            <w:tcMar>
              <w:top w:type="dxa" w:w="80"/>
              <w:left w:type="dxa" w:w="120"/>
              <w:bottom w:type="dxa" w:w="80"/>
              <w:right w:type="dxa" w:w="120"/>
            </w:tcMar>
            <w:vAlign w:val="center"/>
          </w:tcPr>
          <w:p>
            <w:pPr>
              <w:jc w:val="left"/>
            </w:pPr>
            <w:r>
              <w:rPr>
                <w:b/>
                <w:bCs/>
                <w:color w:val="000000"/>
                <w:sz w:val="19"/>
                <w:szCs w:val="19"/>
              </w:rPr>
              <w:t xml:space="preserve">Reporting</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19"/>
                <w:szCs w:val="19"/>
              </w:rPr>
              <w:t xml:space="preserve">Quarterly reports; clips as they appear; AVE</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19"/>
                <w:szCs w:val="19"/>
              </w:rPr>
              <w:t xml:space="preserve">Weekly + monthly; Meltwater + GenAI/LLM lens; Barcelona Principles</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19"/>
                <w:szCs w:val="19"/>
              </w:rPr>
              <w:t xml:space="preserve">Regular reporting; media bureau; KPIs &amp; strategy check-ins</w:t>
            </w:r>
          </w:p>
        </w:tc>
      </w:tr>
    </w:tbl>
    <w:p>
      <w:pPr>
        <w:spacing w:after="120" w:line="276"/>
      </w:pPr>
      <w:r>
        <w:rPr>
          <w:i/>
          <w:iCs/>
          <w:color w:val="666666"/>
          <w:sz w:val="18"/>
          <w:szCs w:val="18"/>
        </w:rPr>
        <w:t xml:space="preserve">Note: figures and claims above are reproduced from each agency’s submission. Fee structures differ in what is bundled; see each agency section for detail.</w:t>
      </w:r>
    </w:p>
    <w:p>
      <w:r>
        <w:br w:type="page"/>
      </w:r>
    </w:p>
    <w:p>
      <w:pPr>
        <w:pStyle w:val="Heading1"/>
      </w:pPr>
      <w:r>
        <w:t xml:space="preserve">1. Victoria King Public Relations (VKPR)</w:t>
      </w:r>
    </w:p>
    <w:p>
      <w:pPr>
        <w:spacing w:after="60"/>
      </w:pPr>
      <w:r>
        <w:rPr>
          <w:b/>
          <w:bCs/>
          <w:color w:val="1F3A4D"/>
        </w:rPr>
        <w:t xml:space="preserve">Submission: </w:t>
      </w:r>
      <w:r>
        <w:t xml:space="preserve">“Final Tri Vananda PR Proposal” (17 pages) — submitted June 18, 2026</w:t>
      </w:r>
    </w:p>
    <w:p>
      <w:pPr>
        <w:spacing w:after="60"/>
      </w:pPr>
      <w:r>
        <w:rPr>
          <w:b/>
          <w:bCs/>
          <w:color w:val="1F3A4D"/>
        </w:rPr>
        <w:t xml:space="preserve">HQ: </w:t>
      </w:r>
      <w:r>
        <w:t xml:space="preserve">Santa Monica, California; East Coast office in New York</w:t>
      </w:r>
    </w:p>
    <w:p>
      <w:pPr>
        <w:spacing w:after="60"/>
      </w:pPr>
      <w:r>
        <w:rPr>
          <w:b/>
          <w:bCs/>
          <w:color w:val="1F3A4D"/>
        </w:rPr>
        <w:t xml:space="preserve">Positioning: </w:t>
      </w:r>
      <w:r>
        <w:t xml:space="preserve">Boutique PR agency specializing in luxury hotels, resorts, residences, destination spas and private islands</w:t>
      </w:r>
    </w:p>
    <w:p>
      <w:pPr>
        <w:pStyle w:val="Heading2"/>
      </w:pPr>
      <w:r>
        <w:t xml:space="preserve">Overview &amp; Positioning</w:t>
      </w:r>
    </w:p>
    <w:p>
      <w:pPr>
        <w:spacing w:after="120" w:line="276"/>
      </w:pPr>
      <w:r>
        <w:t xml:space="preserve">VKPR positions itself as a boutique, hands-on, PR-led agency that works as an extension of the in-house team, offering greater flexibility, increased client attention and personal relationships with top editors. Victoria King personally supervises every account and brings 35+ years of luxury hospitality experience. The agency is headquartered in Los Angeles with satellite offices in Denver, New York and Miami, covering the North American market (including Canada).</w:t>
      </w:r>
    </w:p>
    <w:p>
      <w:pPr>
        <w:spacing w:after="120" w:line="276"/>
      </w:pPr>
      <w:r>
        <w:rPr>
          <w:b/>
          <w:bCs/>
          <w:color w:val="9C7C38"/>
        </w:rPr>
        <w:t xml:space="preserve">Key differentiator: </w:t>
      </w:r>
      <w:r>
        <w:t xml:space="preserve">VKPR currently represents Trisara and has spearheaded its North American PR. It knows Montara Hospitality, the brand DNA, and the media who have covered the group, and proposes leveraging that work where applicable while ensuring each property gets dedicated coverage.</w:t>
      </w:r>
    </w:p>
    <w:p>
      <w:pPr>
        <w:pStyle w:val="Heading2"/>
      </w:pPr>
      <w:r>
        <w:t xml:space="preserve">Campaign Objectives (as stated)</w:t>
      </w:r>
    </w:p>
    <w:p>
      <w:pPr>
        <w:pStyle w:val="ListParagraph"/>
        <w:numPr>
          <w:ilvl w:val="0"/>
          <w:numId w:val="2"/>
        </w:numPr>
        <w:spacing w:after="60" w:line="264"/>
      </w:pPr>
      <w:r>
        <w:t xml:space="preserve">Lead a comprehensive PR campaign introducing Tri Vananda to the North American market.</w:t>
      </w:r>
    </w:p>
    <w:p>
      <w:pPr>
        <w:pStyle w:val="ListParagraph"/>
        <w:numPr>
          <w:ilvl w:val="0"/>
          <w:numId w:val="2"/>
        </w:numPr>
        <w:spacing w:after="60" w:line="264"/>
      </w:pPr>
      <w:r>
        <w:t xml:space="preserve">Position Tri Vananda as the most desirable residential and hospitality address in Phuket.</w:t>
      </w:r>
    </w:p>
    <w:p>
      <w:pPr>
        <w:pStyle w:val="ListParagraph"/>
        <w:numPr>
          <w:ilvl w:val="0"/>
          <w:numId w:val="2"/>
        </w:numPr>
        <w:spacing w:after="60" w:line="264"/>
      </w:pPr>
      <w:r>
        <w:t xml:space="preserve">Generate media across real estate, lifestyle, travel, business and luxury design outlets to attract buyers and build credibility.</w:t>
      </w:r>
    </w:p>
    <w:p>
      <w:pPr>
        <w:pStyle w:val="ListParagraph"/>
        <w:numPr>
          <w:ilvl w:val="0"/>
          <w:numId w:val="2"/>
        </w:numPr>
        <w:spacing w:after="60" w:line="264"/>
      </w:pPr>
      <w:r>
        <w:t xml:space="preserve">Launch the Clinique La Prairie opening in coordination with CLP’s communications team; introduce PATAMA as the new wellness brand.</w:t>
      </w:r>
    </w:p>
    <w:p>
      <w:pPr>
        <w:pStyle w:val="ListParagraph"/>
        <w:numPr>
          <w:ilvl w:val="0"/>
          <w:numId w:val="2"/>
        </w:numPr>
        <w:spacing w:after="60" w:line="264"/>
      </w:pPr>
      <w:r>
        <w:t xml:space="preserve">Leverage ongoing Trisara work; build desirability with UHNW buyers; support premium pricing and category leadership; manage day-to-day press office.</w:t>
      </w:r>
    </w:p>
    <w:p>
      <w:pPr>
        <w:pStyle w:val="Heading2"/>
      </w:pPr>
      <w:r>
        <w:t xml:space="preserve">Scope &amp; Initiatives</w:t>
      </w:r>
    </w:p>
    <w:p>
      <w:pPr>
        <w:pStyle w:val="ListParagraph"/>
        <w:numPr>
          <w:ilvl w:val="0"/>
          <w:numId w:val="2"/>
        </w:numPr>
        <w:spacing w:after="60" w:line="264"/>
      </w:pPr>
      <w:r>
        <w:t xml:space="preserve">Announcement to VKPR media contacts; develop media materials (fact sheet, schematics, imagery).</w:t>
      </w:r>
    </w:p>
    <w:p>
      <w:pPr>
        <w:pStyle w:val="ListParagraph"/>
        <w:numPr>
          <w:ilvl w:val="0"/>
          <w:numId w:val="2"/>
        </w:numPr>
        <w:spacing w:after="60" w:line="264"/>
      </w:pPr>
      <w:r>
        <w:t xml:space="preserve">Build a highly targeted media list across luxury travel, real estate, private aviation, wealth management, banking, business and lifestyle (a large priority-outlet list with audience reach figures is included).</w:t>
      </w:r>
    </w:p>
    <w:p>
      <w:pPr>
        <w:pStyle w:val="ListParagraph"/>
        <w:numPr>
          <w:ilvl w:val="0"/>
          <w:numId w:val="2"/>
        </w:numPr>
        <w:spacing w:after="60" w:line="264"/>
      </w:pPr>
      <w:r>
        <w:t xml:space="preserve">Press releases and news pitching; roundups, front-of-book placements and executive interviews.</w:t>
      </w:r>
    </w:p>
    <w:p>
      <w:pPr>
        <w:pStyle w:val="ListParagraph"/>
        <w:numPr>
          <w:ilvl w:val="0"/>
          <w:numId w:val="2"/>
        </w:numPr>
        <w:spacing w:after="60" w:line="264"/>
      </w:pPr>
      <w:r>
        <w:t xml:space="preserve">Press visits / small press FAMs; strategic brand and influencer partnerships.</w:t>
      </w:r>
    </w:p>
    <w:p>
      <w:pPr>
        <w:pStyle w:val="ListParagraph"/>
        <w:numPr>
          <w:ilvl w:val="0"/>
          <w:numId w:val="2"/>
        </w:numPr>
        <w:spacing w:after="60" w:line="264"/>
      </w:pPr>
      <w:r>
        <w:t xml:space="preserve">U.S. media meetings / media missions (NY, Miami, LA; plus ILTM Cannes, LE Miami, Virtuoso trade shows); press-office liaison; awards and rankings submissions.</w:t>
      </w:r>
    </w:p>
    <w:p>
      <w:pPr>
        <w:pStyle w:val="Heading2"/>
      </w:pPr>
      <w:r>
        <w:t xml:space="preserve">Travel Trends Cited</w:t>
      </w:r>
    </w:p>
    <w:p>
      <w:pPr>
        <w:spacing w:after="120" w:line="276"/>
      </w:pPr>
      <w:r>
        <w:t xml:space="preserve">Longevity Living, Sustainable Design, Aging in Place, and Dual-Purpose Ownership — each framed as drivers of luxury real estate demand relevant to Tri Vananda’s story.</w:t>
      </w:r>
    </w:p>
    <w:p>
      <w:pPr>
        <w:pStyle w:val="Heading2"/>
      </w:pPr>
      <w:r>
        <w:t xml:space="preserve">Relevant Case Studies</w:t>
      </w:r>
    </w:p>
    <w:p>
      <w:pPr>
        <w:pStyle w:val="Heading3"/>
      </w:pPr>
      <w:r>
        <w:t xml:space="preserve">Chablé Hotels (Yucatán, Mexico) — client since 2015</w:t>
      </w:r>
    </w:p>
    <w:p>
      <w:pPr>
        <w:pStyle w:val="ListParagraph"/>
        <w:numPr>
          <w:ilvl w:val="0"/>
          <w:numId w:val="2"/>
        </w:numPr>
        <w:spacing w:after="60" w:line="264"/>
      </w:pPr>
      <w:r>
        <w:t xml:space="preserve">Luxury resort + residential launches. 2022 pre-sale announcement for Chablé Yucatán Residences generated 12.4M+ media impressions (Haute Residence, Real Estate Weekly, Hemispheres, etc.).</w:t>
      </w:r>
    </w:p>
    <w:p>
      <w:pPr>
        <w:pStyle w:val="ListParagraph"/>
        <w:numPr>
          <w:ilvl w:val="0"/>
          <w:numId w:val="2"/>
        </w:numPr>
        <w:spacing w:after="60" w:line="264"/>
      </w:pPr>
      <w:r>
        <w:t xml:space="preserve">By 2025, expanded to an integrated campaign across three residential developments; Chablé Yucatán named among World’s 50 Best Hotels (No. 16; Best Hotel in North America 2024).</w:t>
      </w:r>
    </w:p>
    <w:p>
      <w:pPr>
        <w:pStyle w:val="Heading3"/>
      </w:pPr>
      <w:r>
        <w:t xml:space="preserve">The Brando (Tetiaroa, French Polynesia) — client since 2016</w:t>
      </w:r>
    </w:p>
    <w:p>
      <w:pPr>
        <w:pStyle w:val="ListParagraph"/>
        <w:numPr>
          <w:ilvl w:val="0"/>
          <w:numId w:val="2"/>
        </w:numPr>
        <w:spacing w:after="60" w:line="264"/>
      </w:pPr>
      <w:r>
        <w:t xml:space="preserve">Sustainable luxury resort; VKPR led the 2019 launch of the Teremoana Residence (multi-bedroom beachfront villas for multigenerational travel).</w:t>
      </w:r>
    </w:p>
    <w:p>
      <w:pPr>
        <w:pStyle w:val="ListParagraph"/>
        <w:numPr>
          <w:ilvl w:val="0"/>
          <w:numId w:val="2"/>
        </w:numPr>
        <w:spacing w:after="60" w:line="264"/>
      </w:pPr>
      <w:r>
        <w:t xml:space="preserve">Consistent top-tier coverage (Vogue, CNT, Travel + Leisure, Robb Report) and major awards (World’s 50 Best, CNT Gold List).</w:t>
      </w:r>
    </w:p>
    <w:p>
      <w:pPr>
        <w:pStyle w:val="Heading3"/>
      </w:pPr>
      <w:r>
        <w:t xml:space="preserve">Armani Residences Masaryk (Mexico City) — client since 2026</w:t>
      </w:r>
    </w:p>
    <w:p>
      <w:pPr>
        <w:pStyle w:val="ListParagraph"/>
        <w:numPr>
          <w:ilvl w:val="0"/>
          <w:numId w:val="2"/>
        </w:numPr>
        <w:spacing w:after="60" w:line="264"/>
      </w:pPr>
      <w:r>
        <w:t xml:space="preserve">Ultra-luxury branded residential development; VKPR leads U.S. introduction, positioning, and thought leadership. Early coverage in The Agency Magazine, Haute Residences.</w:t>
      </w:r>
    </w:p>
    <w:p>
      <w:pPr>
        <w:pStyle w:val="Heading2"/>
      </w:pPr>
      <w:r>
        <w:t xml:space="preserve">Account Team</w:t>
      </w:r>
    </w:p>
    <w:p>
      <w:pPr>
        <w:pStyle w:val="ListParagraph"/>
        <w:numPr>
          <w:ilvl w:val="0"/>
          <w:numId w:val="2"/>
        </w:numPr>
        <w:spacing w:after="60" w:line="264"/>
      </w:pPr>
      <w:r>
        <w:t xml:space="preserve">Victoria King, President — personally oversees the account (35+ years).</w:t>
      </w:r>
    </w:p>
    <w:p>
      <w:pPr>
        <w:pStyle w:val="ListParagraph"/>
        <w:numPr>
          <w:ilvl w:val="0"/>
          <w:numId w:val="2"/>
        </w:numPr>
        <w:spacing w:after="60" w:line="264"/>
      </w:pPr>
      <w:r>
        <w:t xml:space="preserve">Erin Diard, Account Director (New York) — leads Chablé and Armani Residences accounts.</w:t>
      </w:r>
    </w:p>
    <w:p>
      <w:pPr>
        <w:pStyle w:val="ListParagraph"/>
        <w:numPr>
          <w:ilvl w:val="0"/>
          <w:numId w:val="2"/>
        </w:numPr>
        <w:spacing w:after="60" w:line="264"/>
      </w:pPr>
      <w:r>
        <w:t xml:space="preserve">Julia Kent, Senior Account Executive (California) — leads the Trisara account; has visited JAMPA and the farm.</w:t>
      </w:r>
    </w:p>
    <w:p>
      <w:pPr>
        <w:pStyle w:val="ListParagraph"/>
        <w:numPr>
          <w:ilvl w:val="0"/>
          <w:numId w:val="2"/>
        </w:numPr>
        <w:spacing w:after="60" w:line="264"/>
      </w:pPr>
      <w:r>
        <w:t xml:space="preserve">Karla Virgen, Account Coordinator; plus NY-based Account Executives as needed.</w:t>
      </w:r>
    </w:p>
    <w:p>
      <w:pPr>
        <w:pStyle w:val="Heading2"/>
      </w:pPr>
      <w:r>
        <w:t xml:space="preserve">Fees</w:t>
      </w:r>
    </w:p>
    <w:p>
      <w:pPr>
        <w:spacing w:after="60"/>
      </w:pPr>
      <w:r>
        <w:rPr>
          <w:b/>
          <w:bCs/>
          <w:color w:val="1F3A4D"/>
        </w:rPr>
        <w:t xml:space="preserve">Monthly retainer: </w:t>
      </w:r>
      <w:r>
        <w:t xml:space="preserve">USD $5,500 (all-inclusive of account work for the outlined brief)</w:t>
      </w:r>
    </w:p>
    <w:p>
      <w:pPr>
        <w:spacing w:after="60"/>
      </w:pPr>
      <w:r>
        <w:rPr>
          <w:b/>
          <w:bCs/>
          <w:color w:val="1F3A4D"/>
        </w:rPr>
        <w:t xml:space="preserve">Term: </w:t>
      </w:r>
      <w:r>
        <w:t xml:space="preserve">One-year minimum (extendable)</w:t>
      </w:r>
    </w:p>
    <w:p>
      <w:pPr>
        <w:spacing w:after="60"/>
      </w:pPr>
      <w:r>
        <w:rPr>
          <w:b/>
          <w:bCs/>
          <w:color w:val="1F3A4D"/>
        </w:rPr>
        <w:t xml:space="preserve">Expenses: </w:t>
      </w:r>
      <w:r>
        <w:t xml:space="preserve">Out-of-pocket billed at cost (no markup); ~$400/year for database &amp; clip-monitoring; media-mission travel/entertainment and press-preview flights/hotels budgeted separately</w:t>
      </w:r>
    </w:p>
    <w:p>
      <w:pPr>
        <w:spacing w:after="60"/>
      </w:pPr>
      <w:r>
        <w:rPr>
          <w:b/>
          <w:bCs/>
          <w:color w:val="1F3A4D"/>
        </w:rPr>
        <w:t xml:space="preserve">Reporting: </w:t>
      </w:r>
      <w:r>
        <w:t xml:space="preserve">Comprehensive quarterly report; clips sent as they appear; AVE where available</w:t>
      </w:r>
    </w:p>
    <w:p>
      <w:pPr>
        <w:pStyle w:val="Heading2"/>
      </w:pPr>
      <w:r>
        <w:t xml:space="preserve">Stated Strengths</w:t>
      </w:r>
    </w:p>
    <w:p>
      <w:pPr>
        <w:pStyle w:val="ListParagraph"/>
        <w:numPr>
          <w:ilvl w:val="0"/>
          <w:numId w:val="2"/>
        </w:numPr>
        <w:spacing w:after="60" w:line="264"/>
      </w:pPr>
      <w:r>
        <w:t xml:space="preserve">Existing Trisara/Montara relationship and brand knowledge.</w:t>
      </w:r>
    </w:p>
    <w:p>
      <w:pPr>
        <w:pStyle w:val="ListParagraph"/>
        <w:numPr>
          <w:ilvl w:val="0"/>
          <w:numId w:val="2"/>
        </w:numPr>
        <w:spacing w:after="60" w:line="264"/>
      </w:pPr>
      <w:r>
        <w:t xml:space="preserve">Penetration of smaller, affluent regional U.S. markets beyond standard real-estate pages.</w:t>
      </w:r>
    </w:p>
    <w:p>
      <w:pPr>
        <w:pStyle w:val="ListParagraph"/>
        <w:numPr>
          <w:ilvl w:val="0"/>
          <w:numId w:val="2"/>
        </w:numPr>
        <w:spacing w:after="60" w:line="264"/>
      </w:pPr>
      <w:r>
        <w:t xml:space="preserve">Boutique, hands-on, customized approach with senior attention; strong editor relationships; PR-to-sales orientation.</w:t>
      </w:r>
    </w:p>
    <w:p>
      <w:pPr>
        <w:pStyle w:val="Heading2"/>
      </w:pPr>
      <w:r>
        <w:t xml:space="preserve">Considerations</w:t>
      </w:r>
    </w:p>
    <w:p>
      <w:pPr>
        <w:pStyle w:val="ListParagraph"/>
        <w:numPr>
          <w:ilvl w:val="0"/>
          <w:numId w:val="2"/>
        </w:numPr>
        <w:spacing w:after="60" w:line="264"/>
      </w:pPr>
      <w:r>
        <w:t xml:space="preserve">Narrowest service scope of the three (PR-led; social, paid media, branding and experiential are not part of the core offer).</w:t>
      </w:r>
    </w:p>
    <w:p>
      <w:pPr>
        <w:pStyle w:val="ListParagraph"/>
        <w:numPr>
          <w:ilvl w:val="0"/>
          <w:numId w:val="2"/>
        </w:numPr>
        <w:spacing w:after="60" w:line="264"/>
      </w:pPr>
      <w:r>
        <w:t xml:space="preserve">Geographic focus is North America; less global reach than J/PR or RI.</w:t>
      </w:r>
    </w:p>
    <w:p>
      <w:pPr>
        <w:pStyle w:val="ListParagraph"/>
        <w:numPr>
          <w:ilvl w:val="0"/>
          <w:numId w:val="2"/>
        </w:numPr>
        <w:spacing w:after="60" w:line="264"/>
      </w:pPr>
      <w:r>
        <w:t xml:space="preserve">Lowest fee — strongest on value, but fewer bundled capabilities if multiple workstreams are needed.</w:t>
      </w:r>
    </w:p>
    <w:p>
      <w:r>
        <w:br w:type="page"/>
      </w:r>
    </w:p>
    <w:p>
      <w:pPr>
        <w:pStyle w:val="Heading1"/>
      </w:pPr>
      <w:r>
        <w:t xml:space="preserve">2. J/PR</w:t>
      </w:r>
    </w:p>
    <w:p>
      <w:pPr>
        <w:spacing w:after="60"/>
      </w:pPr>
      <w:r>
        <w:rPr>
          <w:b/>
          <w:bCs/>
          <w:color w:val="1F3A4D"/>
        </w:rPr>
        <w:t xml:space="preserve">Submission: </w:t>
      </w:r>
      <w:r>
        <w:t xml:space="preserve">“J/PR US Public Relations Proposal” (44 pages) — June 2026</w:t>
      </w:r>
    </w:p>
    <w:p>
      <w:pPr>
        <w:spacing w:after="60"/>
      </w:pPr>
      <w:r>
        <w:rPr>
          <w:b/>
          <w:bCs/>
          <w:color w:val="1F3A4D"/>
        </w:rPr>
        <w:t xml:space="preserve">Founded / heritage: </w:t>
      </w:r>
      <w:r>
        <w:t xml:space="preserve">20 years; San Diego roots; affiliate studio 20Two Studio</w:t>
      </w:r>
    </w:p>
    <w:p>
      <w:pPr>
        <w:spacing w:after="60"/>
      </w:pPr>
      <w:r>
        <w:rPr>
          <w:b/>
          <w:bCs/>
          <w:color w:val="1F3A4D"/>
        </w:rPr>
        <w:t xml:space="preserve">Positioning: </w:t>
      </w:r>
      <w:r>
        <w:t xml:space="preserve">Award-winning global communications agency — “boutique feel, big-agency access”</w:t>
      </w:r>
    </w:p>
    <w:p>
      <w:pPr>
        <w:pStyle w:val="Heading2"/>
      </w:pPr>
      <w:r>
        <w:t xml:space="preserve">Overview &amp; Positioning</w:t>
      </w:r>
    </w:p>
    <w:p>
      <w:pPr>
        <w:spacing w:after="120" w:line="276"/>
      </w:pPr>
      <w:r>
        <w:t xml:space="preserve">J/PR is a global luxury travel, lifestyle and real estate communications agency offering PR, social media, paid social, content creation, photography &amp; videography, brand partnerships, influencer/KOL marketing and crisis communications. Offices span San Diego, Los Angeles, New York, San Francisco, Denver, Scottsdale, Nashville, Atlanta, Toronto and London. Led by partners Jamie O’Grady (California) and Sarah Evans (New York).</w:t>
      </w:r>
    </w:p>
    <w:p>
      <w:pPr>
        <w:spacing w:after="120" w:line="276"/>
      </w:pPr>
      <w:r>
        <w:rPr>
          <w:b/>
          <w:bCs/>
          <w:color w:val="9C7C38"/>
        </w:rPr>
        <w:t xml:space="preserve">Wellness depth: </w:t>
      </w:r>
      <w:r>
        <w:t xml:space="preserve">J/PR markets strong wellness credentials (“We Know Wellness”), representing destination spas, medical-wellness retreats and wellness residential communities — including Trisara (Phuket), Velvære Wellness Residences (Park City), JOALI BEING, Mii amo, Rancho La Puerta, Sensei Lana’i and others.</w:t>
      </w:r>
    </w:p>
    <w:p>
      <w:pPr>
        <w:spacing w:after="120" w:line="276"/>
      </w:pPr>
      <w:r>
        <w:rPr>
          <w:b/>
          <w:bCs/>
        </w:rPr>
        <w:t xml:space="preserve">Differentiators stated: </w:t>
      </w:r>
      <w:r>
        <w:t xml:space="preserve">longevity &amp; entrepreneurial spirit; trusted partner; challenging convention; boutique feel with large-agency capabilities; investment in talent (20 clients 10+ years; 50 clients 5+ years).</w:t>
      </w:r>
    </w:p>
    <w:p>
      <w:pPr>
        <w:pStyle w:val="Heading2"/>
      </w:pPr>
      <w:r>
        <w:t xml:space="preserve">Campaign Objectives (six)</w:t>
      </w:r>
    </w:p>
    <w:p>
      <w:pPr>
        <w:pStyle w:val="ListParagraph"/>
        <w:numPr>
          <w:ilvl w:val="0"/>
          <w:numId w:val="2"/>
        </w:numPr>
        <w:spacing w:after="60" w:line="264"/>
      </w:pPr>
      <w:r>
        <w:t xml:space="preserve">Build U.S. awareness &amp; credibility with priority media, luxury travel advisors, family-office networks and HNW connectors.</w:t>
      </w:r>
    </w:p>
    <w:p>
      <w:pPr>
        <w:pStyle w:val="ListParagraph"/>
        <w:numPr>
          <w:ilvl w:val="0"/>
          <w:numId w:val="2"/>
        </w:numPr>
        <w:spacing w:after="60" w:line="264"/>
      </w:pPr>
      <w:r>
        <w:t xml:space="preserve">Drive qualified residential interest — every PR effort laddering back to villa sales.</w:t>
      </w:r>
    </w:p>
    <w:p>
      <w:pPr>
        <w:pStyle w:val="ListParagraph"/>
        <w:numPr>
          <w:ilvl w:val="0"/>
          <w:numId w:val="2"/>
        </w:numPr>
        <w:spacing w:after="60" w:line="264"/>
      </w:pPr>
      <w:r>
        <w:t xml:space="preserve">Position Tri Vananda as a wellness real-estate leader (low-density, nature, longevity, multigenerational).</w:t>
      </w:r>
    </w:p>
    <w:p>
      <w:pPr>
        <w:pStyle w:val="ListParagraph"/>
        <w:numPr>
          <w:ilvl w:val="0"/>
          <w:numId w:val="2"/>
        </w:numPr>
        <w:spacing w:after="60" w:line="264"/>
      </w:pPr>
      <w:r>
        <w:t xml:space="preserve">Elevate PATAMA as the wellness umbrella while keeping villas central.</w:t>
      </w:r>
    </w:p>
    <w:p>
      <w:pPr>
        <w:pStyle w:val="ListParagraph"/>
        <w:numPr>
          <w:ilvl w:val="0"/>
          <w:numId w:val="2"/>
        </w:numPr>
        <w:spacing w:after="60" w:line="264"/>
      </w:pPr>
      <w:r>
        <w:t xml:space="preserve">Leverage key milestones (PATAMA launch, villa offering, Global Wellness Summit, Clinique La Prairie opening) — positioning CLP as a credibility driver that supports rather than overshadows.</w:t>
      </w:r>
    </w:p>
    <w:p>
      <w:pPr>
        <w:pStyle w:val="ListParagraph"/>
        <w:numPr>
          <w:ilvl w:val="0"/>
          <w:numId w:val="2"/>
        </w:numPr>
        <w:spacing w:after="60" w:line="264"/>
      </w:pPr>
      <w:r>
        <w:t xml:space="preserve">Secure meaningful coverage with KPIs tied to audience quality, message pull-through and long-term commercial influence.</w:t>
      </w:r>
    </w:p>
    <w:p>
      <w:pPr>
        <w:pStyle w:val="Heading2"/>
      </w:pPr>
      <w:r>
        <w:t xml:space="preserve">Campaign Elements &amp; Approach</w:t>
      </w:r>
    </w:p>
    <w:p>
      <w:pPr>
        <w:pStyle w:val="ListParagraph"/>
        <w:numPr>
          <w:ilvl w:val="0"/>
          <w:numId w:val="2"/>
        </w:numPr>
        <w:spacing w:after="60" w:line="264"/>
      </w:pPr>
      <w:r>
        <w:t xml:space="preserve">Reaching key audiences; KPI-driven media relations (quality over quantity); positioning &amp; industry events; media &amp; influencer hostings; creative partnerships; collaboration with Tri Vananda, Montara, PATAMA and CLP’s PR agency.</w:t>
      </w:r>
    </w:p>
    <w:p>
      <w:pPr>
        <w:pStyle w:val="ListParagraph"/>
        <w:numPr>
          <w:ilvl w:val="0"/>
          <w:numId w:val="2"/>
        </w:numPr>
        <w:spacing w:after="60" w:line="264"/>
      </w:pPr>
      <w:r>
        <w:t xml:space="preserve">First 90 days: kick-off &amp; RFI call; immersive onboarding; media/influencer/KOL/competitor audit; full U.S. PR strategy with KPI goals; announcement release; proactive pitch bank; strategic alliances.</w:t>
      </w:r>
    </w:p>
    <w:p>
      <w:pPr>
        <w:pStyle w:val="ListParagraph"/>
        <w:numPr>
          <w:ilvl w:val="0"/>
          <w:numId w:val="2"/>
        </w:numPr>
        <w:spacing w:after="60" w:line="264"/>
      </w:pPr>
      <w:r>
        <w:t xml:space="preserve">Trend-forecasting narrative: wellness real estate going mainstream (global wellness economy $6.8T in 2024); second homes as lifestyle infrastructure; Asia as the center of new luxury demand (APAC luxury room nights up 90%+ since 2022); deeper/longer wellness travel; PATAMA as a consumer-facing wellness story.</w:t>
      </w:r>
    </w:p>
    <w:p>
      <w:pPr>
        <w:pStyle w:val="Heading2"/>
      </w:pPr>
      <w:r>
        <w:t xml:space="preserve">Modern Capabilities (a key point of difference)</w:t>
      </w:r>
    </w:p>
    <w:p>
      <w:pPr>
        <w:pStyle w:val="ListParagraph"/>
        <w:numPr>
          <w:ilvl w:val="0"/>
          <w:numId w:val="2"/>
        </w:numPr>
        <w:spacing w:after="60" w:line="264"/>
      </w:pPr>
      <w:r>
        <w:t xml:space="preserve">Influencer &amp; KOL strategy using the Tagger platform; revenue-tracking codes; owned content with usage rights; ambassador programs.</w:t>
      </w:r>
    </w:p>
    <w:p>
      <w:pPr>
        <w:pStyle w:val="ListParagraph"/>
        <w:numPr>
          <w:ilvl w:val="0"/>
          <w:numId w:val="2"/>
        </w:numPr>
        <w:spacing w:after="60" w:line="264"/>
      </w:pPr>
      <w:r>
        <w:t xml:space="preserve">AI / LLM search positioning — targeting high-authority outlets, Substacks, round-ups and forums that feed large language models.</w:t>
      </w:r>
    </w:p>
    <w:p>
      <w:pPr>
        <w:pStyle w:val="ListParagraph"/>
        <w:numPr>
          <w:ilvl w:val="0"/>
          <w:numId w:val="2"/>
        </w:numPr>
        <w:spacing w:after="60" w:line="264"/>
      </w:pPr>
      <w:r>
        <w:t xml:space="preserve">Reporting via Meltwater plus a “GenAI Lens” tracking brand reputation across five AI models (visibility, prominence, prevalence, sentiment, frequency); Barcelona Principles scoring.</w:t>
      </w:r>
    </w:p>
    <w:p>
      <w:pPr>
        <w:pStyle w:val="Heading2"/>
      </w:pPr>
      <w:r>
        <w:t xml:space="preserve">Relevant Case Studies</w:t>
      </w:r>
    </w:p>
    <w:p>
      <w:pPr>
        <w:pStyle w:val="Heading3"/>
      </w:pPr>
      <w:r>
        <w:t xml:space="preserve">Velvære, Park City (wellness residential launch)</w:t>
      </w:r>
    </w:p>
    <w:p>
      <w:pPr>
        <w:pStyle w:val="ListParagraph"/>
        <w:numPr>
          <w:ilvl w:val="0"/>
          <w:numId w:val="2"/>
        </w:numPr>
        <w:spacing w:after="60" w:line="264"/>
      </w:pPr>
      <w:r>
        <w:t xml:space="preserve">Digital exclusive with Robb Report; 7 home reservations directly attributed to earned media before launch; Velvære x Fountain Life release garnered 412 placements / 237.5M potential audience; 785M+ impressions.</w:t>
      </w:r>
    </w:p>
    <w:p>
      <w:pPr>
        <w:pStyle w:val="Heading3"/>
      </w:pPr>
      <w:r>
        <w:t xml:space="preserve">Shore House at The Del (Coronado) — “hotel within a hotel”</w:t>
      </w:r>
    </w:p>
    <w:p>
      <w:pPr>
        <w:pStyle w:val="ListParagraph"/>
        <w:numPr>
          <w:ilvl w:val="0"/>
          <w:numId w:val="2"/>
        </w:numPr>
        <w:spacing w:after="60" w:line="264"/>
      </w:pPr>
      <w:r>
        <w:t xml:space="preserve">100+ earned placements in first 6 months; ~20 media &amp; celebrity-influencer visits; headlines in Travel + Leisure, Robb Report.</w:t>
      </w:r>
    </w:p>
    <w:p>
      <w:pPr>
        <w:pStyle w:val="Heading3"/>
      </w:pPr>
      <w:r>
        <w:t xml:space="preserve">Alo Moves x Waldorf Astoria Los Cabos Pedregal (brand partnership)</w:t>
      </w:r>
    </w:p>
    <w:p>
      <w:pPr>
        <w:pStyle w:val="ListParagraph"/>
        <w:numPr>
          <w:ilvl w:val="0"/>
          <w:numId w:val="2"/>
        </w:numPr>
        <w:spacing w:after="60" w:line="264"/>
      </w:pPr>
      <w:r>
        <w:t xml:space="preserve">145.5M social impressions; 17.4M media impressions; 100% hotel occupancy for the bookable retreat.</w:t>
      </w:r>
    </w:p>
    <w:p>
      <w:pPr>
        <w:pStyle w:val="Heading3"/>
      </w:pPr>
      <w:r>
        <w:t xml:space="preserve">Rancho Valencia Resort &amp; Spa (13+ year client)</w:t>
      </w:r>
    </w:p>
    <w:p>
      <w:pPr>
        <w:pStyle w:val="ListParagraph"/>
        <w:numPr>
          <w:ilvl w:val="0"/>
          <w:numId w:val="2"/>
        </w:numPr>
        <w:spacing w:after="60" w:line="264"/>
      </w:pPr>
      <w:r>
        <w:t xml:space="preserve">250+ pieces of coverage in 2025; 4.6B+ impressions; 25+ media hostings; #1 Resort in California rankings.</w:t>
      </w:r>
    </w:p>
    <w:p>
      <w:pPr>
        <w:pStyle w:val="Heading3"/>
      </w:pPr>
      <w:r>
        <w:t xml:space="preserve">Mii amo destination spa (reopening after $40M transformation)</w:t>
      </w:r>
    </w:p>
    <w:p>
      <w:pPr>
        <w:pStyle w:val="ListParagraph"/>
        <w:numPr>
          <w:ilvl w:val="0"/>
          <w:numId w:val="2"/>
        </w:numPr>
        <w:spacing w:after="60" w:line="264"/>
      </w:pPr>
      <w:r>
        <w:t xml:space="preserve">AD print exclusive; 100+ placements; 1.6B+ impressions; Travel + Leisure “It List.”</w:t>
      </w:r>
    </w:p>
    <w:p>
      <w:pPr>
        <w:pStyle w:val="Heading2"/>
      </w:pPr>
      <w:r>
        <w:t xml:space="preserve">Proposed Team Structure</w:t>
      </w:r>
    </w:p>
    <w:p>
      <w:pPr>
        <w:pStyle w:val="ListParagraph"/>
        <w:numPr>
          <w:ilvl w:val="0"/>
          <w:numId w:val="2"/>
        </w:numPr>
        <w:spacing w:after="60" w:line="264"/>
      </w:pPr>
      <w:r>
        <w:t xml:space="preserve">SVP/VP (high-level strategy) — e.g., Lauren Kita, SVP, Los Angeles.</w:t>
      </w:r>
    </w:p>
    <w:p>
      <w:pPr>
        <w:pStyle w:val="ListParagraph"/>
        <w:numPr>
          <w:ilvl w:val="0"/>
          <w:numId w:val="2"/>
        </w:numPr>
        <w:spacing w:after="60" w:line="264"/>
      </w:pPr>
      <w:r>
        <w:t xml:space="preserve">Account Director (creative &amp; strategic planning) — e.g., Zoe Nightingale, AD, Los Angeles (luxury real estate / branded residences focus).</w:t>
      </w:r>
    </w:p>
    <w:p>
      <w:pPr>
        <w:pStyle w:val="ListParagraph"/>
        <w:numPr>
          <w:ilvl w:val="0"/>
          <w:numId w:val="2"/>
        </w:numPr>
        <w:spacing w:after="60" w:line="264"/>
      </w:pPr>
      <w:r>
        <w:t xml:space="preserve">Publicist (media relations &amp; partnerships) and Publicity Assistant (research &amp; reporting).</w:t>
      </w:r>
    </w:p>
    <w:p>
      <w:pPr>
        <w:pStyle w:val="Heading2"/>
      </w:pPr>
      <w:r>
        <w:t xml:space="preserve">Scope of Work (summary)</w:t>
      </w:r>
    </w:p>
    <w:p>
      <w:pPr>
        <w:pStyle w:val="ListParagraph"/>
        <w:numPr>
          <w:ilvl w:val="0"/>
          <w:numId w:val="2"/>
        </w:numPr>
        <w:spacing w:after="60" w:line="264"/>
      </w:pPr>
      <w:r>
        <w:t xml:space="preserve">Strategy &amp; planning (focus on Tri Vananda real estate + PATAMA); press kit; annual trends insights; awards strategy &amp; submissions.</w:t>
      </w:r>
    </w:p>
    <w:p>
      <w:pPr>
        <w:pStyle w:val="ListParagraph"/>
        <w:numPr>
          <w:ilvl w:val="0"/>
          <w:numId w:val="2"/>
        </w:numPr>
        <w:spacing w:after="60" w:line="264"/>
      </w:pPr>
      <w:r>
        <w:t xml:space="preserve">Proactive local/regional/national media relations; manage &amp; vet inbound U.S. press; executive positioning.</w:t>
      </w:r>
    </w:p>
    <w:p>
      <w:pPr>
        <w:pStyle w:val="ListParagraph"/>
        <w:numPr>
          <w:ilvl w:val="0"/>
          <w:numId w:val="2"/>
        </w:numPr>
        <w:spacing w:after="60" w:line="264"/>
      </w:pPr>
      <w:r>
        <w:t xml:space="preserve">Hostings (2–3 influencer visits per quarter) and one 3-day media FAM per year (4–5 KPI media).</w:t>
      </w:r>
    </w:p>
    <w:p>
      <w:pPr>
        <w:pStyle w:val="ListParagraph"/>
        <w:numPr>
          <w:ilvl w:val="0"/>
          <w:numId w:val="2"/>
        </w:numPr>
        <w:spacing w:after="60" w:line="264"/>
      </w:pPr>
      <w:r>
        <w:t xml:space="preserve">Account management: bi-weekly/monthly calls, weekly updates, comprehensive monthly report, up to 3 hrs/month crisis messaging.</w:t>
      </w:r>
    </w:p>
    <w:p>
      <w:pPr>
        <w:pStyle w:val="Heading2"/>
      </w:pPr>
      <w:r>
        <w:t xml:space="preserve">Fees</w:t>
      </w:r>
    </w:p>
    <w:p>
      <w:pPr>
        <w:spacing w:after="60"/>
      </w:pPr>
      <w:r>
        <w:rPr>
          <w:b/>
          <w:bCs/>
          <w:color w:val="1F3A4D"/>
        </w:rPr>
        <w:t xml:space="preserve">Monthly cost: </w:t>
      </w:r>
      <w:r>
        <w:t xml:space="preserve">USD $6,860/month</w:t>
      </w:r>
    </w:p>
    <w:p>
      <w:pPr>
        <w:spacing w:after="60"/>
      </w:pPr>
      <w:r>
        <w:rPr>
          <w:b/>
          <w:bCs/>
          <w:color w:val="1F3A4D"/>
        </w:rPr>
        <w:t xml:space="preserve">Breakdown: </w:t>
      </w:r>
      <w:r>
        <w:t xml:space="preserve">$6,500 retainer + $195 admin/technology fee (3% of retainer) + $165 digital media-monitoring fee</w:t>
      </w:r>
    </w:p>
    <w:p>
      <w:pPr>
        <w:spacing w:after="60"/>
      </w:pPr>
      <w:r>
        <w:rPr>
          <w:b/>
          <w:bCs/>
          <w:color w:val="1F3A4D"/>
        </w:rPr>
        <w:t xml:space="preserve">Out of scope: </w:t>
      </w:r>
      <w:r>
        <w:t xml:space="preserve">Account immersion travel, social media projects, ambassador program, media missions/events, additional influencer relations — scoped &amp; priced separately</w:t>
      </w:r>
    </w:p>
    <w:p>
      <w:pPr>
        <w:spacing w:after="60"/>
      </w:pPr>
      <w:r>
        <w:rPr>
          <w:b/>
          <w:bCs/>
          <w:color w:val="1F3A4D"/>
        </w:rPr>
        <w:t xml:space="preserve">Reporting: </w:t>
      </w:r>
      <w:r>
        <w:t xml:space="preserve">Real-time placement emails (Barcelona Principles score), weekly updates, detailed monthly report; Meltwater + GenAI lens</w:t>
      </w:r>
    </w:p>
    <w:p>
      <w:pPr>
        <w:pStyle w:val="Heading2"/>
      </w:pPr>
      <w:r>
        <w:t xml:space="preserve">Stated Strengths</w:t>
      </w:r>
    </w:p>
    <w:p>
      <w:pPr>
        <w:pStyle w:val="ListParagraph"/>
        <w:numPr>
          <w:ilvl w:val="0"/>
          <w:numId w:val="2"/>
        </w:numPr>
        <w:spacing w:after="60" w:line="264"/>
      </w:pPr>
      <w:r>
        <w:t xml:space="preserve">Deep luxury-wellness portfolio and proven wellness-residential results (e.g., Velvære reservations).</w:t>
      </w:r>
    </w:p>
    <w:p>
      <w:pPr>
        <w:pStyle w:val="ListParagraph"/>
        <w:numPr>
          <w:ilvl w:val="0"/>
          <w:numId w:val="2"/>
        </w:numPr>
        <w:spacing w:after="60" w:line="264"/>
      </w:pPr>
      <w:r>
        <w:t xml:space="preserve">Existing Trisara relationship and Phuket familiarity.</w:t>
      </w:r>
    </w:p>
    <w:p>
      <w:pPr>
        <w:pStyle w:val="ListParagraph"/>
        <w:numPr>
          <w:ilvl w:val="0"/>
          <w:numId w:val="2"/>
        </w:numPr>
        <w:spacing w:after="60" w:line="264"/>
      </w:pPr>
      <w:r>
        <w:t xml:space="preserve">Modern, integrated capability set (influencer/KOL, social, content, AI-search optimization) within a single PR retainer.</w:t>
      </w:r>
    </w:p>
    <w:p>
      <w:pPr>
        <w:pStyle w:val="ListParagraph"/>
        <w:numPr>
          <w:ilvl w:val="0"/>
          <w:numId w:val="2"/>
        </w:numPr>
        <w:spacing w:after="60" w:line="264"/>
      </w:pPr>
      <w:r>
        <w:t xml:space="preserve">Structured 90-day onboarding and disciplined KPI reporting.</w:t>
      </w:r>
    </w:p>
    <w:p>
      <w:pPr>
        <w:pStyle w:val="Heading2"/>
      </w:pPr>
      <w:r>
        <w:t xml:space="preserve">Considerations</w:t>
      </w:r>
    </w:p>
    <w:p>
      <w:pPr>
        <w:pStyle w:val="ListParagraph"/>
        <w:numPr>
          <w:ilvl w:val="0"/>
          <w:numId w:val="2"/>
        </w:numPr>
        <w:spacing w:after="60" w:line="264"/>
      </w:pPr>
      <w:r>
        <w:t xml:space="preserve">Several capabilities (media missions, ambassador programs, expanded influencer/social projects) sit outside the base retainer and are priced separately.</w:t>
      </w:r>
    </w:p>
    <w:p>
      <w:pPr>
        <w:pStyle w:val="ListParagraph"/>
        <w:numPr>
          <w:ilvl w:val="0"/>
          <w:numId w:val="2"/>
        </w:numPr>
        <w:spacing w:after="60" w:line="264"/>
      </w:pPr>
      <w:r>
        <w:t xml:space="preserve">Primarily U.S.-focused; global reach is via reach/relationships rather than overseas offices in target Asian/Gulf markets.</w:t>
      </w:r>
    </w:p>
    <w:p>
      <w:pPr>
        <w:pStyle w:val="ListParagraph"/>
        <w:numPr>
          <w:ilvl w:val="0"/>
          <w:numId w:val="2"/>
        </w:numPr>
        <w:spacing w:after="60" w:line="264"/>
      </w:pPr>
      <w:r>
        <w:t xml:space="preserve">Mid-priced of the three.</w:t>
      </w:r>
    </w:p>
    <w:p>
      <w:r>
        <w:br w:type="page"/>
      </w:r>
    </w:p>
    <w:p>
      <w:pPr>
        <w:pStyle w:val="Heading1"/>
      </w:pPr>
      <w:r>
        <w:t xml:space="preserve">3. Relevance International (RI)</w:t>
      </w:r>
    </w:p>
    <w:p>
      <w:pPr>
        <w:spacing w:after="60"/>
      </w:pPr>
      <w:r>
        <w:rPr>
          <w:b/>
          <w:bCs/>
          <w:color w:val="1F3A4D"/>
        </w:rPr>
        <w:t xml:space="preserve">Submission: </w:t>
      </w:r>
      <w:r>
        <w:t xml:space="preserve">“Relevance International — PR Proposal, Tri Vananda” (69 pages)</w:t>
      </w:r>
    </w:p>
    <w:p>
      <w:pPr>
        <w:spacing w:after="60"/>
      </w:pPr>
      <w:r>
        <w:rPr>
          <w:b/>
          <w:bCs/>
          <w:color w:val="1F3A4D"/>
        </w:rPr>
        <w:t xml:space="preserve">Founded: </w:t>
      </w:r>
      <w:r>
        <w:t xml:space="preserve">2012, New York (Founder &amp; CEO Suzanne Rosnowski); 12+ years</w:t>
      </w:r>
    </w:p>
    <w:p>
      <w:pPr>
        <w:spacing w:after="60"/>
      </w:pPr>
      <w:r>
        <w:rPr>
          <w:b/>
          <w:bCs/>
          <w:color w:val="1F3A4D"/>
        </w:rPr>
        <w:t xml:space="preserve">Positioning: </w:t>
      </w:r>
      <w:r>
        <w:t xml:space="preserve">Full-service global PR, communications &amp; marketing agency — “Refinement. Reach. Reputation.”</w:t>
      </w:r>
    </w:p>
    <w:p>
      <w:pPr>
        <w:pStyle w:val="Heading2"/>
      </w:pPr>
      <w:r>
        <w:t xml:space="preserve">Overview &amp; Positioning</w:t>
      </w:r>
    </w:p>
    <w:p>
      <w:pPr>
        <w:spacing w:after="120" w:line="276"/>
      </w:pPr>
      <w:r>
        <w:t xml:space="preserve">Relevance International is a full-service 360° agency integrating PR, social media, paid media, SEO &amp; AI optimization (GEO), email marketing, branding, analytics, CRM, advertising and experiential under one roof. Offices in New York, London, Los Angeles and Dubai, plus a proprietary global affiliate network. The agency is wholly owned by its founder and is WBENC / WBE certified. It brings deep specialization in real estate, branded residences, hospitality, design and luxury.</w:t>
      </w:r>
    </w:p>
    <w:p>
      <w:pPr>
        <w:spacing w:after="120" w:line="276"/>
      </w:pPr>
      <w:r>
        <w:rPr>
          <w:b/>
          <w:bCs/>
          <w:color w:val="9C7C38"/>
        </w:rPr>
        <w:t xml:space="preserve">Strategic framing: </w:t>
      </w:r>
      <w:r>
        <w:t xml:space="preserve">RI proposes to “define and own the Longevity Real Estate category,” positioning Tri Vananda as the reference point for longevity-focused residential living — distinct from hospitality and general wellness — and to simplify a complex, multi-part offering (PATAMA, Clinique La Prairie, Trisara) into one clear, compelling ownership story.</w:t>
      </w:r>
    </w:p>
    <w:p>
      <w:pPr>
        <w:pStyle w:val="Heading2"/>
      </w:pPr>
      <w:r>
        <w:t xml:space="preserve">Strategic Goals (as stated)</w:t>
      </w:r>
    </w:p>
    <w:p>
      <w:pPr>
        <w:pStyle w:val="ListParagraph"/>
        <w:numPr>
          <w:ilvl w:val="0"/>
          <w:numId w:val="2"/>
        </w:numPr>
        <w:spacing w:after="60" w:line="264"/>
      </w:pPr>
      <w:r>
        <w:t xml:space="preserve">Define and own the longevity real estate category; build desire and demand ahead of sales among (U)HNW buyers.</w:t>
      </w:r>
    </w:p>
    <w:p>
      <w:pPr>
        <w:pStyle w:val="ListParagraph"/>
        <w:numPr>
          <w:ilvl w:val="0"/>
          <w:numId w:val="2"/>
        </w:numPr>
        <w:spacing w:after="60" w:line="264"/>
      </w:pPr>
      <w:r>
        <w:t xml:space="preserve">Establish credibility through earned media across design, real estate, luxury and business outlets.</w:t>
      </w:r>
    </w:p>
    <w:p>
      <w:pPr>
        <w:pStyle w:val="ListParagraph"/>
        <w:numPr>
          <w:ilvl w:val="0"/>
          <w:numId w:val="2"/>
        </w:numPr>
        <w:spacing w:after="60" w:line="264"/>
      </w:pPr>
      <w:r>
        <w:t xml:space="preserve">Support long-term brand and sales growth beyond launch and sellout; simplify and unify the wellness narrative; establish global credibility in wellness living.</w:t>
      </w:r>
    </w:p>
    <w:p>
      <w:pPr>
        <w:pStyle w:val="Heading2"/>
      </w:pPr>
      <w:r>
        <w:t xml:space="preserve">Tactics</w:t>
      </w:r>
    </w:p>
    <w:p>
      <w:pPr>
        <w:pStyle w:val="ListParagraph"/>
        <w:numPr>
          <w:ilvl w:val="0"/>
          <w:numId w:val="2"/>
        </w:numPr>
        <w:spacing w:after="60" w:line="264"/>
      </w:pPr>
      <w:r>
        <w:t xml:space="preserve">Strategy &amp; story development; trend stories &amp; thought leadership; dedicated media bureau; announcements &amp; milestones; events &amp; strategic introductions (editors, brokers, collectors, developers, tastemakers).</w:t>
      </w:r>
    </w:p>
    <w:p>
      <w:pPr>
        <w:pStyle w:val="ListParagraph"/>
        <w:numPr>
          <w:ilvl w:val="0"/>
          <w:numId w:val="2"/>
        </w:numPr>
        <w:spacing w:after="60" w:line="264"/>
      </w:pPr>
      <w:r>
        <w:t xml:space="preserve">Creative ideas &amp; partnerships; bylined content under the founder’s name; founder &amp; brand profiles; awards &amp; industry recognition.</w:t>
      </w:r>
    </w:p>
    <w:p>
      <w:pPr>
        <w:pStyle w:val="Heading2"/>
      </w:pPr>
      <w:r>
        <w:t xml:space="preserve">“Big Ideas” (signature creative concepts)</w:t>
      </w:r>
    </w:p>
    <w:p>
      <w:pPr>
        <w:pStyle w:val="ListParagraph"/>
        <w:numPr>
          <w:ilvl w:val="0"/>
          <w:numId w:val="2"/>
        </w:numPr>
        <w:spacing w:after="60" w:line="264"/>
      </w:pPr>
      <w:r>
        <w:rPr>
          <w:b/>
          <w:bCs/>
        </w:rPr>
        <w:t xml:space="preserve">Residential Headquarters of Longevity Week Phuket: </w:t>
      </w:r>
      <w:r>
        <w:t xml:space="preserve">an invitation-only curated week of experiences timed around the Global Wellness Summit — dinners at JAMPA, wellness/design tours, family-office &amp; travel-advisor gatherings, media roundtables, CLP previews.</w:t>
      </w:r>
    </w:p>
    <w:p>
      <w:pPr>
        <w:pStyle w:val="ListParagraph"/>
        <w:numPr>
          <w:ilvl w:val="0"/>
          <w:numId w:val="2"/>
        </w:numPr>
        <w:spacing w:after="60" w:line="264"/>
      </w:pPr>
      <w:r>
        <w:rPr>
          <w:b/>
          <w:bCs/>
        </w:rPr>
        <w:t xml:space="preserve">“Sample the Life”: </w:t>
      </w:r>
      <w:r>
        <w:t xml:space="preserve">a multi-day hosted residency itinerary letting media, advisors and qualified VIPs experience the community as a future resident would — building emotional connection and a path from awareness to purchase consideration.</w:t>
      </w:r>
    </w:p>
    <w:p>
      <w:pPr>
        <w:pStyle w:val="ListParagraph"/>
        <w:numPr>
          <w:ilvl w:val="0"/>
          <w:numId w:val="2"/>
        </w:numPr>
        <w:spacing w:after="60" w:line="264"/>
      </w:pPr>
      <w:r>
        <w:rPr>
          <w:b/>
          <w:bCs/>
        </w:rPr>
        <w:t xml:space="preserve">Vitality Concierge: </w:t>
      </w:r>
      <w:r>
        <w:t xml:space="preserve">a personalized lifestyle service connecting residents to the wellness ecosystem — turning wellness from amenity into an ongoing residential service and a media storytelling platform.</w:t>
      </w:r>
    </w:p>
    <w:p>
      <w:pPr>
        <w:pStyle w:val="Heading2"/>
      </w:pPr>
      <w:r>
        <w:t xml:space="preserve">Storytelling &amp; Media</w:t>
      </w:r>
    </w:p>
    <w:p>
      <w:pPr>
        <w:pStyle w:val="ListParagraph"/>
        <w:numPr>
          <w:ilvl w:val="0"/>
          <w:numId w:val="2"/>
        </w:numPr>
        <w:spacing w:after="60" w:line="264"/>
      </w:pPr>
      <w:r>
        <w:t xml:space="preserve">Trend/feature angles such as “Can where you live help you live longer?”, “The new luxury amenity is longevity,” “Healthspan real estate,” “The new Blue Zones,” and “Phuket’s transformation into Asia’s wellness capital.”</w:t>
      </w:r>
    </w:p>
    <w:p>
      <w:pPr>
        <w:pStyle w:val="ListParagraph"/>
        <w:numPr>
          <w:ilvl w:val="0"/>
          <w:numId w:val="2"/>
        </w:numPr>
        <w:spacing w:after="60" w:line="264"/>
      </w:pPr>
      <w:r>
        <w:t xml:space="preserve">Sample media list spans AFAR, Architectural Digest, Bloomberg Pursuits, CNN Style, Condé Nast Traveler, Dezeen, Financial Times HTSI, Forbes, Galerie, Mansion Global, Robb Report, Town &amp; Country, Travel + Leisure, Wall Street Journal, Wallpaper, Worth and many design/longevity titles.</w:t>
      </w:r>
    </w:p>
    <w:p>
      <w:pPr>
        <w:pStyle w:val="Heading2"/>
      </w:pPr>
      <w:r>
        <w:t xml:space="preserve">Full-Service Capabilities (breadth)</w:t>
      </w:r>
    </w:p>
    <w:p>
      <w:pPr>
        <w:pStyle w:val="ListParagraph"/>
        <w:numPr>
          <w:ilvl w:val="0"/>
          <w:numId w:val="2"/>
        </w:numPr>
        <w:spacing w:after="60" w:line="264"/>
      </w:pPr>
      <w:r>
        <w:t xml:space="preserve">Consulting &amp; advising (C-suite, ESG, go-to-market, strategic &amp; brand partnerships, pre-launch strategy).</w:t>
      </w:r>
    </w:p>
    <w:p>
      <w:pPr>
        <w:pStyle w:val="ListParagraph"/>
        <w:numPr>
          <w:ilvl w:val="0"/>
          <w:numId w:val="2"/>
        </w:numPr>
        <w:spacing w:after="60" w:line="264"/>
      </w:pPr>
      <w:r>
        <w:t xml:space="preserve">Creative ideation; brand strategy (concepting, guidelines, competitive analysis, logo, copywriting, collateral).</w:t>
      </w:r>
    </w:p>
    <w:p>
      <w:pPr>
        <w:pStyle w:val="ListParagraph"/>
        <w:numPr>
          <w:ilvl w:val="0"/>
          <w:numId w:val="2"/>
        </w:numPr>
        <w:spacing w:after="60" w:line="264"/>
      </w:pPr>
      <w:r>
        <w:t xml:space="preserve">Communications; web &amp; social media (CRO, UX/UI, SEO, GEO, lead generation, influencer, email).</w:t>
      </w:r>
    </w:p>
    <w:p>
      <w:pPr>
        <w:pStyle w:val="ListParagraph"/>
        <w:numPr>
          <w:ilvl w:val="0"/>
          <w:numId w:val="2"/>
        </w:numPr>
        <w:spacing w:after="60" w:line="264"/>
      </w:pPr>
      <w:r>
        <w:t xml:space="preserve">Advertising (DOOH, programmatic, PPC, print, TV/radio, podcast); experiential (pop-ups, press stunts, launch parties, conferences).</w:t>
      </w:r>
    </w:p>
    <w:p>
      <w:pPr>
        <w:pStyle w:val="ListParagraph"/>
        <w:numPr>
          <w:ilvl w:val="0"/>
          <w:numId w:val="2"/>
        </w:numPr>
        <w:spacing w:after="60" w:line="264"/>
      </w:pPr>
      <w:r>
        <w:t xml:space="preserve">Proprietary methods: R.I.S.E. (Research, Insight, Strategy, Execution) and The Purpose Method.</w:t>
      </w:r>
    </w:p>
    <w:p>
      <w:pPr>
        <w:pStyle w:val="Heading2"/>
      </w:pPr>
      <w:r>
        <w:t xml:space="preserve">Relevant Case Studies</w:t>
      </w:r>
    </w:p>
    <w:p>
      <w:pPr>
        <w:pStyle w:val="Heading3"/>
      </w:pPr>
      <w:r>
        <w:t xml:space="preserve">The Ellinikon (Athens) — Lamda Development</w:t>
      </w:r>
    </w:p>
    <w:p>
      <w:pPr>
        <w:pStyle w:val="ListParagraph"/>
        <w:numPr>
          <w:ilvl w:val="0"/>
          <w:numId w:val="2"/>
        </w:numPr>
        <w:spacing w:after="60" w:line="264"/>
      </w:pPr>
      <w:r>
        <w:t xml:space="preserve">Europe’s largest urban regeneration project. Coverage reached 23% of the global population; 169 articles; $10M PR value; 600M digital impressions. Campaign contributed to a complete sellout of available luxury units before groundbreaking.</w:t>
      </w:r>
    </w:p>
    <w:p>
      <w:pPr>
        <w:pStyle w:val="Heading3"/>
      </w:pPr>
      <w:r>
        <w:t xml:space="preserve">Mandarin Oriental Residences, Grand Cayman</w:t>
      </w:r>
    </w:p>
    <w:p>
      <w:pPr>
        <w:pStyle w:val="ListParagraph"/>
        <w:numPr>
          <w:ilvl w:val="0"/>
          <w:numId w:val="2"/>
        </w:numPr>
        <w:spacing w:after="60" w:line="264"/>
      </w:pPr>
      <w:r>
        <w:t xml:space="preserve">Ultra-luxury branded residences; 75+ placements; 1.2B+ UVM; FT, NY Post, Robb Report (US &amp; Singapore).</w:t>
      </w:r>
    </w:p>
    <w:p>
      <w:pPr>
        <w:pStyle w:val="Heading3"/>
      </w:pPr>
      <w:r>
        <w:t xml:space="preserve">Porto Montenegro (Adriatic) &amp; branded residences</w:t>
      </w:r>
    </w:p>
    <w:p>
      <w:pPr>
        <w:pStyle w:val="ListParagraph"/>
        <w:numPr>
          <w:ilvl w:val="0"/>
          <w:numId w:val="2"/>
        </w:numPr>
        <w:spacing w:after="60" w:line="264"/>
      </w:pPr>
      <w:r>
        <w:t xml:space="preserve">Multi-market campaign; £2M+ ad-value coverage across China, UK, France, Germany; media events Shanghai→Dubai; broadcast on French national TV.</w:t>
      </w:r>
    </w:p>
    <w:p>
      <w:pPr>
        <w:pStyle w:val="Heading3"/>
      </w:pPr>
      <w:r>
        <w:t xml:space="preserve">Wayne Enterprises Experience (Warner Bros. Discovery)</w:t>
      </w:r>
    </w:p>
    <w:p>
      <w:pPr>
        <w:pStyle w:val="ListParagraph"/>
        <w:numPr>
          <w:ilvl w:val="0"/>
          <w:numId w:val="2"/>
        </w:numPr>
        <w:spacing w:after="60" w:line="264"/>
      </w:pPr>
      <w:r>
        <w:t xml:space="preserve">World’s first shoppable luxury theatrical retail environment; ~90 organic placements; 2.2B UVM; Forbes, Fast Company, Robb Report.</w:t>
      </w:r>
    </w:p>
    <w:p>
      <w:pPr>
        <w:pStyle w:val="Heading3"/>
      </w:pPr>
      <w:r>
        <w:t xml:space="preserve">Madrid branded residences (SLS Infantas, Banyan Tree Padilla, Sagasta 27)</w:t>
      </w:r>
    </w:p>
    <w:p>
      <w:pPr>
        <w:pStyle w:val="ListParagraph"/>
        <w:numPr>
          <w:ilvl w:val="0"/>
          <w:numId w:val="2"/>
        </w:numPr>
        <w:spacing w:after="60" w:line="264"/>
      </w:pPr>
      <w:r>
        <w:t xml:space="preserve">74 pieces across 7 countries (Jan–Sep 2025); FT, Mansion Global, Robb Report (US/Mexico/Singapore).</w:t>
      </w:r>
    </w:p>
    <w:p>
      <w:pPr>
        <w:pStyle w:val="Heading3"/>
      </w:pPr>
      <w:r>
        <w:t xml:space="preserve">Also referenced</w:t>
      </w:r>
    </w:p>
    <w:p>
      <w:pPr>
        <w:pStyle w:val="ListParagraph"/>
        <w:numPr>
          <w:ilvl w:val="0"/>
          <w:numId w:val="2"/>
        </w:numPr>
        <w:spacing w:after="60" w:line="264"/>
      </w:pPr>
      <w:r>
        <w:t xml:space="preserve">Bentley Tower / Dezer Development (110 placements); World’s 50 Best Restaurants (global AOR; 71,308 pieces over five months); La Liste; Get Golden Visa thought-leadership; Beverly Hills CVB; Atlantis The Royal Residences; The Ellery (Taconic Partners).</w:t>
      </w:r>
    </w:p>
    <w:p>
      <w:pPr>
        <w:pStyle w:val="Heading2"/>
      </w:pPr>
      <w:r>
        <w:t xml:space="preserve">Account Structure &amp; Leadership</w:t>
      </w:r>
    </w:p>
    <w:p>
      <w:pPr>
        <w:pStyle w:val="ListParagraph"/>
        <w:numPr>
          <w:ilvl w:val="0"/>
          <w:numId w:val="2"/>
        </w:numPr>
        <w:spacing w:after="60" w:line="264"/>
      </w:pPr>
      <w:r>
        <w:t xml:space="preserve">Three-tier team: Strategy Lead (SVP/VP), Execution Lead (AVP / Account Manager / Senior AE), Administrative Lead (AE / Junior AE / Coordinator).</w:t>
      </w:r>
    </w:p>
    <w:p>
      <w:pPr>
        <w:pStyle w:val="ListParagraph"/>
        <w:numPr>
          <w:ilvl w:val="0"/>
          <w:numId w:val="2"/>
        </w:numPr>
        <w:spacing w:after="60" w:line="264"/>
      </w:pPr>
      <w:r>
        <w:t xml:space="preserve">Founder &amp; CEO Suzanne Rosnowski (20+ years; PRNEWS Top Women in PR; INSIDER Top Real Estate PR Power Players; Forbes Agency Council; WBENC/WBE).</w:t>
      </w:r>
    </w:p>
    <w:p>
      <w:pPr>
        <w:pStyle w:val="ListParagraph"/>
        <w:numPr>
          <w:ilvl w:val="0"/>
          <w:numId w:val="2"/>
        </w:numPr>
        <w:spacing w:after="60" w:line="264"/>
      </w:pPr>
      <w:r>
        <w:t xml:space="preserve">Senior team includes Chris Lanzaro (CFO), Dane Wisher (SVP), Freddie Gilbey, Hannah Burden (Directors), Sarah Reed (AVP).</w:t>
      </w:r>
    </w:p>
    <w:p>
      <w:pPr>
        <w:pStyle w:val="Heading2"/>
      </w:pPr>
      <w:r>
        <w:t xml:space="preserve">Fees &amp; Scope</w:t>
      </w:r>
    </w:p>
    <w:p>
      <w:pPr>
        <w:spacing w:after="60"/>
      </w:pPr>
      <w:r>
        <w:rPr>
          <w:b/>
          <w:bCs/>
          <w:color w:val="1F3A4D"/>
        </w:rPr>
        <w:t xml:space="preserve">Monthly fee: </w:t>
      </w:r>
      <w:r>
        <w:t xml:space="preserve">USD $8,000/month for PR services</w:t>
      </w:r>
    </w:p>
    <w:p>
      <w:pPr>
        <w:spacing w:after="60"/>
      </w:pPr>
      <w:r>
        <w:rPr>
          <w:b/>
          <w:bCs/>
          <w:color w:val="1F3A4D"/>
        </w:rPr>
        <w:t xml:space="preserve">Term: </w:t>
      </w:r>
      <w:r>
        <w:t xml:space="preserve">Minimum one-year contract</w:t>
      </w:r>
    </w:p>
    <w:p>
      <w:pPr>
        <w:spacing w:after="60"/>
      </w:pPr>
      <w:r>
        <w:rPr>
          <w:b/>
          <w:bCs/>
          <w:color w:val="1F3A4D"/>
        </w:rPr>
        <w:t xml:space="preserve">Flexibility: </w:t>
      </w:r>
      <w:r>
        <w:t xml:space="preserve">Scope “can be tailored as needed” — services span strategy, media relations, thought leadership, awards, press releases, brand &amp; executive profiles, design/property pitching, creative ideation &amp; partnerships, media bureau, events, local-market strategy and crisis comms</w:t>
      </w:r>
    </w:p>
    <w:p>
      <w:pPr>
        <w:spacing w:after="60"/>
      </w:pPr>
      <w:r>
        <w:rPr>
          <w:b/>
          <w:bCs/>
          <w:color w:val="1F3A4D"/>
        </w:rPr>
        <w:t xml:space="preserve">Beyond PR: </w:t>
      </w:r>
      <w:r>
        <w:t xml:space="preserve">Social, paid media, SEO/GEO, branding, advertising, experiential and CRM available from the same agency (scoped separately)</w:t>
      </w:r>
    </w:p>
    <w:p>
      <w:pPr>
        <w:pStyle w:val="Heading2"/>
      </w:pPr>
      <w:r>
        <w:t xml:space="preserve">Stated Strengths</w:t>
      </w:r>
    </w:p>
    <w:p>
      <w:pPr>
        <w:pStyle w:val="ListParagraph"/>
        <w:numPr>
          <w:ilvl w:val="0"/>
          <w:numId w:val="2"/>
        </w:numPr>
        <w:spacing w:after="60" w:line="264"/>
      </w:pPr>
      <w:r>
        <w:t xml:space="preserve">Broadest capability set of the three — a single partner that can scale across PR, digital, branding, advertising and experiential as needs evolve in 2026–2027.</w:t>
      </w:r>
    </w:p>
    <w:p>
      <w:pPr>
        <w:pStyle w:val="ListParagraph"/>
        <w:numPr>
          <w:ilvl w:val="0"/>
          <w:numId w:val="2"/>
        </w:numPr>
        <w:spacing w:after="60" w:line="264"/>
      </w:pPr>
      <w:r>
        <w:t xml:space="preserve">Strongest real-estate / branded-residence sales track record (e.g., Ellinikon and Madrid sellouts), directly relevant to villa sales objectives.</w:t>
      </w:r>
    </w:p>
    <w:p>
      <w:pPr>
        <w:pStyle w:val="ListParagraph"/>
        <w:numPr>
          <w:ilvl w:val="0"/>
          <w:numId w:val="2"/>
        </w:numPr>
        <w:spacing w:after="60" w:line="264"/>
      </w:pPr>
      <w:r>
        <w:t xml:space="preserve">Distinctive big-idea creative and category-creation framing; genuinely global footprint including Dubai and an affiliate network into Asia/MENA.</w:t>
      </w:r>
    </w:p>
    <w:p>
      <w:pPr>
        <w:pStyle w:val="ListParagraph"/>
        <w:numPr>
          <w:ilvl w:val="0"/>
          <w:numId w:val="2"/>
        </w:numPr>
        <w:spacing w:after="60" w:line="264"/>
      </w:pPr>
      <w:r>
        <w:t xml:space="preserve">Explicit flexibility to tailor scope.</w:t>
      </w:r>
    </w:p>
    <w:p>
      <w:pPr>
        <w:pStyle w:val="Heading2"/>
      </w:pPr>
      <w:r>
        <w:t xml:space="preserve">Considerations</w:t>
      </w:r>
    </w:p>
    <w:p>
      <w:pPr>
        <w:pStyle w:val="ListParagraph"/>
        <w:numPr>
          <w:ilvl w:val="0"/>
          <w:numId w:val="2"/>
        </w:numPr>
        <w:spacing w:after="60" w:line="264"/>
      </w:pPr>
      <w:r>
        <w:t xml:space="preserve">Highest monthly fee of the three (PR only; broader services billed separately).</w:t>
      </w:r>
    </w:p>
    <w:p>
      <w:pPr>
        <w:pStyle w:val="ListParagraph"/>
        <w:numPr>
          <w:ilvl w:val="0"/>
          <w:numId w:val="2"/>
        </w:numPr>
        <w:spacing w:after="60" w:line="264"/>
      </w:pPr>
      <w:r>
        <w:t xml:space="preserve">No prior Trisara/Montara relationship cited — a longer ramp on brand familiarity than VKPR or J/PR.</w:t>
      </w:r>
    </w:p>
    <w:p>
      <w:pPr>
        <w:pStyle w:val="ListParagraph"/>
        <w:numPr>
          <w:ilvl w:val="0"/>
          <w:numId w:val="2"/>
        </w:numPr>
        <w:spacing w:after="60" w:line="264"/>
      </w:pPr>
      <w:r>
        <w:t xml:space="preserve">Breadth requires clear scoping/governance to keep spend and focus controlled.</w:t>
      </w:r>
    </w:p>
    <w:p>
      <w:r>
        <w:br w:type="page"/>
      </w:r>
    </w:p>
    <w:p>
      <w:pPr>
        <w:pStyle w:val="Heading1"/>
      </w:pPr>
      <w:r>
        <w:t xml:space="preserve">Decision Criteria for the Board</w:t>
      </w:r>
    </w:p>
    <w:p>
      <w:pPr>
        <w:spacing w:after="120" w:line="276"/>
      </w:pPr>
      <w:r>
        <w:t xml:space="preserve">Presented neutrally, the following criteria map the three submissions against Tri Vananda’s stated priorities — the ability to support multiple workstreams across 2026–2027 and flexibility of engagement. The board can weight these as it sees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53"/>
        <w:gridCol w:w="2253"/>
        <w:gridCol w:w="2254"/>
      </w:tblGrid>
      <w:tr>
        <w:trPr>
          <w:tblHeader/>
        </w:trPr>
        <w:tc>
          <w:tcPr>
            <w:tcW w:type="dxa" w:w="2600"/>
            <w:tcBorders>
              <w:top w:val="single" w:color="CCCCCC" w:sz="1"/>
              <w:left w:val="single" w:color="CCCCCC" w:sz="1"/>
              <w:bottom w:val="single" w:color="CCCCCC" w:sz="1"/>
              <w:right w:val="single" w:color="CCCCCC" w:sz="1"/>
            </w:tcBorders>
            <w:shd w:fill="1F3A4D" w:val="clear"/>
            <w:tcMar>
              <w:top w:type="dxa" w:w="80"/>
              <w:left w:type="dxa" w:w="120"/>
              <w:bottom w:type="dxa" w:w="80"/>
              <w:right w:type="dxa" w:w="120"/>
            </w:tcMar>
            <w:vAlign w:val="center"/>
          </w:tcPr>
          <w:p>
            <w:pPr>
              <w:jc w:val="left"/>
            </w:pPr>
            <w:r>
              <w:rPr>
                <w:b/>
                <w:bCs/>
                <w:color w:val="FFFFFF"/>
                <w:sz w:val="19"/>
                <w:szCs w:val="19"/>
              </w:rPr>
              <w:t xml:space="preserve">Criterion</w:t>
            </w:r>
          </w:p>
        </w:tc>
        <w:tc>
          <w:tcPr>
            <w:tcW w:type="dxa" w:w="2253"/>
            <w:tcBorders>
              <w:top w:val="single" w:color="CCCCCC" w:sz="1"/>
              <w:left w:val="single" w:color="CCCCCC" w:sz="1"/>
              <w:bottom w:val="single" w:color="CCCCCC" w:sz="1"/>
              <w:right w:val="single" w:color="CCCCCC" w:sz="1"/>
            </w:tcBorders>
            <w:shd w:fill="1F3A4D" w:val="clear"/>
            <w:tcMar>
              <w:top w:type="dxa" w:w="80"/>
              <w:left w:type="dxa" w:w="120"/>
              <w:bottom w:type="dxa" w:w="80"/>
              <w:right w:type="dxa" w:w="120"/>
            </w:tcMar>
            <w:vAlign w:val="center"/>
          </w:tcPr>
          <w:p>
            <w:pPr>
              <w:jc w:val="left"/>
            </w:pPr>
            <w:r>
              <w:rPr>
                <w:b/>
                <w:bCs/>
                <w:color w:val="FFFFFF"/>
                <w:sz w:val="19"/>
                <w:szCs w:val="19"/>
              </w:rPr>
              <w:t xml:space="preserve">VKPR</w:t>
            </w:r>
          </w:p>
        </w:tc>
        <w:tc>
          <w:tcPr>
            <w:tcW w:type="dxa" w:w="2253"/>
            <w:tcBorders>
              <w:top w:val="single" w:color="CCCCCC" w:sz="1"/>
              <w:left w:val="single" w:color="CCCCCC" w:sz="1"/>
              <w:bottom w:val="single" w:color="CCCCCC" w:sz="1"/>
              <w:right w:val="single" w:color="CCCCCC" w:sz="1"/>
            </w:tcBorders>
            <w:shd w:fill="1F3A4D" w:val="clear"/>
            <w:tcMar>
              <w:top w:type="dxa" w:w="80"/>
              <w:left w:type="dxa" w:w="120"/>
              <w:bottom w:type="dxa" w:w="80"/>
              <w:right w:type="dxa" w:w="120"/>
            </w:tcMar>
            <w:vAlign w:val="center"/>
          </w:tcPr>
          <w:p>
            <w:pPr>
              <w:jc w:val="left"/>
            </w:pPr>
            <w:r>
              <w:rPr>
                <w:b/>
                <w:bCs/>
                <w:color w:val="FFFFFF"/>
                <w:sz w:val="19"/>
                <w:szCs w:val="19"/>
              </w:rPr>
              <w:t xml:space="preserve">J/PR</w:t>
            </w:r>
          </w:p>
        </w:tc>
        <w:tc>
          <w:tcPr>
            <w:tcW w:type="dxa" w:w="2254"/>
            <w:tcBorders>
              <w:top w:val="single" w:color="CCCCCC" w:sz="1"/>
              <w:left w:val="single" w:color="CCCCCC" w:sz="1"/>
              <w:bottom w:val="single" w:color="CCCCCC" w:sz="1"/>
              <w:right w:val="single" w:color="CCCCCC" w:sz="1"/>
            </w:tcBorders>
            <w:shd w:fill="1F3A4D" w:val="clear"/>
            <w:tcMar>
              <w:top w:type="dxa" w:w="80"/>
              <w:left w:type="dxa" w:w="120"/>
              <w:bottom w:type="dxa" w:w="80"/>
              <w:right w:type="dxa" w:w="120"/>
            </w:tcMar>
            <w:vAlign w:val="center"/>
          </w:tcPr>
          <w:p>
            <w:pPr>
              <w:jc w:val="left"/>
            </w:pPr>
            <w:r>
              <w:rPr>
                <w:b/>
                <w:bCs/>
                <w:color w:val="FFFFFF"/>
                <w:sz w:val="19"/>
                <w:szCs w:val="19"/>
              </w:rPr>
              <w:t xml:space="preserve">Relevance Int’l</w:t>
            </w:r>
          </w:p>
        </w:tc>
      </w:tr>
      <w:tr>
        <w:tc>
          <w:tcPr>
            <w:tcW w:type="dxa" w:w="2600"/>
            <w:tcBorders>
              <w:top w:val="single" w:color="CCCCCC" w:sz="1"/>
              <w:left w:val="single" w:color="CCCCCC" w:sz="1"/>
              <w:bottom w:val="single" w:color="CCCCCC" w:sz="1"/>
              <w:right w:val="single" w:color="CCCCCC" w:sz="1"/>
            </w:tcBorders>
            <w:shd w:fill="EEF3F2" w:val="clear"/>
            <w:tcMar>
              <w:top w:type="dxa" w:w="80"/>
              <w:left w:type="dxa" w:w="120"/>
              <w:bottom w:type="dxa" w:w="80"/>
              <w:right w:type="dxa" w:w="120"/>
            </w:tcMar>
            <w:vAlign w:val="center"/>
          </w:tcPr>
          <w:p>
            <w:pPr>
              <w:jc w:val="left"/>
            </w:pPr>
            <w:r>
              <w:rPr>
                <w:b/>
                <w:bCs/>
                <w:color w:val="000000"/>
                <w:sz w:val="19"/>
                <w:szCs w:val="19"/>
              </w:rPr>
              <w:t xml:space="preserve">Breadth of services (multi-workstream)</w:t>
            </w:r>
          </w:p>
        </w:tc>
        <w:tc>
          <w:tcPr>
            <w:tcW w:type="dxa" w:w="225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19"/>
                <w:szCs w:val="19"/>
              </w:rPr>
              <w:t xml:space="preserve">PR-led; narrowest</w:t>
            </w:r>
          </w:p>
        </w:tc>
        <w:tc>
          <w:tcPr>
            <w:tcW w:type="dxa" w:w="225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19"/>
                <w:szCs w:val="19"/>
              </w:rPr>
              <w:t xml:space="preserve">PR + social + influencer + content</w:t>
            </w:r>
          </w:p>
        </w:tc>
        <w:tc>
          <w:tcPr>
            <w:tcW w:type="dxa" w:w="225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19"/>
                <w:szCs w:val="19"/>
              </w:rPr>
              <w:t xml:space="preserve">Full 360° (broadest)</w:t>
            </w:r>
          </w:p>
        </w:tc>
      </w:tr>
      <w:tr>
        <w:tc>
          <w:tcPr>
            <w:tcW w:type="dxa" w:w="2600"/>
            <w:tcBorders>
              <w:top w:val="single" w:color="CCCCCC" w:sz="1"/>
              <w:left w:val="single" w:color="CCCCCC" w:sz="1"/>
              <w:bottom w:val="single" w:color="CCCCCC" w:sz="1"/>
              <w:right w:val="single" w:color="CCCCCC" w:sz="1"/>
            </w:tcBorders>
            <w:shd w:fill="EEF3F2" w:val="clear"/>
            <w:tcMar>
              <w:top w:type="dxa" w:w="80"/>
              <w:left w:type="dxa" w:w="120"/>
              <w:bottom w:type="dxa" w:w="80"/>
              <w:right w:type="dxa" w:w="120"/>
            </w:tcMar>
            <w:vAlign w:val="center"/>
          </w:tcPr>
          <w:p>
            <w:pPr>
              <w:jc w:val="left"/>
            </w:pPr>
            <w:r>
              <w:rPr>
                <w:b/>
                <w:bCs/>
                <w:color w:val="000000"/>
                <w:sz w:val="19"/>
                <w:szCs w:val="19"/>
              </w:rPr>
              <w:t xml:space="preserve">Flexibility of scope</w:t>
            </w:r>
          </w:p>
        </w:tc>
        <w:tc>
          <w:tcPr>
            <w:tcW w:type="dxa" w:w="225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19"/>
                <w:szCs w:val="19"/>
              </w:rPr>
              <w:t xml:space="preserve">Boutique, adaptable; limited disciplines</w:t>
            </w:r>
          </w:p>
        </w:tc>
        <w:tc>
          <w:tcPr>
            <w:tcW w:type="dxa" w:w="225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19"/>
                <w:szCs w:val="19"/>
              </w:rPr>
              <w:t xml:space="preserve">Modular; many items priced separately</w:t>
            </w:r>
          </w:p>
        </w:tc>
        <w:tc>
          <w:tcPr>
            <w:tcW w:type="dxa" w:w="225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19"/>
                <w:szCs w:val="19"/>
              </w:rPr>
              <w:t xml:space="preserve">Explicitly “tailorable”; widest menu</w:t>
            </w:r>
          </w:p>
        </w:tc>
      </w:tr>
      <w:tr>
        <w:tc>
          <w:tcPr>
            <w:tcW w:type="dxa" w:w="2600"/>
            <w:tcBorders>
              <w:top w:val="single" w:color="CCCCCC" w:sz="1"/>
              <w:left w:val="single" w:color="CCCCCC" w:sz="1"/>
              <w:bottom w:val="single" w:color="CCCCCC" w:sz="1"/>
              <w:right w:val="single" w:color="CCCCCC" w:sz="1"/>
            </w:tcBorders>
            <w:shd w:fill="EEF3F2" w:val="clear"/>
            <w:tcMar>
              <w:top w:type="dxa" w:w="80"/>
              <w:left w:type="dxa" w:w="120"/>
              <w:bottom w:type="dxa" w:w="80"/>
              <w:right w:type="dxa" w:w="120"/>
            </w:tcMar>
            <w:vAlign w:val="center"/>
          </w:tcPr>
          <w:p>
            <w:pPr>
              <w:jc w:val="left"/>
            </w:pPr>
            <w:r>
              <w:rPr>
                <w:b/>
                <w:bCs/>
                <w:color w:val="000000"/>
                <w:sz w:val="19"/>
                <w:szCs w:val="19"/>
              </w:rPr>
              <w:t xml:space="preserve">Existing Tri Vananda / Montara familiarity</w:t>
            </w:r>
          </w:p>
        </w:tc>
        <w:tc>
          <w:tcPr>
            <w:tcW w:type="dxa" w:w="225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19"/>
                <w:szCs w:val="19"/>
              </w:rPr>
              <w:t xml:space="preserve">Strongest (represents Trisara)</w:t>
            </w:r>
          </w:p>
        </w:tc>
        <w:tc>
          <w:tcPr>
            <w:tcW w:type="dxa" w:w="225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19"/>
                <w:szCs w:val="19"/>
              </w:rPr>
              <w:t xml:space="preserve">Strong (Trisara in portfolio)</w:t>
            </w:r>
          </w:p>
        </w:tc>
        <w:tc>
          <w:tcPr>
            <w:tcW w:type="dxa" w:w="225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19"/>
                <w:szCs w:val="19"/>
              </w:rPr>
              <w:t xml:space="preserve">None cited</w:t>
            </w:r>
          </w:p>
        </w:tc>
      </w:tr>
      <w:tr>
        <w:tc>
          <w:tcPr>
            <w:tcW w:type="dxa" w:w="2600"/>
            <w:tcBorders>
              <w:top w:val="single" w:color="CCCCCC" w:sz="1"/>
              <w:left w:val="single" w:color="CCCCCC" w:sz="1"/>
              <w:bottom w:val="single" w:color="CCCCCC" w:sz="1"/>
              <w:right w:val="single" w:color="CCCCCC" w:sz="1"/>
            </w:tcBorders>
            <w:shd w:fill="EEF3F2" w:val="clear"/>
            <w:tcMar>
              <w:top w:type="dxa" w:w="80"/>
              <w:left w:type="dxa" w:w="120"/>
              <w:bottom w:type="dxa" w:w="80"/>
              <w:right w:type="dxa" w:w="120"/>
            </w:tcMar>
            <w:vAlign w:val="center"/>
          </w:tcPr>
          <w:p>
            <w:pPr>
              <w:jc w:val="left"/>
            </w:pPr>
            <w:r>
              <w:rPr>
                <w:b/>
                <w:bCs/>
                <w:color w:val="000000"/>
                <w:sz w:val="19"/>
                <w:szCs w:val="19"/>
              </w:rPr>
              <w:t xml:space="preserve">Wellness credentials</w:t>
            </w:r>
          </w:p>
        </w:tc>
        <w:tc>
          <w:tcPr>
            <w:tcW w:type="dxa" w:w="225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19"/>
                <w:szCs w:val="19"/>
              </w:rPr>
              <w:t xml:space="preserve">Hospitality &amp; residential</w:t>
            </w:r>
          </w:p>
        </w:tc>
        <w:tc>
          <w:tcPr>
            <w:tcW w:type="dxa" w:w="225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19"/>
                <w:szCs w:val="19"/>
              </w:rPr>
              <w:t xml:space="preserve">Deep wellness portfolio</w:t>
            </w:r>
          </w:p>
        </w:tc>
        <w:tc>
          <w:tcPr>
            <w:tcW w:type="dxa" w:w="225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19"/>
                <w:szCs w:val="19"/>
              </w:rPr>
              <w:t xml:space="preserve">Wellness-living &amp; longevity framing</w:t>
            </w:r>
          </w:p>
        </w:tc>
      </w:tr>
      <w:tr>
        <w:tc>
          <w:tcPr>
            <w:tcW w:type="dxa" w:w="2600"/>
            <w:tcBorders>
              <w:top w:val="single" w:color="CCCCCC" w:sz="1"/>
              <w:left w:val="single" w:color="CCCCCC" w:sz="1"/>
              <w:bottom w:val="single" w:color="CCCCCC" w:sz="1"/>
              <w:right w:val="single" w:color="CCCCCC" w:sz="1"/>
            </w:tcBorders>
            <w:shd w:fill="EEF3F2" w:val="clear"/>
            <w:tcMar>
              <w:top w:type="dxa" w:w="80"/>
              <w:left w:type="dxa" w:w="120"/>
              <w:bottom w:type="dxa" w:w="80"/>
              <w:right w:type="dxa" w:w="120"/>
            </w:tcMar>
            <w:vAlign w:val="center"/>
          </w:tcPr>
          <w:p>
            <w:pPr>
              <w:jc w:val="left"/>
            </w:pPr>
            <w:r>
              <w:rPr>
                <w:b/>
                <w:bCs/>
                <w:color w:val="000000"/>
                <w:sz w:val="19"/>
                <w:szCs w:val="19"/>
              </w:rPr>
              <w:t xml:space="preserve">Real-estate sales track record</w:t>
            </w:r>
          </w:p>
        </w:tc>
        <w:tc>
          <w:tcPr>
            <w:tcW w:type="dxa" w:w="225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19"/>
                <w:szCs w:val="19"/>
              </w:rPr>
              <w:t xml:space="preserve">Chablé, Brando, Armani residences</w:t>
            </w:r>
          </w:p>
        </w:tc>
        <w:tc>
          <w:tcPr>
            <w:tcW w:type="dxa" w:w="225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19"/>
                <w:szCs w:val="19"/>
              </w:rPr>
              <w:t xml:space="preserve">Velvære reservations; Shore House</w:t>
            </w:r>
          </w:p>
        </w:tc>
        <w:tc>
          <w:tcPr>
            <w:tcW w:type="dxa" w:w="225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19"/>
                <w:szCs w:val="19"/>
              </w:rPr>
              <w:t xml:space="preserve">Ellinikon &amp; Madrid sellouts (strongest)</w:t>
            </w:r>
          </w:p>
        </w:tc>
      </w:tr>
      <w:tr>
        <w:tc>
          <w:tcPr>
            <w:tcW w:type="dxa" w:w="2600"/>
            <w:tcBorders>
              <w:top w:val="single" w:color="CCCCCC" w:sz="1"/>
              <w:left w:val="single" w:color="CCCCCC" w:sz="1"/>
              <w:bottom w:val="single" w:color="CCCCCC" w:sz="1"/>
              <w:right w:val="single" w:color="CCCCCC" w:sz="1"/>
            </w:tcBorders>
            <w:shd w:fill="EEF3F2" w:val="clear"/>
            <w:tcMar>
              <w:top w:type="dxa" w:w="80"/>
              <w:left w:type="dxa" w:w="120"/>
              <w:bottom w:type="dxa" w:w="80"/>
              <w:right w:type="dxa" w:w="120"/>
            </w:tcMar>
            <w:vAlign w:val="center"/>
          </w:tcPr>
          <w:p>
            <w:pPr>
              <w:jc w:val="left"/>
            </w:pPr>
            <w:r>
              <w:rPr>
                <w:b/>
                <w:bCs/>
                <w:color w:val="000000"/>
                <w:sz w:val="19"/>
                <w:szCs w:val="19"/>
              </w:rPr>
              <w:t xml:space="preserve">Global / Asia &amp; Gulf reach</w:t>
            </w:r>
          </w:p>
        </w:tc>
        <w:tc>
          <w:tcPr>
            <w:tcW w:type="dxa" w:w="225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19"/>
                <w:szCs w:val="19"/>
              </w:rPr>
              <w:t xml:space="preserve">North America</w:t>
            </w:r>
          </w:p>
        </w:tc>
        <w:tc>
          <w:tcPr>
            <w:tcW w:type="dxa" w:w="225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19"/>
                <w:szCs w:val="19"/>
              </w:rPr>
              <w:t xml:space="preserve">U.S.-led, global reach</w:t>
            </w:r>
          </w:p>
        </w:tc>
        <w:tc>
          <w:tcPr>
            <w:tcW w:type="dxa" w:w="225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19"/>
                <w:szCs w:val="19"/>
              </w:rPr>
              <w:t xml:space="preserve">NY/London/LA/Dubai + affiliates</w:t>
            </w:r>
          </w:p>
        </w:tc>
      </w:tr>
      <w:tr>
        <w:tc>
          <w:tcPr>
            <w:tcW w:type="dxa" w:w="2600"/>
            <w:tcBorders>
              <w:top w:val="single" w:color="CCCCCC" w:sz="1"/>
              <w:left w:val="single" w:color="CCCCCC" w:sz="1"/>
              <w:bottom w:val="single" w:color="CCCCCC" w:sz="1"/>
              <w:right w:val="single" w:color="CCCCCC" w:sz="1"/>
            </w:tcBorders>
            <w:shd w:fill="EEF3F2" w:val="clear"/>
            <w:tcMar>
              <w:top w:type="dxa" w:w="80"/>
              <w:left w:type="dxa" w:w="120"/>
              <w:bottom w:type="dxa" w:w="80"/>
              <w:right w:type="dxa" w:w="120"/>
            </w:tcMar>
            <w:vAlign w:val="center"/>
          </w:tcPr>
          <w:p>
            <w:pPr>
              <w:jc w:val="left"/>
            </w:pPr>
            <w:r>
              <w:rPr>
                <w:b/>
                <w:bCs/>
                <w:color w:val="000000"/>
                <w:sz w:val="19"/>
                <w:szCs w:val="19"/>
              </w:rPr>
              <w:t xml:space="preserve">Measurement / modern (AI, influencer)</w:t>
            </w:r>
          </w:p>
        </w:tc>
        <w:tc>
          <w:tcPr>
            <w:tcW w:type="dxa" w:w="225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19"/>
                <w:szCs w:val="19"/>
              </w:rPr>
              <w:t xml:space="preserve">Quarterly; AVE</w:t>
            </w:r>
          </w:p>
        </w:tc>
        <w:tc>
          <w:tcPr>
            <w:tcW w:type="dxa" w:w="225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19"/>
                <w:szCs w:val="19"/>
              </w:rPr>
              <w:t xml:space="preserve">Meltwater + GenAI lens (most advanced)</w:t>
            </w:r>
          </w:p>
        </w:tc>
        <w:tc>
          <w:tcPr>
            <w:tcW w:type="dxa" w:w="225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19"/>
                <w:szCs w:val="19"/>
              </w:rPr>
              <w:t xml:space="preserve">KPIs, media bureau, SEO/GEO</w:t>
            </w:r>
          </w:p>
        </w:tc>
      </w:tr>
      <w:tr>
        <w:tc>
          <w:tcPr>
            <w:tcW w:type="dxa" w:w="2600"/>
            <w:tcBorders>
              <w:top w:val="single" w:color="CCCCCC" w:sz="1"/>
              <w:left w:val="single" w:color="CCCCCC" w:sz="1"/>
              <w:bottom w:val="single" w:color="CCCCCC" w:sz="1"/>
              <w:right w:val="single" w:color="CCCCCC" w:sz="1"/>
            </w:tcBorders>
            <w:shd w:fill="EEF3F2" w:val="clear"/>
            <w:tcMar>
              <w:top w:type="dxa" w:w="80"/>
              <w:left w:type="dxa" w:w="120"/>
              <w:bottom w:type="dxa" w:w="80"/>
              <w:right w:type="dxa" w:w="120"/>
            </w:tcMar>
            <w:vAlign w:val="center"/>
          </w:tcPr>
          <w:p>
            <w:pPr>
              <w:jc w:val="left"/>
            </w:pPr>
            <w:r>
              <w:rPr>
                <w:b/>
                <w:bCs/>
                <w:color w:val="000000"/>
                <w:sz w:val="19"/>
                <w:szCs w:val="19"/>
              </w:rPr>
              <w:t xml:space="preserve">Monthly cost</w:t>
            </w:r>
          </w:p>
        </w:tc>
        <w:tc>
          <w:tcPr>
            <w:tcW w:type="dxa" w:w="225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2E7D74"/>
                <w:sz w:val="19"/>
                <w:szCs w:val="19"/>
              </w:rPr>
              <w:t xml:space="preserve">$5,500 (lowest)</w:t>
            </w:r>
          </w:p>
        </w:tc>
        <w:tc>
          <w:tcPr>
            <w:tcW w:type="dxa" w:w="225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2E7D74"/>
                <w:sz w:val="19"/>
                <w:szCs w:val="19"/>
              </w:rPr>
              <w:t xml:space="preserve">$6,860</w:t>
            </w:r>
          </w:p>
        </w:tc>
        <w:tc>
          <w:tcPr>
            <w:tcW w:type="dxa" w:w="225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bCs/>
                <w:color w:val="2E7D74"/>
                <w:sz w:val="19"/>
                <w:szCs w:val="19"/>
              </w:rPr>
              <w:t xml:space="preserve">$8,000 (highest)</w:t>
            </w:r>
          </w:p>
        </w:tc>
      </w:tr>
    </w:tbl>
    <w:p>
      <w:pPr>
        <w:pStyle w:val="Heading2"/>
      </w:pPr>
      <w:r>
        <w:t xml:space="preserve">Questions the Board May Wish to Resolve</w:t>
      </w:r>
    </w:p>
    <w:p>
      <w:pPr>
        <w:pStyle w:val="ListParagraph"/>
        <w:numPr>
          <w:ilvl w:val="0"/>
          <w:numId w:val="2"/>
        </w:numPr>
        <w:spacing w:after="60" w:line="264"/>
      </w:pPr>
      <w:r>
        <w:t xml:space="preserve">How many workstreams beyond core PR (social, paid, branding, experiential, CRM) does Tri Vananda intend to run in 2026–2027 — and is a single full-service partner or a best-of-breed PR specialist preferred?</w:t>
      </w:r>
    </w:p>
    <w:p>
      <w:pPr>
        <w:pStyle w:val="ListParagraph"/>
        <w:numPr>
          <w:ilvl w:val="0"/>
          <w:numId w:val="2"/>
        </w:numPr>
        <w:spacing w:after="60" w:line="264"/>
      </w:pPr>
      <w:r>
        <w:t xml:space="preserve">How much value to place on existing Trisara/Montara familiarity (faster ramp, shared media) versus a fresh, category-defining outside perspective?</w:t>
      </w:r>
    </w:p>
    <w:p>
      <w:pPr>
        <w:pStyle w:val="ListParagraph"/>
        <w:numPr>
          <w:ilvl w:val="0"/>
          <w:numId w:val="2"/>
        </w:numPr>
        <w:spacing w:after="60" w:line="264"/>
      </w:pPr>
      <w:r>
        <w:t xml:space="preserve">What is the comfortable annualized budget once expenses, FAMs/media missions and separately-scoped items are included?</w:t>
      </w:r>
    </w:p>
    <w:p>
      <w:pPr>
        <w:pStyle w:val="ListParagraph"/>
        <w:numPr>
          <w:ilvl w:val="0"/>
          <w:numId w:val="2"/>
        </w:numPr>
        <w:spacing w:after="60" w:line="264"/>
      </w:pPr>
      <w:r>
        <w:t xml:space="preserve">Which target geographies matter most for buyers (North America vs. global incl. Asia and the Gulf), and which agency’s footprint best matches?</w:t>
      </w:r>
    </w:p>
    <w:p>
      <w:pPr>
        <w:pStyle w:val="ListParagraph"/>
        <w:numPr>
          <w:ilvl w:val="0"/>
          <w:numId w:val="2"/>
        </w:numPr>
        <w:spacing w:after="60" w:line="264"/>
      </w:pPr>
      <w:r>
        <w:t xml:space="preserve">How important is integrated AI-era measurement and influencer capability to the board’s view of “modern” PR?</w:t>
      </w:r>
    </w:p>
    <w:p>
      <w:pPr>
        <w:spacing w:after="120" w:line="276"/>
      </w:pPr>
      <w:r>
        <w:rPr>
          <w:i/>
          <w:iCs/>
          <w:color w:val="666666"/>
          <w:sz w:val="18"/>
          <w:szCs w:val="18"/>
        </w:rPr>
        <w:t xml:space="preserve">This summary reflects the content of the three submissions as written. All figures, claims and credentials are reproduced from the agencies’ own proposals and have not been independently verified.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color w:val="888888"/>
        <w:sz w:val="16"/>
        <w:szCs w:val="16"/>
      </w:rPr>
      <w:t xml:space="preserve">Tri Vananda — PR Agency Proposals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D74" w:sz="6" w:space="4"/>
      </w:pBdr>
      <w:spacing w:after="160" w:before="240"/>
      <w:outlineLvl w:val="0"/>
    </w:pPr>
    <w:rPr>
      <w:rFonts w:ascii="Arial" w:cs="Arial" w:eastAsia="Arial" w:hAnsi="Arial"/>
      <w:b/>
      <w:bCs/>
      <w:color w:val="1F3A4D"/>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D74"/>
      <w:sz w:val="24"/>
      <w:szCs w:val="24"/>
    </w:rPr>
  </w:style>
  <w:style w:type="paragraph" w:styleId="Heading3">
    <w:name w:val="Heading 3"/>
    <w:basedOn w:val="Normal"/>
    <w:next w:val="Normal"/>
    <w:qFormat/>
    <w:pPr>
      <w:spacing w:after="60" w:before="140"/>
      <w:outlineLvl w:val="2"/>
    </w:pPr>
    <w:rPr>
      <w:rFonts w:ascii="Arial" w:cs="Arial" w:eastAsia="Arial" w:hAnsi="Arial"/>
      <w:b/>
      <w:bCs/>
      <w:color w:val="9C7C38"/>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 Vananda — PR Agency Proposals Summary</dc:title>
  <dc:creator>Tri Vananda</dc:creator>
  <cp:lastModifiedBy>Un-named</cp:lastModifiedBy>
  <cp:revision>1</cp:revision>
  <dcterms:created xsi:type="dcterms:W3CDTF">2026-06-29T04:28:44.546Z</dcterms:created>
  <dcterms:modified xsi:type="dcterms:W3CDTF">2026-06-29T04:28:44.546Z</dcterms:modified>
</cp:coreProperties>
</file>

<file path=docProps/custom.xml><?xml version="1.0" encoding="utf-8"?>
<Properties xmlns="http://schemas.openxmlformats.org/officeDocument/2006/custom-properties" xmlns:vt="http://schemas.openxmlformats.org/officeDocument/2006/docPropsVTypes"/>
</file>