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A4D"/>
          <w:sz w:val="30"/>
          <w:szCs w:val="30"/>
        </w:rPr>
        <w:t xml:space="preserve">TRI VANANDA</w:t>
      </w:r>
    </w:p>
    <w:p>
      <w:pPr>
        <w:pBdr>
          <w:bottom w:val="single" w:color="9C7C38" w:sz="8" w:space="4"/>
        </w:pBdr>
        <w:spacing w:after="160"/>
      </w:pPr>
      <w:r>
        <w:rPr>
          <w:b/>
          <w:bCs/>
          <w:color w:val="9C7C38"/>
          <w:sz w:val="16"/>
          <w:szCs w:val="16"/>
        </w:rPr>
        <w:t xml:space="preserve">Confidential — Internal / Board Use Only</w:t>
      </w:r>
    </w:p>
    <w:p>
      <w:pPr>
        <w:spacing w:after="40"/>
      </w:pPr>
      <w:r>
        <w:rPr>
          <w:b/>
          <w:bCs/>
          <w:color w:val="1F3A4D"/>
          <w:sz w:val="24"/>
          <w:szCs w:val="24"/>
        </w:rPr>
        <w:t xml:space="preserve">RECOMMENDATION MEMO — PR AGENCY SELECTION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type="dxa" w:w="20"/>
              <w:bottom w:type="dxa" w:w="20"/>
            </w:tcMar>
          </w:tcPr>
          <w:p>
            <w:r>
              <w:rPr>
                <w:b/>
                <w:bCs/>
                <w:color w:val="1F3A4D"/>
                <w:sz w:val="18"/>
                <w:szCs w:val="18"/>
              </w:rPr>
              <w:t xml:space="preserve">To:</w:t>
            </w:r>
          </w:p>
        </w:tc>
        <w:tc>
          <w:tcPr>
            <w:tcW w:type="dxa" w:w="7860"/>
            <w:tcMar>
              <w:top w:type="dxa" w:w="20"/>
              <w:bottom w:type="dxa" w:w="20"/>
            </w:tcMar>
          </w:tcPr>
          <w:p>
            <w:r>
              <w:rPr>
                <w:sz w:val="18"/>
                <w:szCs w:val="18"/>
              </w:rPr>
              <w:t xml:space="preserve">Board of Directors</w:t>
            </w:r>
          </w:p>
        </w:tc>
      </w:tr>
      <w:tr>
        <w:tc>
          <w:tcPr>
            <w:tcW w:type="dxa" w:w="1500"/>
            <w:tcMar>
              <w:top w:type="dxa" w:w="20"/>
              <w:bottom w:type="dxa" w:w="20"/>
            </w:tcMar>
          </w:tcPr>
          <w:p>
            <w:r>
              <w:rPr>
                <w:b/>
                <w:bCs/>
                <w:color w:val="1F3A4D"/>
                <w:sz w:val="18"/>
                <w:szCs w:val="18"/>
              </w:rPr>
              <w:t xml:space="preserve">From:</w:t>
            </w:r>
          </w:p>
        </w:tc>
        <w:tc>
          <w:tcPr>
            <w:tcW w:type="dxa" w:w="7860"/>
            <w:tcMar>
              <w:top w:type="dxa" w:w="20"/>
              <w:bottom w:type="dxa" w:w="20"/>
            </w:tcMar>
          </w:tcPr>
          <w:p>
            <w:r>
              <w:rPr>
                <w:sz w:val="18"/>
                <w:szCs w:val="18"/>
              </w:rPr>
              <w:t xml:space="preserve">Brand &amp; Marketing</w:t>
            </w:r>
          </w:p>
        </w:tc>
      </w:tr>
      <w:tr>
        <w:tc>
          <w:tcPr>
            <w:tcW w:type="dxa" w:w="1500"/>
            <w:tcMar>
              <w:top w:type="dxa" w:w="20"/>
              <w:bottom w:type="dxa" w:w="20"/>
            </w:tcMar>
          </w:tcPr>
          <w:p>
            <w:r>
              <w:rPr>
                <w:b/>
                <w:bCs/>
                <w:color w:val="1F3A4D"/>
                <w:sz w:val="18"/>
                <w:szCs w:val="18"/>
              </w:rPr>
              <w:t xml:space="preserve">Date:</w:t>
            </w:r>
          </w:p>
        </w:tc>
        <w:tc>
          <w:tcPr>
            <w:tcW w:type="dxa" w:w="7860"/>
            <w:tcMar>
              <w:top w:type="dxa" w:w="20"/>
              <w:bottom w:type="dxa" w:w="20"/>
            </w:tcMar>
          </w:tcPr>
          <w:p>
            <w:r>
              <w:rPr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1500"/>
            <w:tcMar>
              <w:top w:type="dxa" w:w="20"/>
              <w:bottom w:type="dxa" w:w="20"/>
            </w:tcMar>
          </w:tcPr>
          <w:p>
            <w:r>
              <w:rPr>
                <w:b/>
                <w:bCs/>
                <w:color w:val="1F3A4D"/>
                <w:sz w:val="18"/>
                <w:szCs w:val="18"/>
              </w:rPr>
              <w:t xml:space="preserve">Re:</w:t>
            </w:r>
          </w:p>
        </w:tc>
        <w:tc>
          <w:tcPr>
            <w:tcW w:type="dxa" w:w="7860"/>
            <w:tcMar>
              <w:top w:type="dxa" w:w="20"/>
              <w:bottom w:type="dxa" w:w="20"/>
            </w:tcMar>
          </w:tcPr>
          <w:p>
            <w:r>
              <w:rPr>
                <w:sz w:val="18"/>
                <w:szCs w:val="18"/>
              </w:rPr>
              <w:t xml:space="preserve">Selecting a single PR partner for 2026–2027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C7C38"/>
                <w:sz w:val="16"/>
                <w:szCs w:val="16"/>
              </w:rPr>
              <w:t xml:space="preserve">RECOMMENDATION</w:t>
            </w:r>
          </w:p>
          <w:p>
            <w:pPr>
              <w:spacing w:after="0"/>
            </w:pPr>
            <w:r>
              <w:rPr>
                <w:b/>
                <w:bCs/>
                <w:color w:val="1F3A4D"/>
                <w:sz w:val="26"/>
                <w:szCs w:val="26"/>
              </w:rPr>
              <w:t xml:space="preserve">Appoint J/PR</w:t>
            </w:r>
            <w:r>
              <w:rPr>
                <w:sz w:val="20"/>
                <w:szCs w:val="20"/>
              </w:rPr>
              <w:t xml:space="preserve"> as Tri Vananda's lead PR partner for 2026–2027, with Relevance International held as the alternative should the Board choose to consolidate a wider set of marketing disciplines under one full-service agency.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Why J/PR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Best balance of breadth and fit. </w:t>
      </w:r>
      <w:r>
        <w:t xml:space="preserve">Within one PR retainer it covers media relations, social, influencer/KOL, content and brand partnerships — enough to run several initiatives across 2026–2027 (villa sales, PATAMA, Clinique La Prairie) without standing up multiple vendors.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It already knows our world. </w:t>
      </w:r>
      <w:r>
        <w:t xml:space="preserve">J/PR currently represents Trisara and holds the deepest luxury-wellness portfolio of the three, so it understands Montara's brand and the Phuket story from day one — a materially shorter ramp than a new agency.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Proven PR-to-sales conversion. </w:t>
      </w:r>
      <w:r>
        <w:t xml:space="preserve">Its Velvære (Park City) campaign produced seven villa reservations directly attributed to earned media before launch — the closest analogue to our real objective, which is selling villas rather than accumulating impressions.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Modern measurement. </w:t>
      </w:r>
      <w:r>
        <w:t xml:space="preserve">Meltwater reporting plus an AI/LLM-visibility lens and Barcelona Principles scoring give the Board credible, current accountability.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Sensible economics. </w:t>
      </w:r>
      <w:r>
        <w:t xml:space="preserve">At $6,860/month (admin, tech, monitoring and one annual media FAM included), it sits between the value and full-service options — see cost model.</w:t>
      </w:r>
    </w:p>
    <w:p>
      <w:pPr>
        <w:pStyle w:val="Heading2"/>
      </w:pPr>
      <w:r>
        <w:t xml:space="preserve">Trade-offs we accept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Some elements — media missions, ambassador programs, expanded influencer/social projects — are scoped and billed separately; we should fix an annual envelope for these at contracting.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J/PR is U.S.-led. If buyer focus shifts heavily toward Asia and the Gulf, we revisit Relevance International's global footprint (incl. Dubai).</w:t>
      </w:r>
    </w:p>
    <w:p>
      <w:pPr>
        <w:pStyle w:val="Heading2"/>
      </w:pPr>
      <w:r>
        <w:t xml:space="preserve">When the answer changes to Relevance International</w:t>
      </w:r>
    </w:p>
    <w:p>
      <w:pPr>
        <w:spacing w:after="120" w:line="276"/>
      </w:pPr>
      <w:r>
        <w:t xml:space="preserve">If the Board's intent is to consolidate well beyond PR — paid media, branding, experiential and CRM under a single roof — Relevance International is the stronger choice. It is the only true full-service 360° agency of the three, is explicitly willing to tailor scope, is genuinely global, and has the strongest record of converting real-estate awareness into sellouts (Ellinikon, Madrid). The cost is higher and it has no prior Trisara relationship, so a longer brand ramp.</w:t>
      </w:r>
    </w:p>
    <w:p>
      <w:pPr>
        <w:pStyle w:val="Heading2"/>
      </w:pPr>
      <w:r>
        <w:t xml:space="preserve">Where VKPR fits</w:t>
      </w:r>
    </w:p>
    <w:p>
      <w:pPr>
        <w:spacing w:after="120" w:line="276"/>
      </w:pPr>
      <w:r>
        <w:t xml:space="preserve">VKPR remains the value and relationship option: lowest fee, senior hands-on attention, and an existing Trisara relationship. It is the right pick only if we want a lean PR-only specialist and will handle social, influencer and creative elsewhere — which works against the “one partner, several workstreams” objective.</w:t>
      </w:r>
    </w:p>
    <w:p>
      <w:pPr>
        <w:pStyle w:val="Heading2"/>
      </w:pPr>
      <w:r>
        <w:t xml:space="preserve">Indicative cost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VKPR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J/PR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Relevance Int’l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Monthly retainer (all-in)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$5,500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$6,860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Contracted-only, 2-year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$132,800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$164,640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$192,000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All-in est., 2-year*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$282,800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2E7D74"/>
                <w:sz w:val="18"/>
                <w:szCs w:val="18"/>
              </w:rPr>
              <w:t xml:space="preserve">$314,640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$342,000</w:t>
            </w:r>
          </w:p>
        </w:tc>
      </w:tr>
    </w:tbl>
    <w:p>
      <w:pPr>
        <w:spacing w:after="120" w:line="276"/>
      </w:pPr>
      <w:r>
        <w:rPr>
          <w:i/>
          <w:iCs/>
          <w:color w:val="666666"/>
          <w:sz w:val="16"/>
          <w:szCs w:val="16"/>
        </w:rPr>
        <w:t xml:space="preserve">*All-in figures include shared planning estimates for expenses, FAMs and capability-parity add-ons; see the accompanying cost-comparison workbook, where all assumptions are editable.</w:t>
      </w:r>
    </w:p>
    <w:p>
      <w:pPr>
        <w:pStyle w:val="Heading2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Invite J/PR and Relevance International to a chemistry meeting; request the proposed account leads attend in person.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Take two references each — ideally a wellness-residential client (e.g., a Velvære-type engagement for J/PR).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Agree a capped annual envelope for separately-scoped items before signing a one-year agreement with a defined renewal review.</w:t>
      </w:r>
    </w:p>
    <w:p>
      <w:pPr>
        <w:spacing w:before="120"/>
      </w:pPr>
      <w:r>
        <w:rPr>
          <w:i/>
          <w:iCs/>
          <w:color w:val="666666"/>
          <w:sz w:val="16"/>
          <w:szCs w:val="16"/>
        </w:rPr>
        <w:t xml:space="preserve">This recommendation is based solely on the written proposals and is intended to support, not replace, the Board's deliberation.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D7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2026-06-29T05:33:00.816Z</dcterms:created>
  <dcterms:modified xsi:type="dcterms:W3CDTF">2026-06-29T05:33:00.819Z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