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left"/>
      </w:pPr>
      <w:r>
        <w:rPr>
          <w:rFonts w:ascii="Garamond" w:cs="Garamond" w:eastAsia="Garamond" w:hAnsi="Garamond"/>
          <w:b/>
          <w:bCs/>
          <w:color w:val="111111"/>
          <w:spacing w:val="200"/>
          <w:sz w:val="28"/>
          <w:szCs w:val="28"/>
        </w:rPr>
        <w:t xml:space="preserve">TRI VANANDA</w:t>
      </w:r>
    </w:p>
    <w:p>
      <w:pPr>
        <w:pBdr>
          <w:bottom w:val="single" w:color="B8B0A4" w:sz="8" w:space="6"/>
        </w:pBdr>
        <w:spacing w:after="0" w:before="40"/>
      </w:pPr>
      <w:r>
        <w:t xml:space="preserve"/>
      </w:r>
    </w:p>
    <w:p>
      <w:pPr>
        <w:spacing w:after="60" w:before="180"/>
      </w:pPr>
      <w:r>
        <w:rPr>
          <w:rFonts w:ascii="Garamond" w:cs="Garamond" w:eastAsia="Garamond" w:hAnsi="Garamond"/>
          <w:color w:val="111111"/>
          <w:sz w:val="60"/>
          <w:szCs w:val="60"/>
        </w:rPr>
        <w:t xml:space="preserve">Strategic Direction</w:t>
      </w:r>
    </w:p>
    <w:p>
      <w:pPr>
        <w:spacing w:after="120" w:before="0"/>
      </w:pPr>
      <w:r>
        <w:rPr>
          <w:rFonts w:ascii="Garamond" w:cs="Garamond" w:eastAsia="Garamond" w:hAnsi="Garamond"/>
          <w:i/>
          <w:iCs/>
          <w:color w:val="555555"/>
          <w:sz w:val="28"/>
          <w:szCs w:val="28"/>
        </w:rPr>
        <w:t xml:space="preserve">Global Wellness Summit Phuket 2026 — Brand Relaunch &amp; Industry Activation</w:t>
      </w:r>
    </w:p>
    <w:p>
      <w:pPr>
        <w:spacing w:after="60" w:before="1200"/>
      </w:pPr>
      <w:r>
        <w:rPr>
          <w:rFonts w:ascii="Garamond" w:cs="Garamond" w:eastAsia="Garamond" w:hAnsi="Garamond"/>
          <w:b/>
          <w:bCs/>
          <w:color w:val="5C6B4F"/>
          <w:spacing w:val="100"/>
          <w:sz w:val="18"/>
          <w:szCs w:val="18"/>
        </w:rPr>
        <w:t xml:space="preserve">PROPOSAL</w:t>
      </w:r>
    </w:p>
    <w:p>
      <w:pPr>
        <w:spacing w:after="60" w:before="0"/>
      </w:pPr>
      <w:r>
        <w:rPr>
          <w:rFonts w:ascii="Garamond" w:cs="Garamond" w:eastAsia="Garamond" w:hAnsi="Garamond"/>
          <w:color w:val="111111"/>
          <w:sz w:val="22"/>
          <w:szCs w:val="22"/>
        </w:rPr>
        <w:t xml:space="preserve">A single document for four audiences — Board of Directors, PR Agency, Global Wellness Summit team, and Industry Referral Partners.</w:t>
      </w:r>
    </w:p>
    <w:p>
      <w:pPr>
        <w:spacing w:after="0" w:before="800"/>
      </w:pPr>
      <w:r>
        <w:rPr>
          <w:rFonts w:ascii="Garamond" w:cs="Garamond" w:eastAsia="Garamond" w:hAnsi="Garamond"/>
          <w:b/>
          <w:bCs/>
          <w:color w:val="5C6B4F"/>
          <w:spacing w:val="100"/>
          <w:sz w:val="16"/>
          <w:szCs w:val="16"/>
        </w:rPr>
        <w:t xml:space="preserve">CLASSIFICATION</w:t>
      </w:r>
    </w:p>
    <w:p>
      <w:pPr>
        <w:spacing w:after="0" w:before="40"/>
      </w:pPr>
      <w:r>
        <w:rPr>
          <w:rFonts w:ascii="Garamond" w:cs="Garamond" w:eastAsia="Garamond" w:hAnsi="Garamond"/>
          <w:b/>
          <w:bCs/>
          <w:color w:val="111111"/>
          <w:sz w:val="22"/>
          <w:szCs w:val="22"/>
        </w:rPr>
        <w:t xml:space="preserve">INTERNAL ONLY — NOT FOR CLIENT USE</w:t>
      </w:r>
    </w:p>
    <w:p>
      <w:pPr>
        <w:spacing w:after="60" w:before="40"/>
      </w:pPr>
      <w:r>
        <w:rPr>
          <w:rFonts w:ascii="Garamond" w:cs="Garamond" w:eastAsia="Garamond" w:hAnsi="Garamond"/>
          <w:i/>
          <w:iCs/>
          <w:color w:val="555555"/>
          <w:sz w:val="18"/>
          <w:szCs w:val="18"/>
        </w:rPr>
        <w:t xml:space="preserve">Contains forward-looking masterplan elements (Open Experience, Membership Wellness Club, Wellness Retreat offerings, partner reveals) not yet announced. Distribution restricted to BOD, retained PR agency under NDA, and authorised partners.</w:t>
      </w:r>
    </w:p>
    <w:p>
      <w:pPr>
        <w:spacing w:after="0" w:before="600"/>
      </w:pPr>
      <w:r>
        <w:rPr>
          <w:rFonts w:ascii="Garamond" w:cs="Garamond" w:eastAsia="Garamond" w:hAnsi="Garamond"/>
          <w:b/>
          <w:bCs/>
          <w:color w:val="5C6B4F"/>
          <w:spacing w:val="100"/>
          <w:sz w:val="16"/>
          <w:szCs w:val="16"/>
        </w:rPr>
        <w:t xml:space="preserve">PREPARED FOR</w:t>
      </w:r>
    </w:p>
    <w:p>
      <w:pPr>
        <w:spacing w:after="0" w:before="40"/>
      </w:pPr>
      <w:r>
        <w:rPr>
          <w:rFonts w:ascii="Garamond" w:cs="Garamond" w:eastAsia="Garamond" w:hAnsi="Garamond"/>
          <w:color w:val="111111"/>
          <w:sz w:val="22"/>
          <w:szCs w:val="22"/>
        </w:rPr>
        <w:t xml:space="preserve">Tri Vananda Board of Directors — initial review. Adapted reads to follow for PR agency, GWS team, and industry partners.</w:t>
      </w:r>
    </w:p>
    <w:p>
      <w:r>
        <w:br w:type="page"/>
      </w:r>
    </w:p>
    <w:p>
      <w:pPr>
        <w:pStyle w:val="Heading1"/>
        <w:spacing w:after="160" w:before="360"/>
      </w:pPr>
      <w:r>
        <w:rPr>
          <w:rFonts w:ascii="Garamond" w:cs="Garamond" w:eastAsia="Garamond" w:hAnsi="Garamond"/>
          <w:b w:val="false"/>
          <w:bCs w:val="false"/>
          <w:color w:val="111111"/>
          <w:sz w:val="36"/>
          <w:szCs w:val="36"/>
        </w:rPr>
        <w:t xml:space="preserve">Contents</w:t>
      </w:r>
    </w:p>
    <w:p>
      <w:pPr>
        <w:pBdr>
          <w:bottom w:val="single" w:color="B8B0A4" w:sz="6" w:space="1"/>
        </w:pBdr>
        <w:spacing w:after="120" w:before="120"/>
      </w:pPr>
      <w:r>
        <w:t xml:space="preserve"/>
      </w:r>
    </w:p>
    <w:p>
      <w:pPr>
        <w:tabs>
          <w:tab w:val="right" w:pos="9026"/>
        </w:tabs>
        <w:spacing w:after="40" w:before="80"/>
      </w:pPr>
      <w:r>
        <w:rPr>
          <w:rFonts w:ascii="Garamond" w:cs="Garamond" w:eastAsia="Garamond" w:hAnsi="Garamond"/>
          <w:b/>
          <w:bCs/>
          <w:color w:val="5C6B4F"/>
          <w:sz w:val="22"/>
          <w:szCs w:val="22"/>
        </w:rPr>
        <w:t xml:space="preserve">I.	</w:t>
      </w:r>
      <w:r>
        <w:rPr>
          <w:rFonts w:ascii="Garamond" w:cs="Garamond" w:eastAsia="Garamond" w:hAnsi="Garamond"/>
          <w:color w:val="111111"/>
          <w:sz w:val="22"/>
          <w:szCs w:val="22"/>
        </w:rPr>
        <w:t xml:space="preserve">Executive Summary</w:t>
      </w:r>
      <w:r>
        <w:rPr>
          <w:rFonts w:ascii="Garamond" w:cs="Garamond" w:eastAsia="Garamond" w:hAnsi="Garamond"/>
          <w:i/>
          <w:iCs/>
          <w:color w:val="555555"/>
          <w:sz w:val="20"/>
          <w:szCs w:val="20"/>
        </w:rPr>
        <w:t xml:space="preserve">	p. 3</w:t>
      </w:r>
    </w:p>
    <w:p>
      <w:pPr>
        <w:tabs>
          <w:tab w:val="right" w:pos="9026"/>
        </w:tabs>
        <w:spacing w:after="40" w:before="80"/>
      </w:pPr>
      <w:r>
        <w:rPr>
          <w:rFonts w:ascii="Garamond" w:cs="Garamond" w:eastAsia="Garamond" w:hAnsi="Garamond"/>
          <w:b/>
          <w:bCs/>
          <w:color w:val="5C6B4F"/>
          <w:sz w:val="22"/>
          <w:szCs w:val="22"/>
        </w:rPr>
        <w:t xml:space="preserve">II.	</w:t>
      </w:r>
      <w:r>
        <w:rPr>
          <w:rFonts w:ascii="Garamond" w:cs="Garamond" w:eastAsia="Garamond" w:hAnsi="Garamond"/>
          <w:color w:val="111111"/>
          <w:sz w:val="22"/>
          <w:szCs w:val="22"/>
        </w:rPr>
        <w:t xml:space="preserve">The Strategic Moment</w:t>
      </w:r>
      <w:r>
        <w:rPr>
          <w:rFonts w:ascii="Garamond" w:cs="Garamond" w:eastAsia="Garamond" w:hAnsi="Garamond"/>
          <w:i/>
          <w:iCs/>
          <w:color w:val="555555"/>
          <w:sz w:val="20"/>
          <w:szCs w:val="20"/>
        </w:rPr>
        <w:t xml:space="preserve">	p. 4</w:t>
      </w:r>
    </w:p>
    <w:p>
      <w:pPr>
        <w:tabs>
          <w:tab w:val="right" w:pos="9026"/>
        </w:tabs>
        <w:spacing w:after="40" w:before="80"/>
      </w:pPr>
      <w:r>
        <w:rPr>
          <w:rFonts w:ascii="Garamond" w:cs="Garamond" w:eastAsia="Garamond" w:hAnsi="Garamond"/>
          <w:b/>
          <w:bCs/>
          <w:color w:val="5C6B4F"/>
          <w:sz w:val="22"/>
          <w:szCs w:val="22"/>
        </w:rPr>
        <w:t xml:space="preserve">III.	</w:t>
      </w:r>
      <w:r>
        <w:rPr>
          <w:rFonts w:ascii="Garamond" w:cs="Garamond" w:eastAsia="Garamond" w:hAnsi="Garamond"/>
          <w:color w:val="111111"/>
          <w:sz w:val="22"/>
          <w:szCs w:val="22"/>
        </w:rPr>
        <w:t xml:space="preserve">Positioning Thesis — Top-of-Mind Multigenerational Wellness Living</w:t>
      </w:r>
      <w:r>
        <w:rPr>
          <w:rFonts w:ascii="Garamond" w:cs="Garamond" w:eastAsia="Garamond" w:hAnsi="Garamond"/>
          <w:i/>
          <w:iCs/>
          <w:color w:val="555555"/>
          <w:sz w:val="20"/>
          <w:szCs w:val="20"/>
        </w:rPr>
        <w:t xml:space="preserve">	p. 6</w:t>
      </w:r>
    </w:p>
    <w:p>
      <w:pPr>
        <w:tabs>
          <w:tab w:val="right" w:pos="9026"/>
        </w:tabs>
        <w:spacing w:after="40" w:before="80"/>
      </w:pPr>
      <w:r>
        <w:rPr>
          <w:rFonts w:ascii="Garamond" w:cs="Garamond" w:eastAsia="Garamond" w:hAnsi="Garamond"/>
          <w:b/>
          <w:bCs/>
          <w:color w:val="5C6B4F"/>
          <w:sz w:val="22"/>
          <w:szCs w:val="22"/>
        </w:rPr>
        <w:t xml:space="preserve">IV.	</w:t>
      </w:r>
      <w:r>
        <w:rPr>
          <w:rFonts w:ascii="Garamond" w:cs="Garamond" w:eastAsia="Garamond" w:hAnsi="Garamond"/>
          <w:color w:val="111111"/>
          <w:sz w:val="22"/>
          <w:szCs w:val="22"/>
        </w:rPr>
        <w:t xml:space="preserve">The Complete Tri Vananda Ecosystem — A Reveal Arc, Not a List</w:t>
      </w:r>
      <w:r>
        <w:rPr>
          <w:rFonts w:ascii="Garamond" w:cs="Garamond" w:eastAsia="Garamond" w:hAnsi="Garamond"/>
          <w:i/>
          <w:iCs/>
          <w:color w:val="555555"/>
          <w:sz w:val="20"/>
          <w:szCs w:val="20"/>
        </w:rPr>
        <w:t xml:space="preserve">	p. 8</w:t>
      </w:r>
    </w:p>
    <w:p>
      <w:pPr>
        <w:tabs>
          <w:tab w:val="right" w:pos="9026"/>
        </w:tabs>
        <w:spacing w:after="40" w:before="80"/>
      </w:pPr>
      <w:r>
        <w:rPr>
          <w:rFonts w:ascii="Garamond" w:cs="Garamond" w:eastAsia="Garamond" w:hAnsi="Garamond"/>
          <w:b/>
          <w:bCs/>
          <w:color w:val="5C6B4F"/>
          <w:sz w:val="22"/>
          <w:szCs w:val="22"/>
        </w:rPr>
        <w:t xml:space="preserve">V.	</w:t>
      </w:r>
      <w:r>
        <w:rPr>
          <w:rFonts w:ascii="Garamond" w:cs="Garamond" w:eastAsia="Garamond" w:hAnsi="Garamond"/>
          <w:color w:val="111111"/>
          <w:sz w:val="22"/>
          <w:szCs w:val="22"/>
        </w:rPr>
        <w:t xml:space="preserve">The GWS Phuket 2026 Play</w:t>
      </w:r>
      <w:r>
        <w:rPr>
          <w:rFonts w:ascii="Garamond" w:cs="Garamond" w:eastAsia="Garamond" w:hAnsi="Garamond"/>
          <w:i/>
          <w:iCs/>
          <w:color w:val="555555"/>
          <w:sz w:val="20"/>
          <w:szCs w:val="20"/>
        </w:rPr>
        <w:t xml:space="preserve">	p. 10</w:t>
      </w:r>
    </w:p>
    <w:p>
      <w:pPr>
        <w:tabs>
          <w:tab w:val="right" w:pos="9026"/>
        </w:tabs>
        <w:spacing w:after="40" w:before="80"/>
      </w:pPr>
      <w:r>
        <w:rPr>
          <w:rFonts w:ascii="Garamond" w:cs="Garamond" w:eastAsia="Garamond" w:hAnsi="Garamond"/>
          <w:b/>
          <w:bCs/>
          <w:color w:val="5C6B4F"/>
          <w:sz w:val="22"/>
          <w:szCs w:val="22"/>
        </w:rPr>
        <w:t xml:space="preserve">VI.	</w:t>
      </w:r>
      <w:r>
        <w:rPr>
          <w:rFonts w:ascii="Garamond" w:cs="Garamond" w:eastAsia="Garamond" w:hAnsi="Garamond"/>
          <w:color w:val="111111"/>
          <w:sz w:val="22"/>
          <w:szCs w:val="22"/>
        </w:rPr>
        <w:t xml:space="preserve">Collaboration Ask — A Proposal for the GWS Team</w:t>
      </w:r>
      <w:r>
        <w:rPr>
          <w:rFonts w:ascii="Garamond" w:cs="Garamond" w:eastAsia="Garamond" w:hAnsi="Garamond"/>
          <w:i/>
          <w:iCs/>
          <w:color w:val="555555"/>
          <w:sz w:val="20"/>
          <w:szCs w:val="20"/>
        </w:rPr>
        <w:t xml:space="preserve">	p. 12</w:t>
      </w:r>
    </w:p>
    <w:p>
      <w:pPr>
        <w:tabs>
          <w:tab w:val="right" w:pos="9026"/>
        </w:tabs>
        <w:spacing w:after="40" w:before="80"/>
      </w:pPr>
      <w:r>
        <w:rPr>
          <w:rFonts w:ascii="Garamond" w:cs="Garamond" w:eastAsia="Garamond" w:hAnsi="Garamond"/>
          <w:b/>
          <w:bCs/>
          <w:color w:val="5C6B4F"/>
          <w:sz w:val="22"/>
          <w:szCs w:val="22"/>
        </w:rPr>
        <w:t xml:space="preserve">VII.	</w:t>
      </w:r>
      <w:r>
        <w:rPr>
          <w:rFonts w:ascii="Garamond" w:cs="Garamond" w:eastAsia="Garamond" w:hAnsi="Garamond"/>
          <w:color w:val="111111"/>
          <w:sz w:val="22"/>
          <w:szCs w:val="22"/>
        </w:rPr>
        <w:t xml:space="preserve">The B2B Industry Referral Architecture (4% Commission)</w:t>
      </w:r>
      <w:r>
        <w:rPr>
          <w:rFonts w:ascii="Garamond" w:cs="Garamond" w:eastAsia="Garamond" w:hAnsi="Garamond"/>
          <w:i/>
          <w:iCs/>
          <w:color w:val="555555"/>
          <w:sz w:val="20"/>
          <w:szCs w:val="20"/>
        </w:rPr>
        <w:t xml:space="preserve">	p. 13</w:t>
      </w:r>
    </w:p>
    <w:p>
      <w:pPr>
        <w:tabs>
          <w:tab w:val="right" w:pos="9026"/>
        </w:tabs>
        <w:spacing w:after="40" w:before="80"/>
      </w:pPr>
      <w:r>
        <w:rPr>
          <w:rFonts w:ascii="Garamond" w:cs="Garamond" w:eastAsia="Garamond" w:hAnsi="Garamond"/>
          <w:b/>
          <w:bCs/>
          <w:color w:val="5C6B4F"/>
          <w:sz w:val="22"/>
          <w:szCs w:val="22"/>
        </w:rPr>
        <w:t xml:space="preserve">VIII.	</w:t>
      </w:r>
      <w:r>
        <w:rPr>
          <w:rFonts w:ascii="Garamond" w:cs="Garamond" w:eastAsia="Garamond" w:hAnsi="Garamond"/>
          <w:color w:val="111111"/>
          <w:sz w:val="22"/>
          <w:szCs w:val="22"/>
        </w:rPr>
        <w:t xml:space="preserve">PR &amp; Press Relaunch Strategy</w:t>
      </w:r>
      <w:r>
        <w:rPr>
          <w:rFonts w:ascii="Garamond" w:cs="Garamond" w:eastAsia="Garamond" w:hAnsi="Garamond"/>
          <w:i/>
          <w:iCs/>
          <w:color w:val="555555"/>
          <w:sz w:val="20"/>
          <w:szCs w:val="20"/>
        </w:rPr>
        <w:t xml:space="preserve">	p. 15</w:t>
      </w:r>
    </w:p>
    <w:p>
      <w:pPr>
        <w:tabs>
          <w:tab w:val="right" w:pos="9026"/>
        </w:tabs>
        <w:spacing w:after="40" w:before="80"/>
      </w:pPr>
      <w:r>
        <w:rPr>
          <w:rFonts w:ascii="Garamond" w:cs="Garamond" w:eastAsia="Garamond" w:hAnsi="Garamond"/>
          <w:b/>
          <w:bCs/>
          <w:color w:val="5C6B4F"/>
          <w:sz w:val="22"/>
          <w:szCs w:val="22"/>
        </w:rPr>
        <w:t xml:space="preserve">IX.	</w:t>
      </w:r>
      <w:r>
        <w:rPr>
          <w:rFonts w:ascii="Garamond" w:cs="Garamond" w:eastAsia="Garamond" w:hAnsi="Garamond"/>
          <w:color w:val="111111"/>
          <w:sz w:val="22"/>
          <w:szCs w:val="22"/>
        </w:rPr>
        <w:t xml:space="preserve">One Proposal, Four Reads</w:t>
      </w:r>
      <w:r>
        <w:rPr>
          <w:rFonts w:ascii="Garamond" w:cs="Garamond" w:eastAsia="Garamond" w:hAnsi="Garamond"/>
          <w:i/>
          <w:iCs/>
          <w:color w:val="555555"/>
          <w:sz w:val="20"/>
          <w:szCs w:val="20"/>
        </w:rPr>
        <w:t xml:space="preserve">	p. 17</w:t>
      </w:r>
    </w:p>
    <w:p>
      <w:pPr>
        <w:tabs>
          <w:tab w:val="right" w:pos="9026"/>
        </w:tabs>
        <w:spacing w:after="40" w:before="80"/>
      </w:pPr>
      <w:r>
        <w:rPr>
          <w:rFonts w:ascii="Garamond" w:cs="Garamond" w:eastAsia="Garamond" w:hAnsi="Garamond"/>
          <w:b/>
          <w:bCs/>
          <w:color w:val="5C6B4F"/>
          <w:sz w:val="22"/>
          <w:szCs w:val="22"/>
        </w:rPr>
        <w:t xml:space="preserve">X.	</w:t>
      </w:r>
      <w:r>
        <w:rPr>
          <w:rFonts w:ascii="Garamond" w:cs="Garamond" w:eastAsia="Garamond" w:hAnsi="Garamond"/>
          <w:color w:val="111111"/>
          <w:sz w:val="22"/>
          <w:szCs w:val="22"/>
        </w:rPr>
        <w:t xml:space="preserve">Phasing &amp; Timeline</w:t>
      </w:r>
      <w:r>
        <w:rPr>
          <w:rFonts w:ascii="Garamond" w:cs="Garamond" w:eastAsia="Garamond" w:hAnsi="Garamond"/>
          <w:i/>
          <w:iCs/>
          <w:color w:val="555555"/>
          <w:sz w:val="20"/>
          <w:szCs w:val="20"/>
        </w:rPr>
        <w:t xml:space="preserve">	p. 19</w:t>
      </w:r>
    </w:p>
    <w:p>
      <w:pPr>
        <w:tabs>
          <w:tab w:val="right" w:pos="9026"/>
        </w:tabs>
        <w:spacing w:after="40" w:before="80"/>
      </w:pPr>
      <w:r>
        <w:rPr>
          <w:rFonts w:ascii="Garamond" w:cs="Garamond" w:eastAsia="Garamond" w:hAnsi="Garamond"/>
          <w:b/>
          <w:bCs/>
          <w:color w:val="5C6B4F"/>
          <w:sz w:val="22"/>
          <w:szCs w:val="22"/>
        </w:rPr>
        <w:t xml:space="preserve">XI.	</w:t>
      </w:r>
      <w:r>
        <w:rPr>
          <w:rFonts w:ascii="Garamond" w:cs="Garamond" w:eastAsia="Garamond" w:hAnsi="Garamond"/>
          <w:color w:val="111111"/>
          <w:sz w:val="22"/>
          <w:szCs w:val="22"/>
        </w:rPr>
        <w:t xml:space="preserve">Success Measures</w:t>
      </w:r>
      <w:r>
        <w:rPr>
          <w:rFonts w:ascii="Garamond" w:cs="Garamond" w:eastAsia="Garamond" w:hAnsi="Garamond"/>
          <w:i/>
          <w:iCs/>
          <w:color w:val="555555"/>
          <w:sz w:val="20"/>
          <w:szCs w:val="20"/>
        </w:rPr>
        <w:t xml:space="preserve">	p. 20</w:t>
      </w:r>
    </w:p>
    <w:p>
      <w:pPr>
        <w:tabs>
          <w:tab w:val="right" w:pos="9026"/>
        </w:tabs>
        <w:spacing w:after="40" w:before="80"/>
      </w:pPr>
      <w:r>
        <w:rPr>
          <w:rFonts w:ascii="Garamond" w:cs="Garamond" w:eastAsia="Garamond" w:hAnsi="Garamond"/>
          <w:b/>
          <w:bCs/>
          <w:color w:val="5C6B4F"/>
          <w:sz w:val="22"/>
          <w:szCs w:val="22"/>
        </w:rPr>
        <w:t xml:space="preserve">XII.	</w:t>
      </w:r>
      <w:r>
        <w:rPr>
          <w:rFonts w:ascii="Garamond" w:cs="Garamond" w:eastAsia="Garamond" w:hAnsi="Garamond"/>
          <w:color w:val="111111"/>
          <w:sz w:val="22"/>
          <w:szCs w:val="22"/>
        </w:rPr>
        <w:t xml:space="preserve">Decisions Required from the Board</w:t>
      </w:r>
      <w:r>
        <w:rPr>
          <w:rFonts w:ascii="Garamond" w:cs="Garamond" w:eastAsia="Garamond" w:hAnsi="Garamond"/>
          <w:i/>
          <w:iCs/>
          <w:color w:val="555555"/>
          <w:sz w:val="20"/>
          <w:szCs w:val="20"/>
        </w:rPr>
        <w:t xml:space="preserve">	p. 21</w:t>
      </w:r>
    </w:p>
    <w:p>
      <w:r>
        <w:br w:type="page"/>
      </w:r>
    </w:p>
    <w:p>
      <w:pPr>
        <w:spacing w:after="40" w:before="80"/>
      </w:pPr>
      <w:r>
        <w:rPr>
          <w:rFonts w:ascii="Garamond" w:cs="Garamond" w:eastAsia="Garamond" w:hAnsi="Garamond"/>
          <w:b/>
          <w:bCs/>
          <w:color w:val="5C6B4F"/>
          <w:spacing w:val="60"/>
          <w:sz w:val="18"/>
          <w:szCs w:val="18"/>
        </w:rPr>
        <w:t xml:space="preserve">I.</w:t>
      </w:r>
    </w:p>
    <w:p>
      <w:pPr>
        <w:pStyle w:val="Heading1"/>
        <w:spacing w:after="160" w:before="360"/>
      </w:pPr>
      <w:r>
        <w:rPr>
          <w:rFonts w:ascii="Garamond" w:cs="Garamond" w:eastAsia="Garamond" w:hAnsi="Garamond"/>
          <w:b w:val="false"/>
          <w:bCs w:val="false"/>
          <w:color w:val="111111"/>
          <w:sz w:val="36"/>
          <w:szCs w:val="36"/>
        </w:rPr>
        <w:t xml:space="preserve">Executive Summary</w:t>
      </w:r>
    </w:p>
    <w:p>
      <w:pPr>
        <w:pBdr>
          <w:bottom w:val="single" w:color="B8B0A4" w:sz="6" w:space="1"/>
        </w:pBdr>
        <w:spacing w:after="120" w:before="120"/>
      </w:pPr>
      <w:r>
        <w:t xml:space="preserve"/>
      </w:r>
    </w:p>
    <w:p>
      <w:pPr>
        <w:spacing w:after="200" w:before="80" w:line="340"/>
      </w:pPr>
      <w:r>
        <w:rPr>
          <w:rFonts w:ascii="Garamond" w:cs="Garamond" w:eastAsia="Garamond" w:hAnsi="Garamond"/>
          <w:i/>
          <w:iCs/>
          <w:color w:val="111111"/>
          <w:sz w:val="26"/>
          <w:szCs w:val="26"/>
        </w:rPr>
        <w:t xml:space="preserve">The Global Wellness Summit comes to Phuket in October 2026. The most influential names in global wellness will sit, for one week, on our doorstep. We will not try to sell them villas. We will recruit them as the people who do.</w:t>
      </w:r>
    </w:p>
    <w:p>
      <w:pPr>
        <w:pStyle w:val="Heading3"/>
        <w:spacing w:after="80" w:before="180"/>
      </w:pPr>
      <w:r>
        <w:rPr>
          <w:rFonts w:ascii="Garamond" w:cs="Garamond" w:eastAsia="Garamond" w:hAnsi="Garamond"/>
          <w:b/>
          <w:bCs/>
          <w:color w:val="111111"/>
          <w:sz w:val="20"/>
          <w:szCs w:val="20"/>
        </w:rPr>
        <w:t xml:space="preserve">THE STRATEGIC MOVE</w:t>
      </w:r>
    </w:p>
    <w:p>
      <w:pPr>
        <w:spacing w:after="120" w:before="60" w:line="320"/>
        <w:jc w:val="left"/>
      </w:pPr>
      <w:r>
        <w:rPr>
          <w:rFonts w:ascii="Garamond" w:cs="Garamond" w:eastAsia="Garamond" w:hAnsi="Garamond"/>
          <w:b w:val="false"/>
          <w:bCs w:val="false"/>
          <w:i w:val="false"/>
          <w:iCs w:val="false"/>
          <w:color w:val="111111"/>
          <w:sz w:val="22"/>
          <w:szCs w:val="22"/>
        </w:rPr>
        <w:t xml:space="preserve">Tri Vananda will use the Summit period to relaunch as the top-of-mind luxury wellness lifestyle brand for multigenerational living in Thailand — not as a villa development with wellness amenities, but as a complete wellness institution where residence is one of several ways to belong. The Clinique La Prairie Health Resort opening anchors the relaunch, but it is the first reveal in a sequenced unfold of the masterplan, not the headline.</w:t>
      </w:r>
    </w:p>
    <w:p>
      <w:pPr>
        <w:pStyle w:val="Heading3"/>
        <w:spacing w:after="80" w:before="180"/>
      </w:pPr>
      <w:r>
        <w:rPr>
          <w:rFonts w:ascii="Garamond" w:cs="Garamond" w:eastAsia="Garamond" w:hAnsi="Garamond"/>
          <w:b/>
          <w:bCs/>
          <w:color w:val="111111"/>
          <w:sz w:val="20"/>
          <w:szCs w:val="20"/>
        </w:rPr>
        <w:t xml:space="preserve">THE STRATEGIC ASK OF GWS</w:t>
      </w:r>
    </w:p>
    <w:p>
      <w:pPr>
        <w:spacing w:after="120" w:before="60" w:line="320"/>
        <w:jc w:val="left"/>
      </w:pPr>
      <w:r>
        <w:rPr>
          <w:rFonts w:ascii="Garamond" w:cs="Garamond" w:eastAsia="Garamond" w:hAnsi="Garamond"/>
          <w:b w:val="false"/>
          <w:bCs w:val="false"/>
          <w:i w:val="false"/>
          <w:iCs w:val="false"/>
          <w:color w:val="111111"/>
          <w:sz w:val="22"/>
          <w:szCs w:val="22"/>
        </w:rPr>
        <w:t xml:space="preserve">We will not buy our way onto the Summit floor as another sponsor. We will propose a collaboration scheme — host venue moments, cultural programming, and an industry-only access programme — that gives the GWS audience something they cannot get from a sponsor booth: a real building, a real chef, a real chief medical officer, a real masterplan unfolding in front of them.</w:t>
      </w:r>
    </w:p>
    <w:p>
      <w:pPr>
        <w:pStyle w:val="Heading3"/>
        <w:spacing w:after="80" w:before="180"/>
      </w:pPr>
      <w:r>
        <w:rPr>
          <w:rFonts w:ascii="Garamond" w:cs="Garamond" w:eastAsia="Garamond" w:hAnsi="Garamond"/>
          <w:b/>
          <w:bCs/>
          <w:color w:val="111111"/>
          <w:sz w:val="20"/>
          <w:szCs w:val="20"/>
        </w:rPr>
        <w:t xml:space="preserve">THE COMMERCIAL MECHANISM</w:t>
      </w:r>
    </w:p>
    <w:p>
      <w:pPr>
        <w:spacing w:after="120" w:before="60" w:line="320"/>
        <w:jc w:val="left"/>
      </w:pPr>
      <w:r>
        <w:rPr>
          <w:rFonts w:ascii="Garamond" w:cs="Garamond" w:eastAsia="Garamond" w:hAnsi="Garamond"/>
          <w:b w:val="false"/>
          <w:bCs w:val="false"/>
          <w:i w:val="false"/>
          <w:iCs w:val="false"/>
          <w:color w:val="111111"/>
          <w:sz w:val="22"/>
          <w:szCs w:val="22"/>
        </w:rPr>
        <w:t xml:space="preserve">The summit room is B2B. They are not buyers — they are the people whose clients are. We will activate a structured industry referral programme at a 4% commission, supported by a credentialed access pack, a clear qualification framework, and a post-Summit engagement track. The objective is not to walk away with sold villas. It is to walk away with 200+ qualified industry voices who can place Tri Vananda inside the right conversations for the next 24 months.</w:t>
      </w:r>
    </w:p>
    <w:p>
      <w:pPr>
        <w:pStyle w:val="Heading3"/>
        <w:spacing w:after="80" w:before="180"/>
      </w:pPr>
      <w:r>
        <w:rPr>
          <w:rFonts w:ascii="Garamond" w:cs="Garamond" w:eastAsia="Garamond" w:hAnsi="Garamond"/>
          <w:b/>
          <w:bCs/>
          <w:color w:val="111111"/>
          <w:sz w:val="20"/>
          <w:szCs w:val="20"/>
        </w:rPr>
        <w:t xml:space="preserve">THE BRAND MECHANISM</w:t>
      </w:r>
    </w:p>
    <w:p>
      <w:pPr>
        <w:spacing w:after="120" w:before="60" w:line="320"/>
        <w:jc w:val="left"/>
      </w:pPr>
      <w:r>
        <w:rPr>
          <w:rFonts w:ascii="Garamond" w:cs="Garamond" w:eastAsia="Garamond" w:hAnsi="Garamond"/>
          <w:b w:val="false"/>
          <w:bCs w:val="false"/>
          <w:i w:val="false"/>
          <w:iCs w:val="false"/>
          <w:color w:val="111111"/>
          <w:sz w:val="22"/>
          <w:szCs w:val="22"/>
        </w:rPr>
        <w:t xml:space="preserve">The relaunch will be led by a single, world-class PR partner. Their brief is not coverage. Their brief is to construct a category — Multigenerational Wellness Living — and place Tri Vananda at the centre of it. Coverage follows category. Sales follow coverage.</w:t>
      </w:r>
    </w:p>
    <w:p>
      <w:pPr>
        <w:pStyle w:val="Heading3"/>
        <w:spacing w:after="80" w:before="180"/>
      </w:pPr>
      <w:r>
        <w:rPr>
          <w:rFonts w:ascii="Garamond" w:cs="Garamond" w:eastAsia="Garamond" w:hAnsi="Garamond"/>
          <w:b/>
          <w:bCs/>
          <w:color w:val="111111"/>
          <w:sz w:val="20"/>
          <w:szCs w:val="20"/>
        </w:rPr>
        <w:t xml:space="preserve">WHAT WE ARE ASKING THE BOARD TO APPROVE</w:t>
      </w:r>
    </w:p>
    <w:p>
      <w:pPr>
        <w:spacing w:after="120" w:before="60" w:line="320"/>
        <w:jc w:val="left"/>
      </w:pPr>
      <w:r>
        <w:rPr>
          <w:rFonts w:ascii="Garamond" w:cs="Garamond" w:eastAsia="Garamond" w:hAnsi="Garamond"/>
          <w:b w:val="false"/>
          <w:bCs w:val="false"/>
          <w:i w:val="false"/>
          <w:iCs w:val="false"/>
          <w:color w:val="111111"/>
          <w:sz w:val="22"/>
          <w:szCs w:val="22"/>
        </w:rPr>
        <w:t xml:space="preserve">An integrated activation plan covering: (1) the GWS collaboration scheme, (2) the brand relaunch and PR retainer, (3) the industry referral programme and its commercial terms, and (4) the sequenced reveal of the masterplan including the Health Resort opening, the Open Experience, the Membership Wellness Club, and the Wellness Retreat offering. Decision points are listed in Section XII.</w:t>
      </w:r>
    </w:p>
    <w:p>
      <w:r>
        <w:br w:type="page"/>
      </w:r>
    </w:p>
    <w:p>
      <w:pPr>
        <w:spacing w:after="40" w:before="80"/>
      </w:pPr>
      <w:r>
        <w:rPr>
          <w:rFonts w:ascii="Garamond" w:cs="Garamond" w:eastAsia="Garamond" w:hAnsi="Garamond"/>
          <w:b/>
          <w:bCs/>
          <w:color w:val="5C6B4F"/>
          <w:spacing w:val="60"/>
          <w:sz w:val="18"/>
          <w:szCs w:val="18"/>
        </w:rPr>
        <w:t xml:space="preserve">II.</w:t>
      </w:r>
    </w:p>
    <w:p>
      <w:pPr>
        <w:pStyle w:val="Heading1"/>
        <w:spacing w:after="160" w:before="360"/>
      </w:pPr>
      <w:r>
        <w:rPr>
          <w:rFonts w:ascii="Garamond" w:cs="Garamond" w:eastAsia="Garamond" w:hAnsi="Garamond"/>
          <w:b w:val="false"/>
          <w:bCs w:val="false"/>
          <w:color w:val="111111"/>
          <w:sz w:val="36"/>
          <w:szCs w:val="36"/>
        </w:rPr>
        <w:t xml:space="preserve">The Strategic Moment</w:t>
      </w:r>
    </w:p>
    <w:p>
      <w:pPr>
        <w:pBdr>
          <w:bottom w:val="single" w:color="B8B0A4" w:sz="6" w:space="1"/>
        </w:pBdr>
        <w:spacing w:after="120" w:before="120"/>
      </w:pPr>
      <w:r>
        <w:t xml:space="preserve"/>
      </w:r>
    </w:p>
    <w:p>
      <w:pPr>
        <w:pStyle w:val="Heading2"/>
        <w:spacing w:after="120" w:before="240"/>
      </w:pPr>
      <w:r>
        <w:rPr>
          <w:rFonts w:ascii="Garamond" w:cs="Garamond" w:eastAsia="Garamond" w:hAnsi="Garamond"/>
          <w:b w:val="false"/>
          <w:bCs w:val="false"/>
          <w:color w:val="5C6B4F"/>
          <w:sz w:val="28"/>
          <w:szCs w:val="28"/>
        </w:rPr>
        <w:t xml:space="preserve">Where Tri Vananda is today</w:t>
      </w:r>
    </w:p>
    <w:p>
      <w:pPr>
        <w:spacing w:after="120" w:before="60" w:line="320"/>
        <w:jc w:val="left"/>
      </w:pPr>
      <w:r>
        <w:rPr>
          <w:rFonts w:ascii="Garamond" w:cs="Garamond" w:eastAsia="Garamond" w:hAnsi="Garamond"/>
          <w:b w:val="false"/>
          <w:bCs w:val="false"/>
          <w:i w:val="false"/>
          <w:iCs w:val="false"/>
          <w:color w:val="111111"/>
          <w:sz w:val="22"/>
          <w:szCs w:val="22"/>
        </w:rPr>
        <w:t xml:space="preserve">Tri Vananda is well-known among Thailand-based luxury buyers as a residential community in Phuket with serious architectural and landscape ambition. It is less well-known as a wellness brand. Awareness sits behind product reality — and product reality is about to take a substantial step forward.</w:t>
      </w:r>
    </w:p>
    <w:p>
      <w:pPr>
        <w:pStyle w:val="Heading2"/>
        <w:spacing w:after="120" w:before="240"/>
      </w:pPr>
      <w:r>
        <w:rPr>
          <w:rFonts w:ascii="Garamond" w:cs="Garamond" w:eastAsia="Garamond" w:hAnsi="Garamond"/>
          <w:b w:val="false"/>
          <w:bCs w:val="false"/>
          <w:color w:val="5C6B4F"/>
          <w:sz w:val="28"/>
          <w:szCs w:val="28"/>
        </w:rPr>
        <w:t xml:space="preserve">What changes in the next twelve months</w:t>
      </w:r>
    </w:p>
    <w:p>
      <w:pPr>
        <w:pStyle w:val="ListParagraph"/>
        <w:numPr>
          <w:ilvl w:val="0"/>
          <w:numId w:val="2"/>
        </w:numPr>
        <w:spacing w:after="30" w:before="30" w:line="320"/>
      </w:pPr>
      <w:r>
        <w:rPr>
          <w:rFonts w:ascii="Garamond" w:cs="Garamond" w:eastAsia="Garamond" w:hAnsi="Garamond"/>
          <w:color w:val="111111"/>
          <w:sz w:val="22"/>
          <w:szCs w:val="22"/>
        </w:rPr>
        <w:t xml:space="preserve">The Clinique La Prairie Health Resort at Tri Vananda opens — bringing a globally recognised medical-wellness anchor onto the property and into the Tri Vananda story.</w:t>
      </w:r>
    </w:p>
    <w:p>
      <w:pPr>
        <w:pStyle w:val="ListParagraph"/>
        <w:numPr>
          <w:ilvl w:val="0"/>
          <w:numId w:val="2"/>
        </w:numPr>
        <w:spacing w:after="30" w:before="30" w:line="320"/>
      </w:pPr>
      <w:r>
        <w:rPr>
          <w:rFonts w:ascii="Garamond" w:cs="Garamond" w:eastAsia="Garamond" w:hAnsi="Garamond"/>
          <w:color w:val="111111"/>
          <w:sz w:val="22"/>
          <w:szCs w:val="22"/>
        </w:rPr>
        <w:t xml:space="preserve">Jampa, already operating, takes its place inside a wider hospitality picture rather than as a standalone destination restaurant.</w:t>
      </w:r>
    </w:p>
    <w:p>
      <w:pPr>
        <w:pStyle w:val="ListParagraph"/>
        <w:numPr>
          <w:ilvl w:val="0"/>
          <w:numId w:val="2"/>
        </w:numPr>
        <w:spacing w:after="30" w:before="30" w:line="320"/>
      </w:pPr>
      <w:r>
        <w:rPr>
          <w:rFonts w:ascii="Garamond" w:cs="Garamond" w:eastAsia="Garamond" w:hAnsi="Garamond"/>
          <w:color w:val="111111"/>
          <w:sz w:val="22"/>
          <w:szCs w:val="22"/>
        </w:rPr>
        <w:t xml:space="preserve">Three new wellness functions enter the masterplan — the Open Experience, the Membership Wellness Club, and a Wellness Retreat offering — each addressing a different layer of guest, member, and resident.</w:t>
      </w:r>
    </w:p>
    <w:p>
      <w:pPr>
        <w:pStyle w:val="ListParagraph"/>
        <w:numPr>
          <w:ilvl w:val="0"/>
          <w:numId w:val="2"/>
        </w:numPr>
        <w:spacing w:after="30" w:before="30" w:line="320"/>
      </w:pPr>
      <w:r>
        <w:rPr>
          <w:rFonts w:ascii="Garamond" w:cs="Garamond" w:eastAsia="Garamond" w:hAnsi="Garamond"/>
          <w:color w:val="111111"/>
          <w:sz w:val="22"/>
          <w:szCs w:val="22"/>
        </w:rPr>
        <w:t xml:space="preserve">The Global Wellness Summit lands in Phuket in the same window, placing the most relevant industry audience in the world a short transfer from our front gate.</w:t>
      </w:r>
    </w:p>
    <w:p>
      <w:pPr>
        <w:pBdr>
          <w:left w:val="single" w:color="5C6B4F" w:sz="12" w:space="12"/>
        </w:pBdr>
        <w:spacing w:after="200" w:before="200" w:line="360"/>
        <w:ind w:left="720" w:right="720"/>
      </w:pPr>
      <w:r>
        <w:rPr>
          <w:rFonts w:ascii="Garamond" w:cs="Garamond" w:eastAsia="Garamond" w:hAnsi="Garamond"/>
          <w:i/>
          <w:iCs/>
          <w:color w:val="111111"/>
          <w:sz w:val="24"/>
          <w:szCs w:val="24"/>
        </w:rPr>
        <w:t xml:space="preserve">Tri Vananda is no longer a villa community with a spa. It is a multigenerational wellness institution with a residential layer. The brand has not yet caught up to the product. The Summit window is the moment to close that gap.</w:t>
      </w:r>
    </w:p>
    <w:p>
      <w:pPr>
        <w:pStyle w:val="Heading2"/>
        <w:spacing w:after="120" w:before="240"/>
      </w:pPr>
      <w:r>
        <w:rPr>
          <w:rFonts w:ascii="Garamond" w:cs="Garamond" w:eastAsia="Garamond" w:hAnsi="Garamond"/>
          <w:b w:val="false"/>
          <w:bCs w:val="false"/>
          <w:color w:val="5C6B4F"/>
          <w:sz w:val="28"/>
          <w:szCs w:val="28"/>
        </w:rPr>
        <w:t xml:space="preserve">Why this window will not repeat</w:t>
      </w:r>
    </w:p>
    <w:p>
      <w:pPr>
        <w:spacing w:after="120" w:before="60" w:line="320"/>
        <w:jc w:val="left"/>
      </w:pPr>
      <w:r>
        <w:rPr>
          <w:rFonts w:ascii="Garamond" w:cs="Garamond" w:eastAsia="Garamond" w:hAnsi="Garamond"/>
          <w:b w:val="false"/>
          <w:bCs w:val="false"/>
          <w:i w:val="false"/>
          <w:iCs w:val="false"/>
          <w:color w:val="111111"/>
          <w:sz w:val="22"/>
          <w:szCs w:val="22"/>
        </w:rPr>
        <w:t xml:space="preserve">GWS will not return to Phuket for years. The Health Resort opens once. The masterplan unfolds once. A brand can declare itself the leader of a category only when the product, the moment, and the audience all converge. They converge in October 2026.</w:t>
      </w:r>
    </w:p>
    <w:p>
      <w:pPr>
        <w:pStyle w:val="Heading2"/>
        <w:spacing w:after="120" w:before="240"/>
      </w:pPr>
      <w:r>
        <w:rPr>
          <w:rFonts w:ascii="Garamond" w:cs="Garamond" w:eastAsia="Garamond" w:hAnsi="Garamond"/>
          <w:b w:val="false"/>
          <w:bCs w:val="false"/>
          <w:color w:val="5C6B4F"/>
          <w:sz w:val="28"/>
          <w:szCs w:val="28"/>
        </w:rPr>
        <w:t xml:space="preserve">The risk of doing nothing distinctive</w:t>
      </w:r>
    </w:p>
    <w:p>
      <w:pPr>
        <w:spacing w:after="120" w:before="60" w:line="320"/>
        <w:jc w:val="left"/>
      </w:pPr>
      <w:r>
        <w:rPr>
          <w:rFonts w:ascii="Garamond" w:cs="Garamond" w:eastAsia="Garamond" w:hAnsi="Garamond"/>
          <w:b w:val="false"/>
          <w:bCs w:val="false"/>
          <w:i w:val="false"/>
          <w:iCs w:val="false"/>
          <w:color w:val="111111"/>
          <w:sz w:val="22"/>
          <w:szCs w:val="22"/>
        </w:rPr>
        <w:t xml:space="preserve">If Tri Vananda treats GWS as a standard sponsorship, we will spend a meaningful sum to be one logo on a backdrop in a city full of logos. If we treat the Health Resort opening as a press release, we will lose the chance to claim a category. If we wait until after the Summit to relaunch, we will lose the most concentrated industry audience that will ever sit this close to our gate.</w:t>
      </w:r>
    </w:p>
    <w:p>
      <w:r>
        <w:br w:type="page"/>
      </w:r>
    </w:p>
    <w:p>
      <w:pPr>
        <w:spacing w:after="40" w:before="80"/>
      </w:pPr>
      <w:r>
        <w:rPr>
          <w:rFonts w:ascii="Garamond" w:cs="Garamond" w:eastAsia="Garamond" w:hAnsi="Garamond"/>
          <w:b/>
          <w:bCs/>
          <w:color w:val="5C6B4F"/>
          <w:spacing w:val="60"/>
          <w:sz w:val="18"/>
          <w:szCs w:val="18"/>
        </w:rPr>
        <w:t xml:space="preserve">III.</w:t>
      </w:r>
    </w:p>
    <w:p>
      <w:pPr>
        <w:pStyle w:val="Heading1"/>
        <w:spacing w:after="160" w:before="360"/>
      </w:pPr>
      <w:r>
        <w:rPr>
          <w:rFonts w:ascii="Garamond" w:cs="Garamond" w:eastAsia="Garamond" w:hAnsi="Garamond"/>
          <w:b w:val="false"/>
          <w:bCs w:val="false"/>
          <w:color w:val="111111"/>
          <w:sz w:val="36"/>
          <w:szCs w:val="36"/>
        </w:rPr>
        <w:t xml:space="preserve">Positioning Thesis</w:t>
      </w:r>
    </w:p>
    <w:p>
      <w:pPr>
        <w:pStyle w:val="Heading2"/>
        <w:spacing w:after="120" w:before="240"/>
      </w:pPr>
      <w:r>
        <w:rPr>
          <w:rFonts w:ascii="Garamond" w:cs="Garamond" w:eastAsia="Garamond" w:hAnsi="Garamond"/>
          <w:b w:val="false"/>
          <w:bCs w:val="false"/>
          <w:color w:val="5C6B4F"/>
          <w:sz w:val="28"/>
          <w:szCs w:val="28"/>
        </w:rPr>
        <w:t xml:space="preserve">Top-of-Mind Luxury Wellness Lifestyle Brand for Multigenerational Living in Thailand</w:t>
      </w:r>
    </w:p>
    <w:p>
      <w:pPr>
        <w:pBdr>
          <w:bottom w:val="single" w:color="B8B0A4" w:sz="6" w:space="1"/>
        </w:pBdr>
        <w:spacing w:after="120" w:before="120"/>
      </w:pPr>
      <w:r>
        <w:t xml:space="preserve"/>
      </w:r>
    </w:p>
    <w:p>
      <w:pPr>
        <w:spacing w:after="200" w:before="80" w:line="340"/>
      </w:pPr>
      <w:r>
        <w:rPr>
          <w:rFonts w:ascii="Garamond" w:cs="Garamond" w:eastAsia="Garamond" w:hAnsi="Garamond"/>
          <w:i/>
          <w:iCs/>
          <w:color w:val="111111"/>
          <w:sz w:val="26"/>
          <w:szCs w:val="26"/>
        </w:rPr>
        <w:t xml:space="preserve">We are not entering an existing category and competing for share. We are defining a category and placing ourselves at its founding.</w:t>
      </w:r>
    </w:p>
    <w:p>
      <w:pPr>
        <w:pStyle w:val="Heading3"/>
        <w:spacing w:after="80" w:before="180"/>
      </w:pPr>
      <w:r>
        <w:rPr>
          <w:rFonts w:ascii="Garamond" w:cs="Garamond" w:eastAsia="Garamond" w:hAnsi="Garamond"/>
          <w:b/>
          <w:bCs/>
          <w:color w:val="111111"/>
          <w:sz w:val="20"/>
          <w:szCs w:val="20"/>
        </w:rPr>
        <w:t xml:space="preserve">THE CATEGORY WE ARE CREATING</w:t>
      </w:r>
    </w:p>
    <w:p>
      <w:pPr>
        <w:spacing w:after="120" w:before="60" w:line="320"/>
        <w:jc w:val="left"/>
      </w:pPr>
      <w:r>
        <w:rPr>
          <w:rFonts w:ascii="Garamond" w:cs="Garamond" w:eastAsia="Garamond" w:hAnsi="Garamond"/>
          <w:b w:val="false"/>
          <w:bCs w:val="false"/>
          <w:i w:val="false"/>
          <w:iCs w:val="false"/>
          <w:color w:val="111111"/>
          <w:sz w:val="22"/>
          <w:szCs w:val="22"/>
        </w:rPr>
        <w:t xml:space="preserve">Multigenerational Wellness Living. The intersection of three things the global luxury market is moving toward — extended healthspan, multigenerational time, and place-rooted living. Independently, each of these is a recognised trend. Held together inside a single residential and hospitality offer in tropical Asia, this is white space.</w:t>
      </w:r>
    </w:p>
    <w:p>
      <w:pPr>
        <w:pStyle w:val="Heading3"/>
        <w:spacing w:after="80" w:before="180"/>
      </w:pPr>
      <w:r>
        <w:rPr>
          <w:rFonts w:ascii="Garamond" w:cs="Garamond" w:eastAsia="Garamond" w:hAnsi="Garamond"/>
          <w:b/>
          <w:bCs/>
          <w:color w:val="111111"/>
          <w:sz w:val="20"/>
          <w:szCs w:val="20"/>
        </w:rPr>
        <w:t xml:space="preserve">THE COMPETITIVE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8B0A4" w:sz="4"/>
              <w:left w:val="single" w:color="B8B0A4" w:sz="4"/>
              <w:bottom w:val="single" w:color="B8B0A4" w:sz="4"/>
              <w:right w:val="single" w:color="B8B0A4" w:sz="4"/>
            </w:tcBorders>
            <w:shd w:fill="F4F1EB" w:val="clear"/>
            <w:tcMar>
              <w:top w:type="dxa" w:w="160"/>
              <w:left w:type="dxa" w:w="200"/>
              <w:bottom w:type="dxa" w:w="160"/>
              <w:right w:type="dxa" w:w="200"/>
            </w:tcMar>
          </w:tcPr>
          <w:p>
            <w:pPr>
              <w:spacing w:after="120" w:before="60" w:line="320"/>
              <w:jc w:val="left"/>
            </w:pPr>
            <w:r>
              <w:rPr>
                <w:rFonts w:ascii="Garamond" w:cs="Garamond" w:eastAsia="Garamond" w:hAnsi="Garamond"/>
                <w:b/>
                <w:bCs/>
                <w:i w:val="false"/>
                <w:iCs w:val="false"/>
                <w:color w:val="111111"/>
                <w:sz w:val="20"/>
                <w:szCs w:val="20"/>
              </w:rPr>
              <w:t xml:space="preserve">Category</w:t>
            </w:r>
          </w:p>
        </w:tc>
        <w:tc>
          <w:tcPr>
            <w:tcW w:type="dxa" w:w="3120"/>
            <w:tcBorders>
              <w:top w:val="single" w:color="B8B0A4" w:sz="4"/>
              <w:left w:val="single" w:color="B8B0A4" w:sz="4"/>
              <w:bottom w:val="single" w:color="B8B0A4" w:sz="4"/>
              <w:right w:val="single" w:color="B8B0A4" w:sz="4"/>
            </w:tcBorders>
            <w:shd w:fill="F4F1EB" w:val="clear"/>
            <w:tcMar>
              <w:top w:type="dxa" w:w="160"/>
              <w:left w:type="dxa" w:w="200"/>
              <w:bottom w:type="dxa" w:w="160"/>
              <w:right w:type="dxa" w:w="200"/>
            </w:tcMar>
          </w:tcPr>
          <w:p>
            <w:pPr>
              <w:spacing w:after="120" w:before="60" w:line="320"/>
              <w:jc w:val="left"/>
            </w:pPr>
            <w:r>
              <w:rPr>
                <w:rFonts w:ascii="Garamond" w:cs="Garamond" w:eastAsia="Garamond" w:hAnsi="Garamond"/>
                <w:b/>
                <w:bCs/>
                <w:i w:val="false"/>
                <w:iCs w:val="false"/>
                <w:color w:val="111111"/>
                <w:sz w:val="20"/>
                <w:szCs w:val="20"/>
              </w:rPr>
              <w:t xml:space="preserve">Best-known examples</w:t>
            </w:r>
          </w:p>
        </w:tc>
        <w:tc>
          <w:tcPr>
            <w:tcW w:type="dxa" w:w="3120"/>
            <w:tcBorders>
              <w:top w:val="single" w:color="B8B0A4" w:sz="4"/>
              <w:left w:val="single" w:color="B8B0A4" w:sz="4"/>
              <w:bottom w:val="single" w:color="B8B0A4" w:sz="4"/>
              <w:right w:val="single" w:color="B8B0A4" w:sz="4"/>
            </w:tcBorders>
            <w:shd w:fill="F4F1EB" w:val="clear"/>
            <w:tcMar>
              <w:top w:type="dxa" w:w="160"/>
              <w:left w:type="dxa" w:w="200"/>
              <w:bottom w:type="dxa" w:w="160"/>
              <w:right w:type="dxa" w:w="200"/>
            </w:tcMar>
          </w:tcPr>
          <w:p>
            <w:pPr>
              <w:spacing w:after="120" w:before="60" w:line="320"/>
              <w:jc w:val="left"/>
            </w:pPr>
            <w:r>
              <w:rPr>
                <w:rFonts w:ascii="Garamond" w:cs="Garamond" w:eastAsia="Garamond" w:hAnsi="Garamond"/>
                <w:b/>
                <w:bCs/>
                <w:i w:val="false"/>
                <w:iCs w:val="false"/>
                <w:color w:val="111111"/>
                <w:sz w:val="20"/>
                <w:szCs w:val="20"/>
              </w:rPr>
              <w:t xml:space="preserve">Where Tri Vananda is different</w:t>
            </w:r>
          </w:p>
        </w:tc>
      </w:tr>
      <w:tr>
        <w:tc>
          <w:tcPr>
            <w:tcW w:type="dxa" w:w="312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Medical wellness destination</w:t>
            </w:r>
          </w:p>
        </w:tc>
        <w:tc>
          <w:tcPr>
            <w:tcW w:type="dxa" w:w="312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Clinique La Prairie (Montreux), Lanserhof, SHA</w:t>
            </w:r>
          </w:p>
        </w:tc>
        <w:tc>
          <w:tcPr>
            <w:tcW w:type="dxa" w:w="312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We host the medical layer — we are not defined by it.</w:t>
            </w:r>
          </w:p>
        </w:tc>
      </w:tr>
      <w:tr>
        <w:tc>
          <w:tcPr>
            <w:tcW w:type="dxa" w:w="312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Branded residences</w:t>
            </w:r>
          </w:p>
        </w:tc>
        <w:tc>
          <w:tcPr>
            <w:tcW w:type="dxa" w:w="312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Aman, Six Senses, Mandarin Oriental Residences</w:t>
            </w:r>
          </w:p>
        </w:tc>
        <w:tc>
          <w:tcPr>
            <w:tcW w:type="dxa" w:w="312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Hospitality-led but not built for multigenerational permanence.</w:t>
            </w:r>
          </w:p>
        </w:tc>
      </w:tr>
      <w:tr>
        <w:tc>
          <w:tcPr>
            <w:tcW w:type="dxa" w:w="312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Wellness club / longevity club</w:t>
            </w:r>
          </w:p>
        </w:tc>
        <w:tc>
          <w:tcPr>
            <w:tcW w:type="dxa" w:w="312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Remedy Place, Equinox Hotels, Continuum (Saudi)</w:t>
            </w:r>
          </w:p>
        </w:tc>
        <w:tc>
          <w:tcPr>
            <w:tcW w:type="dxa" w:w="312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Membership without home; we offer membership inside a place where members live, visit, and gather.</w:t>
            </w:r>
          </w:p>
        </w:tc>
      </w:tr>
      <w:tr>
        <w:tc>
          <w:tcPr>
            <w:tcW w:type="dxa" w:w="312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Multigenerational wellness community</w:t>
            </w:r>
          </w:p>
        </w:tc>
        <w:tc>
          <w:tcPr>
            <w:tcW w:type="dxa" w:w="312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Effectively unoccupied at the global luxury tier.</w:t>
            </w:r>
          </w:p>
        </w:tc>
        <w:tc>
          <w:tcPr>
            <w:tcW w:type="dxa" w:w="312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bCs/>
                <w:i w:val="false"/>
                <w:iCs w:val="false"/>
                <w:color w:val="5C6B4F"/>
                <w:sz w:val="20"/>
                <w:szCs w:val="20"/>
              </w:rPr>
              <w:t xml:space="preserve">This is the position we will own.</w:t>
            </w:r>
          </w:p>
        </w:tc>
      </w:tr>
    </w:tbl>
    <w:p>
      <w:pPr>
        <w:pStyle w:val="Heading3"/>
        <w:spacing w:after="80" w:before="180"/>
      </w:pPr>
      <w:r>
        <w:rPr>
          <w:rFonts w:ascii="Garamond" w:cs="Garamond" w:eastAsia="Garamond" w:hAnsi="Garamond"/>
          <w:b/>
          <w:bCs/>
          <w:color w:val="111111"/>
          <w:sz w:val="20"/>
          <w:szCs w:val="20"/>
        </w:rPr>
        <w:t xml:space="preserve">BRAND PYRAMID (WORKING DRAFT FOR PR AGENCY CALIBRATION)</w:t>
      </w:r>
    </w:p>
    <w:p>
      <w:pPr>
        <w:spacing w:after="120" w:before="60" w:line="320"/>
        <w:jc w:val="left"/>
      </w:pPr>
      <w:r>
        <w:rPr>
          <w:rFonts w:ascii="Garamond" w:cs="Garamond" w:eastAsia="Garamond" w:hAnsi="Garamond"/>
          <w:b w:val="false"/>
          <w:bCs w:val="false"/>
          <w:i/>
          <w:iCs/>
          <w:color w:val="111111"/>
          <w:sz w:val="22"/>
          <w:szCs w:val="22"/>
        </w:rPr>
        <w:t xml:space="preserve">Brand purpose — to make multigenerational wellbeing a way of life, not a stay or a programme.</w:t>
      </w:r>
    </w:p>
    <w:p>
      <w:pPr>
        <w:spacing w:after="120" w:before="60" w:line="320"/>
        <w:jc w:val="left"/>
      </w:pPr>
      <w:r>
        <w:rPr>
          <w:rFonts w:ascii="Garamond" w:cs="Garamond" w:eastAsia="Garamond" w:hAnsi="Garamond"/>
          <w:b w:val="false"/>
          <w:bCs w:val="false"/>
          <w:i/>
          <w:iCs/>
          <w:color w:val="111111"/>
          <w:sz w:val="22"/>
          <w:szCs w:val="22"/>
        </w:rPr>
        <w:t xml:space="preserve">Brand vision — Asia's most respected home for multigenerational wellness living.</w:t>
      </w:r>
    </w:p>
    <w:p>
      <w:pPr>
        <w:spacing w:after="120" w:before="60" w:line="320"/>
        <w:jc w:val="left"/>
      </w:pPr>
      <w:r>
        <w:rPr>
          <w:rFonts w:ascii="Garamond" w:cs="Garamond" w:eastAsia="Garamond" w:hAnsi="Garamond"/>
          <w:b w:val="false"/>
          <w:bCs w:val="false"/>
          <w:i/>
          <w:iCs/>
          <w:color w:val="111111"/>
          <w:sz w:val="22"/>
          <w:szCs w:val="22"/>
        </w:rPr>
        <w:t xml:space="preserve">Brand mission — to bring residential, medical, culinary, and cultural wellness into one place, designed so that three generations of one family can each find what they came for.</w:t>
      </w:r>
    </w:p>
    <w:p>
      <w:pPr>
        <w:spacing w:after="120" w:before="60" w:line="320"/>
        <w:jc w:val="left"/>
      </w:pPr>
      <w:r>
        <w:rPr>
          <w:rFonts w:ascii="Garamond" w:cs="Garamond" w:eastAsia="Garamond" w:hAnsi="Garamond"/>
          <w:b w:val="false"/>
          <w:bCs w:val="false"/>
          <w:i/>
          <w:iCs/>
          <w:color w:val="111111"/>
          <w:sz w:val="22"/>
          <w:szCs w:val="22"/>
        </w:rPr>
        <w:t xml:space="preserve">Brand values — rootedness, restraint, lineage, craft, the long view.</w:t>
      </w:r>
    </w:p>
    <w:p>
      <w:pPr>
        <w:spacing w:after="120" w:before="60" w:line="320"/>
        <w:jc w:val="left"/>
      </w:pPr>
      <w:r>
        <w:rPr>
          <w:rFonts w:ascii="Garamond" w:cs="Garamond" w:eastAsia="Garamond" w:hAnsi="Garamond"/>
          <w:b w:val="false"/>
          <w:bCs w:val="false"/>
          <w:i/>
          <w:iCs/>
          <w:color w:val="111111"/>
          <w:sz w:val="22"/>
          <w:szCs w:val="22"/>
        </w:rPr>
        <w:t xml:space="preserve">Brand reasons-to-believe — the Clinique La Prairie Health Resort; Jampa; the Open Experience; the Membership Wellness Club; the Wellness Retreat; Phuket as a place; Thai hospitality as a tradition; the masterplan as a long-form commitment.</w:t>
      </w:r>
    </w:p>
    <w:p>
      <w:pPr>
        <w:pStyle w:val="Heading3"/>
        <w:spacing w:after="80" w:before="180"/>
      </w:pPr>
      <w:r>
        <w:rPr>
          <w:rFonts w:ascii="Garamond" w:cs="Garamond" w:eastAsia="Garamond" w:hAnsi="Garamond"/>
          <w:b/>
          <w:bCs/>
          <w:color w:val="111111"/>
          <w:sz w:val="20"/>
          <w:szCs w:val="20"/>
        </w:rPr>
        <w:t xml:space="preserve">THE SINGLE LINE</w:t>
      </w:r>
    </w:p>
    <w:p>
      <w:pPr>
        <w:pBdr>
          <w:left w:val="single" w:color="5C6B4F" w:sz="12" w:space="12"/>
        </w:pBdr>
        <w:spacing w:after="200" w:before="200" w:line="360"/>
        <w:ind w:left="720" w:right="720"/>
      </w:pPr>
      <w:r>
        <w:rPr>
          <w:rFonts w:ascii="Garamond" w:cs="Garamond" w:eastAsia="Garamond" w:hAnsi="Garamond"/>
          <w:i/>
          <w:iCs/>
          <w:color w:val="111111"/>
          <w:sz w:val="24"/>
          <w:szCs w:val="24"/>
        </w:rPr>
        <w:t xml:space="preserve">Tri Vananda. Where three generations live well — for the long life ahead.</w:t>
      </w:r>
    </w:p>
    <w:p>
      <w:pPr>
        <w:spacing w:after="120" w:before="60" w:line="320"/>
        <w:jc w:val="left"/>
      </w:pPr>
      <w:r>
        <w:rPr>
          <w:rFonts w:ascii="Garamond" w:cs="Garamond" w:eastAsia="Garamond" w:hAnsi="Garamond"/>
          <w:b w:val="false"/>
          <w:bCs w:val="false"/>
          <w:i/>
          <w:iCs/>
          <w:color w:val="555555"/>
          <w:sz w:val="18"/>
          <w:szCs w:val="18"/>
        </w:rPr>
        <w:t xml:space="preserve">[VERIFY BEFORE PUBLISHING: tagline to be tested with retained PR/verbal identity partners; this is a working internal articulation.]</w:t>
      </w:r>
    </w:p>
    <w:p>
      <w:r>
        <w:br w:type="page"/>
      </w:r>
    </w:p>
    <w:p>
      <w:pPr>
        <w:spacing w:after="40" w:before="80"/>
      </w:pPr>
      <w:r>
        <w:rPr>
          <w:rFonts w:ascii="Garamond" w:cs="Garamond" w:eastAsia="Garamond" w:hAnsi="Garamond"/>
          <w:b/>
          <w:bCs/>
          <w:color w:val="5C6B4F"/>
          <w:spacing w:val="60"/>
          <w:sz w:val="18"/>
          <w:szCs w:val="18"/>
        </w:rPr>
        <w:t xml:space="preserve">IV.</w:t>
      </w:r>
    </w:p>
    <w:p>
      <w:pPr>
        <w:pStyle w:val="Heading1"/>
        <w:spacing w:after="160" w:before="360"/>
      </w:pPr>
      <w:r>
        <w:rPr>
          <w:rFonts w:ascii="Garamond" w:cs="Garamond" w:eastAsia="Garamond" w:hAnsi="Garamond"/>
          <w:b w:val="false"/>
          <w:bCs w:val="false"/>
          <w:color w:val="111111"/>
          <w:sz w:val="36"/>
          <w:szCs w:val="36"/>
        </w:rPr>
        <w:t xml:space="preserve">The Complete Tri Vananda Ecosystem</w:t>
      </w:r>
    </w:p>
    <w:p>
      <w:pPr>
        <w:pStyle w:val="Heading2"/>
        <w:spacing w:after="120" w:before="240"/>
      </w:pPr>
      <w:r>
        <w:rPr>
          <w:rFonts w:ascii="Garamond" w:cs="Garamond" w:eastAsia="Garamond" w:hAnsi="Garamond"/>
          <w:b w:val="false"/>
          <w:bCs w:val="false"/>
          <w:color w:val="5C6B4F"/>
          <w:sz w:val="28"/>
          <w:szCs w:val="28"/>
        </w:rPr>
        <w:t xml:space="preserve">A Reveal Arc, Not a List</w:t>
      </w:r>
    </w:p>
    <w:p>
      <w:pPr>
        <w:pBdr>
          <w:bottom w:val="single" w:color="B8B0A4" w:sz="6" w:space="1"/>
        </w:pBdr>
        <w:spacing w:after="120" w:before="120"/>
      </w:pPr>
      <w:r>
        <w:t xml:space="preserve"/>
      </w:r>
    </w:p>
    <w:p>
      <w:pPr>
        <w:spacing w:after="200" w:before="80" w:line="340"/>
      </w:pPr>
      <w:r>
        <w:rPr>
          <w:rFonts w:ascii="Garamond" w:cs="Garamond" w:eastAsia="Garamond" w:hAnsi="Garamond"/>
          <w:i/>
          <w:iCs/>
          <w:color w:val="111111"/>
          <w:sz w:val="26"/>
          <w:szCs w:val="26"/>
        </w:rPr>
        <w:t xml:space="preserve">The masterplan is not a press release. It is a sequence. Each reveal is designed to lift the one before it and set up the one after.</w:t>
      </w:r>
    </w:p>
    <w:p>
      <w:pPr>
        <w:pStyle w:val="Heading3"/>
        <w:spacing w:after="80" w:before="180"/>
      </w:pPr>
      <w:r>
        <w:rPr>
          <w:rFonts w:ascii="Garamond" w:cs="Garamond" w:eastAsia="Garamond" w:hAnsi="Garamond"/>
          <w:b/>
          <w:bCs/>
          <w:color w:val="111111"/>
          <w:sz w:val="20"/>
          <w:szCs w:val="20"/>
        </w:rPr>
        <w:t xml:space="preserve">THE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4800"/>
      </w:tblGrid>
      <w:tr>
        <w:tc>
          <w:tcPr>
            <w:tcW w:type="dxa" w:w="2160"/>
            <w:tcBorders>
              <w:top w:val="single" w:color="B8B0A4" w:sz="4"/>
              <w:left w:val="single" w:color="B8B0A4" w:sz="4"/>
              <w:bottom w:val="single" w:color="B8B0A4" w:sz="4"/>
              <w:right w:val="single" w:color="B8B0A4" w:sz="4"/>
            </w:tcBorders>
            <w:shd w:fill="F4F1EB" w:val="clear"/>
            <w:tcMar>
              <w:top w:type="dxa" w:w="160"/>
              <w:left w:type="dxa" w:w="200"/>
              <w:bottom w:type="dxa" w:w="160"/>
              <w:right w:type="dxa" w:w="200"/>
            </w:tcMar>
          </w:tcPr>
          <w:p>
            <w:pPr>
              <w:spacing w:after="120" w:before="60" w:line="320"/>
              <w:jc w:val="left"/>
            </w:pPr>
            <w:r>
              <w:rPr>
                <w:rFonts w:ascii="Garamond" w:cs="Garamond" w:eastAsia="Garamond" w:hAnsi="Garamond"/>
                <w:b/>
                <w:bCs/>
                <w:i w:val="false"/>
                <w:iCs w:val="false"/>
                <w:color w:val="111111"/>
                <w:sz w:val="20"/>
                <w:szCs w:val="20"/>
              </w:rPr>
              <w:t xml:space="preserve">Layer</w:t>
            </w:r>
          </w:p>
        </w:tc>
        <w:tc>
          <w:tcPr>
            <w:tcW w:type="dxa" w:w="2400"/>
            <w:tcBorders>
              <w:top w:val="single" w:color="B8B0A4" w:sz="4"/>
              <w:left w:val="single" w:color="B8B0A4" w:sz="4"/>
              <w:bottom w:val="single" w:color="B8B0A4" w:sz="4"/>
              <w:right w:val="single" w:color="B8B0A4" w:sz="4"/>
            </w:tcBorders>
            <w:shd w:fill="F4F1EB" w:val="clear"/>
            <w:tcMar>
              <w:top w:type="dxa" w:w="160"/>
              <w:left w:type="dxa" w:w="200"/>
              <w:bottom w:type="dxa" w:w="160"/>
              <w:right w:type="dxa" w:w="200"/>
            </w:tcMar>
          </w:tcPr>
          <w:p>
            <w:pPr>
              <w:spacing w:after="120" w:before="60" w:line="320"/>
              <w:jc w:val="left"/>
            </w:pPr>
            <w:r>
              <w:rPr>
                <w:rFonts w:ascii="Garamond" w:cs="Garamond" w:eastAsia="Garamond" w:hAnsi="Garamond"/>
                <w:b/>
                <w:bCs/>
                <w:i w:val="false"/>
                <w:iCs w:val="false"/>
                <w:color w:val="111111"/>
                <w:sz w:val="20"/>
                <w:szCs w:val="20"/>
              </w:rPr>
              <w:t xml:space="preserve">Function</w:t>
            </w:r>
          </w:p>
        </w:tc>
        <w:tc>
          <w:tcPr>
            <w:tcW w:type="dxa" w:w="4800"/>
            <w:tcBorders>
              <w:top w:val="single" w:color="B8B0A4" w:sz="4"/>
              <w:left w:val="single" w:color="B8B0A4" w:sz="4"/>
              <w:bottom w:val="single" w:color="B8B0A4" w:sz="4"/>
              <w:right w:val="single" w:color="B8B0A4" w:sz="4"/>
            </w:tcBorders>
            <w:shd w:fill="F4F1EB" w:val="clear"/>
            <w:tcMar>
              <w:top w:type="dxa" w:w="160"/>
              <w:left w:type="dxa" w:w="200"/>
              <w:bottom w:type="dxa" w:w="160"/>
              <w:right w:type="dxa" w:w="200"/>
            </w:tcMar>
          </w:tcPr>
          <w:p>
            <w:pPr>
              <w:spacing w:after="120" w:before="60" w:line="320"/>
              <w:jc w:val="left"/>
            </w:pPr>
            <w:r>
              <w:rPr>
                <w:rFonts w:ascii="Garamond" w:cs="Garamond" w:eastAsia="Garamond" w:hAnsi="Garamond"/>
                <w:b/>
                <w:bCs/>
                <w:i w:val="false"/>
                <w:iCs w:val="false"/>
                <w:color w:val="111111"/>
                <w:sz w:val="20"/>
                <w:szCs w:val="20"/>
              </w:rPr>
              <w:t xml:space="preserve">Strategic role inside the brand</w:t>
            </w:r>
          </w:p>
        </w:tc>
      </w:tr>
      <w:tr>
        <w:tc>
          <w:tcPr>
            <w:tcW w:type="dxa" w:w="216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bCs/>
                <w:i w:val="false"/>
                <w:iCs w:val="false"/>
                <w:color w:val="111111"/>
                <w:sz w:val="20"/>
                <w:szCs w:val="20"/>
              </w:rPr>
              <w:t xml:space="preserve">Residence</w:t>
            </w:r>
          </w:p>
        </w:tc>
        <w:tc>
          <w:tcPr>
            <w:tcW w:type="dxa" w:w="240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Residential Villas</w:t>
            </w:r>
          </w:p>
        </w:tc>
        <w:tc>
          <w:tcPr>
            <w:tcW w:type="dxa" w:w="480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The commercial anchor and the most permanent expression of the brand. Where the long-form audience lives the brand every day.</w:t>
            </w:r>
          </w:p>
        </w:tc>
      </w:tr>
      <w:tr>
        <w:tc>
          <w:tcPr>
            <w:tcW w:type="dxa" w:w="216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bCs/>
                <w:i w:val="false"/>
                <w:iCs w:val="false"/>
                <w:color w:val="111111"/>
                <w:sz w:val="20"/>
                <w:szCs w:val="20"/>
              </w:rPr>
              <w:t xml:space="preserve">Medical</w:t>
            </w:r>
          </w:p>
        </w:tc>
        <w:tc>
          <w:tcPr>
            <w:tcW w:type="dxa" w:w="240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Health Resort by Clinique La Prairie</w:t>
            </w:r>
          </w:p>
        </w:tc>
        <w:tc>
          <w:tcPr>
            <w:tcW w:type="dxa" w:w="480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The credibility engine. Brings independent global authority into the property and into the brand story.</w:t>
            </w:r>
          </w:p>
        </w:tc>
      </w:tr>
      <w:tr>
        <w:tc>
          <w:tcPr>
            <w:tcW w:type="dxa" w:w="216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bCs/>
                <w:i w:val="false"/>
                <w:iCs w:val="false"/>
                <w:color w:val="111111"/>
                <w:sz w:val="20"/>
                <w:szCs w:val="20"/>
              </w:rPr>
              <w:t xml:space="preserve">Culinary</w:t>
            </w:r>
          </w:p>
        </w:tc>
        <w:tc>
          <w:tcPr>
            <w:tcW w:type="dxa" w:w="240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Jampa Restaurant</w:t>
            </w:r>
          </w:p>
        </w:tc>
        <w:tc>
          <w:tcPr>
            <w:tcW w:type="dxa" w:w="480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The cultural and daily proof point — wellness expressed as taste, place, and table, not as protocol.</w:t>
            </w:r>
          </w:p>
        </w:tc>
      </w:tr>
      <w:tr>
        <w:tc>
          <w:tcPr>
            <w:tcW w:type="dxa" w:w="216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bCs/>
                <w:i w:val="false"/>
                <w:iCs w:val="false"/>
                <w:color w:val="111111"/>
                <w:sz w:val="20"/>
                <w:szCs w:val="20"/>
              </w:rPr>
              <w:t xml:space="preserve">Public</w:t>
            </w:r>
          </w:p>
        </w:tc>
        <w:tc>
          <w:tcPr>
            <w:tcW w:type="dxa" w:w="240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Open Experience [Internal]</w:t>
            </w:r>
          </w:p>
        </w:tc>
        <w:tc>
          <w:tcPr>
            <w:tcW w:type="dxa" w:w="480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The first true entry point — a curated programme that allows non-members and non-residents to experience the brand. Press, KOLs, and prospective buyers all enter here first.</w:t>
            </w:r>
          </w:p>
        </w:tc>
      </w:tr>
      <w:tr>
        <w:tc>
          <w:tcPr>
            <w:tcW w:type="dxa" w:w="216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bCs/>
                <w:i w:val="false"/>
                <w:iCs w:val="false"/>
                <w:color w:val="111111"/>
                <w:sz w:val="20"/>
                <w:szCs w:val="20"/>
              </w:rPr>
              <w:t xml:space="preserve">Belonging</w:t>
            </w:r>
          </w:p>
        </w:tc>
        <w:tc>
          <w:tcPr>
            <w:tcW w:type="dxa" w:w="240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Membership Wellness Club [Internal]</w:t>
            </w:r>
          </w:p>
        </w:tc>
        <w:tc>
          <w:tcPr>
            <w:tcW w:type="dxa" w:w="480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A repeatable, monetisable, community-building layer. Captures the audience that loves the brand but does not need to own a villa today — and seeds future buyers.</w:t>
            </w:r>
          </w:p>
        </w:tc>
      </w:tr>
      <w:tr>
        <w:tc>
          <w:tcPr>
            <w:tcW w:type="dxa" w:w="216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bCs/>
                <w:i w:val="false"/>
                <w:iCs w:val="false"/>
                <w:color w:val="111111"/>
                <w:sz w:val="20"/>
                <w:szCs w:val="20"/>
              </w:rPr>
              <w:t xml:space="preserve">Programmed</w:t>
            </w:r>
          </w:p>
        </w:tc>
        <w:tc>
          <w:tcPr>
            <w:tcW w:type="dxa" w:w="240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Wellness Retreat Offering [Internal]</w:t>
            </w:r>
          </w:p>
        </w:tc>
        <w:tc>
          <w:tcPr>
            <w:tcW w:type="dxa" w:w="480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Curated multi-day experiences that bring high-net-worth wellness travellers onto the property. Direct funnel into both club membership and residence sales.</w:t>
            </w:r>
          </w:p>
        </w:tc>
      </w:tr>
    </w:tbl>
    <w:p>
      <w:pPr>
        <w:pStyle w:val="Heading3"/>
        <w:spacing w:after="80" w:before="180"/>
      </w:pPr>
      <w:r>
        <w:rPr>
          <w:rFonts w:ascii="Garamond" w:cs="Garamond" w:eastAsia="Garamond" w:hAnsi="Garamond"/>
          <w:b/>
          <w:bCs/>
          <w:color w:val="111111"/>
          <w:sz w:val="20"/>
          <w:szCs w:val="20"/>
        </w:rPr>
        <w:t xml:space="preserve">WHY THE ORDER MATTERS</w:t>
      </w:r>
    </w:p>
    <w:p>
      <w:pPr>
        <w:spacing w:after="120" w:before="60" w:line="320"/>
        <w:jc w:val="left"/>
      </w:pPr>
      <w:r>
        <w:rPr>
          <w:rFonts w:ascii="Garamond" w:cs="Garamond" w:eastAsia="Garamond" w:hAnsi="Garamond"/>
          <w:b w:val="false"/>
          <w:bCs w:val="false"/>
          <w:i w:val="false"/>
          <w:iCs w:val="false"/>
          <w:color w:val="111111"/>
          <w:sz w:val="22"/>
          <w:szCs w:val="22"/>
        </w:rPr>
        <w:t xml:space="preserve">If we reveal everything at once, the Health Resort becomes one of six things and the masterplan reads as a wish-list. If we reveal in sequence, each piece amplifies the next. The audience moves with us through the unfold rather than receiving a brochure.</w:t>
      </w:r>
    </w:p>
    <w:p>
      <w:pPr>
        <w:pStyle w:val="Heading3"/>
        <w:spacing w:after="80" w:before="180"/>
      </w:pPr>
      <w:r>
        <w:rPr>
          <w:rFonts w:ascii="Garamond" w:cs="Garamond" w:eastAsia="Garamond" w:hAnsi="Garamond"/>
          <w:b/>
          <w:bCs/>
          <w:color w:val="111111"/>
          <w:sz w:val="20"/>
          <w:szCs w:val="20"/>
        </w:rPr>
        <w:t xml:space="preserve">THE PROPOSED SEQUENCE</w:t>
      </w:r>
    </w:p>
    <w:p>
      <w:pPr>
        <w:pStyle w:val="ListParagraph"/>
        <w:numPr>
          <w:ilvl w:val="0"/>
          <w:numId w:val="2"/>
        </w:numPr>
        <w:spacing w:after="30" w:before="30" w:line="320"/>
      </w:pPr>
      <w:r>
        <w:rPr>
          <w:rFonts w:ascii="Garamond" w:cs="Garamond" w:eastAsia="Garamond" w:hAnsi="Garamond"/>
          <w:color w:val="111111"/>
          <w:sz w:val="22"/>
          <w:szCs w:val="22"/>
        </w:rPr>
        <w:t xml:space="preserve">Pre-Summit (T-90 to T-30): the Health Resort soft pre-opening narrative; embargoed Tier-1 long-form features set up; founding membership invitations open quietly to a curated industry list.</w:t>
      </w:r>
    </w:p>
    <w:p>
      <w:pPr>
        <w:pStyle w:val="ListParagraph"/>
        <w:numPr>
          <w:ilvl w:val="0"/>
          <w:numId w:val="2"/>
        </w:numPr>
        <w:spacing w:after="30" w:before="30" w:line="320"/>
      </w:pPr>
      <w:r>
        <w:rPr>
          <w:rFonts w:ascii="Garamond" w:cs="Garamond" w:eastAsia="Garamond" w:hAnsi="Garamond"/>
          <w:color w:val="111111"/>
          <w:sz w:val="22"/>
          <w:szCs w:val="22"/>
        </w:rPr>
        <w:t xml:space="preserve">Summit week: Health Resort public moment — opening as the headline; Open Experience announced as the second reveal; on-site press event hosted at the property; selected industry programming on the campus.</w:t>
      </w:r>
    </w:p>
    <w:p>
      <w:pPr>
        <w:pStyle w:val="ListParagraph"/>
        <w:numPr>
          <w:ilvl w:val="0"/>
          <w:numId w:val="2"/>
        </w:numPr>
        <w:spacing w:after="30" w:before="30" w:line="320"/>
      </w:pPr>
      <w:r>
        <w:rPr>
          <w:rFonts w:ascii="Garamond" w:cs="Garamond" w:eastAsia="Garamond" w:hAnsi="Garamond"/>
          <w:color w:val="111111"/>
          <w:sz w:val="22"/>
          <w:szCs w:val="22"/>
        </w:rPr>
        <w:t xml:space="preserve">Post-Summit (T+30 to T+90): Membership Wellness Club formal launch with the founding members already named; Wellness Retreat calendar published; first cohort of retreats placed on sale.</w:t>
      </w:r>
    </w:p>
    <w:p>
      <w:pPr>
        <w:pBdr>
          <w:left w:val="single" w:color="5C6B4F" w:sz="12" w:space="12"/>
        </w:pBdr>
        <w:spacing w:after="200" w:before="200" w:line="360"/>
        <w:ind w:left="720" w:right="720"/>
      </w:pPr>
      <w:r>
        <w:rPr>
          <w:rFonts w:ascii="Garamond" w:cs="Garamond" w:eastAsia="Garamond" w:hAnsi="Garamond"/>
          <w:i/>
          <w:iCs/>
          <w:color w:val="111111"/>
          <w:sz w:val="24"/>
          <w:szCs w:val="24"/>
        </w:rPr>
        <w:t xml:space="preserve">Each reveal earns the right to the next. By the end of the arc, Tri Vananda is no longer 'a villa community in Phuket.' It is the institution where multigenerational wellness lives.</w:t>
      </w:r>
    </w:p>
    <w:p>
      <w:r>
        <w:br w:type="page"/>
      </w:r>
    </w:p>
    <w:p>
      <w:pPr>
        <w:spacing w:after="40" w:before="80"/>
      </w:pPr>
      <w:r>
        <w:rPr>
          <w:rFonts w:ascii="Garamond" w:cs="Garamond" w:eastAsia="Garamond" w:hAnsi="Garamond"/>
          <w:b/>
          <w:bCs/>
          <w:color w:val="5C6B4F"/>
          <w:spacing w:val="60"/>
          <w:sz w:val="18"/>
          <w:szCs w:val="18"/>
        </w:rPr>
        <w:t xml:space="preserve">V.</w:t>
      </w:r>
    </w:p>
    <w:p>
      <w:pPr>
        <w:pStyle w:val="Heading1"/>
        <w:spacing w:after="160" w:before="360"/>
      </w:pPr>
      <w:r>
        <w:rPr>
          <w:rFonts w:ascii="Garamond" w:cs="Garamond" w:eastAsia="Garamond" w:hAnsi="Garamond"/>
          <w:b w:val="false"/>
          <w:bCs w:val="false"/>
          <w:color w:val="111111"/>
          <w:sz w:val="36"/>
          <w:szCs w:val="36"/>
        </w:rPr>
        <w:t xml:space="preserve">The GWS Phuket 2026 Play</w:t>
      </w:r>
    </w:p>
    <w:p>
      <w:pPr>
        <w:pBdr>
          <w:bottom w:val="single" w:color="B8B0A4" w:sz="6" w:space="1"/>
        </w:pBdr>
        <w:spacing w:after="120" w:before="120"/>
      </w:pPr>
      <w:r>
        <w:t xml:space="preserve"/>
      </w:r>
    </w:p>
    <w:p>
      <w:pPr>
        <w:pStyle w:val="Heading2"/>
        <w:spacing w:after="120" w:before="240"/>
      </w:pPr>
      <w:r>
        <w:rPr>
          <w:rFonts w:ascii="Garamond" w:cs="Garamond" w:eastAsia="Garamond" w:hAnsi="Garamond"/>
          <w:b w:val="false"/>
          <w:bCs w:val="false"/>
          <w:color w:val="5C6B4F"/>
          <w:sz w:val="28"/>
          <w:szCs w:val="28"/>
        </w:rPr>
        <w:t xml:space="preserve">The audience truth</w:t>
      </w:r>
    </w:p>
    <w:p>
      <w:pPr>
        <w:spacing w:after="120" w:before="60" w:line="320"/>
        <w:jc w:val="left"/>
      </w:pPr>
      <w:r>
        <w:rPr>
          <w:rFonts w:ascii="Garamond" w:cs="Garamond" w:eastAsia="Garamond" w:hAnsi="Garamond"/>
          <w:b w:val="false"/>
          <w:bCs w:val="false"/>
          <w:i w:val="false"/>
          <w:iCs w:val="false"/>
          <w:color w:val="111111"/>
          <w:sz w:val="22"/>
          <w:szCs w:val="22"/>
        </w:rPr>
        <w:t xml:space="preserve">The Summit room is not a buyer audience. It is the people whose clients buy. Wellness directors of branded hotel groups. Founders of medical-wellness companies. Spa consultants. Longevity researchers. Travel advisors at the very top end. Editors. Investors. Cultural authorities. Selling them villas would misread the room. Recruiting them as voices is the right move.</w:t>
      </w:r>
    </w:p>
    <w:p>
      <w:pPr>
        <w:pStyle w:val="Heading2"/>
        <w:spacing w:after="120" w:before="240"/>
      </w:pPr>
      <w:r>
        <w:rPr>
          <w:rFonts w:ascii="Garamond" w:cs="Garamond" w:eastAsia="Garamond" w:hAnsi="Garamond"/>
          <w:b w:val="false"/>
          <w:bCs w:val="false"/>
          <w:color w:val="5C6B4F"/>
          <w:sz w:val="28"/>
          <w:szCs w:val="28"/>
        </w:rPr>
        <w:t xml:space="preserve">What we are doing instead of selling</w:t>
      </w:r>
    </w:p>
    <w:p>
      <w:pPr>
        <w:pStyle w:val="Heading3"/>
        <w:spacing w:after="80" w:before="180"/>
      </w:pPr>
      <w:r>
        <w:rPr>
          <w:rFonts w:ascii="Garamond" w:cs="Garamond" w:eastAsia="Garamond" w:hAnsi="Garamond"/>
          <w:b/>
          <w:bCs/>
          <w:color w:val="111111"/>
          <w:sz w:val="20"/>
          <w:szCs w:val="20"/>
        </w:rPr>
        <w:t xml:space="preserve">THREE AUDIENCES INSIDE THE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8B0A4" w:sz="4"/>
              <w:left w:val="single" w:color="B8B0A4" w:sz="4"/>
              <w:bottom w:val="single" w:color="B8B0A4" w:sz="4"/>
              <w:right w:val="single" w:color="B8B0A4" w:sz="4"/>
            </w:tcBorders>
            <w:shd w:fill="F4F1EB" w:val="clear"/>
            <w:tcMar>
              <w:top w:type="dxa" w:w="160"/>
              <w:left w:type="dxa" w:w="200"/>
              <w:bottom w:type="dxa" w:w="160"/>
              <w:right w:type="dxa" w:w="200"/>
            </w:tcMar>
          </w:tcPr>
          <w:p>
            <w:pPr>
              <w:spacing w:after="120" w:before="60" w:line="320"/>
              <w:jc w:val="left"/>
            </w:pPr>
            <w:r>
              <w:rPr>
                <w:rFonts w:ascii="Garamond" w:cs="Garamond" w:eastAsia="Garamond" w:hAnsi="Garamond"/>
                <w:b/>
                <w:bCs/>
                <w:i w:val="false"/>
                <w:iCs w:val="false"/>
                <w:color w:val="111111"/>
                <w:sz w:val="20"/>
                <w:szCs w:val="20"/>
              </w:rPr>
              <w:t xml:space="preserve">Audience</w:t>
            </w:r>
          </w:p>
        </w:tc>
        <w:tc>
          <w:tcPr>
            <w:tcW w:type="dxa" w:w="3480"/>
            <w:tcBorders>
              <w:top w:val="single" w:color="B8B0A4" w:sz="4"/>
              <w:left w:val="single" w:color="B8B0A4" w:sz="4"/>
              <w:bottom w:val="single" w:color="B8B0A4" w:sz="4"/>
              <w:right w:val="single" w:color="B8B0A4" w:sz="4"/>
            </w:tcBorders>
            <w:shd w:fill="F4F1EB" w:val="clear"/>
            <w:tcMar>
              <w:top w:type="dxa" w:w="160"/>
              <w:left w:type="dxa" w:w="200"/>
              <w:bottom w:type="dxa" w:w="160"/>
              <w:right w:type="dxa" w:w="200"/>
            </w:tcMar>
          </w:tcPr>
          <w:p>
            <w:pPr>
              <w:spacing w:after="120" w:before="60" w:line="320"/>
              <w:jc w:val="left"/>
            </w:pPr>
            <w:r>
              <w:rPr>
                <w:rFonts w:ascii="Garamond" w:cs="Garamond" w:eastAsia="Garamond" w:hAnsi="Garamond"/>
                <w:b/>
                <w:bCs/>
                <w:i w:val="false"/>
                <w:iCs w:val="false"/>
                <w:color w:val="111111"/>
                <w:sz w:val="20"/>
                <w:szCs w:val="20"/>
              </w:rPr>
              <w:t xml:space="preserve">What they want from the Summit</w:t>
            </w:r>
          </w:p>
        </w:tc>
        <w:tc>
          <w:tcPr>
            <w:tcW w:type="dxa" w:w="3480"/>
            <w:tcBorders>
              <w:top w:val="single" w:color="B8B0A4" w:sz="4"/>
              <w:left w:val="single" w:color="B8B0A4" w:sz="4"/>
              <w:bottom w:val="single" w:color="B8B0A4" w:sz="4"/>
              <w:right w:val="single" w:color="B8B0A4" w:sz="4"/>
            </w:tcBorders>
            <w:shd w:fill="F4F1EB" w:val="clear"/>
            <w:tcMar>
              <w:top w:type="dxa" w:w="160"/>
              <w:left w:type="dxa" w:w="200"/>
              <w:bottom w:type="dxa" w:w="160"/>
              <w:right w:type="dxa" w:w="200"/>
            </w:tcMar>
          </w:tcPr>
          <w:p>
            <w:pPr>
              <w:spacing w:after="120" w:before="60" w:line="320"/>
              <w:jc w:val="left"/>
            </w:pPr>
            <w:r>
              <w:rPr>
                <w:rFonts w:ascii="Garamond" w:cs="Garamond" w:eastAsia="Garamond" w:hAnsi="Garamond"/>
                <w:b/>
                <w:bCs/>
                <w:i w:val="false"/>
                <w:iCs w:val="false"/>
                <w:color w:val="111111"/>
                <w:sz w:val="20"/>
                <w:szCs w:val="20"/>
              </w:rPr>
              <w:t xml:space="preserve">What we offer them</w:t>
            </w:r>
          </w:p>
        </w:tc>
      </w:tr>
      <w:tr>
        <w:tc>
          <w:tcPr>
            <w:tcW w:type="dxa" w:w="240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bCs/>
                <w:i w:val="false"/>
                <w:iCs w:val="false"/>
                <w:color w:val="111111"/>
                <w:sz w:val="20"/>
                <w:szCs w:val="20"/>
              </w:rPr>
              <w:t xml:space="preserve">Industry Players (referral economy)</w:t>
            </w:r>
          </w:p>
        </w:tc>
        <w:tc>
          <w:tcPr>
            <w:tcW w:type="dxa" w:w="348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Pipeline. Differentiated places to send their clients to. Real product, not pitch deck.</w:t>
            </w:r>
          </w:p>
        </w:tc>
        <w:tc>
          <w:tcPr>
            <w:tcW w:type="dxa" w:w="348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Site visit. Founder access. Health Resort tour. Onboarding into a structured 4% referral programme.</w:t>
            </w:r>
          </w:p>
        </w:tc>
      </w:tr>
      <w:tr>
        <w:tc>
          <w:tcPr>
            <w:tcW w:type="dxa" w:w="240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bCs/>
                <w:i w:val="false"/>
                <w:iCs w:val="false"/>
                <w:color w:val="111111"/>
                <w:sz w:val="20"/>
                <w:szCs w:val="20"/>
              </w:rPr>
              <w:t xml:space="preserve">Press &amp; Editorial</w:t>
            </w:r>
          </w:p>
        </w:tc>
        <w:tc>
          <w:tcPr>
            <w:tcW w:type="dxa" w:w="348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Stories with substance — places, people, ideas they can defend to an editor.</w:t>
            </w:r>
          </w:p>
        </w:tc>
        <w:tc>
          <w:tcPr>
            <w:tcW w:type="dxa" w:w="348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The reveal arc. Hosted property visit. On-the-record access to chef, CMO of CLP at Tri Vananda, founder, masterplan architect.</w:t>
            </w:r>
          </w:p>
        </w:tc>
      </w:tr>
      <w:tr>
        <w:tc>
          <w:tcPr>
            <w:tcW w:type="dxa" w:w="240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bCs/>
                <w:i w:val="false"/>
                <w:iCs w:val="false"/>
                <w:color w:val="111111"/>
                <w:sz w:val="20"/>
                <w:szCs w:val="20"/>
              </w:rPr>
              <w:t xml:space="preserve">Cultural Authorities</w:t>
            </w:r>
          </w:p>
        </w:tc>
        <w:tc>
          <w:tcPr>
            <w:tcW w:type="dxa" w:w="348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To be associated with what is next, not what is already crowded.</w:t>
            </w:r>
          </w:p>
        </w:tc>
        <w:tc>
          <w:tcPr>
            <w:tcW w:type="dxa" w:w="348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Programming role inside Tri Vananda's calendar — talks, residencies, salons. Long-term affiliation, not a fee.</w:t>
            </w:r>
          </w:p>
        </w:tc>
      </w:tr>
    </w:tbl>
    <w:p>
      <w:pPr>
        <w:pStyle w:val="Heading3"/>
        <w:spacing w:after="80" w:before="180"/>
      </w:pPr>
      <w:r>
        <w:rPr>
          <w:rFonts w:ascii="Garamond" w:cs="Garamond" w:eastAsia="Garamond" w:hAnsi="Garamond"/>
          <w:b/>
          <w:bCs/>
          <w:color w:val="111111"/>
          <w:sz w:val="20"/>
          <w:szCs w:val="20"/>
        </w:rPr>
        <w:t xml:space="preserve">THREE THINGS WE WILL HOST ON OR AROUND THE SUMMIT</w:t>
      </w:r>
    </w:p>
    <w:p>
      <w:pPr>
        <w:pStyle w:val="ListParagraph"/>
        <w:numPr>
          <w:ilvl w:val="0"/>
          <w:numId w:val="3"/>
        </w:numPr>
        <w:spacing w:after="30" w:before="30" w:line="320"/>
      </w:pPr>
      <w:r>
        <w:rPr>
          <w:rFonts w:ascii="Garamond" w:cs="Garamond" w:eastAsia="Garamond" w:hAnsi="Garamond"/>
          <w:color w:val="111111"/>
          <w:sz w:val="22"/>
          <w:szCs w:val="22"/>
        </w:rPr>
        <w:t xml:space="preserve">A property visit programme — invitation-only, capped, hosted across multiple days, designed to feel like an extension of the Summit rather than a sponsor activation. Health Resort tour, Jampa lunch or dinner, residential walk-through, founder Q&amp;A.</w:t>
      </w:r>
    </w:p>
    <w:p>
      <w:pPr>
        <w:pStyle w:val="ListParagraph"/>
        <w:numPr>
          <w:ilvl w:val="0"/>
          <w:numId w:val="3"/>
        </w:numPr>
        <w:spacing w:after="30" w:before="30" w:line="320"/>
      </w:pPr>
      <w:r>
        <w:rPr>
          <w:rFonts w:ascii="Garamond" w:cs="Garamond" w:eastAsia="Garamond" w:hAnsi="Garamond"/>
          <w:color w:val="111111"/>
          <w:sz w:val="22"/>
          <w:szCs w:val="22"/>
        </w:rPr>
        <w:t xml:space="preserve">A single press conference moment — held at the property, timed to the Summit week, run by the retained PR agency. Single headline: the launch of the Health Resort and the unveiling of the broader masterplan.</w:t>
      </w:r>
    </w:p>
    <w:p>
      <w:pPr>
        <w:pStyle w:val="ListParagraph"/>
        <w:numPr>
          <w:ilvl w:val="0"/>
          <w:numId w:val="3"/>
        </w:numPr>
        <w:spacing w:after="30" w:before="30" w:line="320"/>
      </w:pPr>
      <w:r>
        <w:rPr>
          <w:rFonts w:ascii="Garamond" w:cs="Garamond" w:eastAsia="Garamond" w:hAnsi="Garamond"/>
          <w:color w:val="111111"/>
          <w:sz w:val="22"/>
          <w:szCs w:val="22"/>
        </w:rPr>
        <w:t xml:space="preserve">A cultural moment — one curated salon (artist talk, longevity scientist conversation, intergenerational dialogue) staged at Tri Vananda the evening of the Summit's most unstructured day. The moment people in the room talk about for the rest of the week.</w:t>
      </w:r>
    </w:p>
    <w:p>
      <w:pPr>
        <w:pStyle w:val="Heading3"/>
        <w:spacing w:after="80" w:before="180"/>
      </w:pPr>
      <w:r>
        <w:rPr>
          <w:rFonts w:ascii="Garamond" w:cs="Garamond" w:eastAsia="Garamond" w:hAnsi="Garamond"/>
          <w:b/>
          <w:bCs/>
          <w:color w:val="111111"/>
          <w:sz w:val="20"/>
          <w:szCs w:val="20"/>
        </w:rPr>
        <w:t xml:space="preserve">WHAT WE WILL NOT DO</w:t>
      </w:r>
    </w:p>
    <w:p>
      <w:pPr>
        <w:pStyle w:val="ListParagraph"/>
        <w:numPr>
          <w:ilvl w:val="0"/>
          <w:numId w:val="3"/>
        </w:numPr>
        <w:spacing w:after="30" w:before="30" w:line="320"/>
      </w:pPr>
      <w:r>
        <w:rPr>
          <w:rFonts w:ascii="Garamond" w:cs="Garamond" w:eastAsia="Garamond" w:hAnsi="Garamond"/>
          <w:color w:val="111111"/>
          <w:sz w:val="22"/>
          <w:szCs w:val="22"/>
        </w:rPr>
        <w:t xml:space="preserve">Build a sponsor booth on the Summit floor selling villas.</w:t>
      </w:r>
    </w:p>
    <w:p>
      <w:pPr>
        <w:pStyle w:val="ListParagraph"/>
        <w:numPr>
          <w:ilvl w:val="0"/>
          <w:numId w:val="3"/>
        </w:numPr>
        <w:spacing w:after="30" w:before="30" w:line="320"/>
      </w:pPr>
      <w:r>
        <w:rPr>
          <w:rFonts w:ascii="Garamond" w:cs="Garamond" w:eastAsia="Garamond" w:hAnsi="Garamond"/>
          <w:color w:val="111111"/>
          <w:sz w:val="22"/>
          <w:szCs w:val="22"/>
        </w:rPr>
        <w:t xml:space="preserve">Hand out brochures.</w:t>
      </w:r>
    </w:p>
    <w:p>
      <w:pPr>
        <w:pStyle w:val="ListParagraph"/>
        <w:numPr>
          <w:ilvl w:val="0"/>
          <w:numId w:val="3"/>
        </w:numPr>
        <w:spacing w:after="30" w:before="30" w:line="320"/>
      </w:pPr>
      <w:r>
        <w:rPr>
          <w:rFonts w:ascii="Garamond" w:cs="Garamond" w:eastAsia="Garamond" w:hAnsi="Garamond"/>
          <w:color w:val="111111"/>
          <w:sz w:val="22"/>
          <w:szCs w:val="22"/>
        </w:rPr>
        <w:t xml:space="preserve">Talk price unprompted.</w:t>
      </w:r>
    </w:p>
    <w:p>
      <w:pPr>
        <w:pStyle w:val="ListParagraph"/>
        <w:numPr>
          <w:ilvl w:val="0"/>
          <w:numId w:val="3"/>
        </w:numPr>
        <w:spacing w:after="30" w:before="30" w:line="320"/>
      </w:pPr>
      <w:r>
        <w:rPr>
          <w:rFonts w:ascii="Garamond" w:cs="Garamond" w:eastAsia="Garamond" w:hAnsi="Garamond"/>
          <w:color w:val="111111"/>
          <w:sz w:val="22"/>
          <w:szCs w:val="22"/>
        </w:rPr>
        <w:t xml:space="preserve">Pretend to be a global brand. We will be a Thai brand of global standard, which is a more interesting story.</w:t>
      </w:r>
    </w:p>
    <w:p>
      <w:pPr>
        <w:pBdr>
          <w:left w:val="single" w:color="5C6B4F" w:sz="12" w:space="12"/>
        </w:pBdr>
        <w:spacing w:after="200" w:before="200" w:line="360"/>
        <w:ind w:left="720" w:right="720"/>
      </w:pPr>
      <w:r>
        <w:rPr>
          <w:rFonts w:ascii="Garamond" w:cs="Garamond" w:eastAsia="Garamond" w:hAnsi="Garamond"/>
          <w:i/>
          <w:iCs/>
          <w:color w:val="111111"/>
          <w:sz w:val="24"/>
          <w:szCs w:val="24"/>
        </w:rPr>
        <w:t xml:space="preserve">Restraint is the strategy. The room is sophisticated. The brands that will win it are the ones that look like they did not need the Summit to matter.</w:t>
      </w:r>
    </w:p>
    <w:p>
      <w:r>
        <w:br w:type="page"/>
      </w:r>
    </w:p>
    <w:p>
      <w:pPr>
        <w:spacing w:after="40" w:before="80"/>
      </w:pPr>
      <w:r>
        <w:rPr>
          <w:rFonts w:ascii="Garamond" w:cs="Garamond" w:eastAsia="Garamond" w:hAnsi="Garamond"/>
          <w:b/>
          <w:bCs/>
          <w:color w:val="5C6B4F"/>
          <w:spacing w:val="60"/>
          <w:sz w:val="18"/>
          <w:szCs w:val="18"/>
        </w:rPr>
        <w:t xml:space="preserve">VI.</w:t>
      </w:r>
    </w:p>
    <w:p>
      <w:pPr>
        <w:pStyle w:val="Heading1"/>
        <w:spacing w:after="160" w:before="360"/>
      </w:pPr>
      <w:r>
        <w:rPr>
          <w:rFonts w:ascii="Garamond" w:cs="Garamond" w:eastAsia="Garamond" w:hAnsi="Garamond"/>
          <w:b w:val="false"/>
          <w:bCs w:val="false"/>
          <w:color w:val="111111"/>
          <w:sz w:val="36"/>
          <w:szCs w:val="36"/>
        </w:rPr>
        <w:t xml:space="preserve">Collaboration Ask</w:t>
      </w:r>
    </w:p>
    <w:p>
      <w:pPr>
        <w:pStyle w:val="Heading2"/>
        <w:spacing w:after="120" w:before="240"/>
      </w:pPr>
      <w:r>
        <w:rPr>
          <w:rFonts w:ascii="Garamond" w:cs="Garamond" w:eastAsia="Garamond" w:hAnsi="Garamond"/>
          <w:b w:val="false"/>
          <w:bCs w:val="false"/>
          <w:color w:val="5C6B4F"/>
          <w:sz w:val="28"/>
          <w:szCs w:val="28"/>
        </w:rPr>
        <w:t xml:space="preserve">A Proposal for the Global Wellness Summit Team</w:t>
      </w:r>
    </w:p>
    <w:p>
      <w:pPr>
        <w:pBdr>
          <w:bottom w:val="single" w:color="B8B0A4" w:sz="6" w:space="1"/>
        </w:pBdr>
        <w:spacing w:after="120" w:before="120"/>
      </w:pPr>
      <w:r>
        <w:t xml:space="preserve"/>
      </w:r>
    </w:p>
    <w:p>
      <w:pPr>
        <w:spacing w:after="200" w:before="80" w:line="340"/>
      </w:pPr>
      <w:r>
        <w:rPr>
          <w:rFonts w:ascii="Garamond" w:cs="Garamond" w:eastAsia="Garamond" w:hAnsi="Garamond"/>
          <w:i/>
          <w:iCs/>
          <w:color w:val="111111"/>
          <w:sz w:val="26"/>
          <w:szCs w:val="26"/>
        </w:rPr>
        <w:t xml:space="preserve">We do not want a sponsor slot. We want a hosting role — calibrated, useful to GWS, distinctive for Tri Vananda.</w:t>
      </w:r>
    </w:p>
    <w:p>
      <w:pPr>
        <w:pStyle w:val="Heading3"/>
        <w:spacing w:after="80" w:before="180"/>
      </w:pPr>
      <w:r>
        <w:rPr>
          <w:rFonts w:ascii="Garamond" w:cs="Garamond" w:eastAsia="Garamond" w:hAnsi="Garamond"/>
          <w:b/>
          <w:bCs/>
          <w:color w:val="111111"/>
          <w:sz w:val="20"/>
          <w:szCs w:val="20"/>
        </w:rPr>
        <w:t xml:space="preserve">WHAT WE PROPOSE TO BRING TO GWS</w:t>
      </w:r>
    </w:p>
    <w:p>
      <w:pPr>
        <w:pStyle w:val="ListParagraph"/>
        <w:numPr>
          <w:ilvl w:val="0"/>
          <w:numId w:val="3"/>
        </w:numPr>
        <w:spacing w:after="30" w:before="30" w:line="320"/>
      </w:pPr>
      <w:r>
        <w:rPr>
          <w:rFonts w:ascii="Garamond" w:cs="Garamond" w:eastAsia="Garamond" w:hAnsi="Garamond"/>
          <w:color w:val="111111"/>
          <w:sz w:val="22"/>
          <w:szCs w:val="22"/>
        </w:rPr>
        <w:t xml:space="preserve">A real venue. Tri Vananda is a working campus, not a hotel ballroom. Selected GWS programming — a closed-door dinner, a working group, a cultural evening — gains substance by being held here rather than at the conference centre.</w:t>
      </w:r>
    </w:p>
    <w:p>
      <w:pPr>
        <w:pStyle w:val="ListParagraph"/>
        <w:numPr>
          <w:ilvl w:val="0"/>
          <w:numId w:val="3"/>
        </w:numPr>
        <w:spacing w:after="30" w:before="30" w:line="320"/>
      </w:pPr>
      <w:r>
        <w:rPr>
          <w:rFonts w:ascii="Garamond" w:cs="Garamond" w:eastAsia="Garamond" w:hAnsi="Garamond"/>
          <w:color w:val="111111"/>
          <w:sz w:val="22"/>
          <w:szCs w:val="22"/>
        </w:rPr>
        <w:t xml:space="preserve">Substantive programming partners. Through the Health Resort opening, we can co-host a session with the medical leadership of Clinique La Prairie. Through Jampa, a culinary-wellness conversation. Through the masterplan, a residential-longevity discussion.</w:t>
      </w:r>
    </w:p>
    <w:p>
      <w:pPr>
        <w:pStyle w:val="ListParagraph"/>
        <w:numPr>
          <w:ilvl w:val="0"/>
          <w:numId w:val="3"/>
        </w:numPr>
        <w:spacing w:after="30" w:before="30" w:line="320"/>
      </w:pPr>
      <w:r>
        <w:rPr>
          <w:rFonts w:ascii="Garamond" w:cs="Garamond" w:eastAsia="Garamond" w:hAnsi="Garamond"/>
          <w:color w:val="111111"/>
          <w:sz w:val="22"/>
          <w:szCs w:val="22"/>
        </w:rPr>
        <w:t xml:space="preserve">A pre- or post-Summit immersion track. A curated half-day or one-day Tri Vananda experience for delegates who want depth — included on GWS's official agenda, not bolted on.</w:t>
      </w:r>
    </w:p>
    <w:p>
      <w:pPr>
        <w:pStyle w:val="ListParagraph"/>
        <w:numPr>
          <w:ilvl w:val="0"/>
          <w:numId w:val="3"/>
        </w:numPr>
        <w:spacing w:after="30" w:before="30" w:line="320"/>
      </w:pPr>
      <w:r>
        <w:rPr>
          <w:rFonts w:ascii="Garamond" w:cs="Garamond" w:eastAsia="Garamond" w:hAnsi="Garamond"/>
          <w:color w:val="111111"/>
          <w:sz w:val="22"/>
          <w:szCs w:val="22"/>
        </w:rPr>
        <w:t xml:space="preserve">Cultural and gifting calibration. A single, restrained Tri Vananda gesture — designed with care, not branded merchandise — for delegates.</w:t>
      </w:r>
    </w:p>
    <w:p>
      <w:pPr>
        <w:pStyle w:val="Heading3"/>
        <w:spacing w:after="80" w:before="180"/>
      </w:pPr>
      <w:r>
        <w:rPr>
          <w:rFonts w:ascii="Garamond" w:cs="Garamond" w:eastAsia="Garamond" w:hAnsi="Garamond"/>
          <w:b/>
          <w:bCs/>
          <w:color w:val="111111"/>
          <w:sz w:val="20"/>
          <w:szCs w:val="20"/>
        </w:rPr>
        <w:t xml:space="preserve">WHAT WE ASK GWS TO CONSIDER IN RETURN</w:t>
      </w:r>
    </w:p>
    <w:p>
      <w:pPr>
        <w:pStyle w:val="ListParagraph"/>
        <w:numPr>
          <w:ilvl w:val="0"/>
          <w:numId w:val="3"/>
        </w:numPr>
        <w:spacing w:after="30" w:before="30" w:line="320"/>
      </w:pPr>
      <w:r>
        <w:rPr>
          <w:rFonts w:ascii="Garamond" w:cs="Garamond" w:eastAsia="Garamond" w:hAnsi="Garamond"/>
          <w:color w:val="111111"/>
          <w:sz w:val="22"/>
          <w:szCs w:val="22"/>
        </w:rPr>
        <w:t xml:space="preserve">Status as Thailand-based host partner of the Summit, with editorial and on-site presence proportionate to that role.</w:t>
      </w:r>
    </w:p>
    <w:p>
      <w:pPr>
        <w:pStyle w:val="ListParagraph"/>
        <w:numPr>
          <w:ilvl w:val="0"/>
          <w:numId w:val="3"/>
        </w:numPr>
        <w:spacing w:after="30" w:before="30" w:line="320"/>
      </w:pPr>
      <w:r>
        <w:rPr>
          <w:rFonts w:ascii="Garamond" w:cs="Garamond" w:eastAsia="Garamond" w:hAnsi="Garamond"/>
          <w:color w:val="111111"/>
          <w:sz w:val="22"/>
          <w:szCs w:val="22"/>
        </w:rPr>
        <w:t xml:space="preserve">Inclusion of the Tri Vananda immersion in the official agenda.</w:t>
      </w:r>
    </w:p>
    <w:p>
      <w:pPr>
        <w:pStyle w:val="ListParagraph"/>
        <w:numPr>
          <w:ilvl w:val="0"/>
          <w:numId w:val="3"/>
        </w:numPr>
        <w:spacing w:after="30" w:before="30" w:line="320"/>
      </w:pPr>
      <w:r>
        <w:rPr>
          <w:rFonts w:ascii="Garamond" w:cs="Garamond" w:eastAsia="Garamond" w:hAnsi="Garamond"/>
          <w:color w:val="111111"/>
          <w:sz w:val="22"/>
          <w:szCs w:val="22"/>
        </w:rPr>
        <w:t xml:space="preserve">Speaking representation on at least one main-stage panel where multigenerational wellness, longevity living, or place-led wellness is the topic.</w:t>
      </w:r>
    </w:p>
    <w:p>
      <w:pPr>
        <w:pStyle w:val="ListParagraph"/>
        <w:numPr>
          <w:ilvl w:val="0"/>
          <w:numId w:val="3"/>
        </w:numPr>
        <w:spacing w:after="30" w:before="30" w:line="320"/>
      </w:pPr>
      <w:r>
        <w:rPr>
          <w:rFonts w:ascii="Garamond" w:cs="Garamond" w:eastAsia="Garamond" w:hAnsi="Garamond"/>
          <w:color w:val="111111"/>
          <w:sz w:val="22"/>
          <w:szCs w:val="22"/>
        </w:rPr>
        <w:t xml:space="preserve">Co-branded post-Summit communications — a single letter to delegates, jointly signed, summarising the Tri Vananda site visit programme.</w:t>
      </w:r>
    </w:p>
    <w:p>
      <w:pPr>
        <w:pStyle w:val="Heading3"/>
        <w:spacing w:after="80" w:before="180"/>
      </w:pPr>
      <w:r>
        <w:rPr>
          <w:rFonts w:ascii="Garamond" w:cs="Garamond" w:eastAsia="Garamond" w:hAnsi="Garamond"/>
          <w:b/>
          <w:bCs/>
          <w:color w:val="111111"/>
          <w:sz w:val="20"/>
          <w:szCs w:val="20"/>
        </w:rPr>
        <w:t xml:space="preserve">WHAT WE ARE NOT ASKING FOR</w:t>
      </w:r>
    </w:p>
    <w:p>
      <w:pPr>
        <w:spacing w:after="120" w:before="60" w:line="320"/>
        <w:jc w:val="left"/>
      </w:pPr>
      <w:r>
        <w:rPr>
          <w:rFonts w:ascii="Garamond" w:cs="Garamond" w:eastAsia="Garamond" w:hAnsi="Garamond"/>
          <w:b w:val="false"/>
          <w:bCs w:val="false"/>
          <w:i w:val="false"/>
          <w:iCs w:val="false"/>
          <w:color w:val="111111"/>
          <w:sz w:val="22"/>
          <w:szCs w:val="22"/>
        </w:rPr>
        <w:t xml:space="preserve">We are not asking for exclusivity. We are not asking GWS to compromise its existing partner relationships. We are not asking for delegate contact data. The asks are designed to be reasonable, mutually valuable, and protective of GWS's integrity as a neutral convener.</w:t>
      </w:r>
    </w:p>
    <w:p>
      <w:pPr>
        <w:pStyle w:val="Heading3"/>
        <w:spacing w:after="80" w:before="180"/>
      </w:pPr>
      <w:r>
        <w:rPr>
          <w:rFonts w:ascii="Garamond" w:cs="Garamond" w:eastAsia="Garamond" w:hAnsi="Garamond"/>
          <w:b/>
          <w:bCs/>
          <w:color w:val="111111"/>
          <w:sz w:val="20"/>
          <w:szCs w:val="20"/>
        </w:rPr>
        <w:t xml:space="preserve">CONVERSATION FRAMING FOR THE GWS TEAM</w:t>
      </w:r>
    </w:p>
    <w:p>
      <w:pPr>
        <w:pBdr>
          <w:left w:val="single" w:color="5C6B4F" w:sz="12" w:space="12"/>
        </w:pBdr>
        <w:spacing w:after="200" w:before="200" w:line="360"/>
        <w:ind w:left="720" w:right="720"/>
      </w:pPr>
      <w:r>
        <w:rPr>
          <w:rFonts w:ascii="Garamond" w:cs="Garamond" w:eastAsia="Garamond" w:hAnsi="Garamond"/>
          <w:i/>
          <w:iCs/>
          <w:color w:val="111111"/>
          <w:sz w:val="24"/>
          <w:szCs w:val="24"/>
        </w:rPr>
        <w:t xml:space="preserve">We are the closest serious wellness institution to your venue, and we are launching during your week. There is a version of this where Tri Vananda becomes the most-talked-about non-conference moment of the Summit — and where that reflects well on GWS as the body that brought the conversation to Phuket. We would like to design that version with you.</w:t>
      </w:r>
    </w:p>
    <w:p>
      <w:r>
        <w:br w:type="page"/>
      </w:r>
    </w:p>
    <w:p>
      <w:pPr>
        <w:spacing w:after="40" w:before="80"/>
      </w:pPr>
      <w:r>
        <w:rPr>
          <w:rFonts w:ascii="Garamond" w:cs="Garamond" w:eastAsia="Garamond" w:hAnsi="Garamond"/>
          <w:b/>
          <w:bCs/>
          <w:color w:val="5C6B4F"/>
          <w:spacing w:val="60"/>
          <w:sz w:val="18"/>
          <w:szCs w:val="18"/>
        </w:rPr>
        <w:t xml:space="preserve">VII.</w:t>
      </w:r>
    </w:p>
    <w:p>
      <w:pPr>
        <w:pStyle w:val="Heading1"/>
        <w:spacing w:after="160" w:before="360"/>
      </w:pPr>
      <w:r>
        <w:rPr>
          <w:rFonts w:ascii="Garamond" w:cs="Garamond" w:eastAsia="Garamond" w:hAnsi="Garamond"/>
          <w:b w:val="false"/>
          <w:bCs w:val="false"/>
          <w:color w:val="111111"/>
          <w:sz w:val="36"/>
          <w:szCs w:val="36"/>
        </w:rPr>
        <w:t xml:space="preserve">The B2B Industry Referral Architecture</w:t>
      </w:r>
    </w:p>
    <w:p>
      <w:pPr>
        <w:pStyle w:val="Heading2"/>
        <w:spacing w:after="120" w:before="240"/>
      </w:pPr>
      <w:r>
        <w:rPr>
          <w:rFonts w:ascii="Garamond" w:cs="Garamond" w:eastAsia="Garamond" w:hAnsi="Garamond"/>
          <w:b w:val="false"/>
          <w:bCs w:val="false"/>
          <w:color w:val="5C6B4F"/>
          <w:sz w:val="28"/>
          <w:szCs w:val="28"/>
        </w:rPr>
        <w:t xml:space="preserve">How the Summit Audience Becomes a 24-Month Sales Engine</w:t>
      </w:r>
    </w:p>
    <w:p>
      <w:pPr>
        <w:pBdr>
          <w:bottom w:val="single" w:color="B8B0A4" w:sz="6" w:space="1"/>
        </w:pBdr>
        <w:spacing w:after="120" w:before="120"/>
      </w:pPr>
      <w:r>
        <w:t xml:space="preserve"/>
      </w:r>
    </w:p>
    <w:p>
      <w:pPr>
        <w:pStyle w:val="Heading2"/>
        <w:spacing w:after="120" w:before="240"/>
      </w:pPr>
      <w:r>
        <w:rPr>
          <w:rFonts w:ascii="Garamond" w:cs="Garamond" w:eastAsia="Garamond" w:hAnsi="Garamond"/>
          <w:b w:val="false"/>
          <w:bCs w:val="false"/>
          <w:color w:val="5C6B4F"/>
          <w:sz w:val="28"/>
          <w:szCs w:val="28"/>
        </w:rPr>
        <w:t xml:space="preserve">The premise</w:t>
      </w:r>
    </w:p>
    <w:p>
      <w:pPr>
        <w:spacing w:after="120" w:before="60" w:line="320"/>
        <w:jc w:val="left"/>
      </w:pPr>
      <w:r>
        <w:rPr>
          <w:rFonts w:ascii="Garamond" w:cs="Garamond" w:eastAsia="Garamond" w:hAnsi="Garamond"/>
          <w:b w:val="false"/>
          <w:bCs w:val="false"/>
          <w:i w:val="false"/>
          <w:iCs w:val="false"/>
          <w:color w:val="111111"/>
          <w:sz w:val="22"/>
          <w:szCs w:val="22"/>
        </w:rPr>
        <w:t xml:space="preserve">Industry players operate inside a closed economy of trust. They send their clients to places they have personally vetted. The Summit is the most efficient moment in any decade to invite the most relevant 200 of them to vet us. The structured referral programme is the contract that holds the relationship after the Summit ends.</w:t>
      </w:r>
    </w:p>
    <w:p>
      <w:pPr>
        <w:pStyle w:val="Heading2"/>
        <w:spacing w:after="120" w:before="240"/>
      </w:pPr>
      <w:r>
        <w:rPr>
          <w:rFonts w:ascii="Garamond" w:cs="Garamond" w:eastAsia="Garamond" w:hAnsi="Garamond"/>
          <w:b w:val="false"/>
          <w:bCs w:val="false"/>
          <w:color w:val="5C6B4F"/>
          <w:sz w:val="28"/>
          <w:szCs w:val="28"/>
        </w:rPr>
        <w:t xml:space="preserve">Programme architecture</w:t>
      </w:r>
    </w:p>
    <w:p>
      <w:pPr>
        <w:pStyle w:val="Heading3"/>
        <w:spacing w:after="80" w:before="180"/>
      </w:pPr>
      <w:r>
        <w:rPr>
          <w:rFonts w:ascii="Garamond" w:cs="Garamond" w:eastAsia="Garamond" w:hAnsi="Garamond"/>
          <w:b/>
          <w:bCs/>
          <w:color w:val="111111"/>
          <w:sz w:val="20"/>
          <w:szCs w:val="20"/>
        </w:rPr>
        <w:t xml:space="preserve">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B8B0A4" w:sz="4"/>
              <w:left w:val="single" w:color="B8B0A4" w:sz="4"/>
              <w:bottom w:val="single" w:color="B8B0A4" w:sz="4"/>
              <w:right w:val="single" w:color="B8B0A4" w:sz="4"/>
            </w:tcBorders>
            <w:shd w:fill="F4F1EB" w:val="clear"/>
            <w:tcMar>
              <w:top w:type="dxa" w:w="160"/>
              <w:left w:type="dxa" w:w="200"/>
              <w:bottom w:type="dxa" w:w="160"/>
              <w:right w:type="dxa" w:w="200"/>
            </w:tcMar>
          </w:tcPr>
          <w:p>
            <w:pPr>
              <w:spacing w:after="120" w:before="60" w:line="320"/>
              <w:jc w:val="left"/>
            </w:pPr>
            <w:r>
              <w:rPr>
                <w:rFonts w:ascii="Garamond" w:cs="Garamond" w:eastAsia="Garamond" w:hAnsi="Garamond"/>
                <w:b/>
                <w:bCs/>
                <w:i w:val="false"/>
                <w:iCs w:val="false"/>
                <w:color w:val="111111"/>
                <w:sz w:val="20"/>
                <w:szCs w:val="20"/>
              </w:rPr>
              <w:t xml:space="preserve">Tier</w:t>
            </w:r>
          </w:p>
        </w:tc>
        <w:tc>
          <w:tcPr>
            <w:tcW w:type="dxa" w:w="2400"/>
            <w:tcBorders>
              <w:top w:val="single" w:color="B8B0A4" w:sz="4"/>
              <w:left w:val="single" w:color="B8B0A4" w:sz="4"/>
              <w:bottom w:val="single" w:color="B8B0A4" w:sz="4"/>
              <w:right w:val="single" w:color="B8B0A4" w:sz="4"/>
            </w:tcBorders>
            <w:shd w:fill="F4F1EB" w:val="clear"/>
            <w:tcMar>
              <w:top w:type="dxa" w:w="160"/>
              <w:left w:type="dxa" w:w="200"/>
              <w:bottom w:type="dxa" w:w="160"/>
              <w:right w:type="dxa" w:w="200"/>
            </w:tcMar>
          </w:tcPr>
          <w:p>
            <w:pPr>
              <w:spacing w:after="120" w:before="60" w:line="320"/>
              <w:jc w:val="left"/>
            </w:pPr>
            <w:r>
              <w:rPr>
                <w:rFonts w:ascii="Garamond" w:cs="Garamond" w:eastAsia="Garamond" w:hAnsi="Garamond"/>
                <w:b/>
                <w:bCs/>
                <w:i w:val="false"/>
                <w:iCs w:val="false"/>
                <w:color w:val="111111"/>
                <w:sz w:val="20"/>
                <w:szCs w:val="20"/>
              </w:rPr>
              <w:t xml:space="preserve">Profile</w:t>
            </w:r>
          </w:p>
        </w:tc>
        <w:tc>
          <w:tcPr>
            <w:tcW w:type="dxa" w:w="2400"/>
            <w:tcBorders>
              <w:top w:val="single" w:color="B8B0A4" w:sz="4"/>
              <w:left w:val="single" w:color="B8B0A4" w:sz="4"/>
              <w:bottom w:val="single" w:color="B8B0A4" w:sz="4"/>
              <w:right w:val="single" w:color="B8B0A4" w:sz="4"/>
            </w:tcBorders>
            <w:shd w:fill="F4F1EB" w:val="clear"/>
            <w:tcMar>
              <w:top w:type="dxa" w:w="160"/>
              <w:left w:type="dxa" w:w="200"/>
              <w:bottom w:type="dxa" w:w="160"/>
              <w:right w:type="dxa" w:w="200"/>
            </w:tcMar>
          </w:tcPr>
          <w:p>
            <w:pPr>
              <w:spacing w:after="120" w:before="60" w:line="320"/>
              <w:jc w:val="left"/>
            </w:pPr>
            <w:r>
              <w:rPr>
                <w:rFonts w:ascii="Garamond" w:cs="Garamond" w:eastAsia="Garamond" w:hAnsi="Garamond"/>
                <w:b/>
                <w:bCs/>
                <w:i w:val="false"/>
                <w:iCs w:val="false"/>
                <w:color w:val="111111"/>
                <w:sz w:val="20"/>
                <w:szCs w:val="20"/>
              </w:rPr>
              <w:t xml:space="preserve">Access &amp; enablement</w:t>
            </w:r>
          </w:p>
        </w:tc>
        <w:tc>
          <w:tcPr>
            <w:tcW w:type="dxa" w:w="2360"/>
            <w:tcBorders>
              <w:top w:val="single" w:color="B8B0A4" w:sz="4"/>
              <w:left w:val="single" w:color="B8B0A4" w:sz="4"/>
              <w:bottom w:val="single" w:color="B8B0A4" w:sz="4"/>
              <w:right w:val="single" w:color="B8B0A4" w:sz="4"/>
            </w:tcBorders>
            <w:shd w:fill="F4F1EB" w:val="clear"/>
            <w:tcMar>
              <w:top w:type="dxa" w:w="160"/>
              <w:left w:type="dxa" w:w="200"/>
              <w:bottom w:type="dxa" w:w="160"/>
              <w:right w:type="dxa" w:w="200"/>
            </w:tcMar>
          </w:tcPr>
          <w:p>
            <w:pPr>
              <w:spacing w:after="120" w:before="60" w:line="320"/>
              <w:jc w:val="left"/>
            </w:pPr>
            <w:r>
              <w:rPr>
                <w:rFonts w:ascii="Garamond" w:cs="Garamond" w:eastAsia="Garamond" w:hAnsi="Garamond"/>
                <w:b/>
                <w:bCs/>
                <w:i w:val="false"/>
                <w:iCs w:val="false"/>
                <w:color w:val="111111"/>
                <w:sz w:val="20"/>
                <w:szCs w:val="20"/>
              </w:rPr>
              <w:t xml:space="preserve">Commission on closed villa sale</w:t>
            </w:r>
          </w:p>
        </w:tc>
      </w:tr>
      <w:tr>
        <w:tc>
          <w:tcPr>
            <w:tcW w:type="dxa" w:w="220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Founding Industry Partner</w:t>
            </w:r>
          </w:p>
        </w:tc>
        <w:tc>
          <w:tcPr>
            <w:tcW w:type="dxa" w:w="240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Top-tier travel designers, wellness consultants, family-office advisors. Capped invitation list.</w:t>
            </w:r>
          </w:p>
        </w:tc>
        <w:tc>
          <w:tcPr>
            <w:tcW w:type="dxa" w:w="240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Founder access. Bespoke property visit. Named on the brand. Co-curated retreat opportunities.</w:t>
            </w:r>
          </w:p>
        </w:tc>
        <w:tc>
          <w:tcPr>
            <w:tcW w:type="dxa" w:w="236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bCs/>
                <w:i w:val="false"/>
                <w:iCs w:val="false"/>
                <w:color w:val="111111"/>
                <w:sz w:val="20"/>
                <w:szCs w:val="20"/>
              </w:rPr>
              <w:t xml:space="preserve">4%</w:t>
            </w:r>
          </w:p>
        </w:tc>
      </w:tr>
      <w:tr>
        <w:tc>
          <w:tcPr>
            <w:tcW w:type="dxa" w:w="220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Industry Partner</w:t>
            </w:r>
          </w:p>
        </w:tc>
        <w:tc>
          <w:tcPr>
            <w:tcW w:type="dxa" w:w="240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Qualified industry referrers post-Summit onboarding.</w:t>
            </w:r>
          </w:p>
        </w:tc>
        <w:tc>
          <w:tcPr>
            <w:tcW w:type="dxa" w:w="240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Standard onboarding pack, sales kit, quarterly update, partner site visits.</w:t>
            </w:r>
          </w:p>
        </w:tc>
        <w:tc>
          <w:tcPr>
            <w:tcW w:type="dxa" w:w="236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bCs/>
                <w:i w:val="false"/>
                <w:iCs w:val="false"/>
                <w:color w:val="111111"/>
                <w:sz w:val="20"/>
                <w:szCs w:val="20"/>
              </w:rPr>
              <w:t xml:space="preserve">4%</w:t>
            </w:r>
          </w:p>
        </w:tc>
      </w:tr>
      <w:tr>
        <w:tc>
          <w:tcPr>
            <w:tcW w:type="dxa" w:w="220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Cultural Affiliate</w:t>
            </w:r>
          </w:p>
        </w:tc>
        <w:tc>
          <w:tcPr>
            <w:tcW w:type="dxa" w:w="240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KOLs, editors, and cultural figures whose role is voice, not transaction.</w:t>
            </w:r>
          </w:p>
        </w:tc>
        <w:tc>
          <w:tcPr>
            <w:tcW w:type="dxa" w:w="240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No commission. Long-term programming role inside the brand.</w:t>
            </w:r>
          </w:p>
        </w:tc>
        <w:tc>
          <w:tcPr>
            <w:tcW w:type="dxa" w:w="236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iCs/>
                <w:color w:val="555555"/>
                <w:sz w:val="20"/>
                <w:szCs w:val="20"/>
              </w:rPr>
              <w:t xml:space="preserve">Non-commercial</w:t>
            </w:r>
          </w:p>
        </w:tc>
      </w:tr>
    </w:tbl>
    <w:p>
      <w:pPr>
        <w:pStyle w:val="Heading3"/>
        <w:spacing w:after="80" w:before="180"/>
      </w:pPr>
      <w:r>
        <w:rPr>
          <w:rFonts w:ascii="Garamond" w:cs="Garamond" w:eastAsia="Garamond" w:hAnsi="Garamond"/>
          <w:b/>
          <w:bCs/>
          <w:color w:val="111111"/>
          <w:sz w:val="20"/>
          <w:szCs w:val="20"/>
        </w:rPr>
        <w:t xml:space="preserve">QUALIFICATION &amp; ONBOARDING</w:t>
      </w:r>
    </w:p>
    <w:p>
      <w:pPr>
        <w:pStyle w:val="ListParagraph"/>
        <w:numPr>
          <w:ilvl w:val="0"/>
          <w:numId w:val="3"/>
        </w:numPr>
        <w:spacing w:after="30" w:before="30" w:line="320"/>
      </w:pPr>
      <w:r>
        <w:rPr>
          <w:rFonts w:ascii="Garamond" w:cs="Garamond" w:eastAsia="Garamond" w:hAnsi="Garamond"/>
          <w:color w:val="111111"/>
          <w:sz w:val="22"/>
          <w:szCs w:val="22"/>
        </w:rPr>
        <w:t xml:space="preserve">All commissioned partners sign a clear, brand-protective agreement — terms, conduct, communication standards, attribution rules, exclusivity boundaries, payment timing.</w:t>
      </w:r>
    </w:p>
    <w:p>
      <w:pPr>
        <w:pStyle w:val="ListParagraph"/>
        <w:numPr>
          <w:ilvl w:val="0"/>
          <w:numId w:val="3"/>
        </w:numPr>
        <w:spacing w:after="30" w:before="30" w:line="320"/>
      </w:pPr>
      <w:r>
        <w:rPr>
          <w:rFonts w:ascii="Garamond" w:cs="Garamond" w:eastAsia="Garamond" w:hAnsi="Garamond"/>
          <w:color w:val="111111"/>
          <w:sz w:val="22"/>
          <w:szCs w:val="22"/>
        </w:rPr>
        <w:t xml:space="preserve">Each partner receives a credentialed access pack — a private digital portal with current sales materials, the masterplan reveal calendar, talking points calibrated to Tier 1 (client-facing) standards, and a named relationship lead at Tri Vananda.</w:t>
      </w:r>
    </w:p>
    <w:p>
      <w:pPr>
        <w:pStyle w:val="ListParagraph"/>
        <w:numPr>
          <w:ilvl w:val="0"/>
          <w:numId w:val="3"/>
        </w:numPr>
        <w:spacing w:after="30" w:before="30" w:line="320"/>
      </w:pPr>
      <w:r>
        <w:rPr>
          <w:rFonts w:ascii="Garamond" w:cs="Garamond" w:eastAsia="Garamond" w:hAnsi="Garamond"/>
          <w:color w:val="111111"/>
          <w:sz w:val="22"/>
          <w:szCs w:val="22"/>
        </w:rPr>
        <w:t xml:space="preserve">All referrals are tracked through a single CRM gateway. Commission is paid on closed and settled sales only, against a registered referral within a defined window.</w:t>
      </w:r>
    </w:p>
    <w:p>
      <w:pPr>
        <w:pStyle w:val="Heading3"/>
        <w:spacing w:after="80" w:before="180"/>
      </w:pPr>
      <w:r>
        <w:rPr>
          <w:rFonts w:ascii="Garamond" w:cs="Garamond" w:eastAsia="Garamond" w:hAnsi="Garamond"/>
          <w:b/>
          <w:bCs/>
          <w:color w:val="111111"/>
          <w:sz w:val="20"/>
          <w:szCs w:val="20"/>
        </w:rPr>
        <w:t xml:space="preserve">ACTIVATION ARC — SUMMIT AND AFTER</w:t>
      </w:r>
    </w:p>
    <w:p>
      <w:pPr>
        <w:pStyle w:val="ListParagraph"/>
        <w:numPr>
          <w:ilvl w:val="0"/>
          <w:numId w:val="2"/>
        </w:numPr>
        <w:spacing w:after="30" w:before="30" w:line="320"/>
      </w:pPr>
      <w:r>
        <w:rPr>
          <w:rFonts w:ascii="Garamond" w:cs="Garamond" w:eastAsia="Garamond" w:hAnsi="Garamond"/>
          <w:color w:val="111111"/>
          <w:sz w:val="22"/>
          <w:szCs w:val="22"/>
        </w:rPr>
        <w:t xml:space="preserve">Pre-Summit: a curated long-list of approximately 200 industry names sourced from GWS attendee profile, retained PR agency network, and existing Tri Vananda relationships. Personal invitations sent.</w:t>
      </w:r>
    </w:p>
    <w:p>
      <w:pPr>
        <w:pStyle w:val="ListParagraph"/>
        <w:numPr>
          <w:ilvl w:val="0"/>
          <w:numId w:val="2"/>
        </w:numPr>
        <w:spacing w:after="30" w:before="30" w:line="320"/>
      </w:pPr>
      <w:r>
        <w:rPr>
          <w:rFonts w:ascii="Garamond" w:cs="Garamond" w:eastAsia="Garamond" w:hAnsi="Garamond"/>
          <w:color w:val="111111"/>
          <w:sz w:val="22"/>
          <w:szCs w:val="22"/>
        </w:rPr>
        <w:t xml:space="preserve">Summit week: hosted property visits, founder access, founding partner conversations. Goal — convert 40 to 60 of the long-list into Founding Industry Partners.</w:t>
      </w:r>
    </w:p>
    <w:p>
      <w:pPr>
        <w:pStyle w:val="ListParagraph"/>
        <w:numPr>
          <w:ilvl w:val="0"/>
          <w:numId w:val="2"/>
        </w:numPr>
        <w:spacing w:after="30" w:before="30" w:line="320"/>
      </w:pPr>
      <w:r>
        <w:rPr>
          <w:rFonts w:ascii="Garamond" w:cs="Garamond" w:eastAsia="Garamond" w:hAnsi="Garamond"/>
          <w:color w:val="111111"/>
          <w:sz w:val="22"/>
          <w:szCs w:val="22"/>
        </w:rPr>
        <w:t xml:space="preserve">Post-Summit (months 1–3): formal onboarding, sales kit, first quarterly update, first co-curated retreat opportunity offered to top tier.</w:t>
      </w:r>
    </w:p>
    <w:p>
      <w:pPr>
        <w:pStyle w:val="ListParagraph"/>
        <w:numPr>
          <w:ilvl w:val="0"/>
          <w:numId w:val="2"/>
        </w:numPr>
        <w:spacing w:after="30" w:before="30" w:line="320"/>
      </w:pPr>
      <w:r>
        <w:rPr>
          <w:rFonts w:ascii="Garamond" w:cs="Garamond" w:eastAsia="Garamond" w:hAnsi="Garamond"/>
          <w:color w:val="111111"/>
          <w:sz w:val="22"/>
          <w:szCs w:val="22"/>
        </w:rPr>
        <w:t xml:space="preserve">Months 4–24: structured engagement cadence — quarterly partner update, annual partner gathering at Tri Vananda, exclusive previews of new masterplan reveals.</w:t>
      </w:r>
    </w:p>
    <w:p>
      <w:pPr>
        <w:pStyle w:val="Heading3"/>
        <w:spacing w:after="80" w:before="180"/>
      </w:pPr>
      <w:r>
        <w:rPr>
          <w:rFonts w:ascii="Garamond" w:cs="Garamond" w:eastAsia="Garamond" w:hAnsi="Garamond"/>
          <w:b/>
          <w:bCs/>
          <w:color w:val="111111"/>
          <w:sz w:val="20"/>
          <w:szCs w:val="20"/>
        </w:rPr>
        <w:t xml:space="preserve">WHY 4%</w:t>
      </w:r>
    </w:p>
    <w:p>
      <w:pPr>
        <w:spacing w:after="120" w:before="60" w:line="320"/>
        <w:jc w:val="left"/>
      </w:pPr>
      <w:r>
        <w:rPr>
          <w:rFonts w:ascii="Garamond" w:cs="Garamond" w:eastAsia="Garamond" w:hAnsi="Garamond"/>
          <w:b w:val="false"/>
          <w:bCs w:val="false"/>
          <w:i w:val="false"/>
          <w:iCs w:val="false"/>
          <w:color w:val="111111"/>
          <w:sz w:val="22"/>
          <w:szCs w:val="22"/>
        </w:rPr>
        <w:t xml:space="preserve">4% sits inside the band of credible luxury residential referral economics. It is meaningful enough to motivate placement. It is restrained enough to protect brand and price integrity. It signals to partners that we are serious without inviting volume-led behaviour. [VERIFY: confirm 4% is consistent with finance and legal sign-off on the standard sales commission structure already in place.]</w:t>
      </w:r>
    </w:p>
    <w:p>
      <w:r>
        <w:br w:type="page"/>
      </w:r>
    </w:p>
    <w:p>
      <w:pPr>
        <w:spacing w:after="40" w:before="80"/>
      </w:pPr>
      <w:r>
        <w:rPr>
          <w:rFonts w:ascii="Garamond" w:cs="Garamond" w:eastAsia="Garamond" w:hAnsi="Garamond"/>
          <w:b/>
          <w:bCs/>
          <w:color w:val="5C6B4F"/>
          <w:spacing w:val="60"/>
          <w:sz w:val="18"/>
          <w:szCs w:val="18"/>
        </w:rPr>
        <w:t xml:space="preserve">VIII.</w:t>
      </w:r>
    </w:p>
    <w:p>
      <w:pPr>
        <w:pStyle w:val="Heading1"/>
        <w:spacing w:after="160" w:before="360"/>
      </w:pPr>
      <w:r>
        <w:rPr>
          <w:rFonts w:ascii="Garamond" w:cs="Garamond" w:eastAsia="Garamond" w:hAnsi="Garamond"/>
          <w:b w:val="false"/>
          <w:bCs w:val="false"/>
          <w:color w:val="111111"/>
          <w:sz w:val="36"/>
          <w:szCs w:val="36"/>
        </w:rPr>
        <w:t xml:space="preserve">PR &amp; Press Relaunch Strategy</w:t>
      </w:r>
    </w:p>
    <w:p>
      <w:pPr>
        <w:pStyle w:val="Heading2"/>
        <w:spacing w:after="120" w:before="240"/>
      </w:pPr>
      <w:r>
        <w:rPr>
          <w:rFonts w:ascii="Garamond" w:cs="Garamond" w:eastAsia="Garamond" w:hAnsi="Garamond"/>
          <w:b w:val="false"/>
          <w:bCs w:val="false"/>
          <w:color w:val="5C6B4F"/>
          <w:sz w:val="28"/>
          <w:szCs w:val="28"/>
        </w:rPr>
        <w:t xml:space="preserve">Led by a Single, Retained, World-Class Agency</w:t>
      </w:r>
    </w:p>
    <w:p>
      <w:pPr>
        <w:pBdr>
          <w:bottom w:val="single" w:color="B8B0A4" w:sz="6" w:space="1"/>
        </w:pBdr>
        <w:spacing w:after="120" w:before="120"/>
      </w:pPr>
      <w:r>
        <w:t xml:space="preserve"/>
      </w:r>
    </w:p>
    <w:p>
      <w:pPr>
        <w:pStyle w:val="Heading2"/>
        <w:spacing w:after="120" w:before="240"/>
      </w:pPr>
      <w:r>
        <w:rPr>
          <w:rFonts w:ascii="Garamond" w:cs="Garamond" w:eastAsia="Garamond" w:hAnsi="Garamond"/>
          <w:b w:val="false"/>
          <w:bCs w:val="false"/>
          <w:color w:val="5C6B4F"/>
          <w:sz w:val="28"/>
          <w:szCs w:val="28"/>
        </w:rPr>
        <w:t xml:space="preserve">The brief to the PR agency</w:t>
      </w:r>
    </w:p>
    <w:p>
      <w:pPr>
        <w:pBdr>
          <w:left w:val="single" w:color="5C6B4F" w:sz="12" w:space="12"/>
        </w:pBdr>
        <w:spacing w:after="200" w:before="200" w:line="360"/>
        <w:ind w:left="720" w:right="720"/>
      </w:pPr>
      <w:r>
        <w:rPr>
          <w:rFonts w:ascii="Garamond" w:cs="Garamond" w:eastAsia="Garamond" w:hAnsi="Garamond"/>
          <w:i/>
          <w:iCs/>
          <w:color w:val="111111"/>
          <w:sz w:val="24"/>
          <w:szCs w:val="24"/>
        </w:rPr>
        <w:t xml:space="preserve">Reposition Tri Vananda from a luxury residential development with wellness amenities to the top-of-mind brand of multigenerational wellness living in Thailand. Anchor the relaunch around the Health Resort opening. Build the category — Multigenerational Wellness Living — and place Tri Vananda at its centre. Coverage is the proof, not the goal.</w:t>
      </w:r>
    </w:p>
    <w:p>
      <w:pPr>
        <w:pStyle w:val="Heading3"/>
        <w:spacing w:after="80" w:before="180"/>
      </w:pPr>
      <w:r>
        <w:rPr>
          <w:rFonts w:ascii="Garamond" w:cs="Garamond" w:eastAsia="Garamond" w:hAnsi="Garamond"/>
          <w:b/>
          <w:bCs/>
          <w:color w:val="111111"/>
          <w:sz w:val="20"/>
          <w:szCs w:val="20"/>
        </w:rPr>
        <w:t xml:space="preserve">THE FOUR NARRATIVE PILLARS</w:t>
      </w:r>
    </w:p>
    <w:p>
      <w:pPr>
        <w:pStyle w:val="ListParagraph"/>
        <w:numPr>
          <w:ilvl w:val="0"/>
          <w:numId w:val="2"/>
        </w:numPr>
        <w:spacing w:after="30" w:before="30" w:line="320"/>
      </w:pPr>
      <w:r>
        <w:rPr>
          <w:rFonts w:ascii="Garamond" w:cs="Garamond" w:eastAsia="Garamond" w:hAnsi="Garamond"/>
          <w:color w:val="111111"/>
          <w:sz w:val="22"/>
          <w:szCs w:val="22"/>
        </w:rPr>
        <w:t xml:space="preserve">The Place — Phuket as a serious wellness geography (climate, culture, cuisine, biodiversity, longevity tradition), and Tri Vananda's specific site within it.</w:t>
      </w:r>
    </w:p>
    <w:p>
      <w:pPr>
        <w:pStyle w:val="ListParagraph"/>
        <w:numPr>
          <w:ilvl w:val="0"/>
          <w:numId w:val="2"/>
        </w:numPr>
        <w:spacing w:after="30" w:before="30" w:line="320"/>
      </w:pPr>
      <w:r>
        <w:rPr>
          <w:rFonts w:ascii="Garamond" w:cs="Garamond" w:eastAsia="Garamond" w:hAnsi="Garamond"/>
          <w:color w:val="111111"/>
          <w:sz w:val="22"/>
          <w:szCs w:val="22"/>
        </w:rPr>
        <w:t xml:space="preserve">The Medicine — the arrival of Clinique La Prairie's Health Resort and what an internationally-credentialed medical-wellness anchor changes about the experience.</w:t>
      </w:r>
    </w:p>
    <w:p>
      <w:pPr>
        <w:pStyle w:val="ListParagraph"/>
        <w:numPr>
          <w:ilvl w:val="0"/>
          <w:numId w:val="2"/>
        </w:numPr>
        <w:spacing w:after="30" w:before="30" w:line="320"/>
      </w:pPr>
      <w:r>
        <w:rPr>
          <w:rFonts w:ascii="Garamond" w:cs="Garamond" w:eastAsia="Garamond" w:hAnsi="Garamond"/>
          <w:color w:val="111111"/>
          <w:sz w:val="22"/>
          <w:szCs w:val="22"/>
        </w:rPr>
        <w:t xml:space="preserve">The Life — three generations under one masterplan; the table at Jampa; the daily practice of wellbeing that is closer to a way of living than a treatment plan.</w:t>
      </w:r>
    </w:p>
    <w:p>
      <w:pPr>
        <w:pStyle w:val="ListParagraph"/>
        <w:numPr>
          <w:ilvl w:val="0"/>
          <w:numId w:val="2"/>
        </w:numPr>
        <w:spacing w:after="30" w:before="30" w:line="320"/>
      </w:pPr>
      <w:r>
        <w:rPr>
          <w:rFonts w:ascii="Garamond" w:cs="Garamond" w:eastAsia="Garamond" w:hAnsi="Garamond"/>
          <w:color w:val="111111"/>
          <w:sz w:val="22"/>
          <w:szCs w:val="22"/>
        </w:rPr>
        <w:t xml:space="preserve">The Long View — wellness as decades, not weeks; residence as the most committed form of that view; the Membership Wellness Club and the Wellness Retreat as on-ramps.</w:t>
      </w:r>
    </w:p>
    <w:p>
      <w:pPr>
        <w:pStyle w:val="Heading3"/>
        <w:spacing w:after="80" w:before="180"/>
      </w:pPr>
      <w:r>
        <w:rPr>
          <w:rFonts w:ascii="Garamond" w:cs="Garamond" w:eastAsia="Garamond" w:hAnsi="Garamond"/>
          <w:b/>
          <w:bCs/>
          <w:color w:val="111111"/>
          <w:sz w:val="20"/>
          <w:szCs w:val="20"/>
        </w:rPr>
        <w:t xml:space="preserve">TIERED MEDIA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8B0A4" w:sz="4"/>
              <w:left w:val="single" w:color="B8B0A4" w:sz="4"/>
              <w:bottom w:val="single" w:color="B8B0A4" w:sz="4"/>
              <w:right w:val="single" w:color="B8B0A4" w:sz="4"/>
            </w:tcBorders>
            <w:shd w:fill="F4F1EB" w:val="clear"/>
            <w:tcMar>
              <w:top w:type="dxa" w:w="160"/>
              <w:left w:type="dxa" w:w="200"/>
              <w:bottom w:type="dxa" w:w="160"/>
              <w:right w:type="dxa" w:w="200"/>
            </w:tcMar>
          </w:tcPr>
          <w:p>
            <w:pPr>
              <w:spacing w:after="120" w:before="60" w:line="320"/>
              <w:jc w:val="left"/>
            </w:pPr>
            <w:r>
              <w:rPr>
                <w:rFonts w:ascii="Garamond" w:cs="Garamond" w:eastAsia="Garamond" w:hAnsi="Garamond"/>
                <w:b/>
                <w:bCs/>
                <w:i w:val="false"/>
                <w:iCs w:val="false"/>
                <w:color w:val="111111"/>
                <w:sz w:val="20"/>
                <w:szCs w:val="20"/>
              </w:rPr>
              <w:t xml:space="preserve">Tier</w:t>
            </w:r>
          </w:p>
        </w:tc>
        <w:tc>
          <w:tcPr>
            <w:tcW w:type="dxa" w:w="3780"/>
            <w:tcBorders>
              <w:top w:val="single" w:color="B8B0A4" w:sz="4"/>
              <w:left w:val="single" w:color="B8B0A4" w:sz="4"/>
              <w:bottom w:val="single" w:color="B8B0A4" w:sz="4"/>
              <w:right w:val="single" w:color="B8B0A4" w:sz="4"/>
            </w:tcBorders>
            <w:shd w:fill="F4F1EB" w:val="clear"/>
            <w:tcMar>
              <w:top w:type="dxa" w:w="160"/>
              <w:left w:type="dxa" w:w="200"/>
              <w:bottom w:type="dxa" w:w="160"/>
              <w:right w:type="dxa" w:w="200"/>
            </w:tcMar>
          </w:tcPr>
          <w:p>
            <w:pPr>
              <w:spacing w:after="120" w:before="60" w:line="320"/>
              <w:jc w:val="left"/>
            </w:pPr>
            <w:r>
              <w:rPr>
                <w:rFonts w:ascii="Garamond" w:cs="Garamond" w:eastAsia="Garamond" w:hAnsi="Garamond"/>
                <w:b/>
                <w:bCs/>
                <w:i w:val="false"/>
                <w:iCs w:val="false"/>
                <w:color w:val="111111"/>
                <w:sz w:val="20"/>
                <w:szCs w:val="20"/>
              </w:rPr>
              <w:t xml:space="preserve">Outlets (illustrative)</w:t>
            </w:r>
          </w:p>
        </w:tc>
        <w:tc>
          <w:tcPr>
            <w:tcW w:type="dxa" w:w="3780"/>
            <w:tcBorders>
              <w:top w:val="single" w:color="B8B0A4" w:sz="4"/>
              <w:left w:val="single" w:color="B8B0A4" w:sz="4"/>
              <w:bottom w:val="single" w:color="B8B0A4" w:sz="4"/>
              <w:right w:val="single" w:color="B8B0A4" w:sz="4"/>
            </w:tcBorders>
            <w:shd w:fill="F4F1EB" w:val="clear"/>
            <w:tcMar>
              <w:top w:type="dxa" w:w="160"/>
              <w:left w:type="dxa" w:w="200"/>
              <w:bottom w:type="dxa" w:w="160"/>
              <w:right w:type="dxa" w:w="200"/>
            </w:tcMar>
          </w:tcPr>
          <w:p>
            <w:pPr>
              <w:spacing w:after="120" w:before="60" w:line="320"/>
              <w:jc w:val="left"/>
            </w:pPr>
            <w:r>
              <w:rPr>
                <w:rFonts w:ascii="Garamond" w:cs="Garamond" w:eastAsia="Garamond" w:hAnsi="Garamond"/>
                <w:b/>
                <w:bCs/>
                <w:i w:val="false"/>
                <w:iCs w:val="false"/>
                <w:color w:val="111111"/>
                <w:sz w:val="20"/>
                <w:szCs w:val="20"/>
              </w:rPr>
              <w:t xml:space="preserve">Role in the relaunch</w:t>
            </w:r>
          </w:p>
        </w:tc>
      </w:tr>
      <w:tr>
        <w:tc>
          <w:tcPr>
            <w:tcW w:type="dxa" w:w="180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bCs/>
                <w:i w:val="false"/>
                <w:iCs w:val="false"/>
                <w:color w:val="111111"/>
                <w:sz w:val="20"/>
                <w:szCs w:val="20"/>
              </w:rPr>
              <w:t xml:space="preserve">Tier 1</w:t>
            </w:r>
          </w:p>
        </w:tc>
        <w:tc>
          <w:tcPr>
            <w:tcW w:type="dxa" w:w="378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Financial Times How To Spend It, Monocle, Robb Report, Condé Nast Traveler, Vogue Living, Wallpaper, T Magazine</w:t>
            </w:r>
          </w:p>
        </w:tc>
        <w:tc>
          <w:tcPr>
            <w:tcW w:type="dxa" w:w="378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Long-form features that frame the category. One or two anchor pieces — embargoed, exclusive, deeply reported.</w:t>
            </w:r>
          </w:p>
        </w:tc>
      </w:tr>
      <w:tr>
        <w:tc>
          <w:tcPr>
            <w:tcW w:type="dxa" w:w="180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bCs/>
                <w:i w:val="false"/>
                <w:iCs w:val="false"/>
                <w:color w:val="111111"/>
                <w:sz w:val="20"/>
                <w:szCs w:val="20"/>
              </w:rPr>
              <w:t xml:space="preserve">Tier 2</w:t>
            </w:r>
          </w:p>
        </w:tc>
        <w:tc>
          <w:tcPr>
            <w:tcW w:type="dxa" w:w="378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Travel + Leisure, Tatler Asia, AD Asia, Prestige, Hospitality Net, Wellness trade press</w:t>
            </w:r>
          </w:p>
        </w:tc>
        <w:tc>
          <w:tcPr>
            <w:tcW w:type="dxa" w:w="378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Coverage that reinforces the category and reaches the regional luxury audience and wellness industry.</w:t>
            </w:r>
          </w:p>
        </w:tc>
      </w:tr>
      <w:tr>
        <w:tc>
          <w:tcPr>
            <w:tcW w:type="dxa" w:w="180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bCs/>
                <w:i w:val="false"/>
                <w:iCs w:val="false"/>
                <w:color w:val="111111"/>
                <w:sz w:val="20"/>
                <w:szCs w:val="20"/>
              </w:rPr>
              <w:t xml:space="preserve">Tier 3</w:t>
            </w:r>
          </w:p>
        </w:tc>
        <w:tc>
          <w:tcPr>
            <w:tcW w:type="dxa" w:w="378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Curated KOL voices, vertical newsletters (Puck, Air Mail, The Business of Fashion's Beauty/Wellness desk, longevity newsletters)</w:t>
            </w:r>
          </w:p>
        </w:tc>
        <w:tc>
          <w:tcPr>
            <w:tcW w:type="dxa" w:w="3780"/>
            <w:tcBorders>
              <w:top w:val="single" w:color="B8B0A4" w:sz="4"/>
              <w:left w:val="single" w:color="B8B0A4" w:sz="4"/>
              <w:bottom w:val="single" w:color="B8B0A4" w:sz="4"/>
              <w:right w:val="single" w:color="B8B0A4" w:sz="4"/>
            </w:tcBorders>
            <w:tcMar>
              <w:top w:type="dxa" w:w="160"/>
              <w:left w:type="dxa" w:w="200"/>
              <w:bottom w:type="dxa" w:w="160"/>
              <w:right w:type="dxa" w:w="200"/>
            </w:tcMar>
          </w:tcPr>
          <w:p>
            <w:pPr>
              <w:spacing w:after="120" w:before="60" w:line="320"/>
              <w:jc w:val="left"/>
            </w:pPr>
            <w:r>
              <w:rPr>
                <w:rFonts w:ascii="Garamond" w:cs="Garamond" w:eastAsia="Garamond" w:hAnsi="Garamond"/>
                <w:b w:val="false"/>
                <w:bCs w:val="false"/>
                <w:i w:val="false"/>
                <w:iCs w:val="false"/>
                <w:color w:val="111111"/>
                <w:sz w:val="20"/>
                <w:szCs w:val="20"/>
              </w:rPr>
              <w:t xml:space="preserve">Narrative depth among trusted, opinionated voices that the Tier-1 audience reads privately.</w:t>
            </w:r>
          </w:p>
        </w:tc>
      </w:tr>
    </w:tbl>
    <w:p>
      <w:pPr>
        <w:pStyle w:val="Heading3"/>
        <w:spacing w:after="80" w:before="180"/>
      </w:pPr>
      <w:r>
        <w:rPr>
          <w:rFonts w:ascii="Garamond" w:cs="Garamond" w:eastAsia="Garamond" w:hAnsi="Garamond"/>
          <w:b/>
          <w:bCs/>
          <w:color w:val="111111"/>
          <w:sz w:val="20"/>
          <w:szCs w:val="20"/>
        </w:rPr>
        <w:t xml:space="preserve">PRESS CONFERENCE ARCHITECTURE</w:t>
      </w:r>
    </w:p>
    <w:p>
      <w:pPr>
        <w:pStyle w:val="ListParagraph"/>
        <w:numPr>
          <w:ilvl w:val="0"/>
          <w:numId w:val="3"/>
        </w:numPr>
        <w:spacing w:after="30" w:before="30" w:line="320"/>
      </w:pPr>
      <w:r>
        <w:rPr>
          <w:rFonts w:ascii="Garamond" w:cs="Garamond" w:eastAsia="Garamond" w:hAnsi="Garamond"/>
          <w:color w:val="111111"/>
          <w:sz w:val="22"/>
          <w:szCs w:val="22"/>
        </w:rPr>
        <w:t xml:space="preserve">Single moment, hosted at the property during Summit week. Not at a hotel; not at the convention centre.</w:t>
      </w:r>
    </w:p>
    <w:p>
      <w:pPr>
        <w:pStyle w:val="ListParagraph"/>
        <w:numPr>
          <w:ilvl w:val="0"/>
          <w:numId w:val="3"/>
        </w:numPr>
        <w:spacing w:after="30" w:before="30" w:line="320"/>
      </w:pPr>
      <w:r>
        <w:rPr>
          <w:rFonts w:ascii="Garamond" w:cs="Garamond" w:eastAsia="Garamond" w:hAnsi="Garamond"/>
          <w:color w:val="111111"/>
          <w:sz w:val="22"/>
          <w:szCs w:val="22"/>
        </w:rPr>
        <w:t xml:space="preserve">Tightly curated guest list — Tier 1 and Tier 2 confirmed in advance, no walk-ins.</w:t>
      </w:r>
    </w:p>
    <w:p>
      <w:pPr>
        <w:pStyle w:val="ListParagraph"/>
        <w:numPr>
          <w:ilvl w:val="0"/>
          <w:numId w:val="3"/>
        </w:numPr>
        <w:spacing w:after="30" w:before="30" w:line="320"/>
      </w:pPr>
      <w:r>
        <w:rPr>
          <w:rFonts w:ascii="Garamond" w:cs="Garamond" w:eastAsia="Garamond" w:hAnsi="Garamond"/>
          <w:color w:val="111111"/>
          <w:sz w:val="22"/>
          <w:szCs w:val="22"/>
        </w:rPr>
        <w:t xml:space="preserve">Three speakers and no more — Tri Vananda founder/principal, Clinique La Prairie senior medical voice for the Health Resort, one cultural authority (e.g., longevity scientist, architect of the masterplan, or Jampa's chef in the right context).</w:t>
      </w:r>
    </w:p>
    <w:p>
      <w:pPr>
        <w:pStyle w:val="ListParagraph"/>
        <w:numPr>
          <w:ilvl w:val="0"/>
          <w:numId w:val="3"/>
        </w:numPr>
        <w:spacing w:after="30" w:before="30" w:line="320"/>
      </w:pPr>
      <w:r>
        <w:rPr>
          <w:rFonts w:ascii="Garamond" w:cs="Garamond" w:eastAsia="Garamond" w:hAnsi="Garamond"/>
          <w:color w:val="111111"/>
          <w:sz w:val="22"/>
          <w:szCs w:val="22"/>
        </w:rPr>
        <w:t xml:space="preserve">Substance, not theatre. No countdown clocks, no silk-draped reveals. The masterplan model, the Health Resort, and the campus speak for themselves.</w:t>
      </w:r>
    </w:p>
    <w:p>
      <w:pPr>
        <w:pStyle w:val="Heading3"/>
        <w:spacing w:after="80" w:before="180"/>
      </w:pPr>
      <w:r>
        <w:rPr>
          <w:rFonts w:ascii="Garamond" w:cs="Garamond" w:eastAsia="Garamond" w:hAnsi="Garamond"/>
          <w:b/>
          <w:bCs/>
          <w:color w:val="111111"/>
          <w:sz w:val="20"/>
          <w:szCs w:val="20"/>
        </w:rPr>
        <w:t xml:space="preserve">SELECTING THE AGENCY</w:t>
      </w:r>
    </w:p>
    <w:p>
      <w:pPr>
        <w:spacing w:after="120" w:before="60" w:line="320"/>
        <w:jc w:val="left"/>
      </w:pPr>
      <w:r>
        <w:rPr>
          <w:rFonts w:ascii="Garamond" w:cs="Garamond" w:eastAsia="Garamond" w:hAnsi="Garamond"/>
          <w:b w:val="false"/>
          <w:bCs w:val="false"/>
          <w:i w:val="false"/>
          <w:iCs w:val="false"/>
          <w:color w:val="111111"/>
          <w:sz w:val="22"/>
          <w:szCs w:val="22"/>
        </w:rPr>
        <w:t xml:space="preserve">We propose a closed shortlist of three to five global luxury / hospitality PR firms with category-creation track record (firms that have led launches at the level of a Six Senses, an Aman, a Clinique La Prairie outpost, or a major branded residence). Selection criteria — category-creation track record, Tier-1 long-form relationships in the West and APAC, ability to operate cleanly in Thailand, principal-led account servicing, sophistication of the chemistry meeting itself.</w:t>
      </w:r>
    </w:p>
    <w:p>
      <w:pPr>
        <w:pStyle w:val="Heading3"/>
        <w:spacing w:after="80" w:before="180"/>
      </w:pPr>
      <w:r>
        <w:rPr>
          <w:rFonts w:ascii="Garamond" w:cs="Garamond" w:eastAsia="Garamond" w:hAnsi="Garamond"/>
          <w:b/>
          <w:bCs/>
          <w:color w:val="111111"/>
          <w:sz w:val="20"/>
          <w:szCs w:val="20"/>
        </w:rPr>
        <w:t xml:space="preserve">RETAINER STRUCTURE (WORKING ASSUMPTION FOR BOD)</w:t>
      </w:r>
    </w:p>
    <w:p>
      <w:pPr>
        <w:spacing w:after="120" w:before="60" w:line="320"/>
        <w:jc w:val="left"/>
      </w:pPr>
      <w:r>
        <w:rPr>
          <w:rFonts w:ascii="Garamond" w:cs="Garamond" w:eastAsia="Garamond" w:hAnsi="Garamond"/>
          <w:b w:val="false"/>
          <w:bCs w:val="false"/>
          <w:i w:val="false"/>
          <w:iCs w:val="false"/>
          <w:color w:val="111111"/>
          <w:sz w:val="22"/>
          <w:szCs w:val="22"/>
        </w:rPr>
        <w:t xml:space="preserve">12-month retainer covering Summit activation through to the Q1 2027 close of the reveal arc. Performance bonus tied to confirmed Tier 1 long-form features and category language placements (specific KPIs in Section XI). [VERIFY: budget envelope to be set with finance.]</w:t>
      </w:r>
    </w:p>
    <w:p>
      <w:r>
        <w:br w:type="page"/>
      </w:r>
    </w:p>
    <w:p>
      <w:pPr>
        <w:spacing w:after="40" w:before="80"/>
      </w:pPr>
      <w:r>
        <w:rPr>
          <w:rFonts w:ascii="Garamond" w:cs="Garamond" w:eastAsia="Garamond" w:hAnsi="Garamond"/>
          <w:b/>
          <w:bCs/>
          <w:color w:val="5C6B4F"/>
          <w:spacing w:val="60"/>
          <w:sz w:val="18"/>
          <w:szCs w:val="18"/>
        </w:rPr>
        <w:t xml:space="preserve">IX.</w:t>
      </w:r>
    </w:p>
    <w:p>
      <w:pPr>
        <w:pStyle w:val="Heading1"/>
        <w:spacing w:after="160" w:before="360"/>
      </w:pPr>
      <w:r>
        <w:rPr>
          <w:rFonts w:ascii="Garamond" w:cs="Garamond" w:eastAsia="Garamond" w:hAnsi="Garamond"/>
          <w:b w:val="false"/>
          <w:bCs w:val="false"/>
          <w:color w:val="111111"/>
          <w:sz w:val="36"/>
          <w:szCs w:val="36"/>
        </w:rPr>
        <w:t xml:space="preserve">One Proposal, Four Reads</w:t>
      </w:r>
    </w:p>
    <w:p>
      <w:pPr>
        <w:pStyle w:val="Heading2"/>
        <w:spacing w:after="120" w:before="240"/>
      </w:pPr>
      <w:r>
        <w:rPr>
          <w:rFonts w:ascii="Garamond" w:cs="Garamond" w:eastAsia="Garamond" w:hAnsi="Garamond"/>
          <w:b w:val="false"/>
          <w:bCs w:val="false"/>
          <w:color w:val="5C6B4F"/>
          <w:sz w:val="28"/>
          <w:szCs w:val="28"/>
        </w:rPr>
        <w:t xml:space="preserve">How the Same Strategy Speaks to Each Audience</w:t>
      </w:r>
    </w:p>
    <w:p>
      <w:pPr>
        <w:pBdr>
          <w:bottom w:val="single" w:color="B8B0A4" w:sz="6" w:space="1"/>
        </w:pBdr>
        <w:spacing w:after="120" w:before="120"/>
      </w:pPr>
      <w:r>
        <w:t xml:space="preserve"/>
      </w:r>
    </w:p>
    <w:p>
      <w:pPr>
        <w:spacing w:after="200" w:before="80" w:line="340"/>
      </w:pPr>
      <w:r>
        <w:rPr>
          <w:rFonts w:ascii="Garamond" w:cs="Garamond" w:eastAsia="Garamond" w:hAnsi="Garamond"/>
          <w:i/>
          <w:iCs/>
          <w:color w:val="111111"/>
          <w:sz w:val="26"/>
          <w:szCs w:val="26"/>
        </w:rPr>
        <w:t xml:space="preserve">This document is one proposal. It will be presented unchanged in substance to four audiences. What changes is the entry point — the section each audience is asked to start with — and the framing of the conversation.</w:t>
      </w:r>
    </w:p>
    <w:p>
      <w:pPr>
        <w:pStyle w:val="Heading3"/>
        <w:spacing w:after="80" w:before="180"/>
      </w:pPr>
      <w:r>
        <w:rPr>
          <w:rFonts w:ascii="Garamond" w:cs="Garamond" w:eastAsia="Garamond" w:hAnsi="Garamond"/>
          <w:b/>
          <w:bCs/>
          <w:color w:val="111111"/>
          <w:sz w:val="20"/>
          <w:szCs w:val="20"/>
        </w:rPr>
        <w:t xml:space="preserve">READ 1 — FOR THE BOARD OF DIRECTORS</w:t>
      </w:r>
    </w:p>
    <w:p>
      <w:pPr>
        <w:spacing w:after="120" w:before="60" w:line="320"/>
        <w:jc w:val="left"/>
      </w:pPr>
      <w:r>
        <w:rPr>
          <w:rFonts w:ascii="Garamond" w:cs="Garamond" w:eastAsia="Garamond" w:hAnsi="Garamond"/>
          <w:b w:val="false"/>
          <w:bCs w:val="false"/>
          <w:i w:val="false"/>
          <w:iCs w:val="false"/>
          <w:color w:val="111111"/>
          <w:sz w:val="22"/>
          <w:szCs w:val="22"/>
        </w:rPr>
        <w:t xml:space="preserve">Open at: Section I (Executive Summary) → Section II (Strategic Moment) → Section X (Phasing) → Section XI (Success Measures) → Section XII (Decisions Required).</w:t>
      </w:r>
    </w:p>
    <w:p>
      <w:pPr>
        <w:spacing w:after="120" w:before="60" w:line="320"/>
        <w:jc w:val="left"/>
      </w:pPr>
      <w:r>
        <w:rPr>
          <w:rFonts w:ascii="Garamond" w:cs="Garamond" w:eastAsia="Garamond" w:hAnsi="Garamond"/>
          <w:b w:val="false"/>
          <w:bCs w:val="false"/>
          <w:i w:val="false"/>
          <w:iCs w:val="false"/>
          <w:color w:val="111111"/>
          <w:sz w:val="22"/>
          <w:szCs w:val="22"/>
        </w:rPr>
        <w:t xml:space="preserve">The framing question — "Is this the right way to spend the GWS window, and what are we approving?" The BOD reads this as a sequenced commercial plan with brand consequences. Their decisions are the activation budget, the PR retainer envelope, the referral programme commercial terms, and the masterplan reveal sequence.</w:t>
      </w:r>
    </w:p>
    <w:p>
      <w:pPr>
        <w:pStyle w:val="Heading3"/>
        <w:spacing w:after="80" w:before="180"/>
      </w:pPr>
      <w:r>
        <w:rPr>
          <w:rFonts w:ascii="Garamond" w:cs="Garamond" w:eastAsia="Garamond" w:hAnsi="Garamond"/>
          <w:b/>
          <w:bCs/>
          <w:color w:val="111111"/>
          <w:sz w:val="20"/>
          <w:szCs w:val="20"/>
        </w:rPr>
        <w:t xml:space="preserve">READ 2 — FOR THE RETAINED PR AGENCY</w:t>
      </w:r>
    </w:p>
    <w:p>
      <w:pPr>
        <w:spacing w:after="120" w:before="60" w:line="320"/>
        <w:jc w:val="left"/>
      </w:pPr>
      <w:r>
        <w:rPr>
          <w:rFonts w:ascii="Garamond" w:cs="Garamond" w:eastAsia="Garamond" w:hAnsi="Garamond"/>
          <w:b w:val="false"/>
          <w:bCs w:val="false"/>
          <w:i w:val="false"/>
          <w:iCs w:val="false"/>
          <w:color w:val="111111"/>
          <w:sz w:val="22"/>
          <w:szCs w:val="22"/>
        </w:rPr>
        <w:t xml:space="preserve">Open at: Section III (Positioning) → Section IV (Ecosystem) → Section VIII (PR Strategy) → Section IX (Read 2 — this section).</w:t>
      </w:r>
    </w:p>
    <w:p>
      <w:pPr>
        <w:spacing w:after="120" w:before="60" w:line="320"/>
        <w:jc w:val="left"/>
      </w:pPr>
      <w:r>
        <w:rPr>
          <w:rFonts w:ascii="Garamond" w:cs="Garamond" w:eastAsia="Garamond" w:hAnsi="Garamond"/>
          <w:b w:val="false"/>
          <w:bCs w:val="false"/>
          <w:i w:val="false"/>
          <w:iCs w:val="false"/>
          <w:color w:val="111111"/>
          <w:sz w:val="22"/>
          <w:szCs w:val="22"/>
        </w:rPr>
        <w:t xml:space="preserve">The framing question — "How do you build the category and place us at its centre?" The agency reads this as a brief. Their job is not to interpret the brand but to translate the positioning into Tier-1 long-form coverage, an owned cultural authority programme, and the press conference architecture. They are accountable for category language penetration, Tier-1 placements, and the relaunch narrative being heard cleanly across the Summit week.</w:t>
      </w:r>
    </w:p>
    <w:p>
      <w:pPr>
        <w:pStyle w:val="Heading3"/>
        <w:spacing w:after="80" w:before="180"/>
      </w:pPr>
      <w:r>
        <w:rPr>
          <w:rFonts w:ascii="Garamond" w:cs="Garamond" w:eastAsia="Garamond" w:hAnsi="Garamond"/>
          <w:b/>
          <w:bCs/>
          <w:color w:val="111111"/>
          <w:sz w:val="20"/>
          <w:szCs w:val="20"/>
        </w:rPr>
        <w:t xml:space="preserve">READ 3 — FOR THE GWS TEAM</w:t>
      </w:r>
    </w:p>
    <w:p>
      <w:pPr>
        <w:spacing w:after="120" w:before="60" w:line="320"/>
        <w:jc w:val="left"/>
      </w:pPr>
      <w:r>
        <w:rPr>
          <w:rFonts w:ascii="Garamond" w:cs="Garamond" w:eastAsia="Garamond" w:hAnsi="Garamond"/>
          <w:b w:val="false"/>
          <w:bCs w:val="false"/>
          <w:i w:val="false"/>
          <w:iCs w:val="false"/>
          <w:color w:val="111111"/>
          <w:sz w:val="22"/>
          <w:szCs w:val="22"/>
        </w:rPr>
        <w:t xml:space="preserve">Open at: Section II (Strategic Moment) → Section V (The GWS Play) → Section VI (Collaboration Ask).</w:t>
      </w:r>
    </w:p>
    <w:p>
      <w:pPr>
        <w:spacing w:after="120" w:before="60" w:line="320"/>
        <w:jc w:val="left"/>
      </w:pPr>
      <w:r>
        <w:rPr>
          <w:rFonts w:ascii="Garamond" w:cs="Garamond" w:eastAsia="Garamond" w:hAnsi="Garamond"/>
          <w:b w:val="false"/>
          <w:bCs w:val="false"/>
          <w:i w:val="false"/>
          <w:iCs w:val="false"/>
          <w:color w:val="111111"/>
          <w:sz w:val="22"/>
          <w:szCs w:val="22"/>
        </w:rPr>
        <w:t xml:space="preserve">The framing question — "What is the version of GWS Phuket 2026 that is more memorable because Tri Vananda is part of it?" The conversation is a partnership conversation, not a sponsorship pitch. We bring a venue, programming substance, and an immersive track. We ask for editorial recognition, agenda inclusion, and panel representation. We do not ask for delegate data or exclusivity.</w:t>
      </w:r>
    </w:p>
    <w:p>
      <w:pPr>
        <w:pStyle w:val="Heading3"/>
        <w:spacing w:after="80" w:before="180"/>
      </w:pPr>
      <w:r>
        <w:rPr>
          <w:rFonts w:ascii="Garamond" w:cs="Garamond" w:eastAsia="Garamond" w:hAnsi="Garamond"/>
          <w:b/>
          <w:bCs/>
          <w:color w:val="111111"/>
          <w:sz w:val="20"/>
          <w:szCs w:val="20"/>
        </w:rPr>
        <w:t xml:space="preserve">READ 4 — FOR INDUSTRY REFERRAL PARTNERS</w:t>
      </w:r>
    </w:p>
    <w:p>
      <w:pPr>
        <w:spacing w:after="120" w:before="60" w:line="320"/>
        <w:jc w:val="left"/>
      </w:pPr>
      <w:r>
        <w:rPr>
          <w:rFonts w:ascii="Garamond" w:cs="Garamond" w:eastAsia="Garamond" w:hAnsi="Garamond"/>
          <w:b w:val="false"/>
          <w:bCs w:val="false"/>
          <w:i w:val="false"/>
          <w:iCs w:val="false"/>
          <w:color w:val="111111"/>
          <w:sz w:val="22"/>
          <w:szCs w:val="22"/>
        </w:rPr>
        <w:t xml:space="preserve">Open at: Section IV (Ecosystem) → Section VII (Referral Architecture).</w:t>
      </w:r>
    </w:p>
    <w:p>
      <w:pPr>
        <w:spacing w:after="120" w:before="60" w:line="320"/>
        <w:jc w:val="left"/>
      </w:pPr>
      <w:r>
        <w:rPr>
          <w:rFonts w:ascii="Garamond" w:cs="Garamond" w:eastAsia="Garamond" w:hAnsi="Garamond"/>
          <w:b w:val="false"/>
          <w:bCs w:val="false"/>
          <w:i w:val="false"/>
          <w:iCs w:val="false"/>
          <w:color w:val="111111"/>
          <w:sz w:val="22"/>
          <w:szCs w:val="22"/>
        </w:rPr>
        <w:t xml:space="preserve">The framing question — "Why should I send my clients here, and what do I get?" Partners read this as a commercial relationship — credentialed access, transparent terms, real product, real founder, real medical anchor, 4% commission on closed villa sales, and a long-term position inside a brand that is growing in significance. The conversation is one-to-one, not one-to-many.</w:t>
      </w:r>
    </w:p>
    <w:p>
      <w:pPr>
        <w:pStyle w:val="Heading3"/>
        <w:spacing w:after="80" w:before="180"/>
      </w:pPr>
      <w:r>
        <w:rPr>
          <w:rFonts w:ascii="Garamond" w:cs="Garamond" w:eastAsia="Garamond" w:hAnsi="Garamond"/>
          <w:b/>
          <w:bCs/>
          <w:color w:val="111111"/>
          <w:sz w:val="20"/>
          <w:szCs w:val="20"/>
        </w:rPr>
        <w:t xml:space="preserve">COMMON MESSAGE ACROSS ALL FOUR READS</w:t>
      </w:r>
    </w:p>
    <w:p>
      <w:pPr>
        <w:pBdr>
          <w:left w:val="single" w:color="5C6B4F" w:sz="12" w:space="12"/>
        </w:pBdr>
        <w:spacing w:after="200" w:before="200" w:line="360"/>
        <w:ind w:left="720" w:right="720"/>
      </w:pPr>
      <w:r>
        <w:rPr>
          <w:rFonts w:ascii="Garamond" w:cs="Garamond" w:eastAsia="Garamond" w:hAnsi="Garamond"/>
          <w:i/>
          <w:iCs/>
          <w:color w:val="111111"/>
          <w:sz w:val="24"/>
          <w:szCs w:val="24"/>
        </w:rPr>
        <w:t xml:space="preserve">Tri Vananda is no longer a villa community. It is a multigenerational wellness institution. The Health Resort opening is the first reveal. The Summit is the moment we declare the category. We are inviting you — as a director, as our PR partner, as a host, as a placer of clients — into the version of this story where you have a defined role.</w:t>
      </w:r>
    </w:p>
    <w:p>
      <w:r>
        <w:br w:type="page"/>
      </w:r>
    </w:p>
    <w:p>
      <w:pPr>
        <w:spacing w:after="40" w:before="80"/>
      </w:pPr>
      <w:r>
        <w:rPr>
          <w:rFonts w:ascii="Garamond" w:cs="Garamond" w:eastAsia="Garamond" w:hAnsi="Garamond"/>
          <w:b/>
          <w:bCs/>
          <w:color w:val="5C6B4F"/>
          <w:spacing w:val="60"/>
          <w:sz w:val="18"/>
          <w:szCs w:val="18"/>
        </w:rPr>
        <w:t xml:space="preserve">X.</w:t>
      </w:r>
    </w:p>
    <w:p>
      <w:pPr>
        <w:pStyle w:val="Heading1"/>
        <w:spacing w:after="160" w:before="360"/>
      </w:pPr>
      <w:r>
        <w:rPr>
          <w:rFonts w:ascii="Garamond" w:cs="Garamond" w:eastAsia="Garamond" w:hAnsi="Garamond"/>
          <w:b w:val="false"/>
          <w:bCs w:val="false"/>
          <w:color w:val="111111"/>
          <w:sz w:val="36"/>
          <w:szCs w:val="36"/>
        </w:rPr>
        <w:t xml:space="preserve">Phasing &amp; Timeline</w:t>
      </w:r>
    </w:p>
    <w:p>
      <w:pPr>
        <w:pBdr>
          <w:bottom w:val="single" w:color="B8B0A4" w:sz="6" w:space="1"/>
        </w:pBdr>
        <w:spacing w:after="120" w:before="120"/>
      </w:pPr>
      <w:r>
        <w:t xml:space="preserve"/>
      </w:r>
    </w:p>
    <w:p>
      <w:pPr>
        <w:pStyle w:val="Heading3"/>
        <w:spacing w:after="80" w:before="180"/>
      </w:pPr>
      <w:r>
        <w:rPr>
          <w:rFonts w:ascii="Garamond" w:cs="Garamond" w:eastAsia="Garamond" w:hAnsi="Garamond"/>
          <w:b/>
          <w:bCs/>
          <w:color w:val="111111"/>
          <w:sz w:val="20"/>
          <w:szCs w:val="20"/>
        </w:rPr>
        <w:t xml:space="preserve">T-180 TO T-120 (MAY–JULY 2026)</w:t>
      </w:r>
    </w:p>
    <w:p>
      <w:pPr>
        <w:pStyle w:val="ListParagraph"/>
        <w:numPr>
          <w:ilvl w:val="0"/>
          <w:numId w:val="3"/>
        </w:numPr>
        <w:spacing w:after="30" w:before="30" w:line="320"/>
      </w:pPr>
      <w:r>
        <w:rPr>
          <w:rFonts w:ascii="Garamond" w:cs="Garamond" w:eastAsia="Garamond" w:hAnsi="Garamond"/>
          <w:color w:val="111111"/>
          <w:sz w:val="22"/>
          <w:szCs w:val="22"/>
        </w:rPr>
        <w:t xml:space="preserve">BOD approval of the integrated activation plan.</w:t>
      </w:r>
    </w:p>
    <w:p>
      <w:pPr>
        <w:pStyle w:val="ListParagraph"/>
        <w:numPr>
          <w:ilvl w:val="0"/>
          <w:numId w:val="3"/>
        </w:numPr>
        <w:spacing w:after="30" w:before="30" w:line="320"/>
      </w:pPr>
      <w:r>
        <w:rPr>
          <w:rFonts w:ascii="Garamond" w:cs="Garamond" w:eastAsia="Garamond" w:hAnsi="Garamond"/>
          <w:color w:val="111111"/>
          <w:sz w:val="22"/>
          <w:szCs w:val="22"/>
        </w:rPr>
        <w:t xml:space="preserve">PR agency selection process — closed shortlist, chemistry meetings, retainer signed.</w:t>
      </w:r>
    </w:p>
    <w:p>
      <w:pPr>
        <w:pStyle w:val="ListParagraph"/>
        <w:numPr>
          <w:ilvl w:val="0"/>
          <w:numId w:val="3"/>
        </w:numPr>
        <w:spacing w:after="30" w:before="30" w:line="320"/>
      </w:pPr>
      <w:r>
        <w:rPr>
          <w:rFonts w:ascii="Garamond" w:cs="Garamond" w:eastAsia="Garamond" w:hAnsi="Garamond"/>
          <w:color w:val="111111"/>
          <w:sz w:val="22"/>
          <w:szCs w:val="22"/>
        </w:rPr>
        <w:t xml:space="preserve">GWS collaboration conversation opened with summit team — agreed framework before public announcement.</w:t>
      </w:r>
    </w:p>
    <w:p>
      <w:pPr>
        <w:pStyle w:val="ListParagraph"/>
        <w:numPr>
          <w:ilvl w:val="0"/>
          <w:numId w:val="3"/>
        </w:numPr>
        <w:spacing w:after="30" w:before="30" w:line="320"/>
      </w:pPr>
      <w:r>
        <w:rPr>
          <w:rFonts w:ascii="Garamond" w:cs="Garamond" w:eastAsia="Garamond" w:hAnsi="Garamond"/>
          <w:color w:val="111111"/>
          <w:sz w:val="22"/>
          <w:szCs w:val="22"/>
        </w:rPr>
        <w:t xml:space="preserve">Internal alignment — sales, hospitality, CLP partner side, founder communications cadence.</w:t>
      </w:r>
    </w:p>
    <w:p>
      <w:pPr>
        <w:pStyle w:val="Heading3"/>
        <w:spacing w:after="80" w:before="180"/>
      </w:pPr>
      <w:r>
        <w:rPr>
          <w:rFonts w:ascii="Garamond" w:cs="Garamond" w:eastAsia="Garamond" w:hAnsi="Garamond"/>
          <w:b/>
          <w:bCs/>
          <w:color w:val="111111"/>
          <w:sz w:val="20"/>
          <w:szCs w:val="20"/>
        </w:rPr>
        <w:t xml:space="preserve">T-120 TO T-60 (JULY–AUGUST 2026)</w:t>
      </w:r>
    </w:p>
    <w:p>
      <w:pPr>
        <w:pStyle w:val="ListParagraph"/>
        <w:numPr>
          <w:ilvl w:val="0"/>
          <w:numId w:val="3"/>
        </w:numPr>
        <w:spacing w:after="30" w:before="30" w:line="320"/>
      </w:pPr>
      <w:r>
        <w:rPr>
          <w:rFonts w:ascii="Garamond" w:cs="Garamond" w:eastAsia="Garamond" w:hAnsi="Garamond"/>
          <w:color w:val="111111"/>
          <w:sz w:val="22"/>
          <w:szCs w:val="22"/>
        </w:rPr>
        <w:t xml:space="preserve">Long-list of approximately 200 industry referral targets sourced and qualified.</w:t>
      </w:r>
    </w:p>
    <w:p>
      <w:pPr>
        <w:pStyle w:val="ListParagraph"/>
        <w:numPr>
          <w:ilvl w:val="0"/>
          <w:numId w:val="3"/>
        </w:numPr>
        <w:spacing w:after="30" w:before="30" w:line="320"/>
      </w:pPr>
      <w:r>
        <w:rPr>
          <w:rFonts w:ascii="Garamond" w:cs="Garamond" w:eastAsia="Garamond" w:hAnsi="Garamond"/>
          <w:color w:val="111111"/>
          <w:sz w:val="22"/>
          <w:szCs w:val="22"/>
        </w:rPr>
        <w:t xml:space="preserve">Press strategy locked — Tier-1 anchor features briefed under embargo, exclusivity terms agreed.</w:t>
      </w:r>
    </w:p>
    <w:p>
      <w:pPr>
        <w:pStyle w:val="ListParagraph"/>
        <w:numPr>
          <w:ilvl w:val="0"/>
          <w:numId w:val="3"/>
        </w:numPr>
        <w:spacing w:after="30" w:before="30" w:line="320"/>
      </w:pPr>
      <w:r>
        <w:rPr>
          <w:rFonts w:ascii="Garamond" w:cs="Garamond" w:eastAsia="Garamond" w:hAnsi="Garamond"/>
          <w:color w:val="111111"/>
          <w:sz w:val="22"/>
          <w:szCs w:val="22"/>
        </w:rPr>
        <w:t xml:space="preserve">Property readiness audit — guest experience, hosting infrastructure, signage, brand expression.</w:t>
      </w:r>
    </w:p>
    <w:p>
      <w:pPr>
        <w:pStyle w:val="ListParagraph"/>
        <w:numPr>
          <w:ilvl w:val="0"/>
          <w:numId w:val="3"/>
        </w:numPr>
        <w:spacing w:after="30" w:before="30" w:line="320"/>
      </w:pPr>
      <w:r>
        <w:rPr>
          <w:rFonts w:ascii="Garamond" w:cs="Garamond" w:eastAsia="Garamond" w:hAnsi="Garamond"/>
          <w:color w:val="111111"/>
          <w:sz w:val="22"/>
          <w:szCs w:val="22"/>
        </w:rPr>
        <w:t xml:space="preserve">Founding Industry Partner invitation list finalised.</w:t>
      </w:r>
    </w:p>
    <w:p>
      <w:pPr>
        <w:pStyle w:val="Heading3"/>
        <w:spacing w:after="80" w:before="180"/>
      </w:pPr>
      <w:r>
        <w:rPr>
          <w:rFonts w:ascii="Garamond" w:cs="Garamond" w:eastAsia="Garamond" w:hAnsi="Garamond"/>
          <w:b/>
          <w:bCs/>
          <w:color w:val="111111"/>
          <w:sz w:val="20"/>
          <w:szCs w:val="20"/>
        </w:rPr>
        <w:t xml:space="preserve">T-60 TO T-0 (SEPTEMBER–EARLY OCTOBER 2026)</w:t>
      </w:r>
    </w:p>
    <w:p>
      <w:pPr>
        <w:pStyle w:val="ListParagraph"/>
        <w:numPr>
          <w:ilvl w:val="0"/>
          <w:numId w:val="3"/>
        </w:numPr>
        <w:spacing w:after="30" w:before="30" w:line="320"/>
      </w:pPr>
      <w:r>
        <w:rPr>
          <w:rFonts w:ascii="Garamond" w:cs="Garamond" w:eastAsia="Garamond" w:hAnsi="Garamond"/>
          <w:color w:val="111111"/>
          <w:sz w:val="22"/>
          <w:szCs w:val="22"/>
        </w:rPr>
        <w:t xml:space="preserve">Personal invitations sent to long-list — Founding Industry Partner programme opens.</w:t>
      </w:r>
    </w:p>
    <w:p>
      <w:pPr>
        <w:pStyle w:val="ListParagraph"/>
        <w:numPr>
          <w:ilvl w:val="0"/>
          <w:numId w:val="3"/>
        </w:numPr>
        <w:spacing w:after="30" w:before="30" w:line="320"/>
      </w:pPr>
      <w:r>
        <w:rPr>
          <w:rFonts w:ascii="Garamond" w:cs="Garamond" w:eastAsia="Garamond" w:hAnsi="Garamond"/>
          <w:color w:val="111111"/>
          <w:sz w:val="22"/>
          <w:szCs w:val="22"/>
        </w:rPr>
        <w:t xml:space="preserve">Press conference logistics finalised.</w:t>
      </w:r>
    </w:p>
    <w:p>
      <w:pPr>
        <w:pStyle w:val="ListParagraph"/>
        <w:numPr>
          <w:ilvl w:val="0"/>
          <w:numId w:val="3"/>
        </w:numPr>
        <w:spacing w:after="30" w:before="30" w:line="320"/>
      </w:pPr>
      <w:r>
        <w:rPr>
          <w:rFonts w:ascii="Garamond" w:cs="Garamond" w:eastAsia="Garamond" w:hAnsi="Garamond"/>
          <w:color w:val="111111"/>
          <w:sz w:val="22"/>
          <w:szCs w:val="22"/>
        </w:rPr>
        <w:t xml:space="preserve">Cultural moment programmed and confirmed.</w:t>
      </w:r>
    </w:p>
    <w:p>
      <w:pPr>
        <w:pStyle w:val="ListParagraph"/>
        <w:numPr>
          <w:ilvl w:val="0"/>
          <w:numId w:val="3"/>
        </w:numPr>
        <w:spacing w:after="30" w:before="30" w:line="320"/>
      </w:pPr>
      <w:r>
        <w:rPr>
          <w:rFonts w:ascii="Garamond" w:cs="Garamond" w:eastAsia="Garamond" w:hAnsi="Garamond"/>
          <w:color w:val="111111"/>
          <w:sz w:val="22"/>
          <w:szCs w:val="22"/>
        </w:rPr>
        <w:t xml:space="preserve">Health Resort soft pre-opening sequencing aligned to Summit week.</w:t>
      </w:r>
    </w:p>
    <w:p>
      <w:pPr>
        <w:pStyle w:val="Heading3"/>
        <w:spacing w:after="80" w:before="180"/>
      </w:pPr>
      <w:r>
        <w:rPr>
          <w:rFonts w:ascii="Garamond" w:cs="Garamond" w:eastAsia="Garamond" w:hAnsi="Garamond"/>
          <w:b/>
          <w:bCs/>
          <w:color w:val="111111"/>
          <w:sz w:val="20"/>
          <w:szCs w:val="20"/>
        </w:rPr>
        <w:t xml:space="preserve">T-0 — SUMMIT WEEK (OCTOBER 2026)</w:t>
      </w:r>
    </w:p>
    <w:p>
      <w:pPr>
        <w:pStyle w:val="ListParagraph"/>
        <w:numPr>
          <w:ilvl w:val="0"/>
          <w:numId w:val="3"/>
        </w:numPr>
        <w:spacing w:after="30" w:before="30" w:line="320"/>
      </w:pPr>
      <w:r>
        <w:rPr>
          <w:rFonts w:ascii="Garamond" w:cs="Garamond" w:eastAsia="Garamond" w:hAnsi="Garamond"/>
          <w:color w:val="111111"/>
          <w:sz w:val="22"/>
          <w:szCs w:val="22"/>
        </w:rPr>
        <w:t xml:space="preserve">Day 1 — embargoed Tier-1 features publish.</w:t>
      </w:r>
    </w:p>
    <w:p>
      <w:pPr>
        <w:pStyle w:val="ListParagraph"/>
        <w:numPr>
          <w:ilvl w:val="0"/>
          <w:numId w:val="3"/>
        </w:numPr>
        <w:spacing w:after="30" w:before="30" w:line="320"/>
      </w:pPr>
      <w:r>
        <w:rPr>
          <w:rFonts w:ascii="Garamond" w:cs="Garamond" w:eastAsia="Garamond" w:hAnsi="Garamond"/>
          <w:color w:val="111111"/>
          <w:sz w:val="22"/>
          <w:szCs w:val="22"/>
        </w:rPr>
        <w:t xml:space="preserve">Day 2 — Tri Vananda press conference at the property.</w:t>
      </w:r>
    </w:p>
    <w:p>
      <w:pPr>
        <w:pStyle w:val="ListParagraph"/>
        <w:numPr>
          <w:ilvl w:val="0"/>
          <w:numId w:val="3"/>
        </w:numPr>
        <w:spacing w:after="30" w:before="30" w:line="320"/>
      </w:pPr>
      <w:r>
        <w:rPr>
          <w:rFonts w:ascii="Garamond" w:cs="Garamond" w:eastAsia="Garamond" w:hAnsi="Garamond"/>
          <w:color w:val="111111"/>
          <w:sz w:val="22"/>
          <w:szCs w:val="22"/>
        </w:rPr>
        <w:t xml:space="preserve">Day 3 — first cohort of property visits.</w:t>
      </w:r>
    </w:p>
    <w:p>
      <w:pPr>
        <w:pStyle w:val="ListParagraph"/>
        <w:numPr>
          <w:ilvl w:val="0"/>
          <w:numId w:val="3"/>
        </w:numPr>
        <w:spacing w:after="30" w:before="30" w:line="320"/>
      </w:pPr>
      <w:r>
        <w:rPr>
          <w:rFonts w:ascii="Garamond" w:cs="Garamond" w:eastAsia="Garamond" w:hAnsi="Garamond"/>
          <w:color w:val="111111"/>
          <w:sz w:val="22"/>
          <w:szCs w:val="22"/>
        </w:rPr>
        <w:t xml:space="preserve">Day 4 — cultural moment / curated salon evening.</w:t>
      </w:r>
    </w:p>
    <w:p>
      <w:pPr>
        <w:pStyle w:val="ListParagraph"/>
        <w:numPr>
          <w:ilvl w:val="0"/>
          <w:numId w:val="3"/>
        </w:numPr>
        <w:spacing w:after="30" w:before="30" w:line="320"/>
      </w:pPr>
      <w:r>
        <w:rPr>
          <w:rFonts w:ascii="Garamond" w:cs="Garamond" w:eastAsia="Garamond" w:hAnsi="Garamond"/>
          <w:color w:val="111111"/>
          <w:sz w:val="22"/>
          <w:szCs w:val="22"/>
        </w:rPr>
        <w:t xml:space="preserve">Day 5 — second cohort of property visits, founding partner closing conversations.</w:t>
      </w:r>
    </w:p>
    <w:p>
      <w:pPr>
        <w:pStyle w:val="Heading3"/>
        <w:spacing w:after="80" w:before="180"/>
      </w:pPr>
      <w:r>
        <w:rPr>
          <w:rFonts w:ascii="Garamond" w:cs="Garamond" w:eastAsia="Garamond" w:hAnsi="Garamond"/>
          <w:b/>
          <w:bCs/>
          <w:color w:val="111111"/>
          <w:sz w:val="20"/>
          <w:szCs w:val="20"/>
        </w:rPr>
        <w:t xml:space="preserve">T+30 TO T+90 (NOVEMBER 2026 – JANUARY 2027)</w:t>
      </w:r>
    </w:p>
    <w:p>
      <w:pPr>
        <w:pStyle w:val="ListParagraph"/>
        <w:numPr>
          <w:ilvl w:val="0"/>
          <w:numId w:val="3"/>
        </w:numPr>
        <w:spacing w:after="30" w:before="30" w:line="320"/>
      </w:pPr>
      <w:r>
        <w:rPr>
          <w:rFonts w:ascii="Garamond" w:cs="Garamond" w:eastAsia="Garamond" w:hAnsi="Garamond"/>
          <w:color w:val="111111"/>
          <w:sz w:val="22"/>
          <w:szCs w:val="22"/>
        </w:rPr>
        <w:t xml:space="preserve">Membership Wellness Club formal launch with founding members named.</w:t>
      </w:r>
    </w:p>
    <w:p>
      <w:pPr>
        <w:pStyle w:val="ListParagraph"/>
        <w:numPr>
          <w:ilvl w:val="0"/>
          <w:numId w:val="3"/>
        </w:numPr>
        <w:spacing w:after="30" w:before="30" w:line="320"/>
      </w:pPr>
      <w:r>
        <w:rPr>
          <w:rFonts w:ascii="Garamond" w:cs="Garamond" w:eastAsia="Garamond" w:hAnsi="Garamond"/>
          <w:color w:val="111111"/>
          <w:sz w:val="22"/>
          <w:szCs w:val="22"/>
        </w:rPr>
        <w:t xml:space="preserve">Wellness Retreat calendar published. First retreats placed on sale.</w:t>
      </w:r>
    </w:p>
    <w:p>
      <w:pPr>
        <w:pStyle w:val="ListParagraph"/>
        <w:numPr>
          <w:ilvl w:val="0"/>
          <w:numId w:val="3"/>
        </w:numPr>
        <w:spacing w:after="30" w:before="30" w:line="320"/>
      </w:pPr>
      <w:r>
        <w:rPr>
          <w:rFonts w:ascii="Garamond" w:cs="Garamond" w:eastAsia="Garamond" w:hAnsi="Garamond"/>
          <w:color w:val="111111"/>
          <w:sz w:val="22"/>
          <w:szCs w:val="22"/>
        </w:rPr>
        <w:t xml:space="preserve">Industry Partner formal onboarding completed for committed partners.</w:t>
      </w:r>
    </w:p>
    <w:p>
      <w:pPr>
        <w:pStyle w:val="ListParagraph"/>
        <w:numPr>
          <w:ilvl w:val="0"/>
          <w:numId w:val="3"/>
        </w:numPr>
        <w:spacing w:after="30" w:before="30" w:line="320"/>
      </w:pPr>
      <w:r>
        <w:rPr>
          <w:rFonts w:ascii="Garamond" w:cs="Garamond" w:eastAsia="Garamond" w:hAnsi="Garamond"/>
          <w:color w:val="111111"/>
          <w:sz w:val="22"/>
          <w:szCs w:val="22"/>
        </w:rPr>
        <w:t xml:space="preserve">First quarterly partner update issued.</w:t>
      </w:r>
    </w:p>
    <w:p>
      <w:pPr>
        <w:pStyle w:val="Heading3"/>
        <w:spacing w:after="80" w:before="180"/>
      </w:pPr>
      <w:r>
        <w:rPr>
          <w:rFonts w:ascii="Garamond" w:cs="Garamond" w:eastAsia="Garamond" w:hAnsi="Garamond"/>
          <w:b/>
          <w:bCs/>
          <w:color w:val="111111"/>
          <w:sz w:val="20"/>
          <w:szCs w:val="20"/>
        </w:rPr>
        <w:t xml:space="preserve">T+90 TO T+365 (Q1–Q4 2027)</w:t>
      </w:r>
    </w:p>
    <w:p>
      <w:pPr>
        <w:pStyle w:val="ListParagraph"/>
        <w:numPr>
          <w:ilvl w:val="0"/>
          <w:numId w:val="3"/>
        </w:numPr>
        <w:spacing w:after="30" w:before="30" w:line="320"/>
      </w:pPr>
      <w:r>
        <w:rPr>
          <w:rFonts w:ascii="Garamond" w:cs="Garamond" w:eastAsia="Garamond" w:hAnsi="Garamond"/>
          <w:color w:val="111111"/>
          <w:sz w:val="22"/>
          <w:szCs w:val="22"/>
        </w:rPr>
        <w:t xml:space="preserve">Sustained Tier-1 and Tier-2 coverage through the reveal arc.</w:t>
      </w:r>
    </w:p>
    <w:p>
      <w:pPr>
        <w:pStyle w:val="ListParagraph"/>
        <w:numPr>
          <w:ilvl w:val="0"/>
          <w:numId w:val="3"/>
        </w:numPr>
        <w:spacing w:after="30" w:before="30" w:line="320"/>
      </w:pPr>
      <w:r>
        <w:rPr>
          <w:rFonts w:ascii="Garamond" w:cs="Garamond" w:eastAsia="Garamond" w:hAnsi="Garamond"/>
          <w:color w:val="111111"/>
          <w:sz w:val="22"/>
          <w:szCs w:val="22"/>
        </w:rPr>
        <w:t xml:space="preserve">Partner gathering at Tri Vananda — anniversary moment of the relaunch.</w:t>
      </w:r>
    </w:p>
    <w:p>
      <w:pPr>
        <w:pStyle w:val="ListParagraph"/>
        <w:numPr>
          <w:ilvl w:val="0"/>
          <w:numId w:val="3"/>
        </w:numPr>
        <w:spacing w:after="30" w:before="30" w:line="320"/>
      </w:pPr>
      <w:r>
        <w:rPr>
          <w:rFonts w:ascii="Garamond" w:cs="Garamond" w:eastAsia="Garamond" w:hAnsi="Garamond"/>
          <w:color w:val="111111"/>
          <w:sz w:val="22"/>
          <w:szCs w:val="22"/>
        </w:rPr>
        <w:t xml:space="preserve">Performance review against the Section XI measures.</w:t>
      </w:r>
    </w:p>
    <w:p>
      <w:r>
        <w:br w:type="page"/>
      </w:r>
    </w:p>
    <w:p>
      <w:pPr>
        <w:spacing w:after="40" w:before="80"/>
      </w:pPr>
      <w:r>
        <w:rPr>
          <w:rFonts w:ascii="Garamond" w:cs="Garamond" w:eastAsia="Garamond" w:hAnsi="Garamond"/>
          <w:b/>
          <w:bCs/>
          <w:color w:val="5C6B4F"/>
          <w:spacing w:val="60"/>
          <w:sz w:val="18"/>
          <w:szCs w:val="18"/>
        </w:rPr>
        <w:t xml:space="preserve">XI.</w:t>
      </w:r>
    </w:p>
    <w:p>
      <w:pPr>
        <w:pStyle w:val="Heading1"/>
        <w:spacing w:after="160" w:before="360"/>
      </w:pPr>
      <w:r>
        <w:rPr>
          <w:rFonts w:ascii="Garamond" w:cs="Garamond" w:eastAsia="Garamond" w:hAnsi="Garamond"/>
          <w:b w:val="false"/>
          <w:bCs w:val="false"/>
          <w:color w:val="111111"/>
          <w:sz w:val="36"/>
          <w:szCs w:val="36"/>
        </w:rPr>
        <w:t xml:space="preserve">Success Measures</w:t>
      </w:r>
    </w:p>
    <w:p>
      <w:pPr>
        <w:pBdr>
          <w:bottom w:val="single" w:color="B8B0A4" w:sz="6" w:space="1"/>
        </w:pBdr>
        <w:spacing w:after="120" w:before="120"/>
      </w:pPr>
      <w:r>
        <w:t xml:space="preserve"/>
      </w:r>
    </w:p>
    <w:p>
      <w:pPr>
        <w:pStyle w:val="Heading2"/>
        <w:spacing w:after="120" w:before="240"/>
      </w:pPr>
      <w:r>
        <w:rPr>
          <w:rFonts w:ascii="Garamond" w:cs="Garamond" w:eastAsia="Garamond" w:hAnsi="Garamond"/>
          <w:b w:val="false"/>
          <w:bCs w:val="false"/>
          <w:color w:val="5C6B4F"/>
          <w:sz w:val="28"/>
          <w:szCs w:val="28"/>
        </w:rPr>
        <w:t xml:space="preserve">Brand outcomes (12-month horizon)</w:t>
      </w:r>
    </w:p>
    <w:p>
      <w:pPr>
        <w:pStyle w:val="ListParagraph"/>
        <w:numPr>
          <w:ilvl w:val="0"/>
          <w:numId w:val="3"/>
        </w:numPr>
        <w:spacing w:after="30" w:before="30" w:line="320"/>
      </w:pPr>
      <w:r>
        <w:rPr>
          <w:rFonts w:ascii="Garamond" w:cs="Garamond" w:eastAsia="Garamond" w:hAnsi="Garamond"/>
          <w:color w:val="111111"/>
          <w:sz w:val="22"/>
          <w:szCs w:val="22"/>
        </w:rPr>
        <w:t xml:space="preserve">At least three Tier-1 long-form features placed (FT HTSI, Monocle, Robb Report, CN Traveler, Wallpaper or equivalents).</w:t>
      </w:r>
    </w:p>
    <w:p>
      <w:pPr>
        <w:pStyle w:val="ListParagraph"/>
        <w:numPr>
          <w:ilvl w:val="0"/>
          <w:numId w:val="3"/>
        </w:numPr>
        <w:spacing w:after="30" w:before="30" w:line="320"/>
      </w:pPr>
      <w:r>
        <w:rPr>
          <w:rFonts w:ascii="Garamond" w:cs="Garamond" w:eastAsia="Garamond" w:hAnsi="Garamond"/>
          <w:color w:val="111111"/>
          <w:sz w:val="22"/>
          <w:szCs w:val="22"/>
        </w:rPr>
        <w:t xml:space="preserve">"Multigenerational wellness living" appears in at least 25 third-party editorial or industry mentions in association with Tri Vananda.</w:t>
      </w:r>
    </w:p>
    <w:p>
      <w:pPr>
        <w:pStyle w:val="ListParagraph"/>
        <w:numPr>
          <w:ilvl w:val="0"/>
          <w:numId w:val="3"/>
        </w:numPr>
        <w:spacing w:after="30" w:before="30" w:line="320"/>
      </w:pPr>
      <w:r>
        <w:rPr>
          <w:rFonts w:ascii="Garamond" w:cs="Garamond" w:eastAsia="Garamond" w:hAnsi="Garamond"/>
          <w:color w:val="111111"/>
          <w:sz w:val="22"/>
          <w:szCs w:val="22"/>
        </w:rPr>
        <w:t xml:space="preserve">Unaided brand awareness among the qualified APAC and Western HNW wellness audience materially shifts — measured via baseline study commissioned at T-90 and repeated at T+365.</w:t>
      </w:r>
    </w:p>
    <w:p>
      <w:pPr>
        <w:pStyle w:val="Heading2"/>
        <w:spacing w:after="120" w:before="240"/>
      </w:pPr>
      <w:r>
        <w:rPr>
          <w:rFonts w:ascii="Garamond" w:cs="Garamond" w:eastAsia="Garamond" w:hAnsi="Garamond"/>
          <w:b w:val="false"/>
          <w:bCs w:val="false"/>
          <w:color w:val="5C6B4F"/>
          <w:sz w:val="28"/>
          <w:szCs w:val="28"/>
        </w:rPr>
        <w:t xml:space="preserve">Industry outcomes (12-month horizon)</w:t>
      </w:r>
    </w:p>
    <w:p>
      <w:pPr>
        <w:pStyle w:val="ListParagraph"/>
        <w:numPr>
          <w:ilvl w:val="0"/>
          <w:numId w:val="3"/>
        </w:numPr>
        <w:spacing w:after="30" w:before="30" w:line="320"/>
      </w:pPr>
      <w:r>
        <w:rPr>
          <w:rFonts w:ascii="Garamond" w:cs="Garamond" w:eastAsia="Garamond" w:hAnsi="Garamond"/>
          <w:color w:val="111111"/>
          <w:sz w:val="22"/>
          <w:szCs w:val="22"/>
        </w:rPr>
        <w:t xml:space="preserve">40 to 60 Founding Industry Partners signed during or within 60 days of the Summit.</w:t>
      </w:r>
    </w:p>
    <w:p>
      <w:pPr>
        <w:pStyle w:val="ListParagraph"/>
        <w:numPr>
          <w:ilvl w:val="0"/>
          <w:numId w:val="3"/>
        </w:numPr>
        <w:spacing w:after="30" w:before="30" w:line="320"/>
      </w:pPr>
      <w:r>
        <w:rPr>
          <w:rFonts w:ascii="Garamond" w:cs="Garamond" w:eastAsia="Garamond" w:hAnsi="Garamond"/>
          <w:color w:val="111111"/>
          <w:sz w:val="22"/>
          <w:szCs w:val="22"/>
        </w:rPr>
        <w:t xml:space="preserve">150+ qualified Industry Partners on roster within 12 months.</w:t>
      </w:r>
    </w:p>
    <w:p>
      <w:pPr>
        <w:pStyle w:val="ListParagraph"/>
        <w:numPr>
          <w:ilvl w:val="0"/>
          <w:numId w:val="3"/>
        </w:numPr>
        <w:spacing w:after="30" w:before="30" w:line="320"/>
      </w:pPr>
      <w:r>
        <w:rPr>
          <w:rFonts w:ascii="Garamond" w:cs="Garamond" w:eastAsia="Garamond" w:hAnsi="Garamond"/>
          <w:color w:val="111111"/>
          <w:sz w:val="22"/>
          <w:szCs w:val="22"/>
        </w:rPr>
        <w:t xml:space="preserve">Active monthly engagement (logged interactions) from at least 60% of Industry Partners through the partner portal.</w:t>
      </w:r>
    </w:p>
    <w:p>
      <w:pPr>
        <w:pStyle w:val="Heading2"/>
        <w:spacing w:after="120" w:before="240"/>
      </w:pPr>
      <w:r>
        <w:rPr>
          <w:rFonts w:ascii="Garamond" w:cs="Garamond" w:eastAsia="Garamond" w:hAnsi="Garamond"/>
          <w:b w:val="false"/>
          <w:bCs w:val="false"/>
          <w:color w:val="5C6B4F"/>
          <w:sz w:val="28"/>
          <w:szCs w:val="28"/>
        </w:rPr>
        <w:t xml:space="preserve">Commercial outcomes (24-month horizon)</w:t>
      </w:r>
    </w:p>
    <w:p>
      <w:pPr>
        <w:pStyle w:val="ListParagraph"/>
        <w:numPr>
          <w:ilvl w:val="0"/>
          <w:numId w:val="3"/>
        </w:numPr>
        <w:spacing w:after="30" w:before="30" w:line="320"/>
      </w:pPr>
      <w:r>
        <w:rPr>
          <w:rFonts w:ascii="Garamond" w:cs="Garamond" w:eastAsia="Garamond" w:hAnsi="Garamond"/>
          <w:color w:val="111111"/>
          <w:sz w:val="22"/>
          <w:szCs w:val="22"/>
        </w:rPr>
        <w:t xml:space="preserve">Referral programme delivers a measurable share of qualified leads against direct channels — target to be set with sales leadership.</w:t>
      </w:r>
    </w:p>
    <w:p>
      <w:pPr>
        <w:pStyle w:val="ListParagraph"/>
        <w:numPr>
          <w:ilvl w:val="0"/>
          <w:numId w:val="3"/>
        </w:numPr>
        <w:spacing w:after="30" w:before="30" w:line="320"/>
      </w:pPr>
      <w:r>
        <w:rPr>
          <w:rFonts w:ascii="Garamond" w:cs="Garamond" w:eastAsia="Garamond" w:hAnsi="Garamond"/>
          <w:color w:val="111111"/>
          <w:sz w:val="22"/>
          <w:szCs w:val="22"/>
        </w:rPr>
        <w:t xml:space="preserve">Membership Wellness Club hits its founding member target within 12 months of formal launch.</w:t>
      </w:r>
    </w:p>
    <w:p>
      <w:pPr>
        <w:pStyle w:val="ListParagraph"/>
        <w:numPr>
          <w:ilvl w:val="0"/>
          <w:numId w:val="3"/>
        </w:numPr>
        <w:spacing w:after="30" w:before="30" w:line="320"/>
      </w:pPr>
      <w:r>
        <w:rPr>
          <w:rFonts w:ascii="Garamond" w:cs="Garamond" w:eastAsia="Garamond" w:hAnsi="Garamond"/>
          <w:color w:val="111111"/>
          <w:sz w:val="22"/>
          <w:szCs w:val="22"/>
        </w:rPr>
        <w:t xml:space="preserve">Wellness Retreat occupancy hits planned occupancy band within four cohorts of opening.</w:t>
      </w:r>
    </w:p>
    <w:p>
      <w:pPr>
        <w:pStyle w:val="ListParagraph"/>
        <w:numPr>
          <w:ilvl w:val="0"/>
          <w:numId w:val="3"/>
        </w:numPr>
        <w:spacing w:after="30" w:before="30" w:line="320"/>
      </w:pPr>
      <w:r>
        <w:rPr>
          <w:rFonts w:ascii="Garamond" w:cs="Garamond" w:eastAsia="Garamond" w:hAnsi="Garamond"/>
          <w:color w:val="111111"/>
          <w:sz w:val="22"/>
          <w:szCs w:val="22"/>
        </w:rPr>
        <w:t xml:space="preserve">[VERIFY: villa sales targets and conversion ratios — to be set jointly with sales and finance, not published in this document.]</w:t>
      </w:r>
    </w:p>
    <w:p>
      <w:pPr>
        <w:pStyle w:val="Heading2"/>
        <w:spacing w:after="120" w:before="240"/>
      </w:pPr>
      <w:r>
        <w:rPr>
          <w:rFonts w:ascii="Garamond" w:cs="Garamond" w:eastAsia="Garamond" w:hAnsi="Garamond"/>
          <w:b w:val="false"/>
          <w:bCs w:val="false"/>
          <w:color w:val="5C6B4F"/>
          <w:sz w:val="28"/>
          <w:szCs w:val="28"/>
        </w:rPr>
        <w:t xml:space="preserve">Relationship outcomes</w:t>
      </w:r>
    </w:p>
    <w:p>
      <w:pPr>
        <w:pStyle w:val="ListParagraph"/>
        <w:numPr>
          <w:ilvl w:val="0"/>
          <w:numId w:val="3"/>
        </w:numPr>
        <w:spacing w:after="30" w:before="30" w:line="320"/>
      </w:pPr>
      <w:r>
        <w:rPr>
          <w:rFonts w:ascii="Garamond" w:cs="Garamond" w:eastAsia="Garamond" w:hAnsi="Garamond"/>
          <w:color w:val="111111"/>
          <w:sz w:val="22"/>
          <w:szCs w:val="22"/>
        </w:rPr>
        <w:t xml:space="preserve">GWS partnership characterised internally and externally as a model of sponsor-host collaboration that GWS would do again.</w:t>
      </w:r>
    </w:p>
    <w:p>
      <w:pPr>
        <w:pStyle w:val="ListParagraph"/>
        <w:numPr>
          <w:ilvl w:val="0"/>
          <w:numId w:val="3"/>
        </w:numPr>
        <w:spacing w:after="30" w:before="30" w:line="320"/>
      </w:pPr>
      <w:r>
        <w:rPr>
          <w:rFonts w:ascii="Garamond" w:cs="Garamond" w:eastAsia="Garamond" w:hAnsi="Garamond"/>
          <w:color w:val="111111"/>
          <w:sz w:val="22"/>
          <w:szCs w:val="22"/>
        </w:rPr>
        <w:t xml:space="preserve">PR agency relationship renewed for a second 12-month cycle on the back of measurable results.</w:t>
      </w:r>
    </w:p>
    <w:p>
      <w:pPr>
        <w:pStyle w:val="ListParagraph"/>
        <w:numPr>
          <w:ilvl w:val="0"/>
          <w:numId w:val="3"/>
        </w:numPr>
        <w:spacing w:after="30" w:before="30" w:line="320"/>
      </w:pPr>
      <w:r>
        <w:rPr>
          <w:rFonts w:ascii="Garamond" w:cs="Garamond" w:eastAsia="Garamond" w:hAnsi="Garamond"/>
          <w:color w:val="111111"/>
          <w:sz w:val="22"/>
          <w:szCs w:val="22"/>
        </w:rPr>
        <w:t xml:space="preserve">Founding Industry Partner retention into Year 2 above 80%.</w:t>
      </w:r>
    </w:p>
    <w:p>
      <w:r>
        <w:br w:type="page"/>
      </w:r>
    </w:p>
    <w:p>
      <w:pPr>
        <w:spacing w:after="40" w:before="80"/>
      </w:pPr>
      <w:r>
        <w:rPr>
          <w:rFonts w:ascii="Garamond" w:cs="Garamond" w:eastAsia="Garamond" w:hAnsi="Garamond"/>
          <w:b/>
          <w:bCs/>
          <w:color w:val="5C6B4F"/>
          <w:spacing w:val="60"/>
          <w:sz w:val="18"/>
          <w:szCs w:val="18"/>
        </w:rPr>
        <w:t xml:space="preserve">XII.</w:t>
      </w:r>
    </w:p>
    <w:p>
      <w:pPr>
        <w:pStyle w:val="Heading1"/>
        <w:spacing w:after="160" w:before="360"/>
      </w:pPr>
      <w:r>
        <w:rPr>
          <w:rFonts w:ascii="Garamond" w:cs="Garamond" w:eastAsia="Garamond" w:hAnsi="Garamond"/>
          <w:b w:val="false"/>
          <w:bCs w:val="false"/>
          <w:color w:val="111111"/>
          <w:sz w:val="36"/>
          <w:szCs w:val="36"/>
        </w:rPr>
        <w:t xml:space="preserve">Decisions Required from the Board</w:t>
      </w:r>
    </w:p>
    <w:p>
      <w:pPr>
        <w:pBdr>
          <w:bottom w:val="single" w:color="B8B0A4" w:sz="6" w:space="1"/>
        </w:pBdr>
        <w:spacing w:after="120" w:before="120"/>
      </w:pPr>
      <w:r>
        <w:t xml:space="preserve"/>
      </w:r>
    </w:p>
    <w:p>
      <w:pPr>
        <w:spacing w:after="200" w:before="80" w:line="340"/>
      </w:pPr>
      <w:r>
        <w:rPr>
          <w:rFonts w:ascii="Garamond" w:cs="Garamond" w:eastAsia="Garamond" w:hAnsi="Garamond"/>
          <w:i/>
          <w:iCs/>
          <w:color w:val="111111"/>
          <w:sz w:val="26"/>
          <w:szCs w:val="26"/>
        </w:rPr>
        <w:t xml:space="preserve">Five decisions unlock the whole programme. Each is independent in detail and connected in consequence.</w:t>
      </w:r>
    </w:p>
    <w:p>
      <w:pPr>
        <w:pStyle w:val="Heading3"/>
        <w:spacing w:after="80" w:before="180"/>
      </w:pPr>
      <w:r>
        <w:rPr>
          <w:rFonts w:ascii="Garamond" w:cs="Garamond" w:eastAsia="Garamond" w:hAnsi="Garamond"/>
          <w:b/>
          <w:bCs/>
          <w:color w:val="111111"/>
          <w:sz w:val="20"/>
          <w:szCs w:val="20"/>
        </w:rPr>
        <w:t xml:space="preserve">DECISION 1 — APPROVE THE STRATEGIC FRAME</w:t>
      </w:r>
    </w:p>
    <w:p>
      <w:pPr>
        <w:spacing w:after="120" w:before="60" w:line="320"/>
        <w:jc w:val="left"/>
      </w:pPr>
      <w:r>
        <w:rPr>
          <w:rFonts w:ascii="Garamond" w:cs="Garamond" w:eastAsia="Garamond" w:hAnsi="Garamond"/>
          <w:b w:val="false"/>
          <w:bCs w:val="false"/>
          <w:i w:val="false"/>
          <w:iCs w:val="false"/>
          <w:color w:val="111111"/>
          <w:sz w:val="22"/>
          <w:szCs w:val="22"/>
        </w:rPr>
        <w:t xml:space="preserve">Endorse the relaunch positioning of Tri Vananda as the top-of-mind luxury wellness lifestyle brand for multigenerational living in Thailand, anchored to the Health Resort opening and the GWS Phuket 2026 window, and the categorial position of Multigenerational Wellness Living.</w:t>
      </w:r>
    </w:p>
    <w:p>
      <w:pPr>
        <w:pStyle w:val="Heading3"/>
        <w:spacing w:after="80" w:before="180"/>
      </w:pPr>
      <w:r>
        <w:rPr>
          <w:rFonts w:ascii="Garamond" w:cs="Garamond" w:eastAsia="Garamond" w:hAnsi="Garamond"/>
          <w:b/>
          <w:bCs/>
          <w:color w:val="111111"/>
          <w:sz w:val="20"/>
          <w:szCs w:val="20"/>
        </w:rPr>
        <w:t xml:space="preserve">DECISION 2 — APPROVE THE MASTERPLAN REVEAL SEQUENCE</w:t>
      </w:r>
    </w:p>
    <w:p>
      <w:pPr>
        <w:spacing w:after="120" w:before="60" w:line="320"/>
        <w:jc w:val="left"/>
      </w:pPr>
      <w:r>
        <w:rPr>
          <w:rFonts w:ascii="Garamond" w:cs="Garamond" w:eastAsia="Garamond" w:hAnsi="Garamond"/>
          <w:b w:val="false"/>
          <w:bCs w:val="false"/>
          <w:i w:val="false"/>
          <w:iCs w:val="false"/>
          <w:color w:val="111111"/>
          <w:sz w:val="22"/>
          <w:szCs w:val="22"/>
        </w:rPr>
        <w:t xml:space="preserve">Approve the proposed reveal arc — Health Resort headline at Summit week, Open Experience as second reveal, Membership Wellness Club and Wellness Retreat formal launches in the post-Summit window. Confirm communication clearance for each component to flow into Tier 1 client-facing materials only after individual sign-off.</w:t>
      </w:r>
    </w:p>
    <w:p>
      <w:pPr>
        <w:pStyle w:val="Heading3"/>
        <w:spacing w:after="80" w:before="180"/>
      </w:pPr>
      <w:r>
        <w:rPr>
          <w:rFonts w:ascii="Garamond" w:cs="Garamond" w:eastAsia="Garamond" w:hAnsi="Garamond"/>
          <w:b/>
          <w:bCs/>
          <w:color w:val="111111"/>
          <w:sz w:val="20"/>
          <w:szCs w:val="20"/>
        </w:rPr>
        <w:t xml:space="preserve">DECISION 3 — APPROVE THE GWS COLLABORATION APPROACH</w:t>
      </w:r>
    </w:p>
    <w:p>
      <w:pPr>
        <w:spacing w:after="120" w:before="60" w:line="320"/>
        <w:jc w:val="left"/>
      </w:pPr>
      <w:r>
        <w:rPr>
          <w:rFonts w:ascii="Garamond" w:cs="Garamond" w:eastAsia="Garamond" w:hAnsi="Garamond"/>
          <w:b w:val="false"/>
          <w:bCs w:val="false"/>
          <w:i w:val="false"/>
          <w:iCs w:val="false"/>
          <w:color w:val="111111"/>
          <w:sz w:val="22"/>
          <w:szCs w:val="22"/>
        </w:rPr>
        <w:t xml:space="preserve">Authorise the strategy team to open formal collaboration discussions with the GWS team based on Section VI. Confirm the budget envelope for hosted activations, cultural programming, and immersion track. Confirm that we are not pursuing a standard sponsorship slot.</w:t>
      </w:r>
    </w:p>
    <w:p>
      <w:pPr>
        <w:pStyle w:val="Heading3"/>
        <w:spacing w:after="80" w:before="180"/>
      </w:pPr>
      <w:r>
        <w:rPr>
          <w:rFonts w:ascii="Garamond" w:cs="Garamond" w:eastAsia="Garamond" w:hAnsi="Garamond"/>
          <w:b/>
          <w:bCs/>
          <w:color w:val="111111"/>
          <w:sz w:val="20"/>
          <w:szCs w:val="20"/>
        </w:rPr>
        <w:t xml:space="preserve">DECISION 4 — APPROVE THE PR AGENCY ENGAGEMENT</w:t>
      </w:r>
    </w:p>
    <w:p>
      <w:pPr>
        <w:spacing w:after="120" w:before="60" w:line="320"/>
        <w:jc w:val="left"/>
      </w:pPr>
      <w:r>
        <w:rPr>
          <w:rFonts w:ascii="Garamond" w:cs="Garamond" w:eastAsia="Garamond" w:hAnsi="Garamond"/>
          <w:b w:val="false"/>
          <w:bCs w:val="false"/>
          <w:i w:val="false"/>
          <w:iCs w:val="false"/>
          <w:color w:val="111111"/>
          <w:sz w:val="22"/>
          <w:szCs w:val="22"/>
        </w:rPr>
        <w:t xml:space="preserve">Authorise a closed-shortlist selection process and 12-month retainer with the chosen agency, against the brief in Section VIII. Confirm the retainer envelope and performance bonus structure.</w:t>
      </w:r>
    </w:p>
    <w:p>
      <w:pPr>
        <w:pStyle w:val="Heading3"/>
        <w:spacing w:after="80" w:before="180"/>
      </w:pPr>
      <w:r>
        <w:rPr>
          <w:rFonts w:ascii="Garamond" w:cs="Garamond" w:eastAsia="Garamond" w:hAnsi="Garamond"/>
          <w:b/>
          <w:bCs/>
          <w:color w:val="111111"/>
          <w:sz w:val="20"/>
          <w:szCs w:val="20"/>
        </w:rPr>
        <w:t xml:space="preserve">DECISION 5 — APPROVE THE INDUSTRY REFERRAL PROGRAMME</w:t>
      </w:r>
    </w:p>
    <w:p>
      <w:pPr>
        <w:spacing w:after="120" w:before="60" w:line="320"/>
        <w:jc w:val="left"/>
      </w:pPr>
      <w:r>
        <w:rPr>
          <w:rFonts w:ascii="Garamond" w:cs="Garamond" w:eastAsia="Garamond" w:hAnsi="Garamond"/>
          <w:b w:val="false"/>
          <w:bCs w:val="false"/>
          <w:i w:val="false"/>
          <w:iCs w:val="false"/>
          <w:color w:val="111111"/>
          <w:sz w:val="22"/>
          <w:szCs w:val="22"/>
        </w:rPr>
        <w:t xml:space="preserve">Approve the architecture in Section VII — tiering, 4% commission on closed villa sales, partner agreement template, CRM gateway. Confirm finance and legal sign-off on commission terms before partner agreements are issued.</w:t>
      </w:r>
    </w:p>
    <w:p>
      <w:pPr>
        <w:pBdr>
          <w:bottom w:val="single" w:color="B8B0A4" w:sz="6" w:space="1"/>
        </w:pBdr>
        <w:spacing w:after="120" w:before="120"/>
      </w:pPr>
      <w:r>
        <w:t xml:space="preserve"/>
      </w:r>
    </w:p>
    <w:p>
      <w:pPr>
        <w:pStyle w:val="Heading3"/>
        <w:spacing w:after="80" w:before="180"/>
      </w:pPr>
      <w:r>
        <w:rPr>
          <w:rFonts w:ascii="Garamond" w:cs="Garamond" w:eastAsia="Garamond" w:hAnsi="Garamond"/>
          <w:b/>
          <w:bCs/>
          <w:color w:val="111111"/>
          <w:sz w:val="20"/>
          <w:szCs w:val="20"/>
        </w:rPr>
        <w:t xml:space="preserve">IN CLOSING</w:t>
      </w:r>
    </w:p>
    <w:p>
      <w:pPr>
        <w:pBdr>
          <w:left w:val="single" w:color="5C6B4F" w:sz="12" w:space="12"/>
        </w:pBdr>
        <w:spacing w:after="200" w:before="200" w:line="360"/>
        <w:ind w:left="720" w:right="720"/>
      </w:pPr>
      <w:r>
        <w:rPr>
          <w:rFonts w:ascii="Garamond" w:cs="Garamond" w:eastAsia="Garamond" w:hAnsi="Garamond"/>
          <w:i/>
          <w:iCs/>
          <w:color w:val="111111"/>
          <w:sz w:val="24"/>
          <w:szCs w:val="24"/>
        </w:rPr>
        <w:t xml:space="preserve">Tri Vananda has the product. The Summit gives us the room. The Health Resort gives us the headline. The masterplan gives us the arc. What remains is to use the next six months with discipline. The category is unoccupied. The window will not return.</w:t>
      </w:r>
    </w:p>
    <w:p>
      <w:pPr>
        <w:spacing w:after="120" w:before="60" w:line="320"/>
        <w:jc w:val="center"/>
      </w:pPr>
      <w:r>
        <w:rPr>
          <w:rFonts w:ascii="Garamond" w:cs="Garamond" w:eastAsia="Garamond" w:hAnsi="Garamond"/>
          <w:b w:val="false"/>
          <w:bCs w:val="false"/>
          <w:i/>
          <w:iCs/>
          <w:color w:val="555555"/>
          <w:sz w:val="20"/>
          <w:szCs w:val="20"/>
        </w:rPr>
        <w:t xml:space="preserve">— End of proposal —</w:t>
      </w:r>
    </w:p>
    <w:sectPr>
      <w:headerReference w:type="default" r:id="rId7"/>
      <w:footerReference w:type="default" r:id="rId8"/>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Garamond" w:cs="Garamond" w:eastAsia="Garamond" w:hAnsi="Garamond"/>
        <w:i/>
        <w:iCs/>
        <w:color w:val="555555"/>
        <w:sz w:val="16"/>
        <w:szCs w:val="16"/>
      </w:rPr>
      <w:t xml:space="preserve">GWS Phuket 2026 — Brand Relaunch &amp; Industry Activation</w:t>
    </w:r>
    <w:r>
      <w:rPr>
        <w:rFonts w:ascii="Garamond" w:cs="Garamond" w:eastAsia="Garamond" w:hAnsi="Garamond"/>
        <w:color w:val="555555"/>
        <w:sz w:val="16"/>
        <w:szCs w:val="16"/>
      </w:rPr>
      <w:t xml:space="preserve">	p. </w:t>
    </w:r>
    <w:r>
      <w:rPr>
        <w:rFonts w:ascii="Garamond" w:cs="Garamond" w:eastAsia="Garamond" w:hAnsi="Garamond"/>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B0A4" w:sz="4" w:space="6"/>
      </w:pBdr>
      <w:tabs>
        <w:tab w:val="right" w:pos="9026"/>
      </w:tabs>
    </w:pPr>
    <w:r>
      <w:rPr>
        <w:rFonts w:ascii="Garamond" w:cs="Garamond" w:eastAsia="Garamond" w:hAnsi="Garamond"/>
        <w:b/>
        <w:bCs/>
        <w:color w:val="5C6B4F"/>
        <w:spacing w:val="80"/>
        <w:sz w:val="16"/>
        <w:szCs w:val="16"/>
      </w:rPr>
      <w:t xml:space="preserve">TRI VANANDA  ·  STRATEGIC DIRECTION</w:t>
    </w:r>
    <w:r>
      <w:rPr>
        <w:rFonts w:ascii="Garamond" w:cs="Garamond" w:eastAsia="Garamond" w:hAnsi="Garamond"/>
        <w:i/>
        <w:iCs/>
        <w:color w:val="5C6B4F"/>
        <w:spacing w:val="80"/>
        <w:sz w:val="16"/>
        <w:szCs w:val="16"/>
      </w:rPr>
      <w:t xml:space="preserve">	INTERNAL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rPr>
        <w:rFonts w:ascii="Garamond" w:cs="Garamond" w:eastAsia="Garamond" w:hAnsi="Garamond"/>
        <w:color w:val="5C6B4F"/>
      </w:rPr>
    </w:lvl>
  </w:abstractNum>
  <w:abstractNum w:abstractNumId="3" w15:restartNumberingAfterBreak="0">
    <w:multiLevelType w:val="hybridMultilevel"/>
    <w:lvl w:ilvl="0" w15:tentative="1">
      <w:start w:val="1"/>
      <w:numFmt w:val="decimal"/>
      <w:lvlText w:val="%1."/>
      <w:lvlJc w:val="left"/>
      <w:pPr>
        <w:ind w:left="600" w:hanging="320"/>
      </w:pPr>
      <w:rPr>
        <w:rFonts w:ascii="Garamond" w:cs="Garamond" w:eastAsia="Garamond" w:hAnsi="Garamond"/>
        <w:color w:val="5C6B4F"/>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aramond" w:cs="Garamond" w:eastAsia="Garamond" w:hAnsi="Garamond"/>
      <w:color w:val="111111"/>
      <w:sz w:val="36"/>
      <w:szCs w:val="36"/>
    </w:rPr>
  </w:style>
  <w:style w:type="paragraph" w:styleId="Heading2">
    <w:name w:val="Heading 2"/>
    <w:basedOn w:val="Normal"/>
    <w:next w:val="Normal"/>
    <w:qFormat/>
    <w:pPr>
      <w:spacing w:after="120" w:before="240"/>
      <w:outlineLvl w:val="1"/>
    </w:pPr>
    <w:rPr>
      <w:rFonts w:ascii="Garamond" w:cs="Garamond" w:eastAsia="Garamond" w:hAnsi="Garamond"/>
      <w:color w:val="5C6B4F"/>
      <w:sz w:val="28"/>
      <w:szCs w:val="28"/>
    </w:rPr>
  </w:style>
  <w:style w:type="paragraph" w:styleId="Heading3">
    <w:name w:val="Heading 3"/>
    <w:basedOn w:val="Normal"/>
    <w:next w:val="Normal"/>
    <w:qFormat/>
    <w:pPr>
      <w:spacing w:after="80" w:before="180"/>
      <w:outlineLvl w:val="2"/>
    </w:pPr>
    <w:rPr>
      <w:rFonts w:ascii="Garamond" w:cs="Garamond" w:eastAsia="Garamond" w:hAnsi="Garamond"/>
      <w:b/>
      <w:bCs/>
      <w:color w:val="11111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 Vananda — Strategic Direction (GWS Phuket 2026)</dc:title>
  <dc:creator>Tri Vananda Strategy</dc:creator>
  <dc:description>INTERNAL ONLY proposal. Audience-flex across BOD, PR agency, GWS team, and industry partners.</dc:description>
  <cp:lastModifiedBy>Un-named</cp:lastModifiedBy>
  <cp:revision>1</cp:revision>
  <dcterms:created xsi:type="dcterms:W3CDTF">2026-05-04T10:29:51.607Z</dcterms:created>
  <dcterms:modified xsi:type="dcterms:W3CDTF">2026-05-04T10:29:51.608Z</dcterms:modified>
</cp:coreProperties>
</file>

<file path=docProps/custom.xml><?xml version="1.0" encoding="utf-8"?>
<Properties xmlns="http://schemas.openxmlformats.org/officeDocument/2006/custom-properties" xmlns:vt="http://schemas.openxmlformats.org/officeDocument/2006/docPropsVTypes"/>
</file>