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Garden House</w:t>
        <w:br/>
        <w:t>The Living Room of TRISARA</w:t>
      </w:r>
    </w:p>
    <w:p>
      <w:r>
        <w:br/>
        <w:t>Garden House is a proposal to transform three existing ocean-view Thai salas at TRISARA into one connected destination where family life, beauty, wellbeing, nature, and human connection come together. Rather than operating as separate facilities, the spaces would be reimagined as a cohesive ecosystem comprising Little Garden, Lotus Gallery, and Living Room, connected by lush open-air garden corridors overlooking an enhanced waterfall, tropical gardens, koi ponds, and panoramic ocean views.</w:t>
        <w:br/>
        <w:br/>
        <w:t>At its heart, Garden House is inspired by a simple belief: the most meaningful luxury is not what we own, but how we spend our time and who we spend it with. The concept creates a place where children can explore and create, parents can reconnect with themselves and one another, and guests can naturally discover beauty, wellbeing, craftsmanship, and meaningful experiences throughout the day.</w:t>
        <w:br/>
        <w:br/>
        <w:t>Little Garden is a children's house inspired by nature, creativity, and discovery. Lotus Gallery is a beauty, jewelry, and lifestyle salon inspired by the lotus flower's journey from water to bloom. Living Room is the social heart of Garden House, evolving throughout the day from morning wellness conversations and coffee to afternoon tea and evening gatherings.</w:t>
        <w:br/>
        <w:br/>
        <w:t>The connecting garden corridors are destinations themselves, featuring waterfalls, flowering gardens, butterflies, dragonflies, koi, frogs, fireflies, and sculptural botanical arrangements inspired by Japanese ikebana. The journey between spaces becomes part of the experience.</w:t>
        <w:br/>
        <w:br/>
        <w:t>Garden House belongs entirely to TRISARA and should be championed by a TRISARA leader. Through exceptional hospitality, curated experiences, and selected events, guests may naturally discover CLP Phuket, Tri Vananda, JAMPA, PRU, and future PATAMA programs through genuine engagement rather than direct selling.</w:t>
        <w:br/>
        <w:br/>
        <w:t>Potential outcomes include THB 12 million annual retail revenue, THB 12 million annual F&amp;B revenue, 800 qualified CLP Phuket leads, 800 qualified Tri Vananda leads, and 400 villa ownership tours annually.</w:t>
        <w:br/>
        <w:br/>
        <w:t>Garden House is not a kids club, a shop, and a bar. It is the living room of TRISARA.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