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pStyle w:val="CoverKicker"/>
        <w:jc w:val="center"/>
      </w:pPr>
      <w:r>
        <w:rPr>
          <w:rFonts w:ascii="Noto Sans" w:hAnsi="Noto Sans"/>
          <w:b/>
          <w:caps/>
          <w:color w:val="B59555"/>
          <w:sz w:val="24"/>
        </w:rPr>
        <w:t>PATAMA</w:t>
      </w:r>
    </w:p>
    <w:p>
      <w:pPr>
        <w:spacing w:before="80" w:after="100"/>
        <w:jc w:val="center"/>
      </w:pPr>
      <w:r>
        <w:rPr>
          <w:rFonts w:ascii="Noto Serif Display" w:hAnsi="Noto Serif Display"/>
          <w:color w:val="A55E3B"/>
          <w:sz w:val="88"/>
        </w:rPr>
        <w:t>∞</w:t>
      </w:r>
    </w:p>
    <w:p>
      <w:pPr>
        <w:pStyle w:val="CoverTitle"/>
        <w:spacing w:after="100"/>
        <w:jc w:val="center"/>
      </w:pPr>
      <w:r>
        <w:rPr>
          <w:rFonts w:ascii="Noto Serif Display" w:hAnsi="Noto Serif Display"/>
          <w:color w:val="173F37"/>
          <w:sz w:val="64"/>
        </w:rPr>
        <w:t>THE DOCTRINE</w:t>
        <w:br/>
        <w:t>OF LIVING WELL</w:t>
      </w:r>
    </w:p>
    <w:p>
      <w:pPr>
        <w:pStyle w:val="CoverSubtitle"/>
        <w:spacing w:before="160" w:after="280"/>
        <w:jc w:val="center"/>
      </w:pPr>
      <w:r>
        <w:rPr>
          <w:rFonts w:ascii="Noto Serif Display" w:hAnsi="Noto Serif Display"/>
          <w:i/>
          <w:color w:val="A55E3B"/>
          <w:sz w:val="35"/>
        </w:rPr>
        <w:t>A World-Class Strategic Brand Philosophy</w:t>
        <w:br/>
        <w:t>for Long-Term Human Flourishing</w:t>
      </w:r>
    </w:p>
    <w:p>
      <w:pPr>
        <w:pStyle w:val="CoverDeck"/>
        <w:spacing w:before="100" w:after="440"/>
        <w:jc w:val="center"/>
      </w:pPr>
      <w:r>
        <w:rPr>
          <w:rFonts w:ascii="Noto Serif" w:hAnsi="Noto Serif"/>
          <w:i/>
          <w:color w:val="66706A"/>
          <w:sz w:val="23"/>
        </w:rPr>
        <w:t>A complete strategic framework - from first principles</w:t>
        <w:br/>
        <w:t>to global intellectual property</w:t>
      </w:r>
    </w:p>
    <w:p>
      <w:pPr>
        <w:pStyle w:val="CoverMeta"/>
        <w:spacing w:after="440"/>
        <w:jc w:val="center"/>
      </w:pPr>
      <w:r>
        <w:rPr>
          <w:rFonts w:ascii="Noto Sans" w:hAnsi="Noto Sans"/>
          <w:b/>
          <w:caps/>
          <w:color w:val="66706A"/>
          <w:sz w:val="18"/>
        </w:rPr>
        <w:t>STRATEGIC FRAMEWORK  |  JUNE 2026</w:t>
      </w:r>
    </w:p>
    <w:tbl>
      <w:tblPr>
        <w:tblW w:type="auto" w:w="0"/>
        <w:jc w:val="center"/>
        <w:tblLayout w:type="fixed"/>
        <w:tblLook w:firstColumn="1" w:firstRow="1" w:lastColumn="0" w:lastRow="0" w:noHBand="0" w:noVBand="1" w:val="04A0"/>
      </w:tblPr>
      <w:tblGrid>
        <w:gridCol w:w="4819"/>
      </w:tblGrid>
      <w:tr>
        <w:tc>
          <w:tcPr>
            <w:tcW w:type="dxa" w:w="9242"/>
            <w:shd w:fill="173F37"/>
            <w:tcBorders>
              <w:top w:val="nil"/>
              <w:left w:val="nil"/>
              <w:bottom w:val="nil"/>
              <w:right w:val="nil"/>
            </w:tcBorders>
            <w:vAlign w:val="center"/>
          </w:tcPr>
          <w:p>
            <w:pPr>
              <w:spacing w:before="80" w:after="80"/>
              <w:jc w:val="center"/>
            </w:pPr>
            <w:r>
              <w:rPr>
                <w:rFonts w:ascii="Noto Sans" w:hAnsi="Noto Sans"/>
                <w:b/>
                <w:caps/>
                <w:color w:val="FFFFFF"/>
                <w:sz w:val="17"/>
              </w:rPr>
              <w:t>CONFIDENTIAL &amp; PROPRIETARY</w:t>
            </w:r>
          </w:p>
        </w:tc>
      </w:tr>
    </w:tbl>
    <w:p>
      <w:pPr>
        <w:spacing w:before="680" w:after="0"/>
      </w:pPr>
    </w:p>
    <w:tbl>
      <w:tblPr>
        <w:tblW w:type="auto" w:w="0"/>
        <w:jc w:val="center"/>
        <w:tblLayout w:type="fixed"/>
        <w:tblLook w:firstColumn="1" w:firstRow="1" w:lastColumn="0" w:lastRow="0" w:noHBand="0" w:noVBand="1" w:val="04A0"/>
      </w:tblPr>
      <w:tblGrid>
        <w:gridCol w:w="8901"/>
      </w:tblGrid>
      <w:tr>
        <w:tc>
          <w:tcPr>
            <w:tcW w:type="dxa" w:w="9242"/>
            <w:shd w:fill="F4EFE3"/>
            <w:tcBorders>
              <w:top w:val="single" w:sz="6" w:color="CFC6B4"/>
              <w:left w:val="single" w:sz="6" w:color="CFC6B4"/>
              <w:bottom w:val="single" w:sz="6" w:color="CFC6B4"/>
              <w:right w:val="single" w:sz="6" w:color="CFC6B4"/>
            </w:tcBorders>
          </w:tcPr>
          <w:p>
            <w:pPr>
              <w:spacing w:before="80" w:after="80"/>
              <w:ind w:left="142" w:right="142"/>
            </w:pPr>
            <w:r>
              <w:rPr>
                <w:rFonts w:ascii="Noto Sans" w:hAnsi="Noto Sans"/>
                <w:b/>
                <w:caps/>
                <w:color w:val="B59555"/>
                <w:sz w:val="16"/>
              </w:rPr>
              <w:t xml:space="preserve">PUBLICATION NOTE  </w:t>
            </w:r>
            <w:r>
              <w:rPr>
                <w:rFonts w:ascii="Noto Serif" w:hAnsi="Noto Serif"/>
                <w:color w:val="66706A"/>
                <w:sz w:val="16"/>
              </w:rPr>
              <w:t>Professionally edited for strategic clarity and consistency. Research references are retained from the source draft and include peer-reviewed, institutional, commercial, and secondary sources. Scientific claims, metrics, trademarks, and intellectual-property assertions should be independently validated before external publication.</w:t>
            </w:r>
          </w:p>
        </w:tc>
      </w:tr>
    </w:tbl>
    <w:p>
      <w:pPr>
        <w:sectPr>
          <w:headerReference w:type="default" r:id="rId9"/>
          <w:footerReference w:type="default" r:id="rId10"/>
          <w:pgSz w:w="11906" w:h="16838"/>
          <w:pgMar w:top="1361" w:right="1332" w:bottom="1191" w:left="1332" w:header="482" w:footer="425" w:gutter="0"/>
          <w:cols w:space="720"/>
          <w:titlePg/>
          <w:docGrid w:linePitch="360"/>
        </w:sectPr>
      </w:pPr>
    </w:p>
    <w:p>
      <w:pPr>
        <w:spacing w:before="80" w:after="40"/>
      </w:pPr>
      <w:r>
        <w:rPr>
          <w:rFonts w:ascii="Noto Sans" w:hAnsi="Noto Sans"/>
          <w:b/>
          <w:caps/>
          <w:color w:val="B59555"/>
          <w:sz w:val="18"/>
        </w:rPr>
        <w:t>CONTENTS</w:t>
      </w:r>
    </w:p>
    <w:p>
      <w:pPr>
        <w:pStyle w:val="Heading1"/>
        <w:spacing w:before="40" w:after="280"/>
      </w:pPr>
      <w:r>
        <w:rPr>
          <w:rFonts w:ascii="Noto Serif Display" w:hAnsi="Noto Serif Display"/>
          <w:color w:val="173F37"/>
          <w:sz w:val="44"/>
        </w:rPr>
        <w:t>Document Structure</w:t>
      </w:r>
    </w:p>
    <w:p>
      <w:pPr>
        <w:pStyle w:val="TOCEntry"/>
        <w:spacing w:after="120"/>
        <w:ind w:left="85" w:hanging="85"/>
        <w:pBdr>
          <w:bottom w:val="single" w:sz="3" w:space="3" w:color="E2DDD2"/>
        </w:pBdr>
      </w:pPr>
      <w:r>
        <w:rPr>
          <w:rFonts w:ascii="Noto Sans" w:hAnsi="Noto Sans"/>
          <w:b/>
          <w:color w:val="A55E3B"/>
          <w:sz w:val="18"/>
        </w:rPr>
        <w:t>01</w:t>
      </w:r>
      <w:r>
        <w:rPr>
          <w:rFonts w:ascii="Noto Sans" w:hAnsi="Noto Sans"/>
          <w:color w:val="202522"/>
          <w:sz w:val="20"/>
        </w:rPr>
        <w:t xml:space="preserve">    Executive Summary</w:t>
      </w:r>
    </w:p>
    <w:p>
      <w:pPr>
        <w:pStyle w:val="TOCEntry"/>
        <w:spacing w:after="120"/>
        <w:ind w:left="85" w:hanging="85"/>
        <w:pBdr>
          <w:bottom w:val="single" w:sz="3" w:space="3" w:color="E2DDD2"/>
        </w:pBdr>
      </w:pPr>
      <w:r>
        <w:rPr>
          <w:rFonts w:ascii="Noto Sans" w:hAnsi="Noto Sans"/>
          <w:b/>
          <w:color w:val="A55E3B"/>
          <w:sz w:val="18"/>
        </w:rPr>
        <w:t>02</w:t>
      </w:r>
      <w:r>
        <w:rPr>
          <w:rFonts w:ascii="Noto Sans" w:hAnsi="Noto Sans"/>
          <w:color w:val="202522"/>
          <w:sz w:val="20"/>
        </w:rPr>
        <w:t xml:space="preserve">    Critique of the Existing Framework</w:t>
      </w:r>
    </w:p>
    <w:p>
      <w:pPr>
        <w:pStyle w:val="TOCEntry"/>
        <w:spacing w:after="120"/>
        <w:ind w:left="85" w:hanging="85"/>
        <w:pBdr>
          <w:bottom w:val="single" w:sz="3" w:space="3" w:color="E2DDD2"/>
        </w:pBdr>
      </w:pPr>
      <w:r>
        <w:rPr>
          <w:rFonts w:ascii="Noto Sans" w:hAnsi="Noto Sans"/>
          <w:b/>
          <w:color w:val="A55E3B"/>
          <w:sz w:val="18"/>
        </w:rPr>
        <w:t>03</w:t>
      </w:r>
      <w:r>
        <w:rPr>
          <w:rFonts w:ascii="Noto Sans" w:hAnsi="Noto Sans"/>
          <w:color w:val="202522"/>
          <w:sz w:val="20"/>
        </w:rPr>
        <w:t xml:space="preserve">    Research Synthesis</w:t>
      </w:r>
    </w:p>
    <w:p>
      <w:pPr>
        <w:pStyle w:val="TOCEntry"/>
        <w:spacing w:after="120"/>
        <w:ind w:left="85" w:hanging="85"/>
        <w:pBdr>
          <w:bottom w:val="single" w:sz="3" w:space="3" w:color="E2DDD2"/>
        </w:pBdr>
      </w:pPr>
      <w:r>
        <w:rPr>
          <w:rFonts w:ascii="Noto Sans" w:hAnsi="Noto Sans"/>
          <w:b/>
          <w:color w:val="A55E3B"/>
          <w:sz w:val="18"/>
        </w:rPr>
        <w:t>04</w:t>
      </w:r>
      <w:r>
        <w:rPr>
          <w:rFonts w:ascii="Noto Sans" w:hAnsi="Noto Sans"/>
          <w:color w:val="202522"/>
          <w:sz w:val="20"/>
        </w:rPr>
        <w:t xml:space="preserve">    The Ideal PATAMA Framework</w:t>
      </w:r>
    </w:p>
    <w:p>
      <w:pPr>
        <w:pStyle w:val="TOCEntry"/>
        <w:spacing w:after="120"/>
        <w:ind w:left="85" w:hanging="85"/>
        <w:pBdr>
          <w:bottom w:val="single" w:sz="3" w:space="3" w:color="E2DDD2"/>
        </w:pBdr>
      </w:pPr>
      <w:r>
        <w:rPr>
          <w:rFonts w:ascii="Noto Sans" w:hAnsi="Noto Sans"/>
          <w:b/>
          <w:color w:val="A55E3B"/>
          <w:sz w:val="18"/>
        </w:rPr>
        <w:t>05</w:t>
      </w:r>
      <w:r>
        <w:rPr>
          <w:rFonts w:ascii="Noto Sans" w:hAnsi="Noto Sans"/>
          <w:color w:val="202522"/>
          <w:sz w:val="20"/>
        </w:rPr>
        <w:t xml:space="preserve">    The Eight Brand Promises</w:t>
      </w:r>
    </w:p>
    <w:p>
      <w:pPr>
        <w:pStyle w:val="TOCEntry"/>
        <w:spacing w:after="120"/>
        <w:ind w:left="85" w:hanging="85"/>
        <w:pBdr>
          <w:bottom w:val="single" w:sz="3" w:space="3" w:color="E2DDD2"/>
        </w:pBdr>
      </w:pPr>
      <w:r>
        <w:rPr>
          <w:rFonts w:ascii="Noto Sans" w:hAnsi="Noto Sans"/>
          <w:b/>
          <w:color w:val="A55E3B"/>
          <w:sz w:val="18"/>
        </w:rPr>
        <w:t>06</w:t>
      </w:r>
      <w:r>
        <w:rPr>
          <w:rFonts w:ascii="Noto Sans" w:hAnsi="Noto Sans"/>
          <w:color w:val="202522"/>
          <w:sz w:val="20"/>
        </w:rPr>
        <w:t xml:space="preserve">    Why These Eight Promises Are Essential</w:t>
      </w:r>
    </w:p>
    <w:p>
      <w:pPr>
        <w:pStyle w:val="TOCEntry"/>
        <w:spacing w:after="120"/>
        <w:ind w:left="85" w:hanging="85"/>
        <w:pBdr>
          <w:bottom w:val="single" w:sz="3" w:space="3" w:color="E2DDD2"/>
        </w:pBdr>
      </w:pPr>
      <w:r>
        <w:rPr>
          <w:rFonts w:ascii="Noto Sans" w:hAnsi="Noto Sans"/>
          <w:b/>
          <w:color w:val="A55E3B"/>
          <w:sz w:val="18"/>
        </w:rPr>
        <w:t>07</w:t>
      </w:r>
      <w:r>
        <w:rPr>
          <w:rFonts w:ascii="Noto Sans" w:hAnsi="Noto Sans"/>
          <w:color w:val="202522"/>
          <w:sz w:val="20"/>
        </w:rPr>
        <w:t xml:space="preserve">    The Framework Across Every PATAMA Business</w:t>
      </w:r>
    </w:p>
    <w:p>
      <w:pPr>
        <w:pStyle w:val="TOCEntry"/>
        <w:spacing w:after="120"/>
        <w:ind w:left="85" w:hanging="85"/>
        <w:pBdr>
          <w:bottom w:val="single" w:sz="3" w:space="3" w:color="E2DDD2"/>
        </w:pBdr>
      </w:pPr>
      <w:r>
        <w:rPr>
          <w:rFonts w:ascii="Noto Sans" w:hAnsi="Noto Sans"/>
          <w:b/>
          <w:color w:val="A55E3B"/>
          <w:sz w:val="18"/>
        </w:rPr>
        <w:t>08</w:t>
      </w:r>
      <w:r>
        <w:rPr>
          <w:rFonts w:ascii="Noto Sans" w:hAnsi="Noto Sans"/>
          <w:color w:val="202522"/>
          <w:sz w:val="20"/>
        </w:rPr>
        <w:t xml:space="preserve">    The Redesigned Visual Framework</w:t>
      </w:r>
    </w:p>
    <w:p>
      <w:pPr>
        <w:pStyle w:val="TOCEntry"/>
        <w:spacing w:after="120"/>
        <w:ind w:left="85" w:hanging="85"/>
        <w:pBdr>
          <w:bottom w:val="single" w:sz="3" w:space="3" w:color="E2DDD2"/>
        </w:pBdr>
      </w:pPr>
      <w:r>
        <w:rPr>
          <w:rFonts w:ascii="Noto Sans" w:hAnsi="Noto Sans"/>
          <w:b/>
          <w:color w:val="A55E3B"/>
          <w:sz w:val="18"/>
        </w:rPr>
        <w:t>09</w:t>
      </w:r>
      <w:r>
        <w:rPr>
          <w:rFonts w:ascii="Noto Sans" w:hAnsi="Noto Sans"/>
          <w:color w:val="202522"/>
          <w:sz w:val="20"/>
        </w:rPr>
        <w:t xml:space="preserve">    Stress Test: The Interbrand/McKinsey Review</w:t>
      </w:r>
    </w:p>
    <w:p>
      <w:pPr>
        <w:pStyle w:val="TOCEntry"/>
        <w:spacing w:after="120"/>
        <w:ind w:left="85" w:hanging="85"/>
        <w:pBdr>
          <w:bottom w:val="single" w:sz="3" w:space="3" w:color="E2DDD2"/>
        </w:pBdr>
      </w:pPr>
      <w:r>
        <w:rPr>
          <w:rFonts w:ascii="Noto Sans" w:hAnsi="Noto Sans"/>
          <w:b/>
          <w:color w:val="A55E3B"/>
          <w:sz w:val="18"/>
        </w:rPr>
        <w:t>10</w:t>
      </w:r>
      <w:r>
        <w:rPr>
          <w:rFonts w:ascii="Noto Sans" w:hAnsi="Noto Sans"/>
          <w:color w:val="202522"/>
          <w:sz w:val="20"/>
        </w:rPr>
        <w:t xml:space="preserve">    Final Assessment: Readiness for Global Launch</w:t>
      </w:r>
    </w:p>
    <w:p>
      <w:pPr>
        <w:pStyle w:val="TOCEntry"/>
        <w:spacing w:after="120"/>
        <w:ind w:left="85" w:hanging="85"/>
        <w:pBdr>
          <w:bottom w:val="single" w:sz="3" w:space="3" w:color="E2DDD2"/>
        </w:pBdr>
      </w:pPr>
      <w:r>
        <w:rPr>
          <w:rFonts w:ascii="Noto Sans" w:hAnsi="Noto Sans"/>
          <w:b/>
          <w:color w:val="A55E3B"/>
          <w:sz w:val="18"/>
        </w:rPr>
        <w:t>11</w:t>
      </w:r>
      <w:r>
        <w:rPr>
          <w:rFonts w:ascii="Noto Sans" w:hAnsi="Noto Sans"/>
          <w:color w:val="202522"/>
          <w:sz w:val="20"/>
        </w:rPr>
        <w:t xml:space="preserve">    References</w:t>
      </w:r>
    </w:p>
    <w:p>
      <w:pPr>
        <w:spacing w:before="280" w:after="0"/>
      </w:pPr>
      <w:r>
        <w:rPr>
          <w:rFonts w:ascii="Noto Serif" w:hAnsi="Noto Serif"/>
          <w:i/>
          <w:color w:val="66706A"/>
          <w:sz w:val="18"/>
        </w:rPr>
        <w:t>The framework is designed to be read sequentially, but each part also functions as a standalone strategic reference.</w:t>
      </w:r>
    </w:p>
    <w:p>
      <w:r>
        <w:br w:type="page"/>
      </w:r>
    </w:p>
    <w:p>
      <w:pPr>
        <w:pStyle w:val="Heading1"/>
        <w:pageBreakBefore/>
        <w:pBdr>
          <w:bottom w:val="single" w:sz="10" w:space="5" w:color="B59555"/>
        </w:pBdr>
      </w:pPr>
      <w:r>
        <w:rPr>
          <w:rFonts w:ascii="Noto Sans" w:hAnsi="Noto Sans"/>
          <w:b/>
          <w:caps/>
          <w:color w:val="B59555"/>
          <w:sz w:val="19"/>
        </w:rPr>
        <w:t>PART 1</w:t>
        <w:br/>
      </w:r>
      <w:r>
        <w:rPr>
          <w:rFonts w:ascii="Noto Serif Display" w:hAnsi="Noto Serif Display"/>
          <w:color w:val="173F37"/>
          <w:sz w:val="42"/>
        </w:rPr>
        <w:t>Executive Summary</w:t>
      </w:r>
    </w:p>
    <w:p>
      <w:r>
        <w:rPr>
          <w:rFonts w:ascii="Noto Serif" w:hAnsi="Noto Serif"/>
          <w:color w:val="202522"/>
          <w:sz w:val="20"/>
        </w:rPr>
        <w:t>PATAMA has the raw material for one of the world's most distinctive wellbeing philosophies. It operates at a rare intersection of premium real estate, luxury hospitality, integrative medicine, and community design - precisely the ecosystem that longevity science identifies as the architecture of a life well lived. The brand sits at the intersection of Aman's philosophical serenity, Clinique La Prairie's scientific credibility, and Six Senses' systemic wellness intelligence.</w:t>
      </w:r>
      <w:r>
        <w:rPr>
          <w:rFonts w:ascii="Noto Sans" w:hAnsi="Noto Sans"/>
          <w:color w:val="A55E3B"/>
          <w:sz w:val="15"/>
          <w:vertAlign w:val="superscript"/>
        </w:rPr>
        <w:t>1</w:t>
      </w:r>
      <w:r>
        <w:rPr>
          <w:rFonts w:ascii="Noto Sans" w:hAnsi="Noto Sans"/>
          <w:color w:val="A55E3B"/>
          <w:sz w:val="15"/>
          <w:vertAlign w:val="superscript"/>
        </w:rPr>
        <w:t>2</w:t>
      </w:r>
      <w:r>
        <w:rPr>
          <w:rFonts w:ascii="Noto Sans" w:hAnsi="Noto Sans"/>
          <w:color w:val="A55E3B"/>
          <w:sz w:val="15"/>
          <w:vertAlign w:val="superscript"/>
        </w:rPr>
        <w:t>3</w:t>
      </w:r>
    </w:p>
    <w:p>
      <w:r>
        <w:rPr>
          <w:rFonts w:ascii="Noto Serif" w:hAnsi="Noto Serif"/>
          <w:color w:val="202522"/>
          <w:sz w:val="20"/>
        </w:rPr>
        <w:t xml:space="preserve">The central conclusion of this report is clear: </w:t>
      </w:r>
      <w:r>
        <w:rPr>
          <w:rFonts w:ascii="Noto Serif" w:hAnsi="Noto Serif"/>
          <w:b/>
          <w:color w:val="202522"/>
          <w:sz w:val="20"/>
        </w:rPr>
        <w:t>the current PATAMA framework is conceptually sound but operationally incomplete.</w:t>
      </w:r>
      <w:r>
        <w:rPr>
          <w:rFonts w:ascii="Noto Serif" w:hAnsi="Noto Serif"/>
          <w:color w:val="202522"/>
          <w:sz w:val="20"/>
        </w:rPr>
        <w:t xml:space="preserve"> The Mobius loop, the Internal/External Harmony structure, and the eight-thread architecture are strategically strong. The weakness is that the framework speaks in the language of </w:t>
      </w:r>
      <w:r>
        <w:rPr>
          <w:rFonts w:ascii="Noto Serif" w:hAnsi="Noto Serif"/>
          <w:i/>
          <w:color w:val="202522"/>
          <w:sz w:val="20"/>
        </w:rPr>
        <w:t>offerings</w:t>
      </w:r>
      <w:r>
        <w:rPr>
          <w:rFonts w:ascii="Noto Serif" w:hAnsi="Noto Serif"/>
          <w:color w:val="202522"/>
          <w:sz w:val="20"/>
        </w:rPr>
        <w:t xml:space="preserve"> rather than </w:t>
      </w:r>
      <w:r>
        <w:rPr>
          <w:rFonts w:ascii="Noto Serif" w:hAnsi="Noto Serif"/>
          <w:i/>
          <w:color w:val="202522"/>
          <w:sz w:val="20"/>
        </w:rPr>
        <w:t>transformations</w:t>
      </w:r>
      <w:r>
        <w:rPr>
          <w:rFonts w:ascii="Noto Serif" w:hAnsi="Noto Serif"/>
          <w:color w:val="202522"/>
          <w:sz w:val="20"/>
        </w:rPr>
        <w:t>. It describes what PATAMA provides, not what customers become.</w:t>
      </w:r>
    </w:p>
    <w:p>
      <w:r>
        <w:rPr>
          <w:rFonts w:ascii="Noto Serif" w:hAnsi="Noto Serif"/>
          <w:color w:val="202522"/>
          <w:sz w:val="20"/>
        </w:rPr>
        <w:t xml:space="preserve">The recommendation is a full redesign from first principles - preserving the architectural brilliance of the original while replacing the content layer with </w:t>
      </w:r>
      <w:r>
        <w:rPr>
          <w:rFonts w:ascii="Noto Serif" w:hAnsi="Noto Serif"/>
          <w:b/>
          <w:color w:val="202522"/>
          <w:sz w:val="20"/>
        </w:rPr>
        <w:t>Eight Brand Promises</w:t>
      </w:r>
      <w:r>
        <w:rPr>
          <w:rFonts w:ascii="Noto Serif" w:hAnsi="Noto Serif"/>
          <w:color w:val="202522"/>
          <w:sz w:val="20"/>
        </w:rPr>
        <w:t>: enduring, customer-centred commitments grounded in convergent evidence from positive psychology, longevity science, behavioural neuroscience, lifestyle medicine, and rigorous flourishing research.</w:t>
      </w:r>
    </w:p>
    <w:p>
      <w:r>
        <w:rPr>
          <w:rFonts w:ascii="Noto Serif" w:hAnsi="Noto Serif"/>
          <w:color w:val="202522"/>
          <w:sz w:val="20"/>
        </w:rPr>
        <w:t xml:space="preserve">The redesigned framework - </w:t>
      </w:r>
      <w:r>
        <w:rPr>
          <w:rFonts w:ascii="Noto Serif" w:hAnsi="Noto Serif"/>
          <w:b/>
          <w:color w:val="202522"/>
          <w:sz w:val="20"/>
        </w:rPr>
        <w:t>The PATAMA Doctrine of Living Well</w:t>
      </w:r>
      <w:r>
        <w:rPr>
          <w:rFonts w:ascii="Noto Serif" w:hAnsi="Noto Serif"/>
          <w:color w:val="202522"/>
          <w:sz w:val="20"/>
        </w:rPr>
        <w:t xml:space="preserve"> - answers one question with absolute clarity:</w:t>
      </w:r>
    </w:p>
    <w:p>
      <w:pPr>
        <w:pStyle w:val="PullQuote"/>
        <w:spacing w:before="160" w:after="200" w:line="276" w:lineRule="auto"/>
        <w:ind w:left="255" w:right="170"/>
        <w:shd w:fill="F4EFE3"/>
        <w:pBdr>
          <w:left w:val="single" w:sz="18" w:space="4" w:color="B59555"/>
        </w:pBdr>
      </w:pPr>
      <w:r>
        <w:rPr>
          <w:rFonts w:ascii="Noto Serif" w:hAnsi="Noto Serif"/>
          <w:b/>
          <w:i/>
          <w:color w:val="173F37"/>
          <w:sz w:val="22"/>
        </w:rPr>
        <w:t>What will PATAMA consistently help me become?</w:t>
      </w:r>
    </w:p>
    <w:p>
      <w:r>
        <w:rPr>
          <w:rFonts w:ascii="Noto Serif" w:hAnsi="Noto Serif"/>
          <w:color w:val="202522"/>
          <w:sz w:val="20"/>
        </w:rPr>
        <w:t xml:space="preserve">Its answer is a person who lives with </w:t>
      </w:r>
      <w:r>
        <w:rPr>
          <w:rFonts w:ascii="Noto Serif" w:hAnsi="Noto Serif"/>
          <w:b/>
          <w:color w:val="202522"/>
          <w:sz w:val="20"/>
        </w:rPr>
        <w:t>Clarity, Vitality, Serenity, Growth, Belonging, Purpose, Sanctuary, and Wonder</w:t>
      </w:r>
      <w:r>
        <w:rPr>
          <w:rFonts w:ascii="Noto Serif" w:hAnsi="Noto Serif"/>
          <w:color w:val="202522"/>
          <w:sz w:val="20"/>
        </w:rPr>
        <w:t xml:space="preserve"> - across every dimension of a complete human life, indefinitely.</w:t>
      </w:r>
    </w:p>
    <w:p>
      <w:r>
        <w:rPr>
          <w:rFonts w:ascii="Noto Serif" w:hAnsi="Noto Serif"/>
          <w:color w:val="202522"/>
          <w:sz w:val="20"/>
        </w:rPr>
        <w:t>If launched with discipline, this framework has the potential to become one of the world's most recognised and proprietary wellbeing philosophies.</w:t>
      </w:r>
    </w:p>
    <w:p>
      <w:pPr>
        <w:pStyle w:val="Heading2"/>
        <w:keepNext/>
      </w:pPr>
      <w:r>
        <w:rPr>
          <w:rFonts w:ascii="Noto Sans" w:hAnsi="Noto Sans"/>
          <w:color w:val="A55E3B"/>
          <w:sz w:val="27"/>
        </w:rPr>
        <w:t>The Framework at a Glance</w:t>
      </w:r>
    </w:p>
    <w:tbl>
      <w:tblPr>
        <w:tblW w:type="auto" w:w="0"/>
        <w:jc w:val="center"/>
        <w:tblLayout w:type="fixed"/>
        <w:tblLook w:firstColumn="1" w:firstRow="1" w:lastColumn="0" w:lastRow="0" w:noHBand="0" w:noVBand="1" w:val="04A0"/>
      </w:tblPr>
      <w:tblGrid>
        <w:gridCol w:w="2211"/>
        <w:gridCol w:w="2523"/>
        <w:gridCol w:w="2211"/>
        <w:gridCol w:w="2523"/>
      </w:tblGrid>
      <w:tr>
        <w:trPr>
          <w:cantSplit/>
          <w:tblHeader w:val="true"/>
        </w:trPr>
        <w:tc>
          <w:tcPr>
            <w:tcW w:type="dxa" w:w="2211"/>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INTERNAL HARMONY</w:t>
            </w:r>
          </w:p>
        </w:tc>
        <w:tc>
          <w:tcPr>
            <w:tcW w:type="dxa" w:w="2523"/>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PROMISE</w:t>
            </w:r>
          </w:p>
        </w:tc>
        <w:tc>
          <w:tcPr>
            <w:tcW w:type="dxa" w:w="2211"/>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EXTERNAL HARMONY</w:t>
            </w:r>
          </w:p>
        </w:tc>
        <w:tc>
          <w:tcPr>
            <w:tcW w:type="dxa" w:w="2523"/>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PROMISE</w:t>
            </w:r>
          </w:p>
        </w:tc>
      </w:tr>
      <w:tr>
        <w:trPr>
          <w:cantSplit/>
        </w:trPr>
        <w:tc>
          <w:tcPr>
            <w:tcW w:type="dxa" w:w="2211"/>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Mind</w:t>
            </w:r>
          </w:p>
        </w:tc>
        <w:tc>
          <w:tcPr>
            <w:tcW w:type="dxa" w:w="2523"/>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Clarity</w:t>
            </w:r>
          </w:p>
        </w:tc>
        <w:tc>
          <w:tcPr>
            <w:tcW w:type="dxa" w:w="2211"/>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Relationships</w:t>
            </w:r>
          </w:p>
        </w:tc>
        <w:tc>
          <w:tcPr>
            <w:tcW w:type="dxa" w:w="2523"/>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Belonging</w:t>
            </w:r>
          </w:p>
        </w:tc>
      </w:tr>
      <w:tr>
        <w:trPr>
          <w:cantSplit/>
        </w:trPr>
        <w:tc>
          <w:tcPr>
            <w:tcW w:type="dxa" w:w="2211"/>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Body</w:t>
            </w:r>
          </w:p>
        </w:tc>
        <w:tc>
          <w:tcPr>
            <w:tcW w:type="dxa" w:w="2523"/>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Vitality</w:t>
            </w:r>
          </w:p>
        </w:tc>
        <w:tc>
          <w:tcPr>
            <w:tcW w:type="dxa" w:w="2211"/>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Direction</w:t>
            </w:r>
          </w:p>
        </w:tc>
        <w:tc>
          <w:tcPr>
            <w:tcW w:type="dxa" w:w="2523"/>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Purpose</w:t>
            </w:r>
          </w:p>
        </w:tc>
      </w:tr>
      <w:tr>
        <w:trPr>
          <w:cantSplit/>
        </w:trPr>
        <w:tc>
          <w:tcPr>
            <w:tcW w:type="dxa" w:w="2211"/>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Emotional regulation</w:t>
            </w:r>
          </w:p>
        </w:tc>
        <w:tc>
          <w:tcPr>
            <w:tcW w:type="dxa" w:w="2523"/>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Serenity</w:t>
            </w:r>
          </w:p>
        </w:tc>
        <w:tc>
          <w:tcPr>
            <w:tcW w:type="dxa" w:w="2211"/>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Environment</w:t>
            </w:r>
          </w:p>
        </w:tc>
        <w:tc>
          <w:tcPr>
            <w:tcW w:type="dxa" w:w="2523"/>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Sanctuary</w:t>
            </w:r>
          </w:p>
        </w:tc>
      </w:tr>
      <w:tr>
        <w:trPr>
          <w:cantSplit/>
        </w:trPr>
        <w:tc>
          <w:tcPr>
            <w:tcW w:type="dxa" w:w="2211"/>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Personal evolution</w:t>
            </w:r>
          </w:p>
        </w:tc>
        <w:tc>
          <w:tcPr>
            <w:tcW w:type="dxa" w:w="2523"/>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Growth</w:t>
            </w:r>
          </w:p>
        </w:tc>
        <w:tc>
          <w:tcPr>
            <w:tcW w:type="dxa" w:w="2211"/>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Transcendence</w:t>
            </w:r>
          </w:p>
        </w:tc>
        <w:tc>
          <w:tcPr>
            <w:tcW w:type="dxa" w:w="2523"/>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Wonder</w:t>
            </w:r>
          </w:p>
        </w:tc>
      </w:tr>
    </w:tbl>
    <w:p>
      <w:pPr>
        <w:spacing w:after="20"/>
      </w:pPr>
    </w:p>
    <w:p>
      <w:r>
        <w:rPr>
          <w:rFonts w:ascii="Noto Serif" w:hAnsi="Noto Serif"/>
          <w:b/>
          <w:color w:val="202522"/>
          <w:sz w:val="20"/>
        </w:rPr>
        <w:t>Central transformation:</w:t>
      </w:r>
      <w:r>
        <w:rPr>
          <w:rFonts w:ascii="Noto Serif" w:hAnsi="Noto Serif"/>
          <w:color w:val="202522"/>
          <w:sz w:val="20"/>
        </w:rPr>
        <w:t xml:space="preserve"> </w:t>
      </w:r>
      <w:r>
        <w:rPr>
          <w:rFonts w:ascii="Noto Serif" w:hAnsi="Noto Serif"/>
          <w:b/>
          <w:color w:val="202522"/>
          <w:sz w:val="20"/>
        </w:rPr>
        <w:t>BECOMING</w:t>
      </w:r>
      <w:r>
        <w:rPr>
          <w:rFonts w:ascii="Noto Serif" w:hAnsi="Noto Serif"/>
          <w:color w:val="202522"/>
          <w:sz w:val="20"/>
        </w:rPr>
        <w:t xml:space="preserve"> - a continuous journey towards a fuller version of oneself.</w:t>
      </w:r>
    </w:p>
    <w:p>
      <w:pPr>
        <w:spacing w:before="140" w:after="140"/>
        <w:pBdr>
          <w:bottom w:val="single" w:sz="6" w:space="1" w:color="CFC6B4"/>
        </w:pBdr>
      </w:pPr>
    </w:p>
    <w:p>
      <w:pPr>
        <w:pStyle w:val="Heading1"/>
        <w:pageBreakBefore/>
        <w:pBdr>
          <w:bottom w:val="single" w:sz="10" w:space="5" w:color="B59555"/>
        </w:pBdr>
      </w:pPr>
      <w:r>
        <w:rPr>
          <w:rFonts w:ascii="Noto Sans" w:hAnsi="Noto Sans"/>
          <w:b/>
          <w:caps/>
          <w:color w:val="B59555"/>
          <w:sz w:val="19"/>
        </w:rPr>
        <w:t>PART 2</w:t>
        <w:br/>
      </w:r>
      <w:r>
        <w:rPr>
          <w:rFonts w:ascii="Noto Serif Display" w:hAnsi="Noto Serif Display"/>
          <w:color w:val="173F37"/>
          <w:sz w:val="42"/>
        </w:rPr>
        <w:t>Critique of the Existing Framework</w:t>
      </w:r>
    </w:p>
    <w:p>
      <w:pPr>
        <w:pStyle w:val="Heading2"/>
        <w:keepNext/>
      </w:pPr>
      <w:r>
        <w:rPr>
          <w:rFonts w:ascii="Noto Sans" w:hAnsi="Noto Sans"/>
          <w:color w:val="A55E3B"/>
          <w:sz w:val="27"/>
        </w:rPr>
        <w:t>What Should Remain Unchanged</w:t>
      </w:r>
    </w:p>
    <w:p>
      <w:pPr>
        <w:pStyle w:val="Heading3"/>
        <w:keepNext/>
      </w:pPr>
      <w:r>
        <w:rPr>
          <w:rFonts w:ascii="Noto Sans" w:hAnsi="Noto Sans"/>
          <w:color w:val="285A62"/>
          <w:sz w:val="22"/>
        </w:rPr>
        <w:t>The Internal / External Harmony Architecture</w:t>
      </w:r>
    </w:p>
    <w:p>
      <w:r>
        <w:rPr>
          <w:rFonts w:ascii="Noto Serif" w:hAnsi="Noto Serif"/>
          <w:color w:val="202522"/>
          <w:sz w:val="20"/>
        </w:rPr>
        <w:t>This is the most differentiating structural idea in the current framework. No leading wellbeing brand has successfully operationalised the idea that wellbeing is both an inward state and an outward relationship with home, family, nature, and community. This maps directly to the scientific convergence between psychological wellbeing research, including Ryff's six dimensions and PERMA, and the environmental and social determinants of health. It should not merely be preserved; it should be amplified as PATAMA's intellectual signature.</w:t>
      </w:r>
      <w:r>
        <w:rPr>
          <w:rFonts w:ascii="Noto Sans" w:hAnsi="Noto Sans"/>
          <w:color w:val="A55E3B"/>
          <w:sz w:val="15"/>
          <w:vertAlign w:val="superscript"/>
        </w:rPr>
        <w:t>4</w:t>
      </w:r>
      <w:r>
        <w:rPr>
          <w:rFonts w:ascii="Noto Sans" w:hAnsi="Noto Sans"/>
          <w:color w:val="A55E3B"/>
          <w:sz w:val="15"/>
          <w:vertAlign w:val="superscript"/>
        </w:rPr>
        <w:t>5</w:t>
      </w:r>
    </w:p>
    <w:p>
      <w:pPr>
        <w:pStyle w:val="Heading3"/>
        <w:keepNext/>
      </w:pPr>
      <w:r>
        <w:rPr>
          <w:rFonts w:ascii="Noto Sans" w:hAnsi="Noto Sans"/>
          <w:color w:val="285A62"/>
          <w:sz w:val="22"/>
        </w:rPr>
        <w:t>The Mobius / Infinity Loop Symbol</w:t>
      </w:r>
    </w:p>
    <w:p>
      <w:r>
        <w:rPr>
          <w:rFonts w:ascii="Noto Serif" w:hAnsi="Noto Serif"/>
          <w:color w:val="202522"/>
          <w:sz w:val="20"/>
        </w:rPr>
        <w:t>The symbol is exceptional. Its mathematical meaning - a surface with only one side and no beginning or end - perfectly encodes continuous, lifelong practice. The Mobius strip dissolves the distinction between inner and outer experience, precisely the insight at the heart of PATAMA's philosophy. No major wellness brand has claimed this symbol as its primary organising mark. It is distinctive, potentially ownable, and should be assessed for intellectual-property protection.</w:t>
      </w:r>
      <w:r>
        <w:rPr>
          <w:rFonts w:ascii="Noto Sans" w:hAnsi="Noto Sans"/>
          <w:color w:val="A55E3B"/>
          <w:sz w:val="15"/>
          <w:vertAlign w:val="superscript"/>
        </w:rPr>
        <w:t>6</w:t>
      </w:r>
      <w:r>
        <w:rPr>
          <w:rFonts w:ascii="Noto Sans" w:hAnsi="Noto Sans"/>
          <w:color w:val="A55E3B"/>
          <w:sz w:val="15"/>
          <w:vertAlign w:val="superscript"/>
        </w:rPr>
        <w:t>7</w:t>
      </w:r>
    </w:p>
    <w:p>
      <w:pPr>
        <w:pStyle w:val="Heading3"/>
        <w:keepNext/>
      </w:pPr>
      <w:r>
        <w:rPr>
          <w:rFonts w:ascii="Noto Sans" w:hAnsi="Noto Sans"/>
          <w:color w:val="285A62"/>
          <w:sz w:val="22"/>
        </w:rPr>
        <w:t>The Eight-Thread Architecture</w:t>
      </w:r>
    </w:p>
    <w:p>
      <w:r>
        <w:rPr>
          <w:rFonts w:ascii="Noto Serif" w:hAnsi="Noto Serif"/>
          <w:color w:val="202522"/>
          <w:sz w:val="20"/>
        </w:rPr>
        <w:t>Eight is a defensible number and provides a strong structural scaffold, provided that the content evolves from service categories into customer promises.</w:t>
      </w:r>
    </w:p>
    <w:p>
      <w:pPr>
        <w:pStyle w:val="Heading3"/>
        <w:keepNext/>
      </w:pPr>
      <w:r>
        <w:rPr>
          <w:rFonts w:ascii="Noto Sans" w:hAnsi="Noto Sans"/>
          <w:color w:val="285A62"/>
          <w:sz w:val="22"/>
        </w:rPr>
        <w:t>The Aspirational Positioning</w:t>
      </w:r>
    </w:p>
    <w:p>
      <w:r>
        <w:rPr>
          <w:rFonts w:ascii="Noto Serif" w:hAnsi="Noto Serif"/>
          <w:color w:val="202522"/>
          <w:sz w:val="20"/>
        </w:rPr>
        <w:t>The intended register - premium, timeless, and intellectually serious - is correct for the target audience and should not be diluted.</w:t>
      </w:r>
    </w:p>
    <w:p>
      <w:pPr>
        <w:pStyle w:val="Heading2"/>
        <w:keepNext/>
      </w:pPr>
      <w:r>
        <w:rPr>
          <w:rFonts w:ascii="Noto Sans" w:hAnsi="Noto Sans"/>
          <w:color w:val="A55E3B"/>
          <w:sz w:val="27"/>
        </w:rPr>
        <w:t>What Should Evolve</w:t>
      </w:r>
    </w:p>
    <w:p>
      <w:pPr>
        <w:pStyle w:val="Heading3"/>
        <w:keepNext/>
      </w:pPr>
      <w:r>
        <w:rPr>
          <w:rFonts w:ascii="Noto Sans" w:hAnsi="Noto Sans"/>
          <w:color w:val="285A62"/>
          <w:sz w:val="22"/>
        </w:rPr>
        <w:t>Shift from Topic Descriptors to Customer Outcomes</w:t>
      </w:r>
    </w:p>
    <w:p>
      <w:r>
        <w:rPr>
          <w:rFonts w:ascii="Noto Serif" w:hAnsi="Noto Serif"/>
          <w:color w:val="202522"/>
          <w:sz w:val="20"/>
        </w:rPr>
        <w:t>The language of the Eight Threads must move from topic descriptors to customer outcomes. The distinction is fundamental:</w:t>
      </w:r>
    </w:p>
    <w:tbl>
      <w:tblPr>
        <w:tblW w:type="auto" w:w="0"/>
        <w:jc w:val="center"/>
        <w:tblLayout w:type="fixed"/>
        <w:tblLook w:firstColumn="1" w:firstRow="1" w:lastColumn="0" w:lastRow="0" w:noHBand="0" w:noVBand="1" w:val="04A0"/>
      </w:tblPr>
      <w:tblGrid>
        <w:gridCol w:w="3969"/>
        <w:gridCol w:w="5499"/>
      </w:tblGrid>
      <w:tr>
        <w:trPr>
          <w:cantSplit/>
          <w:tblHeader w:val="true"/>
        </w:trPr>
        <w:tc>
          <w:tcPr>
            <w:tcW w:type="dxa" w:w="3969"/>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CURRENT: TOPIC-DESCRIPTIVE</w:t>
            </w:r>
          </w:p>
        </w:tc>
        <w:tc>
          <w:tcPr>
            <w:tcW w:type="dxa" w:w="5499"/>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EVOLVED: OUTCOME-PROMISSORY</w:t>
            </w:r>
          </w:p>
        </w:tc>
      </w:tr>
      <w:tr>
        <w:trPr>
          <w:cantSplit/>
        </w:trPr>
        <w:tc>
          <w:tcPr>
            <w:tcW w:type="dxa" w:w="3969"/>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Nutritional Wellbeing</w:t>
            </w:r>
          </w:p>
        </w:tc>
        <w:tc>
          <w:tcPr>
            <w:tcW w:type="dxa" w:w="5499"/>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You will be energised by food you love.</w:t>
            </w:r>
          </w:p>
        </w:tc>
      </w:tr>
      <w:tr>
        <w:trPr>
          <w:cantSplit/>
        </w:trPr>
        <w:tc>
          <w:tcPr>
            <w:tcW w:type="dxa" w:w="3969"/>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Mental Clarity</w:t>
            </w:r>
          </w:p>
        </w:tc>
        <w:tc>
          <w:tcPr>
            <w:tcW w:type="dxa" w:w="5499"/>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You will think with precision and feel at ease.</w:t>
            </w:r>
          </w:p>
        </w:tc>
      </w:tr>
      <w:tr>
        <w:trPr>
          <w:cantSplit/>
        </w:trPr>
        <w:tc>
          <w:tcPr>
            <w:tcW w:type="dxa" w:w="3969"/>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Social Connection</w:t>
            </w:r>
          </w:p>
        </w:tc>
        <w:tc>
          <w:tcPr>
            <w:tcW w:type="dxa" w:w="5499"/>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You will be held by relationships that make you stronger.</w:t>
            </w:r>
          </w:p>
        </w:tc>
      </w:tr>
    </w:tbl>
    <w:p>
      <w:pPr>
        <w:spacing w:after="20"/>
      </w:pPr>
    </w:p>
    <w:p>
      <w:r>
        <w:rPr>
          <w:rFonts w:ascii="Noto Serif" w:hAnsi="Noto Serif"/>
          <w:color w:val="202522"/>
          <w:sz w:val="20"/>
        </w:rPr>
        <w:t>Customers engage with and remember promises about what they will experience and become, rather than descriptions of services. This is evident across leading brands such as Apple, Nike, Patagonia, and Disney: each communicates a transformation in the customer, not simply a product category.</w:t>
      </w:r>
      <w:r>
        <w:rPr>
          <w:rFonts w:ascii="Noto Sans" w:hAnsi="Noto Sans"/>
          <w:color w:val="A55E3B"/>
          <w:sz w:val="15"/>
          <w:vertAlign w:val="superscript"/>
        </w:rPr>
        <w:t>8</w:t>
      </w:r>
      <w:r>
        <w:rPr>
          <w:rFonts w:ascii="Noto Sans" w:hAnsi="Noto Sans"/>
          <w:color w:val="A55E3B"/>
          <w:sz w:val="15"/>
          <w:vertAlign w:val="superscript"/>
        </w:rPr>
        <w:t>9</w:t>
      </w:r>
      <w:r>
        <w:rPr>
          <w:rFonts w:ascii="Noto Sans" w:hAnsi="Noto Sans"/>
          <w:color w:val="A55E3B"/>
          <w:sz w:val="15"/>
          <w:vertAlign w:val="superscript"/>
        </w:rPr>
        <w:t>10</w:t>
      </w:r>
      <w:r>
        <w:rPr>
          <w:rFonts w:ascii="Noto Sans" w:hAnsi="Noto Sans"/>
          <w:color w:val="A55E3B"/>
          <w:sz w:val="15"/>
          <w:vertAlign w:val="superscript"/>
        </w:rPr>
        <w:t>11</w:t>
      </w:r>
    </w:p>
    <w:p>
      <w:pPr>
        <w:pStyle w:val="Heading3"/>
        <w:keepNext/>
      </w:pPr>
      <w:r>
        <w:rPr>
          <w:rFonts w:ascii="Noto Sans" w:hAnsi="Noto Sans"/>
          <w:color w:val="285A62"/>
          <w:sz w:val="22"/>
        </w:rPr>
        <w:t>Make the Evidence Base Explicit</w:t>
      </w:r>
    </w:p>
    <w:p>
      <w:r>
        <w:rPr>
          <w:rFonts w:ascii="Noto Serif" w:hAnsi="Noto Serif"/>
          <w:color w:val="202522"/>
          <w:sz w:val="20"/>
        </w:rPr>
        <w:t>The framework currently feels philosophical but not sufficiently scientific. To earn the authority required for global positioning, each dimension must be traceable to credible research, published longevity data, and measurable outcomes. This would elevate PATAMA from a hospitality concept into proprietary intellectual property in wellbeing science.</w:t>
      </w:r>
    </w:p>
    <w:p>
      <w:pPr>
        <w:pStyle w:val="Heading3"/>
        <w:keepNext/>
      </w:pPr>
      <w:r>
        <w:rPr>
          <w:rFonts w:ascii="Noto Sans" w:hAnsi="Noto Sans"/>
          <w:color w:val="285A62"/>
          <w:sz w:val="22"/>
        </w:rPr>
        <w:t>Articulate the Customer Journey</w:t>
      </w:r>
    </w:p>
    <w:p>
      <w:r>
        <w:rPr>
          <w:rFonts w:ascii="Noto Serif" w:hAnsi="Noto Serif"/>
          <w:color w:val="202522"/>
          <w:sz w:val="20"/>
        </w:rPr>
        <w:t>The framework should explain progression: how PATAMA meets someone where they are, deepens their practice over years, and tracks their transformation. This operational-system dimension is currently absent.</w:t>
      </w:r>
    </w:p>
    <w:p>
      <w:pPr>
        <w:pStyle w:val="Heading2"/>
        <w:keepNext/>
      </w:pPr>
      <w:r>
        <w:rPr>
          <w:rFonts w:ascii="Noto Sans" w:hAnsi="Noto Sans"/>
          <w:color w:val="A55E3B"/>
          <w:sz w:val="27"/>
        </w:rPr>
        <w:t>What Should Be Removed</w:t>
      </w:r>
    </w:p>
    <w:p>
      <w:pPr>
        <w:pStyle w:val="Heading3"/>
        <w:keepNext/>
      </w:pPr>
      <w:r>
        <w:rPr>
          <w:rFonts w:ascii="Noto Sans" w:hAnsi="Noto Sans"/>
          <w:color w:val="285A62"/>
          <w:sz w:val="22"/>
        </w:rPr>
        <w:t>Overly Abstract Naming</w:t>
      </w:r>
    </w:p>
    <w:p>
      <w:r>
        <w:rPr>
          <w:rFonts w:ascii="Noto Serif" w:hAnsi="Noto Serif"/>
          <w:color w:val="202522"/>
          <w:sz w:val="20"/>
        </w:rPr>
        <w:t>If a customer reads a thread name and must ask, "What does that mean for me?", the name has failed. Each promise must be immediately intelligible and emotionally resonant.</w:t>
      </w:r>
    </w:p>
    <w:p>
      <w:pPr>
        <w:pStyle w:val="Heading3"/>
        <w:keepNext/>
      </w:pPr>
      <w:r>
        <w:rPr>
          <w:rFonts w:ascii="Noto Sans" w:hAnsi="Noto Sans"/>
          <w:color w:val="285A62"/>
          <w:sz w:val="22"/>
        </w:rPr>
        <w:t>Category-First Thinking</w:t>
      </w:r>
    </w:p>
    <w:p>
      <w:r>
        <w:rPr>
          <w:rFonts w:ascii="Noto Serif" w:hAnsi="Noto Serif"/>
          <w:color w:val="202522"/>
          <w:sz w:val="20"/>
        </w:rPr>
        <w:t>The framework must be experienced entirely from the customer's perspective. PATAMA's products and services are evidence of the promises; they are not the promises themselves.</w:t>
      </w:r>
    </w:p>
    <w:p>
      <w:pPr>
        <w:spacing w:before="140" w:after="140"/>
        <w:pBdr>
          <w:bottom w:val="single" w:sz="6" w:space="1" w:color="CFC6B4"/>
        </w:pBdr>
      </w:pPr>
    </w:p>
    <w:p>
      <w:pPr>
        <w:pStyle w:val="Heading1"/>
        <w:pageBreakBefore/>
        <w:pBdr>
          <w:bottom w:val="single" w:sz="10" w:space="5" w:color="B59555"/>
        </w:pBdr>
      </w:pPr>
      <w:r>
        <w:rPr>
          <w:rFonts w:ascii="Noto Sans" w:hAnsi="Noto Sans"/>
          <w:b/>
          <w:caps/>
          <w:color w:val="B59555"/>
          <w:sz w:val="19"/>
        </w:rPr>
        <w:t>PART 3</w:t>
        <w:br/>
      </w:r>
      <w:r>
        <w:rPr>
          <w:rFonts w:ascii="Noto Serif Display" w:hAnsi="Noto Serif Display"/>
          <w:color w:val="173F37"/>
          <w:sz w:val="42"/>
        </w:rPr>
        <w:t>Research Synthesis</w:t>
      </w:r>
    </w:p>
    <w:p>
      <w:pPr>
        <w:pStyle w:val="Heading2"/>
        <w:keepNext/>
      </w:pPr>
      <w:r>
        <w:rPr>
          <w:rFonts w:ascii="Noto Sans" w:hAnsi="Noto Sans"/>
          <w:color w:val="A55E3B"/>
          <w:sz w:val="27"/>
        </w:rPr>
        <w:t>The Scientific Case for Eight Dimensions</w:t>
      </w:r>
    </w:p>
    <w:p>
      <w:r>
        <w:rPr>
          <w:rFonts w:ascii="Noto Serif" w:hAnsi="Noto Serif"/>
          <w:color w:val="202522"/>
          <w:sz w:val="20"/>
        </w:rPr>
        <w:t xml:space="preserve">The number of dimensions required for complete human flourishing need not be arbitrary. A 2026 consensus study reported in </w:t>
      </w:r>
      <w:r>
        <w:rPr>
          <w:rFonts w:ascii="Noto Serif" w:hAnsi="Noto Serif"/>
          <w:i/>
          <w:color w:val="202522"/>
          <w:sz w:val="20"/>
        </w:rPr>
        <w:t>Nature Mental Health</w:t>
      </w:r>
      <w:r>
        <w:rPr>
          <w:rFonts w:ascii="Noto Serif" w:hAnsi="Noto Serif"/>
          <w:color w:val="202522"/>
          <w:sz w:val="20"/>
        </w:rPr>
        <w:t>, surveying 122 global experts across 11 disciplines, identified 19 dimensions of positive mental health with at least 75% consensus and six core factors with more than 90% agreement: meaning and purpose, life satisfaction, self-acceptance, connection, autonomy, and happiness. This supports the multidimensional - rather than unidimensional - nature of wellbeing.</w:t>
      </w:r>
      <w:r>
        <w:rPr>
          <w:rFonts w:ascii="Noto Sans" w:hAnsi="Noto Sans"/>
          <w:color w:val="A55E3B"/>
          <w:sz w:val="15"/>
          <w:vertAlign w:val="superscript"/>
        </w:rPr>
        <w:t>12</w:t>
      </w:r>
    </w:p>
    <w:p>
      <w:r>
        <w:rPr>
          <w:rFonts w:ascii="Noto Serif" w:hAnsi="Noto Serif"/>
          <w:color w:val="202522"/>
          <w:sz w:val="20"/>
        </w:rPr>
        <w:t xml:space="preserve">The question is not whether wellbeing is multidimensional; the major frameworks agree that it is. The practical question is: </w:t>
      </w:r>
      <w:r>
        <w:rPr>
          <w:rFonts w:ascii="Noto Serif" w:hAnsi="Noto Serif"/>
          <w:b/>
          <w:color w:val="202522"/>
          <w:sz w:val="20"/>
        </w:rPr>
        <w:t>what is the minimum complete set of dimensions?</w:t>
      </w:r>
    </w:p>
    <w:tbl>
      <w:tblPr>
        <w:tblW w:type="auto" w:w="0"/>
        <w:jc w:val="center"/>
        <w:tblLayout w:type="fixed"/>
        <w:tblLook w:firstColumn="1" w:firstRow="1" w:lastColumn="0" w:lastRow="0" w:noHBand="0" w:noVBand="1" w:val="04A0"/>
      </w:tblPr>
      <w:tblGrid>
        <w:gridCol w:w="2494"/>
        <w:gridCol w:w="2438"/>
        <w:gridCol w:w="4535"/>
      </w:tblGrid>
      <w:tr>
        <w:trPr>
          <w:cantSplit/>
          <w:tblHeader w:val="true"/>
        </w:trPr>
        <w:tc>
          <w:tcPr>
            <w:tcW w:type="dxa" w:w="2494"/>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FRAMEWORK</w:t>
            </w:r>
          </w:p>
        </w:tc>
        <w:tc>
          <w:tcPr>
            <w:tcW w:type="dxa" w:w="2438"/>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SOURCE</w:t>
            </w:r>
          </w:p>
        </w:tc>
        <w:tc>
          <w:tcPr>
            <w:tcW w:type="dxa" w:w="4535"/>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DIMENSIONS</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PERMA-V</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Seligman (2011) + Zhivotovskaya</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6: Positive Emotion, Engagement, Relationships, Meaning, Achievement, Vitality</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Ryff's Psychological Wellbeing</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Carol Ryff (1989)</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6: Autonomy, Environmental Mastery, Personal Growth, Positive Relations, Purpose, Self-Acceptance</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Blue Zones Power 9</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Buettner / National Geographic</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9 behavioural determinants spanning movement, diet, purpose, stress, and community</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Lifestyle Medicine Pillars</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American College of Lifestyle Medicine</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6: Nutrition, Physical Activity, Sleep, Stress Management, Social Connection, Substance Avoidance</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Self-Determination Theory</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Deci &amp; Ryan</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3 universal needs: Autonomy, Competence, Relatedness</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Salutogenesis / Sense of Coherence</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Antonovsky</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3: Comprehensibility, Manageability, Meaningfulness</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Harvard Study of Adult Development</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Longitudinal study</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1 dominant predictor: Relationship Quality</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PATAMA's Operational Domains</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Tri Vananda / Trisara</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Functional medicine, nutrition, cognitive health, mindfulness, biophilic design</w:t>
            </w:r>
          </w:p>
        </w:tc>
      </w:tr>
    </w:tbl>
    <w:p>
      <w:pPr>
        <w:spacing w:after="20"/>
      </w:pPr>
    </w:p>
    <w:p>
      <w:r>
        <w:rPr>
          <w:rFonts w:ascii="Noto Sans" w:hAnsi="Noto Sans"/>
          <w:color w:val="A55E3B"/>
          <w:sz w:val="15"/>
          <w:vertAlign w:val="superscript"/>
        </w:rPr>
        <w:t>13</w:t>
      </w:r>
      <w:r>
        <w:rPr>
          <w:rFonts w:ascii="Noto Sans" w:hAnsi="Noto Sans"/>
          <w:color w:val="A55E3B"/>
          <w:sz w:val="15"/>
          <w:vertAlign w:val="superscript"/>
        </w:rPr>
        <w:t>14</w:t>
      </w:r>
      <w:r>
        <w:rPr>
          <w:rFonts w:ascii="Noto Sans" w:hAnsi="Noto Sans"/>
          <w:color w:val="A55E3B"/>
          <w:sz w:val="15"/>
          <w:vertAlign w:val="superscript"/>
        </w:rPr>
        <w:t>15</w:t>
      </w:r>
      <w:r>
        <w:rPr>
          <w:rFonts w:ascii="Noto Sans" w:hAnsi="Noto Sans"/>
          <w:color w:val="A55E3B"/>
          <w:sz w:val="15"/>
          <w:vertAlign w:val="superscript"/>
        </w:rPr>
        <w:t>16</w:t>
      </w:r>
      <w:r>
        <w:rPr>
          <w:rFonts w:ascii="Noto Sans" w:hAnsi="Noto Sans"/>
          <w:color w:val="A55E3B"/>
          <w:sz w:val="15"/>
          <w:vertAlign w:val="superscript"/>
        </w:rPr>
        <w:t>17</w:t>
      </w:r>
      <w:r>
        <w:rPr>
          <w:rFonts w:ascii="Noto Sans" w:hAnsi="Noto Sans"/>
          <w:color w:val="A55E3B"/>
          <w:sz w:val="15"/>
          <w:vertAlign w:val="superscript"/>
        </w:rPr>
        <w:t>18</w:t>
      </w:r>
      <w:r>
        <w:rPr>
          <w:rFonts w:ascii="Noto Sans" w:hAnsi="Noto Sans"/>
          <w:color w:val="A55E3B"/>
          <w:sz w:val="15"/>
          <w:vertAlign w:val="superscript"/>
        </w:rPr>
        <w:t>5</w:t>
      </w:r>
      <w:r>
        <w:rPr>
          <w:rFonts w:ascii="Noto Sans" w:hAnsi="Noto Sans"/>
          <w:color w:val="A55E3B"/>
          <w:sz w:val="15"/>
          <w:vertAlign w:val="superscript"/>
        </w:rPr>
        <w:t>4</w:t>
      </w:r>
    </w:p>
    <w:p>
      <w:r>
        <w:rPr>
          <w:rFonts w:ascii="Noto Serif" w:hAnsi="Noto Serif"/>
          <w:color w:val="202522"/>
          <w:sz w:val="20"/>
        </w:rPr>
        <w:t>When these frameworks are analysed for non-overlapping essential dimensions - what is lost if any one is removed - eight emerges as a compelling, minimally sufficient architecture. Most established frameworks converge around five or six dimensions. Adding environmental and nature connection, supported by biophilic-design research, together with habitual practice as the behavioural implementation layer, creates a complete eight-part model. Nine risks over-specification; seven risks under-coverage. Eight is therefore a strong strategic hypothesis for a premium brand operating across physical, psychological, social, and environmental domains.</w:t>
      </w:r>
      <w:r>
        <w:rPr>
          <w:rFonts w:ascii="Noto Sans" w:hAnsi="Noto Sans"/>
          <w:color w:val="A55E3B"/>
          <w:sz w:val="15"/>
          <w:vertAlign w:val="superscript"/>
        </w:rPr>
        <w:t>19</w:t>
      </w:r>
      <w:r>
        <w:rPr>
          <w:rFonts w:ascii="Noto Sans" w:hAnsi="Noto Sans"/>
          <w:color w:val="A55E3B"/>
          <w:sz w:val="15"/>
          <w:vertAlign w:val="superscript"/>
        </w:rPr>
        <w:t>20</w:t>
      </w:r>
    </w:p>
    <w:p>
      <w:pPr>
        <w:pStyle w:val="Heading2"/>
        <w:keepNext/>
      </w:pPr>
      <w:r>
        <w:rPr>
          <w:rFonts w:ascii="Noto Sans" w:hAnsi="Noto Sans"/>
          <w:color w:val="A55E3B"/>
          <w:sz w:val="27"/>
        </w:rPr>
        <w:t>The Convergent Evidence</w:t>
      </w:r>
    </w:p>
    <w:p>
      <w:pPr>
        <w:pStyle w:val="Heading3"/>
        <w:keepNext/>
      </w:pPr>
      <w:r>
        <w:rPr>
          <w:rFonts w:ascii="Noto Sans" w:hAnsi="Noto Sans"/>
          <w:color w:val="285A62"/>
          <w:sz w:val="22"/>
        </w:rPr>
        <w:t>Mind and Inner Life</w:t>
      </w:r>
    </w:p>
    <w:p>
      <w:r>
        <w:rPr>
          <w:rFonts w:ascii="Noto Serif" w:hAnsi="Noto Serif"/>
          <w:color w:val="202522"/>
          <w:sz w:val="20"/>
        </w:rPr>
        <w:t>Positive emotion, self-acceptance, and psychological resilience are independently associated with longevity and health outcomes across major frameworks. Richard Davidson's neuroscience research argues that wellbeing is a trainable skill that can be cultivated through practice and associated with measurable changes in brain function and gene expression.</w:t>
      </w:r>
      <w:r>
        <w:rPr>
          <w:rFonts w:ascii="Noto Sans" w:hAnsi="Noto Sans"/>
          <w:color w:val="A55E3B"/>
          <w:sz w:val="15"/>
          <w:vertAlign w:val="superscript"/>
        </w:rPr>
        <w:t>21</w:t>
      </w:r>
      <w:r>
        <w:rPr>
          <w:rFonts w:ascii="Noto Sans" w:hAnsi="Noto Sans"/>
          <w:color w:val="A55E3B"/>
          <w:sz w:val="15"/>
          <w:vertAlign w:val="superscript"/>
        </w:rPr>
        <w:t>22</w:t>
      </w:r>
      <w:r>
        <w:rPr>
          <w:rFonts w:ascii="Noto Sans" w:hAnsi="Noto Sans"/>
          <w:color w:val="A55E3B"/>
          <w:sz w:val="15"/>
          <w:vertAlign w:val="superscript"/>
        </w:rPr>
        <w:t>4</w:t>
      </w:r>
      <w:r>
        <w:rPr>
          <w:rFonts w:ascii="Noto Sans" w:hAnsi="Noto Sans"/>
          <w:color w:val="A55E3B"/>
          <w:sz w:val="15"/>
          <w:vertAlign w:val="superscript"/>
        </w:rPr>
        <w:t>12</w:t>
      </w:r>
    </w:p>
    <w:p>
      <w:pPr>
        <w:pStyle w:val="Heading3"/>
        <w:keepNext/>
      </w:pPr>
      <w:r>
        <w:rPr>
          <w:rFonts w:ascii="Noto Sans" w:hAnsi="Noto Sans"/>
          <w:color w:val="285A62"/>
          <w:sz w:val="22"/>
        </w:rPr>
        <w:t>Body as Biology, Not Appearance</w:t>
      </w:r>
    </w:p>
    <w:p>
      <w:r>
        <w:rPr>
          <w:rFonts w:ascii="Noto Serif" w:hAnsi="Noto Serif"/>
          <w:color w:val="202522"/>
          <w:sz w:val="20"/>
        </w:rPr>
        <w:t>The six pillars of Lifestyle Medicine - nutrition, physical activity, sleep, stress management, social connection, and avoidance of harmful substances - have a substantial evidence base in the prevention and management of chronic disease. Epigenetic research further suggests that lifestyle factors can influence gene expression, reinforcing the importance of daily behaviour.</w:t>
      </w:r>
      <w:r>
        <w:rPr>
          <w:rFonts w:ascii="Noto Sans" w:hAnsi="Noto Sans"/>
          <w:color w:val="A55E3B"/>
          <w:sz w:val="15"/>
          <w:vertAlign w:val="superscript"/>
        </w:rPr>
        <w:t>16</w:t>
      </w:r>
      <w:r>
        <w:rPr>
          <w:rFonts w:ascii="Noto Sans" w:hAnsi="Noto Sans"/>
          <w:color w:val="A55E3B"/>
          <w:sz w:val="15"/>
          <w:vertAlign w:val="superscript"/>
        </w:rPr>
        <w:t>23</w:t>
      </w:r>
      <w:r>
        <w:rPr>
          <w:rFonts w:ascii="Noto Sans" w:hAnsi="Noto Sans"/>
          <w:color w:val="A55E3B"/>
          <w:sz w:val="15"/>
          <w:vertAlign w:val="superscript"/>
        </w:rPr>
        <w:t>24</w:t>
      </w:r>
      <w:r>
        <w:rPr>
          <w:rFonts w:ascii="Noto Sans" w:hAnsi="Noto Sans"/>
          <w:color w:val="A55E3B"/>
          <w:sz w:val="15"/>
          <w:vertAlign w:val="superscript"/>
        </w:rPr>
        <w:t>25</w:t>
      </w:r>
      <w:r>
        <w:rPr>
          <w:rFonts w:ascii="Noto Sans" w:hAnsi="Noto Sans"/>
          <w:color w:val="A55E3B"/>
          <w:sz w:val="15"/>
          <w:vertAlign w:val="superscript"/>
        </w:rPr>
        <w:t>26</w:t>
      </w:r>
    </w:p>
    <w:p>
      <w:pPr>
        <w:pStyle w:val="Heading3"/>
        <w:keepNext/>
      </w:pPr>
      <w:r>
        <w:rPr>
          <w:rFonts w:ascii="Noto Sans" w:hAnsi="Noto Sans"/>
          <w:color w:val="285A62"/>
          <w:sz w:val="22"/>
        </w:rPr>
        <w:t>Relationships and Community</w:t>
      </w:r>
    </w:p>
    <w:p>
      <w:r>
        <w:rPr>
          <w:rFonts w:ascii="Noto Serif" w:hAnsi="Noto Serif"/>
          <w:color w:val="202522"/>
          <w:sz w:val="20"/>
        </w:rPr>
        <w:t>The Harvard Study of Adult Development, one of the longest-running studies of adult life, identifies the quality of close relationships as a dominant predictor of health and happiness. Social-prescribing research also indicates that community connection can produce measurable wellbeing outcomes.</w:t>
      </w:r>
      <w:r>
        <w:rPr>
          <w:rFonts w:ascii="Noto Sans" w:hAnsi="Noto Sans"/>
          <w:color w:val="A55E3B"/>
          <w:sz w:val="15"/>
          <w:vertAlign w:val="superscript"/>
        </w:rPr>
        <w:t>27</w:t>
      </w:r>
      <w:r>
        <w:rPr>
          <w:rFonts w:ascii="Noto Sans" w:hAnsi="Noto Sans"/>
          <w:color w:val="A55E3B"/>
          <w:sz w:val="15"/>
          <w:vertAlign w:val="superscript"/>
        </w:rPr>
        <w:t>28</w:t>
      </w:r>
      <w:r>
        <w:rPr>
          <w:rFonts w:ascii="Noto Sans" w:hAnsi="Noto Sans"/>
          <w:color w:val="A55E3B"/>
          <w:sz w:val="15"/>
          <w:vertAlign w:val="superscript"/>
        </w:rPr>
        <w:t>29</w:t>
      </w:r>
      <w:r>
        <w:rPr>
          <w:rFonts w:ascii="Noto Sans" w:hAnsi="Noto Sans"/>
          <w:color w:val="A55E3B"/>
          <w:sz w:val="15"/>
          <w:vertAlign w:val="superscript"/>
        </w:rPr>
        <w:t>17</w:t>
      </w:r>
      <w:r>
        <w:rPr>
          <w:rFonts w:ascii="Noto Sans" w:hAnsi="Noto Sans"/>
          <w:color w:val="A55E3B"/>
          <w:sz w:val="15"/>
          <w:vertAlign w:val="superscript"/>
        </w:rPr>
        <w:t>30</w:t>
      </w:r>
      <w:r>
        <w:rPr>
          <w:rFonts w:ascii="Noto Sans" w:hAnsi="Noto Sans"/>
          <w:color w:val="A55E3B"/>
          <w:sz w:val="15"/>
          <w:vertAlign w:val="superscript"/>
        </w:rPr>
        <w:t>31</w:t>
      </w:r>
    </w:p>
    <w:p>
      <w:pPr>
        <w:pStyle w:val="Heading3"/>
        <w:keepNext/>
      </w:pPr>
      <w:r>
        <w:rPr>
          <w:rFonts w:ascii="Noto Sans" w:hAnsi="Noto Sans"/>
          <w:color w:val="285A62"/>
          <w:sz w:val="22"/>
        </w:rPr>
        <w:t>Purpose and Meaning</w:t>
      </w:r>
    </w:p>
    <w:p>
      <w:r>
        <w:rPr>
          <w:rFonts w:ascii="Noto Serif" w:hAnsi="Noto Serif"/>
          <w:color w:val="202522"/>
          <w:sz w:val="20"/>
        </w:rPr>
        <w:t xml:space="preserve">The Ohsaki cohort study, which followed more than 40,000 Japanese adults, found an association between reported </w:t>
      </w:r>
      <w:r>
        <w:rPr>
          <w:rFonts w:ascii="Noto Serif" w:hAnsi="Noto Serif"/>
          <w:i/>
          <w:color w:val="202522"/>
          <w:sz w:val="20"/>
        </w:rPr>
        <w:t>ikigai</w:t>
      </w:r>
      <w:r>
        <w:rPr>
          <w:rFonts w:ascii="Noto Serif" w:hAnsi="Noto Serif"/>
          <w:color w:val="202522"/>
          <w:sz w:val="20"/>
        </w:rPr>
        <w:t xml:space="preserve"> - a lived sense of purpose - and lower all-cause mortality. Blue Zones research similarly identifies purpose as a recurring feature of long-lived communities.</w:t>
      </w:r>
      <w:r>
        <w:rPr>
          <w:rFonts w:ascii="Noto Sans" w:hAnsi="Noto Sans"/>
          <w:color w:val="A55E3B"/>
          <w:sz w:val="15"/>
          <w:vertAlign w:val="superscript"/>
        </w:rPr>
        <w:t>32</w:t>
      </w:r>
      <w:r>
        <w:rPr>
          <w:rFonts w:ascii="Noto Sans" w:hAnsi="Noto Sans"/>
          <w:color w:val="A55E3B"/>
          <w:sz w:val="15"/>
          <w:vertAlign w:val="superscript"/>
        </w:rPr>
        <w:t>33</w:t>
      </w:r>
      <w:r>
        <w:rPr>
          <w:rFonts w:ascii="Noto Sans" w:hAnsi="Noto Sans"/>
          <w:color w:val="A55E3B"/>
          <w:sz w:val="15"/>
          <w:vertAlign w:val="superscript"/>
        </w:rPr>
        <w:t>34</w:t>
      </w:r>
      <w:r>
        <w:rPr>
          <w:rFonts w:ascii="Noto Sans" w:hAnsi="Noto Sans"/>
          <w:color w:val="A55E3B"/>
          <w:sz w:val="15"/>
          <w:vertAlign w:val="superscript"/>
        </w:rPr>
        <w:t>35</w:t>
      </w:r>
    </w:p>
    <w:p>
      <w:pPr>
        <w:pStyle w:val="Heading3"/>
        <w:keepNext/>
      </w:pPr>
      <w:r>
        <w:rPr>
          <w:rFonts w:ascii="Noto Sans" w:hAnsi="Noto Sans"/>
          <w:color w:val="285A62"/>
          <w:sz w:val="22"/>
        </w:rPr>
        <w:t>Growth and Mastery</w:t>
      </w:r>
    </w:p>
    <w:p>
      <w:r>
        <w:rPr>
          <w:rFonts w:ascii="Noto Serif" w:hAnsi="Noto Serif"/>
          <w:color w:val="202522"/>
          <w:sz w:val="20"/>
        </w:rPr>
        <w:t>Carol Ryff's dimension of Personal Growth - the continuing development of one's potential - is one of six core dimensions of psychological wellbeing. Self-Determination Theory identifies competence, or the experience of mastery, as one of three universal psychological needs.</w:t>
      </w:r>
      <w:r>
        <w:rPr>
          <w:rFonts w:ascii="Noto Sans" w:hAnsi="Noto Sans"/>
          <w:color w:val="A55E3B"/>
          <w:sz w:val="15"/>
          <w:vertAlign w:val="superscript"/>
        </w:rPr>
        <w:t>36</w:t>
      </w:r>
      <w:r>
        <w:rPr>
          <w:rFonts w:ascii="Noto Sans" w:hAnsi="Noto Sans"/>
          <w:color w:val="A55E3B"/>
          <w:sz w:val="15"/>
          <w:vertAlign w:val="superscript"/>
        </w:rPr>
        <w:t>5</w:t>
      </w:r>
      <w:r>
        <w:rPr>
          <w:rFonts w:ascii="Noto Sans" w:hAnsi="Noto Sans"/>
          <w:color w:val="A55E3B"/>
          <w:sz w:val="15"/>
          <w:vertAlign w:val="superscript"/>
        </w:rPr>
        <w:t>37</w:t>
      </w:r>
      <w:r>
        <w:rPr>
          <w:rFonts w:ascii="Noto Sans" w:hAnsi="Noto Sans"/>
          <w:color w:val="A55E3B"/>
          <w:sz w:val="15"/>
          <w:vertAlign w:val="superscript"/>
        </w:rPr>
        <w:t>13</w:t>
      </w:r>
    </w:p>
    <w:p>
      <w:pPr>
        <w:pStyle w:val="Heading3"/>
        <w:keepNext/>
      </w:pPr>
      <w:r>
        <w:rPr>
          <w:rFonts w:ascii="Noto Sans" w:hAnsi="Noto Sans"/>
          <w:color w:val="285A62"/>
          <w:sz w:val="22"/>
        </w:rPr>
        <w:t>Nature and Environment</w:t>
      </w:r>
    </w:p>
    <w:p>
      <w:r>
        <w:rPr>
          <w:rFonts w:ascii="Noto Serif" w:hAnsi="Noto Serif"/>
          <w:color w:val="202522"/>
          <w:sz w:val="20"/>
        </w:rPr>
        <w:t>Biophilic-design research indicates that human connection to nature is more than aesthetic. Nature-integrated environments are associated with reduced stress, lower blood pressure, improved recovery, and greater psychological resilience. Tri Vananda's incorporation of biophilic design can therefore be positioned as a determinant of wellbeing rather than a luxury amenity.</w:t>
      </w:r>
      <w:r>
        <w:rPr>
          <w:rFonts w:ascii="Noto Sans" w:hAnsi="Noto Sans"/>
          <w:color w:val="A55E3B"/>
          <w:sz w:val="15"/>
          <w:vertAlign w:val="superscript"/>
        </w:rPr>
        <w:t>38</w:t>
      </w:r>
      <w:r>
        <w:rPr>
          <w:rFonts w:ascii="Noto Sans" w:hAnsi="Noto Sans"/>
          <w:color w:val="A55E3B"/>
          <w:sz w:val="15"/>
          <w:vertAlign w:val="superscript"/>
        </w:rPr>
        <w:t>20</w:t>
      </w:r>
      <w:r>
        <w:rPr>
          <w:rFonts w:ascii="Noto Sans" w:hAnsi="Noto Sans"/>
          <w:color w:val="A55E3B"/>
          <w:sz w:val="15"/>
          <w:vertAlign w:val="superscript"/>
        </w:rPr>
        <w:t>18</w:t>
      </w:r>
      <w:r>
        <w:rPr>
          <w:rFonts w:ascii="Noto Sans" w:hAnsi="Noto Sans"/>
          <w:color w:val="A55E3B"/>
          <w:sz w:val="15"/>
          <w:vertAlign w:val="superscript"/>
        </w:rPr>
        <w:t>19</w:t>
      </w:r>
    </w:p>
    <w:p>
      <w:pPr>
        <w:pStyle w:val="Heading3"/>
        <w:keepNext/>
      </w:pPr>
      <w:r>
        <w:rPr>
          <w:rFonts w:ascii="Noto Sans" w:hAnsi="Noto Sans"/>
          <w:color w:val="285A62"/>
          <w:sz w:val="22"/>
        </w:rPr>
        <w:t>Daily Practice and Habit</w:t>
      </w:r>
    </w:p>
    <w:p>
      <w:r>
        <w:rPr>
          <w:rFonts w:ascii="Noto Serif" w:hAnsi="Noto Serif"/>
          <w:color w:val="202522"/>
          <w:sz w:val="20"/>
        </w:rPr>
        <w:t>Behavioural science establishes that wellbeing is rarely achieved through one-time interventions. It is built through the architecture of daily habits. Neuroplasticity confirms that repeated behavioural patterns can reshape neural pathways. This is precisely what the Mobius loop encodes: not an endpoint, but a continuous practice.</w:t>
      </w:r>
      <w:r>
        <w:rPr>
          <w:rFonts w:ascii="Noto Sans" w:hAnsi="Noto Sans"/>
          <w:color w:val="A55E3B"/>
          <w:sz w:val="15"/>
          <w:vertAlign w:val="superscript"/>
        </w:rPr>
        <w:t>21</w:t>
      </w:r>
    </w:p>
    <w:p>
      <w:pPr>
        <w:pStyle w:val="Heading3"/>
        <w:keepNext/>
      </w:pPr>
      <w:r>
        <w:rPr>
          <w:rFonts w:ascii="Noto Sans" w:hAnsi="Noto Sans"/>
          <w:color w:val="285A62"/>
          <w:sz w:val="22"/>
        </w:rPr>
        <w:t>Wonder and Transcendence</w:t>
      </w:r>
    </w:p>
    <w:p>
      <w:r>
        <w:rPr>
          <w:rFonts w:ascii="Noto Serif" w:hAnsi="Noto Serif"/>
          <w:color w:val="202522"/>
          <w:sz w:val="20"/>
        </w:rPr>
        <w:t>The VIA character strength of "appreciation of beauty and excellence" and broader research into transcendence point towards a dimension not fully captured by functional health frameworks: the human need for awe, beauty, cultural depth, and experiences that exceed the self. This is uniquely deliverable by a luxury hospitality and community brand in a way that clinical medicine cannot replicate.</w:t>
      </w:r>
      <w:r>
        <w:rPr>
          <w:rFonts w:ascii="Noto Sans" w:hAnsi="Noto Sans"/>
          <w:color w:val="A55E3B"/>
          <w:sz w:val="15"/>
          <w:vertAlign w:val="superscript"/>
        </w:rPr>
        <w:t>5</w:t>
      </w:r>
      <w:r>
        <w:rPr>
          <w:rFonts w:ascii="Noto Sans" w:hAnsi="Noto Sans"/>
          <w:color w:val="A55E3B"/>
          <w:sz w:val="15"/>
          <w:vertAlign w:val="superscript"/>
        </w:rPr>
        <w:t>39</w:t>
      </w:r>
    </w:p>
    <w:p>
      <w:pPr>
        <w:pStyle w:val="Heading2"/>
        <w:keepNext/>
      </w:pPr>
      <w:r>
        <w:rPr>
          <w:rFonts w:ascii="Noto Sans" w:hAnsi="Noto Sans"/>
          <w:color w:val="A55E3B"/>
          <w:sz w:val="27"/>
        </w:rPr>
        <w:t>How PATAMA's Model Differs</w:t>
      </w:r>
    </w:p>
    <w:p>
      <w:r>
        <w:rPr>
          <w:rFonts w:ascii="Noto Serif" w:hAnsi="Noto Serif"/>
          <w:color w:val="202522"/>
          <w:sz w:val="20"/>
        </w:rPr>
        <w:t>Every existing framework was designed for a specific application: PERMA for positive-psychology interventions; Blue Zones for population health; Lifestyle Medicine for clinical practice; and Self-Determination Theory for motivation research.</w:t>
      </w:r>
    </w:p>
    <w:p>
      <w:pPr>
        <w:pStyle w:val="PullQuote"/>
        <w:spacing w:before="160" w:after="200" w:line="276" w:lineRule="auto"/>
        <w:ind w:left="255" w:right="170"/>
        <w:shd w:fill="F4EFE3"/>
        <w:pBdr>
          <w:left w:val="single" w:sz="18" w:space="4" w:color="B59555"/>
        </w:pBdr>
      </w:pPr>
      <w:r>
        <w:rPr>
          <w:rFonts w:ascii="Noto Serif" w:hAnsi="Noto Serif"/>
          <w:b/>
          <w:i/>
          <w:color w:val="173F37"/>
          <w:sz w:val="22"/>
        </w:rPr>
        <w:t>PATAMA's opportunity is to create the first framework designed explicitly as a luxury brand operating system - one that functions simultaneously as a scientific model, a customer promise, a design brief, and a commercial strategy.</w:t>
      </w:r>
    </w:p>
    <w:p>
      <w:r>
        <w:rPr>
          <w:rFonts w:ascii="Noto Serif" w:hAnsi="Noto Serif"/>
          <w:color w:val="202522"/>
          <w:sz w:val="20"/>
        </w:rPr>
        <w:t>No established framework serves all four purposes. This is the intellectual gap PATAMA can credibly seek to claim.</w:t>
      </w:r>
    </w:p>
    <w:p>
      <w:pPr>
        <w:spacing w:before="140" w:after="140"/>
        <w:pBdr>
          <w:bottom w:val="single" w:sz="6" w:space="1" w:color="CFC6B4"/>
        </w:pBdr>
      </w:pPr>
    </w:p>
    <w:p>
      <w:pPr>
        <w:pStyle w:val="Heading1"/>
        <w:pageBreakBefore/>
        <w:pBdr>
          <w:bottom w:val="single" w:sz="10" w:space="5" w:color="B59555"/>
        </w:pBdr>
      </w:pPr>
      <w:r>
        <w:rPr>
          <w:rFonts w:ascii="Noto Sans" w:hAnsi="Noto Sans"/>
          <w:b/>
          <w:caps/>
          <w:color w:val="B59555"/>
          <w:sz w:val="19"/>
        </w:rPr>
        <w:t>PART 4</w:t>
        <w:br/>
      </w:r>
      <w:r>
        <w:rPr>
          <w:rFonts w:ascii="Noto Serif Display" w:hAnsi="Noto Serif Display"/>
          <w:color w:val="173F37"/>
          <w:sz w:val="42"/>
        </w:rPr>
        <w:t>The Ideal PATAMA Framework</w:t>
      </w:r>
    </w:p>
    <w:p>
      <w:pPr>
        <w:pStyle w:val="Heading2"/>
        <w:keepNext/>
      </w:pPr>
      <w:r>
        <w:rPr>
          <w:rFonts w:ascii="Noto Sans" w:hAnsi="Noto Sans"/>
          <w:color w:val="A55E3B"/>
          <w:sz w:val="27"/>
        </w:rPr>
        <w:t>The Central Transformation</w:t>
      </w:r>
    </w:p>
    <w:p>
      <w:r>
        <w:rPr>
          <w:rFonts w:ascii="Noto Serif" w:hAnsi="Noto Serif"/>
          <w:color w:val="202522"/>
          <w:sz w:val="20"/>
        </w:rPr>
        <w:t>At the heart of the PATAMA framework is one idea:</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You are not who you were. You are always becoming.</w:t>
      </w:r>
    </w:p>
    <w:p>
      <w:r>
        <w:rPr>
          <w:rFonts w:ascii="Noto Serif" w:hAnsi="Noto Serif"/>
          <w:b/>
          <w:color w:val="202522"/>
          <w:sz w:val="20"/>
        </w:rPr>
        <w:t>BECOMING</w:t>
      </w:r>
      <w:r>
        <w:rPr>
          <w:rFonts w:ascii="Noto Serif" w:hAnsi="Noto Serif"/>
          <w:color w:val="202522"/>
          <w:sz w:val="20"/>
        </w:rPr>
        <w:t xml:space="preserve"> captures the Mobius logic: there is no final destination, only continuous unfolding. It is grounded in ideas from neuroplasticity, epigenetics, and behavioural-change theory, while remaining emotionally resonant for customers who have achieved material success and are seeking a different kind of growth.</w:t>
      </w:r>
    </w:p>
    <w:p>
      <w:pPr>
        <w:pStyle w:val="Heading2"/>
        <w:keepNext/>
      </w:pPr>
      <w:r>
        <w:rPr>
          <w:rFonts w:ascii="Noto Sans" w:hAnsi="Noto Sans"/>
          <w:color w:val="A55E3B"/>
          <w:sz w:val="27"/>
        </w:rPr>
        <w:t>Framework Architecture</w:t>
      </w:r>
    </w:p>
    <w:p>
      <w:r>
        <w:rPr>
          <w:rFonts w:ascii="Noto Serif" w:hAnsi="Noto Serif"/>
          <w:color w:val="202522"/>
          <w:sz w:val="20"/>
        </w:rPr>
        <w:t>The PATAMA framework consists of three concentric layers.</w:t>
      </w:r>
    </w:p>
    <w:p>
      <w:pPr>
        <w:pStyle w:val="Heading3"/>
        <w:keepNext/>
      </w:pPr>
      <w:r>
        <w:rPr>
          <w:rFonts w:ascii="Noto Sans" w:hAnsi="Noto Sans"/>
          <w:color w:val="285A62"/>
          <w:sz w:val="22"/>
        </w:rPr>
        <w:t>Layer 1 - The Central Transformation</w:t>
      </w:r>
    </w:p>
    <w:p>
      <w:r>
        <w:rPr>
          <w:rFonts w:ascii="Noto Serif" w:hAnsi="Noto Serif"/>
          <w:b/>
          <w:color w:val="202522"/>
          <w:sz w:val="20"/>
        </w:rPr>
        <w:t>Becoming the best version of yourself</w:t>
      </w:r>
      <w:r>
        <w:rPr>
          <w:rFonts w:ascii="Noto Serif" w:hAnsi="Noto Serif"/>
          <w:color w:val="202522"/>
          <w:sz w:val="20"/>
        </w:rPr>
        <w:t xml:space="preserve"> - the single animating purpose, expressed as an ongoing journey rather than a fixed state.</w:t>
      </w:r>
    </w:p>
    <w:p>
      <w:pPr>
        <w:pStyle w:val="Heading3"/>
        <w:keepNext/>
      </w:pPr>
      <w:r>
        <w:rPr>
          <w:rFonts w:ascii="Noto Sans" w:hAnsi="Noto Sans"/>
          <w:color w:val="285A62"/>
          <w:sz w:val="22"/>
        </w:rPr>
        <w:t>Layer 2 - The Dual Harmony</w:t>
      </w:r>
    </w:p>
    <w:p>
      <w:r>
        <w:rPr>
          <w:rFonts w:ascii="Noto Serif" w:hAnsi="Noto Serif"/>
          <w:b/>
          <w:color w:val="202522"/>
          <w:sz w:val="20"/>
        </w:rPr>
        <w:t>Internal Harmony:</w:t>
      </w:r>
      <w:r>
        <w:rPr>
          <w:rFonts w:ascii="Noto Serif" w:hAnsi="Noto Serif"/>
          <w:color w:val="202522"/>
          <w:sz w:val="20"/>
        </w:rPr>
        <w:t xml:space="preserve"> the state of the inner world - mind, emotions, body, and spirit.</w:t>
      </w:r>
    </w:p>
    <w:p>
      <w:r>
        <w:rPr>
          <w:rFonts w:ascii="Noto Serif" w:hAnsi="Noto Serif"/>
          <w:b/>
          <w:color w:val="202522"/>
          <w:sz w:val="20"/>
        </w:rPr>
        <w:t>External Harmony:</w:t>
      </w:r>
      <w:r>
        <w:rPr>
          <w:rFonts w:ascii="Noto Serif" w:hAnsi="Noto Serif"/>
          <w:color w:val="202522"/>
          <w:sz w:val="20"/>
        </w:rPr>
        <w:t xml:space="preserve"> the quality of the outer world - relationships, sanctuary, community, and nature.</w:t>
      </w:r>
    </w:p>
    <w:p>
      <w:r>
        <w:rPr>
          <w:rFonts w:ascii="Noto Serif" w:hAnsi="Noto Serif"/>
          <w:color w:val="202522"/>
          <w:sz w:val="20"/>
        </w:rPr>
        <w:t>These are not separate hemispheres. The Mobius loop shows that they are one continuous surface: inner life shapes the outer world, and the outer world shapes inner life. The framework's deepest insight is that one cannot be achieved without the other.</w:t>
      </w:r>
    </w:p>
    <w:p>
      <w:pPr>
        <w:pStyle w:val="Heading3"/>
        <w:keepNext/>
      </w:pPr>
      <w:r>
        <w:rPr>
          <w:rFonts w:ascii="Noto Sans" w:hAnsi="Noto Sans"/>
          <w:color w:val="285A62"/>
          <w:sz w:val="22"/>
        </w:rPr>
        <w:t>Layer 3 - The Eight Promises</w:t>
      </w:r>
    </w:p>
    <w:p>
      <w:r>
        <w:rPr>
          <w:rFonts w:ascii="Noto Serif" w:hAnsi="Noto Serif"/>
          <w:color w:val="202522"/>
          <w:sz w:val="20"/>
        </w:rPr>
        <w:t>The specific, measurable, and experiential commitments PATAMA makes to every customer, distributed across the two harmony axes.</w:t>
      </w:r>
    </w:p>
    <w:p>
      <w:pPr>
        <w:pStyle w:val="Heading2"/>
        <w:keepNext/>
      </w:pPr>
      <w:r>
        <w:rPr>
          <w:rFonts w:ascii="Noto Sans" w:hAnsi="Noto Sans"/>
          <w:color w:val="A55E3B"/>
          <w:sz w:val="27"/>
        </w:rPr>
        <w:t>Distribution of the Eight Promises</w:t>
      </w:r>
    </w:p>
    <w:p>
      <w:pPr>
        <w:pStyle w:val="Heading3"/>
        <w:keepNext/>
      </w:pPr>
      <w:r>
        <w:rPr>
          <w:rFonts w:ascii="Noto Sans" w:hAnsi="Noto Sans"/>
          <w:color w:val="285A62"/>
          <w:sz w:val="22"/>
        </w:rPr>
        <w:t>Internal Harmony</w:t>
      </w:r>
    </w:p>
    <w:p>
      <w:pPr>
        <w:spacing w:after="50" w:line="259" w:lineRule="auto"/>
        <w:ind w:left="408" w:hanging="295"/>
      </w:pPr>
      <w:r>
        <w:rPr>
          <w:rFonts w:ascii="Noto Sans" w:hAnsi="Noto Sans"/>
          <w:b/>
          <w:color w:val="A55E3B"/>
          <w:sz w:val="18"/>
        </w:rPr>
        <w:t xml:space="preserve">1. </w:t>
      </w:r>
      <w:r>
        <w:rPr>
          <w:rFonts w:ascii="Noto Serif" w:hAnsi="Noto Serif"/>
          <w:b/>
          <w:color w:val="202522"/>
          <w:sz w:val="20"/>
        </w:rPr>
        <w:t>Clarity</w:t>
      </w:r>
      <w:r>
        <w:rPr>
          <w:rFonts w:ascii="Noto Serif" w:hAnsi="Noto Serif"/>
          <w:color w:val="202522"/>
          <w:sz w:val="20"/>
        </w:rPr>
        <w:t xml:space="preserve"> - Sharper mind, quieter noise</w:t>
      </w:r>
    </w:p>
    <w:p>
      <w:pPr>
        <w:spacing w:after="50" w:line="259" w:lineRule="auto"/>
        <w:ind w:left="408" w:hanging="295"/>
      </w:pPr>
      <w:r>
        <w:rPr>
          <w:rFonts w:ascii="Noto Sans" w:hAnsi="Noto Sans"/>
          <w:b/>
          <w:color w:val="A55E3B"/>
          <w:sz w:val="18"/>
        </w:rPr>
        <w:t xml:space="preserve">2. </w:t>
      </w:r>
      <w:r>
        <w:rPr>
          <w:rFonts w:ascii="Noto Serif" w:hAnsi="Noto Serif"/>
          <w:b/>
          <w:color w:val="202522"/>
          <w:sz w:val="20"/>
        </w:rPr>
        <w:t>Vitality</w:t>
      </w:r>
      <w:r>
        <w:rPr>
          <w:rFonts w:ascii="Noto Serif" w:hAnsi="Noto Serif"/>
          <w:color w:val="202522"/>
          <w:sz w:val="20"/>
        </w:rPr>
        <w:t xml:space="preserve"> - A body that serves you fully</w:t>
      </w:r>
    </w:p>
    <w:p>
      <w:pPr>
        <w:spacing w:after="50" w:line="259" w:lineRule="auto"/>
        <w:ind w:left="408" w:hanging="295"/>
      </w:pPr>
      <w:r>
        <w:rPr>
          <w:rFonts w:ascii="Noto Sans" w:hAnsi="Noto Sans"/>
          <w:b/>
          <w:color w:val="A55E3B"/>
          <w:sz w:val="18"/>
        </w:rPr>
        <w:t xml:space="preserve">3. </w:t>
      </w:r>
      <w:r>
        <w:rPr>
          <w:rFonts w:ascii="Noto Serif" w:hAnsi="Noto Serif"/>
          <w:b/>
          <w:color w:val="202522"/>
          <w:sz w:val="20"/>
        </w:rPr>
        <w:t>Serenity</w:t>
      </w:r>
      <w:r>
        <w:rPr>
          <w:rFonts w:ascii="Noto Serif" w:hAnsi="Noto Serif"/>
          <w:color w:val="202522"/>
          <w:sz w:val="20"/>
        </w:rPr>
        <w:t xml:space="preserve"> - Resilience to life's inevitable pressures</w:t>
      </w:r>
    </w:p>
    <w:p>
      <w:pPr>
        <w:spacing w:after="50" w:line="259" w:lineRule="auto"/>
        <w:ind w:left="408" w:hanging="295"/>
      </w:pPr>
      <w:r>
        <w:rPr>
          <w:rFonts w:ascii="Noto Sans" w:hAnsi="Noto Sans"/>
          <w:b/>
          <w:color w:val="A55E3B"/>
          <w:sz w:val="18"/>
        </w:rPr>
        <w:t xml:space="preserve">4. </w:t>
      </w:r>
      <w:r>
        <w:rPr>
          <w:rFonts w:ascii="Noto Serif" w:hAnsi="Noto Serif"/>
          <w:b/>
          <w:color w:val="202522"/>
          <w:sz w:val="20"/>
        </w:rPr>
        <w:t>Growth</w:t>
      </w:r>
      <w:r>
        <w:rPr>
          <w:rFonts w:ascii="Noto Serif" w:hAnsi="Noto Serif"/>
          <w:color w:val="202522"/>
          <w:sz w:val="20"/>
        </w:rPr>
        <w:t xml:space="preserve"> - The person you are becoming</w:t>
      </w:r>
    </w:p>
    <w:p>
      <w:pPr>
        <w:pStyle w:val="Heading3"/>
        <w:keepNext/>
      </w:pPr>
      <w:r>
        <w:rPr>
          <w:rFonts w:ascii="Noto Sans" w:hAnsi="Noto Sans"/>
          <w:color w:val="285A62"/>
          <w:sz w:val="22"/>
        </w:rPr>
        <w:t>External Harmony</w:t>
      </w:r>
    </w:p>
    <w:p>
      <w:pPr>
        <w:spacing w:after="50" w:line="259" w:lineRule="auto"/>
        <w:ind w:left="408" w:hanging="295"/>
      </w:pPr>
      <w:r>
        <w:rPr>
          <w:rFonts w:ascii="Noto Sans" w:hAnsi="Noto Sans"/>
          <w:b/>
          <w:color w:val="A55E3B"/>
          <w:sz w:val="18"/>
        </w:rPr>
        <w:t xml:space="preserve">5. </w:t>
      </w:r>
      <w:r>
        <w:rPr>
          <w:rFonts w:ascii="Noto Serif" w:hAnsi="Noto Serif"/>
          <w:b/>
          <w:color w:val="202522"/>
          <w:sz w:val="20"/>
        </w:rPr>
        <w:t>Belonging</w:t>
      </w:r>
      <w:r>
        <w:rPr>
          <w:rFonts w:ascii="Noto Serif" w:hAnsi="Noto Serif"/>
          <w:color w:val="202522"/>
          <w:sz w:val="20"/>
        </w:rPr>
        <w:t xml:space="preserve"> - Relationships and community that strengthen you</w:t>
      </w:r>
    </w:p>
    <w:p>
      <w:pPr>
        <w:spacing w:after="50" w:line="259" w:lineRule="auto"/>
        <w:ind w:left="408" w:hanging="295"/>
      </w:pPr>
      <w:r>
        <w:rPr>
          <w:rFonts w:ascii="Noto Sans" w:hAnsi="Noto Sans"/>
          <w:b/>
          <w:color w:val="A55E3B"/>
          <w:sz w:val="18"/>
        </w:rPr>
        <w:t xml:space="preserve">6. </w:t>
      </w:r>
      <w:r>
        <w:rPr>
          <w:rFonts w:ascii="Noto Serif" w:hAnsi="Noto Serif"/>
          <w:b/>
          <w:color w:val="202522"/>
          <w:sz w:val="20"/>
        </w:rPr>
        <w:t>Purpose</w:t>
      </w:r>
      <w:r>
        <w:rPr>
          <w:rFonts w:ascii="Noto Serif" w:hAnsi="Noto Serif"/>
          <w:color w:val="202522"/>
          <w:sz w:val="20"/>
        </w:rPr>
        <w:t xml:space="preserve"> - A life directed by what matters most</w:t>
      </w:r>
    </w:p>
    <w:p>
      <w:pPr>
        <w:spacing w:after="50" w:line="259" w:lineRule="auto"/>
        <w:ind w:left="408" w:hanging="295"/>
      </w:pPr>
      <w:r>
        <w:rPr>
          <w:rFonts w:ascii="Noto Sans" w:hAnsi="Noto Sans"/>
          <w:b/>
          <w:color w:val="A55E3B"/>
          <w:sz w:val="18"/>
        </w:rPr>
        <w:t xml:space="preserve">7. </w:t>
      </w:r>
      <w:r>
        <w:rPr>
          <w:rFonts w:ascii="Noto Serif" w:hAnsi="Noto Serif"/>
          <w:b/>
          <w:color w:val="202522"/>
          <w:sz w:val="20"/>
        </w:rPr>
        <w:t>Sanctuary</w:t>
      </w:r>
      <w:r>
        <w:rPr>
          <w:rFonts w:ascii="Noto Serif" w:hAnsi="Noto Serif"/>
          <w:color w:val="202522"/>
          <w:sz w:val="20"/>
        </w:rPr>
        <w:t xml:space="preserve"> - Environments that actively restore and protect you</w:t>
      </w:r>
    </w:p>
    <w:p>
      <w:pPr>
        <w:spacing w:after="50" w:line="259" w:lineRule="auto"/>
        <w:ind w:left="408" w:hanging="295"/>
      </w:pPr>
      <w:r>
        <w:rPr>
          <w:rFonts w:ascii="Noto Sans" w:hAnsi="Noto Sans"/>
          <w:b/>
          <w:color w:val="A55E3B"/>
          <w:sz w:val="18"/>
        </w:rPr>
        <w:t xml:space="preserve">8. </w:t>
      </w:r>
      <w:r>
        <w:rPr>
          <w:rFonts w:ascii="Noto Serif" w:hAnsi="Noto Serif"/>
          <w:b/>
          <w:color w:val="202522"/>
          <w:sz w:val="20"/>
        </w:rPr>
        <w:t>Wonder</w:t>
      </w:r>
      <w:r>
        <w:rPr>
          <w:rFonts w:ascii="Noto Serif" w:hAnsi="Noto Serif"/>
          <w:color w:val="202522"/>
          <w:sz w:val="20"/>
        </w:rPr>
        <w:t xml:space="preserve"> - Experiences that expand who you are</w:t>
      </w:r>
    </w:p>
    <w:p>
      <w:pPr>
        <w:pStyle w:val="Heading2"/>
        <w:keepNext/>
      </w:pPr>
      <w:r>
        <w:rPr>
          <w:rFonts w:ascii="Noto Sans" w:hAnsi="Noto Sans"/>
          <w:color w:val="A55E3B"/>
          <w:sz w:val="27"/>
        </w:rPr>
        <w:t>Hierarchy and Customer Journey</w:t>
      </w:r>
    </w:p>
    <w:p>
      <w:r>
        <w:rPr>
          <w:rFonts w:ascii="Noto Serif" w:hAnsi="Noto Serif"/>
          <w:color w:val="202522"/>
          <w:sz w:val="20"/>
        </w:rPr>
        <w:t>The framework is experienced in a four-stage sequence:</w:t>
      </w:r>
    </w:p>
    <w:p>
      <w:pPr>
        <w:spacing w:after="50" w:line="259" w:lineRule="auto"/>
        <w:ind w:left="408" w:hanging="295"/>
      </w:pPr>
      <w:r>
        <w:rPr>
          <w:rFonts w:ascii="Noto Sans" w:hAnsi="Noto Sans"/>
          <w:b/>
          <w:color w:val="A55E3B"/>
          <w:sz w:val="18"/>
        </w:rPr>
        <w:t xml:space="preserve">1. </w:t>
      </w:r>
      <w:r>
        <w:rPr>
          <w:rFonts w:ascii="Noto Serif" w:hAnsi="Noto Serif"/>
          <w:b/>
          <w:color w:val="202522"/>
          <w:sz w:val="20"/>
        </w:rPr>
        <w:t>Threshold</w:t>
      </w:r>
      <w:r>
        <w:rPr>
          <w:rFonts w:ascii="Noto Serif" w:hAnsi="Noto Serif"/>
          <w:color w:val="202522"/>
          <w:sz w:val="20"/>
        </w:rPr>
        <w:t xml:space="preserve"> - The customer arrives with a need, such as stress, illness, disconnection, or a life transition. PATAMA meets them with </w:t>
      </w:r>
      <w:r>
        <w:rPr>
          <w:rFonts w:ascii="Noto Serif" w:hAnsi="Noto Serif"/>
          <w:b/>
          <w:color w:val="202522"/>
          <w:sz w:val="20"/>
        </w:rPr>
        <w:t>Serenity</w:t>
      </w:r>
      <w:r>
        <w:rPr>
          <w:rFonts w:ascii="Noto Serif" w:hAnsi="Noto Serif"/>
          <w:color w:val="202522"/>
          <w:sz w:val="20"/>
        </w:rPr>
        <w:t xml:space="preserve"> and </w:t>
      </w:r>
      <w:r>
        <w:rPr>
          <w:rFonts w:ascii="Noto Serif" w:hAnsi="Noto Serif"/>
          <w:b/>
          <w:color w:val="202522"/>
          <w:sz w:val="20"/>
        </w:rPr>
        <w:t>Vitality</w:t>
      </w:r>
      <w:r>
        <w:rPr>
          <w:rFonts w:ascii="Noto Serif" w:hAnsi="Noto Serif"/>
          <w:color w:val="202522"/>
          <w:sz w:val="20"/>
        </w:rPr>
        <w:t xml:space="preserve"> as the immediate experience.</w:t>
      </w:r>
    </w:p>
    <w:p>
      <w:pPr>
        <w:spacing w:after="50" w:line="259" w:lineRule="auto"/>
        <w:ind w:left="408" w:hanging="295"/>
      </w:pPr>
      <w:r>
        <w:rPr>
          <w:rFonts w:ascii="Noto Sans" w:hAnsi="Noto Sans"/>
          <w:b/>
          <w:color w:val="A55E3B"/>
          <w:sz w:val="18"/>
        </w:rPr>
        <w:t xml:space="preserve">2. </w:t>
      </w:r>
      <w:r>
        <w:rPr>
          <w:rFonts w:ascii="Noto Serif" w:hAnsi="Noto Serif"/>
          <w:b/>
          <w:color w:val="202522"/>
          <w:sz w:val="20"/>
        </w:rPr>
        <w:t>Foundation</w:t>
      </w:r>
      <w:r>
        <w:rPr>
          <w:rFonts w:ascii="Noto Serif" w:hAnsi="Noto Serif"/>
          <w:color w:val="202522"/>
          <w:sz w:val="20"/>
        </w:rPr>
        <w:t xml:space="preserve"> - Through immersion in programmes and community, </w:t>
      </w:r>
      <w:r>
        <w:rPr>
          <w:rFonts w:ascii="Noto Serif" w:hAnsi="Noto Serif"/>
          <w:b/>
          <w:color w:val="202522"/>
          <w:sz w:val="20"/>
        </w:rPr>
        <w:t>Clarity</w:t>
      </w:r>
      <w:r>
        <w:rPr>
          <w:rFonts w:ascii="Noto Serif" w:hAnsi="Noto Serif"/>
          <w:color w:val="202522"/>
          <w:sz w:val="20"/>
        </w:rPr>
        <w:t xml:space="preserve"> and </w:t>
      </w:r>
      <w:r>
        <w:rPr>
          <w:rFonts w:ascii="Noto Serif" w:hAnsi="Noto Serif"/>
          <w:b/>
          <w:color w:val="202522"/>
          <w:sz w:val="20"/>
        </w:rPr>
        <w:t>Belonging</w:t>
      </w:r>
      <w:r>
        <w:rPr>
          <w:rFonts w:ascii="Noto Serif" w:hAnsi="Noto Serif"/>
          <w:color w:val="202522"/>
          <w:sz w:val="20"/>
        </w:rPr>
        <w:t xml:space="preserve"> emerge as new capabilities.</w:t>
      </w:r>
    </w:p>
    <w:p>
      <w:pPr>
        <w:spacing w:after="50" w:line="259" w:lineRule="auto"/>
        <w:ind w:left="408" w:hanging="295"/>
      </w:pPr>
      <w:r>
        <w:rPr>
          <w:rFonts w:ascii="Noto Sans" w:hAnsi="Noto Sans"/>
          <w:b/>
          <w:color w:val="A55E3B"/>
          <w:sz w:val="18"/>
        </w:rPr>
        <w:t xml:space="preserve">3. </w:t>
      </w:r>
      <w:r>
        <w:rPr>
          <w:rFonts w:ascii="Noto Serif" w:hAnsi="Noto Serif"/>
          <w:b/>
          <w:color w:val="202522"/>
          <w:sz w:val="20"/>
        </w:rPr>
        <w:t>Direction</w:t>
      </w:r>
      <w:r>
        <w:rPr>
          <w:rFonts w:ascii="Noto Serif" w:hAnsi="Noto Serif"/>
          <w:color w:val="202522"/>
          <w:sz w:val="20"/>
        </w:rPr>
        <w:t xml:space="preserve"> - Over months and years, </w:t>
      </w:r>
      <w:r>
        <w:rPr>
          <w:rFonts w:ascii="Noto Serif" w:hAnsi="Noto Serif"/>
          <w:b/>
          <w:color w:val="202522"/>
          <w:sz w:val="20"/>
        </w:rPr>
        <w:t>Purpose</w:t>
      </w:r>
      <w:r>
        <w:rPr>
          <w:rFonts w:ascii="Noto Serif" w:hAnsi="Noto Serif"/>
          <w:color w:val="202522"/>
          <w:sz w:val="20"/>
        </w:rPr>
        <w:t xml:space="preserve"> and </w:t>
      </w:r>
      <w:r>
        <w:rPr>
          <w:rFonts w:ascii="Noto Serif" w:hAnsi="Noto Serif"/>
          <w:b/>
          <w:color w:val="202522"/>
          <w:sz w:val="20"/>
        </w:rPr>
        <w:t>Growth</w:t>
      </w:r>
      <w:r>
        <w:rPr>
          <w:rFonts w:ascii="Noto Serif" w:hAnsi="Noto Serif"/>
          <w:color w:val="202522"/>
          <w:sz w:val="20"/>
        </w:rPr>
        <w:t xml:space="preserve"> become the customer's operating orientation.</w:t>
      </w:r>
    </w:p>
    <w:p>
      <w:pPr>
        <w:spacing w:after="50" w:line="259" w:lineRule="auto"/>
        <w:ind w:left="408" w:hanging="295"/>
      </w:pPr>
      <w:r>
        <w:rPr>
          <w:rFonts w:ascii="Noto Sans" w:hAnsi="Noto Sans"/>
          <w:b/>
          <w:color w:val="A55E3B"/>
          <w:sz w:val="18"/>
        </w:rPr>
        <w:t xml:space="preserve">4. </w:t>
      </w:r>
      <w:r>
        <w:rPr>
          <w:rFonts w:ascii="Noto Serif" w:hAnsi="Noto Serif"/>
          <w:b/>
          <w:color w:val="202522"/>
          <w:sz w:val="20"/>
        </w:rPr>
        <w:t>Mastery</w:t>
      </w:r>
      <w:r>
        <w:rPr>
          <w:rFonts w:ascii="Noto Serif" w:hAnsi="Noto Serif"/>
          <w:color w:val="202522"/>
          <w:sz w:val="20"/>
        </w:rPr>
        <w:t xml:space="preserve"> - Long-term members experience </w:t>
      </w:r>
      <w:r>
        <w:rPr>
          <w:rFonts w:ascii="Noto Serif" w:hAnsi="Noto Serif"/>
          <w:b/>
          <w:color w:val="202522"/>
          <w:sz w:val="20"/>
        </w:rPr>
        <w:t>Sanctuary</w:t>
      </w:r>
      <w:r>
        <w:rPr>
          <w:rFonts w:ascii="Noto Serif" w:hAnsi="Noto Serif"/>
          <w:color w:val="202522"/>
          <w:sz w:val="20"/>
        </w:rPr>
        <w:t xml:space="preserve"> and </w:t>
      </w:r>
      <w:r>
        <w:rPr>
          <w:rFonts w:ascii="Noto Serif" w:hAnsi="Noto Serif"/>
          <w:b/>
          <w:color w:val="202522"/>
          <w:sz w:val="20"/>
        </w:rPr>
        <w:t>Wonder</w:t>
      </w:r>
      <w:r>
        <w:rPr>
          <w:rFonts w:ascii="Noto Serif" w:hAnsi="Noto Serif"/>
          <w:color w:val="202522"/>
          <w:sz w:val="20"/>
        </w:rPr>
        <w:t xml:space="preserve"> as permanent features of a life fully lived.</w:t>
      </w:r>
    </w:p>
    <w:p>
      <w:r>
        <w:rPr>
          <w:rFonts w:ascii="Noto Serif" w:hAnsi="Noto Serif"/>
          <w:color w:val="202522"/>
          <w:sz w:val="20"/>
        </w:rPr>
        <w:t>This journey maps directly to PATAMA's business model: hospitality provides the Threshold; Membership enables Foundation and Direction; Residences deliver Mastery.</w:t>
      </w:r>
    </w:p>
    <w:p>
      <w:pPr>
        <w:pStyle w:val="Heading2"/>
        <w:keepNext/>
      </w:pPr>
      <w:r>
        <w:rPr>
          <w:rFonts w:ascii="Noto Sans" w:hAnsi="Noto Sans"/>
          <w:color w:val="A55E3B"/>
          <w:sz w:val="27"/>
        </w:rPr>
        <w:t>Visual Logic</w:t>
      </w:r>
    </w:p>
    <w:p>
      <w:r>
        <w:rPr>
          <w:rFonts w:ascii="Noto Serif" w:hAnsi="Noto Serif"/>
          <w:color w:val="202522"/>
          <w:sz w:val="20"/>
        </w:rPr>
        <w:t xml:space="preserve">The framework should be visualised as a </w:t>
      </w:r>
      <w:r>
        <w:rPr>
          <w:rFonts w:ascii="Noto Serif" w:hAnsi="Noto Serif"/>
          <w:b/>
          <w:color w:val="202522"/>
          <w:sz w:val="20"/>
        </w:rPr>
        <w:t>Mobius-structured octagon</w:t>
      </w:r>
      <w:r>
        <w:rPr>
          <w:rFonts w:ascii="Noto Serif" w:hAnsi="Noto Serif"/>
          <w:color w:val="202522"/>
          <w:sz w:val="20"/>
        </w:rPr>
        <w:t>: eight segments arranged in a continuous loop that twists between Internal and External Harmony. The loop never ends. Customers may enter at any point, and the practice continues indefinitely. The Mobius is therefore not decorative; it is the organising logic of the entire framework.</w:t>
      </w:r>
    </w:p>
    <w:p>
      <w:pPr>
        <w:spacing w:before="140" w:after="140"/>
        <w:pBdr>
          <w:bottom w:val="single" w:sz="6" w:space="1" w:color="CFC6B4"/>
        </w:pBdr>
      </w:pPr>
    </w:p>
    <w:p>
      <w:pPr>
        <w:pStyle w:val="Heading1"/>
        <w:pageBreakBefore/>
        <w:pBdr>
          <w:bottom w:val="single" w:sz="10" w:space="5" w:color="B59555"/>
        </w:pBdr>
      </w:pPr>
      <w:r>
        <w:rPr>
          <w:rFonts w:ascii="Noto Sans" w:hAnsi="Noto Sans"/>
          <w:b/>
          <w:caps/>
          <w:color w:val="B59555"/>
          <w:sz w:val="19"/>
        </w:rPr>
        <w:t>PART 5</w:t>
        <w:br/>
      </w:r>
      <w:r>
        <w:rPr>
          <w:rFonts w:ascii="Noto Serif Display" w:hAnsi="Noto Serif Display"/>
          <w:color w:val="173F37"/>
          <w:sz w:val="42"/>
        </w:rPr>
        <w:t>The Eight Brand Promises</w:t>
      </w:r>
    </w:p>
    <w:p>
      <w:pPr>
        <w:pStyle w:val="PromiseTitle"/>
        <w:spacing w:before="240" w:after="160"/>
        <w:pBdr>
          <w:bottom w:val="single" w:sz="10" w:space="5" w:color="B59555"/>
        </w:pBdr>
      </w:pPr>
      <w:r>
        <w:rPr>
          <w:rFonts w:ascii="Noto Sans" w:hAnsi="Noto Sans"/>
          <w:b/>
          <w:caps/>
          <w:color w:val="B59555"/>
          <w:sz w:val="19"/>
        </w:rPr>
        <w:t xml:space="preserve">PROMISE 1  </w:t>
      </w:r>
      <w:r>
        <w:rPr>
          <w:rFonts w:ascii="Noto Serif Display" w:hAnsi="Noto Serif Display"/>
          <w:color w:val="173F37"/>
          <w:sz w:val="44"/>
        </w:rPr>
        <w:t>CLARITY</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Your mind will become sharper, calmer, and more certain.</w:t>
      </w:r>
    </w:p>
    <w:p>
      <w:pPr>
        <w:pStyle w:val="Heading2"/>
        <w:keepNext/>
      </w:pPr>
      <w:r>
        <w:rPr>
          <w:rFonts w:ascii="Noto Sans" w:hAnsi="Noto Sans"/>
          <w:color w:val="A55E3B"/>
          <w:sz w:val="27"/>
        </w:rPr>
        <w:t>Why It Matters</w:t>
      </w:r>
    </w:p>
    <w:p>
      <w:r>
        <w:rPr>
          <w:rFonts w:ascii="Noto Serif" w:hAnsi="Noto Serif"/>
          <w:color w:val="202522"/>
          <w:sz w:val="20"/>
        </w:rPr>
        <w:t xml:space="preserve">Cognitive function and emotional regulation are foundational capabilities for every other dimension of wellbeing. The 2026 </w:t>
      </w:r>
      <w:r>
        <w:rPr>
          <w:rFonts w:ascii="Noto Serif" w:hAnsi="Noto Serif"/>
          <w:i/>
          <w:color w:val="202522"/>
          <w:sz w:val="20"/>
        </w:rPr>
        <w:t>Nature Mental Health</w:t>
      </w:r>
      <w:r>
        <w:rPr>
          <w:rFonts w:ascii="Noto Serif" w:hAnsi="Noto Serif"/>
          <w:color w:val="202522"/>
          <w:sz w:val="20"/>
        </w:rPr>
        <w:t xml:space="preserve"> consensus study identified self-acceptance and life satisfaction - both dependent on cognitive clarity - among the most essential dimensions of positive mental health. Neuroscience research associated with Richard Davidson further suggests that attention, regulation, and resilience are trainable capacities.</w:t>
      </w:r>
      <w:r>
        <w:rPr>
          <w:rFonts w:ascii="Noto Sans" w:hAnsi="Noto Sans"/>
          <w:color w:val="A55E3B"/>
          <w:sz w:val="15"/>
          <w:vertAlign w:val="superscript"/>
        </w:rPr>
        <w:t>12</w:t>
      </w:r>
      <w:r>
        <w:rPr>
          <w:rFonts w:ascii="Noto Sans" w:hAnsi="Noto Sans"/>
          <w:color w:val="A55E3B"/>
          <w:sz w:val="15"/>
          <w:vertAlign w:val="superscript"/>
        </w:rPr>
        <w:t>21</w:t>
      </w:r>
    </w:p>
    <w:p>
      <w:pPr>
        <w:pStyle w:val="Heading2"/>
        <w:keepNext/>
      </w:pPr>
      <w:r>
        <w:rPr>
          <w:rFonts w:ascii="Noto Sans" w:hAnsi="Noto Sans"/>
          <w:color w:val="A55E3B"/>
          <w:sz w:val="27"/>
        </w:rPr>
        <w:t>Supporting Research</w:t>
      </w:r>
    </w:p>
    <w:p>
      <w:r>
        <w:rPr>
          <w:rFonts w:ascii="Noto Serif" w:hAnsi="Noto Serif"/>
          <w:color w:val="202522"/>
          <w:sz w:val="20"/>
        </w:rPr>
        <w:t>Research into neuroplasticity and contemplative practice indicates that meditation may influence pathways associated with stress regulation, inflammation, and immunity. Purpose in life has also been associated with protection against cognitive decline in longitudinal research.</w:t>
      </w:r>
      <w:r>
        <w:rPr>
          <w:rFonts w:ascii="Noto Sans" w:hAnsi="Noto Sans"/>
          <w:color w:val="A55E3B"/>
          <w:sz w:val="15"/>
          <w:vertAlign w:val="superscript"/>
        </w:rPr>
        <w:t>40</w:t>
      </w:r>
      <w:r>
        <w:rPr>
          <w:rFonts w:ascii="Noto Sans" w:hAnsi="Noto Sans"/>
          <w:color w:val="A55E3B"/>
          <w:sz w:val="15"/>
          <w:vertAlign w:val="superscript"/>
        </w:rPr>
        <w:t>21</w:t>
      </w:r>
    </w:p>
    <w:p>
      <w:pPr>
        <w:pStyle w:val="Heading2"/>
        <w:keepNext/>
      </w:pPr>
      <w:r>
        <w:rPr>
          <w:rFonts w:ascii="Noto Sans" w:hAnsi="Noto Sans"/>
          <w:color w:val="A55E3B"/>
          <w:sz w:val="27"/>
        </w:rPr>
        <w:t>Illustrative Experiences</w:t>
      </w:r>
    </w:p>
    <w:p>
      <w:pPr>
        <w:pStyle w:val="ListBullet"/>
      </w:pPr>
      <w:r>
        <w:rPr>
          <w:rFonts w:ascii="Noto Serif" w:hAnsi="Noto Serif"/>
          <w:color w:val="202522"/>
          <w:sz w:val="20"/>
        </w:rPr>
        <w:t>Structured mindfulness programmes at Tri Vananda</w:t>
      </w:r>
    </w:p>
    <w:p>
      <w:pPr>
        <w:pStyle w:val="ListBullet"/>
      </w:pPr>
      <w:r>
        <w:rPr>
          <w:rFonts w:ascii="Noto Serif" w:hAnsi="Noto Serif"/>
          <w:color w:val="202522"/>
          <w:sz w:val="20"/>
        </w:rPr>
        <w:t>Cognitive-health assessments</w:t>
      </w:r>
    </w:p>
    <w:p>
      <w:pPr>
        <w:pStyle w:val="ListBullet"/>
      </w:pPr>
      <w:r>
        <w:rPr>
          <w:rFonts w:ascii="Noto Serif" w:hAnsi="Noto Serif"/>
          <w:color w:val="202522"/>
          <w:sz w:val="20"/>
        </w:rPr>
        <w:t>Contemplative retreats at Trisara</w:t>
      </w:r>
    </w:p>
    <w:p>
      <w:pPr>
        <w:pStyle w:val="ListBullet"/>
      </w:pPr>
      <w:r>
        <w:rPr>
          <w:rFonts w:ascii="Noto Serif" w:hAnsi="Noto Serif"/>
          <w:color w:val="202522"/>
          <w:sz w:val="20"/>
        </w:rPr>
        <w:t>PATAMA digital tools for daily mental training</w:t>
      </w:r>
    </w:p>
    <w:p>
      <w:pPr>
        <w:pStyle w:val="Heading2"/>
        <w:keepNext/>
      </w:pPr>
      <w:r>
        <w:rPr>
          <w:rFonts w:ascii="Noto Sans" w:hAnsi="Noto Sans"/>
          <w:color w:val="A55E3B"/>
          <w:sz w:val="27"/>
        </w:rPr>
        <w:t>Daily Practices</w:t>
      </w:r>
    </w:p>
    <w:p>
      <w:pPr>
        <w:pStyle w:val="ListBullet"/>
      </w:pPr>
      <w:r>
        <w:rPr>
          <w:rFonts w:ascii="Noto Serif" w:hAnsi="Noto Serif"/>
          <w:color w:val="202522"/>
          <w:sz w:val="20"/>
        </w:rPr>
        <w:t>A daily 20-minute mindfulness practice</w:t>
      </w:r>
    </w:p>
    <w:p>
      <w:pPr>
        <w:pStyle w:val="ListBullet"/>
      </w:pPr>
      <w:r>
        <w:rPr>
          <w:rFonts w:ascii="Noto Serif" w:hAnsi="Noto Serif"/>
          <w:color w:val="202522"/>
          <w:sz w:val="20"/>
        </w:rPr>
        <w:t>Reflective journalling</w:t>
      </w:r>
    </w:p>
    <w:p>
      <w:pPr>
        <w:pStyle w:val="ListBullet"/>
      </w:pPr>
      <w:r>
        <w:rPr>
          <w:rFonts w:ascii="Noto Serif" w:hAnsi="Noto Serif"/>
          <w:color w:val="202522"/>
          <w:sz w:val="20"/>
        </w:rPr>
        <w:t>Periodic digital-detox windows</w:t>
      </w:r>
    </w:p>
    <w:p>
      <w:pPr>
        <w:pStyle w:val="ListBullet"/>
      </w:pPr>
      <w:r>
        <w:rPr>
          <w:rFonts w:ascii="Noto Serif" w:hAnsi="Noto Serif"/>
          <w:color w:val="202522"/>
          <w:sz w:val="20"/>
        </w:rPr>
        <w:t>Sleep optimisation</w:t>
      </w:r>
    </w:p>
    <w:p>
      <w:pPr>
        <w:pStyle w:val="Heading2"/>
        <w:keepNext/>
      </w:pPr>
      <w:r>
        <w:rPr>
          <w:rFonts w:ascii="Noto Sans" w:hAnsi="Noto Sans"/>
          <w:color w:val="A55E3B"/>
          <w:sz w:val="27"/>
        </w:rPr>
        <w:t>Suggested Measures</w:t>
      </w:r>
    </w:p>
    <w:p>
      <w:pPr>
        <w:pStyle w:val="ListBullet"/>
      </w:pPr>
      <w:r>
        <w:rPr>
          <w:rFonts w:ascii="Noto Serif" w:hAnsi="Noto Serif"/>
          <w:color w:val="202522"/>
          <w:sz w:val="20"/>
        </w:rPr>
        <w:t>Cognitive-vitality assessment at 12-month intervals</w:t>
      </w:r>
    </w:p>
    <w:p>
      <w:pPr>
        <w:pStyle w:val="ListBullet"/>
      </w:pPr>
      <w:r>
        <w:rPr>
          <w:rFonts w:ascii="Noto Serif" w:hAnsi="Noto Serif"/>
          <w:color w:val="202522"/>
          <w:sz w:val="20"/>
        </w:rPr>
        <w:t>A 20% reduction in Perceived Stress Scale score within six months of enrolment</w:t>
      </w:r>
    </w:p>
    <w:p>
      <w:pPr>
        <w:spacing w:before="140" w:after="140"/>
        <w:pBdr>
          <w:bottom w:val="single" w:sz="6" w:space="1" w:color="CFC6B4"/>
        </w:pBdr>
      </w:pPr>
    </w:p>
    <w:p>
      <w:pPr>
        <w:pStyle w:val="PromiseTitle"/>
        <w:pageBreakBefore/>
        <w:spacing w:before="240" w:after="160"/>
        <w:pBdr>
          <w:bottom w:val="single" w:sz="10" w:space="5" w:color="B59555"/>
        </w:pBdr>
      </w:pPr>
      <w:r>
        <w:rPr>
          <w:rFonts w:ascii="Noto Sans" w:hAnsi="Noto Sans"/>
          <w:b/>
          <w:caps/>
          <w:color w:val="B59555"/>
          <w:sz w:val="19"/>
        </w:rPr>
        <w:t xml:space="preserve">PROMISE 2  </w:t>
      </w:r>
      <w:r>
        <w:rPr>
          <w:rFonts w:ascii="Noto Serif Display" w:hAnsi="Noto Serif Display"/>
          <w:color w:val="173F37"/>
          <w:sz w:val="44"/>
        </w:rPr>
        <w:t>VITALITY</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Your body will function at its best - energised, strong, and biologically younger.</w:t>
      </w:r>
    </w:p>
    <w:p>
      <w:pPr>
        <w:pStyle w:val="Heading2"/>
        <w:keepNext/>
      </w:pPr>
      <w:r>
        <w:rPr>
          <w:rFonts w:ascii="Noto Sans" w:hAnsi="Noto Sans"/>
          <w:color w:val="A55E3B"/>
          <w:sz w:val="27"/>
        </w:rPr>
        <w:t>Why It Matters</w:t>
      </w:r>
    </w:p>
    <w:p>
      <w:r>
        <w:rPr>
          <w:rFonts w:ascii="Noto Serif" w:hAnsi="Noto Serif"/>
          <w:color w:val="202522"/>
          <w:sz w:val="20"/>
        </w:rPr>
        <w:t>Physical vitality is the foundation on which all other dimensions depend. PERMA-V adds Vitality as an essential element because engagement, relationships, meaning, and achievement are all constrained when physical energy fails. Epigenetic research suggests that lifestyle habits - including nutrition, movement, and sleep - can influence gene expression and markers associated with biological ageing.</w:t>
      </w:r>
      <w:r>
        <w:rPr>
          <w:rFonts w:ascii="Noto Sans" w:hAnsi="Noto Sans"/>
          <w:color w:val="A55E3B"/>
          <w:sz w:val="15"/>
          <w:vertAlign w:val="superscript"/>
        </w:rPr>
        <w:t>41</w:t>
      </w:r>
      <w:r>
        <w:rPr>
          <w:rFonts w:ascii="Noto Sans" w:hAnsi="Noto Sans"/>
          <w:color w:val="A55E3B"/>
          <w:sz w:val="15"/>
          <w:vertAlign w:val="superscript"/>
        </w:rPr>
        <w:t>42</w:t>
      </w:r>
      <w:r>
        <w:rPr>
          <w:rFonts w:ascii="Noto Sans" w:hAnsi="Noto Sans"/>
          <w:color w:val="A55E3B"/>
          <w:sz w:val="15"/>
          <w:vertAlign w:val="superscript"/>
        </w:rPr>
        <w:t>43</w:t>
      </w:r>
      <w:r>
        <w:rPr>
          <w:rFonts w:ascii="Noto Sans" w:hAnsi="Noto Sans"/>
          <w:color w:val="A55E3B"/>
          <w:sz w:val="15"/>
          <w:vertAlign w:val="superscript"/>
        </w:rPr>
        <w:t>24</w:t>
      </w:r>
      <w:r>
        <w:rPr>
          <w:rFonts w:ascii="Noto Sans" w:hAnsi="Noto Sans"/>
          <w:color w:val="A55E3B"/>
          <w:sz w:val="15"/>
          <w:vertAlign w:val="superscript"/>
        </w:rPr>
        <w:t>25</w:t>
      </w:r>
      <w:r>
        <w:rPr>
          <w:rFonts w:ascii="Noto Sans" w:hAnsi="Noto Sans"/>
          <w:color w:val="A55E3B"/>
          <w:sz w:val="15"/>
          <w:vertAlign w:val="superscript"/>
        </w:rPr>
        <w:t>44</w:t>
      </w:r>
    </w:p>
    <w:p>
      <w:pPr>
        <w:pStyle w:val="Heading2"/>
        <w:keepNext/>
      </w:pPr>
      <w:r>
        <w:rPr>
          <w:rFonts w:ascii="Noto Sans" w:hAnsi="Noto Sans"/>
          <w:color w:val="A55E3B"/>
          <w:sz w:val="27"/>
        </w:rPr>
        <w:t>Supporting Research</w:t>
      </w:r>
    </w:p>
    <w:p>
      <w:r>
        <w:rPr>
          <w:rFonts w:ascii="Noto Serif" w:hAnsi="Noto Serif"/>
          <w:color w:val="202522"/>
          <w:sz w:val="20"/>
        </w:rPr>
        <w:t>The six pillars of Lifestyle Medicine, aligned with the American College of Lifestyle Medicine, are associated with meaningful outcomes in the prevention and management of cardiovascular disease, type 2 diabetes, and obesity. Physical activity has also been associated with younger biological age as measured by epigenetic clocks.</w:t>
      </w:r>
      <w:r>
        <w:rPr>
          <w:rFonts w:ascii="Noto Sans" w:hAnsi="Noto Sans"/>
          <w:color w:val="A55E3B"/>
          <w:sz w:val="15"/>
          <w:vertAlign w:val="superscript"/>
        </w:rPr>
        <w:t>23</w:t>
      </w:r>
      <w:r>
        <w:rPr>
          <w:rFonts w:ascii="Noto Sans" w:hAnsi="Noto Sans"/>
          <w:color w:val="A55E3B"/>
          <w:sz w:val="15"/>
          <w:vertAlign w:val="superscript"/>
        </w:rPr>
        <w:t>25</w:t>
      </w:r>
      <w:r>
        <w:rPr>
          <w:rFonts w:ascii="Noto Sans" w:hAnsi="Noto Sans"/>
          <w:color w:val="A55E3B"/>
          <w:sz w:val="15"/>
          <w:vertAlign w:val="superscript"/>
        </w:rPr>
        <w:t>16</w:t>
      </w:r>
    </w:p>
    <w:p>
      <w:pPr>
        <w:pStyle w:val="Heading2"/>
        <w:keepNext/>
      </w:pPr>
      <w:r>
        <w:rPr>
          <w:rFonts w:ascii="Noto Sans" w:hAnsi="Noto Sans"/>
          <w:color w:val="A55E3B"/>
          <w:sz w:val="27"/>
        </w:rPr>
        <w:t>Illustrative Experiences</w:t>
      </w:r>
    </w:p>
    <w:p>
      <w:pPr>
        <w:pStyle w:val="ListBullet"/>
      </w:pPr>
      <w:r>
        <w:rPr>
          <w:rFonts w:ascii="Noto Serif" w:hAnsi="Noto Serif"/>
          <w:color w:val="202522"/>
          <w:sz w:val="20"/>
        </w:rPr>
        <w:t>Functional-medicine programmes at Tri Vananda with Clinique La Prairie</w:t>
      </w:r>
    </w:p>
    <w:p>
      <w:pPr>
        <w:pStyle w:val="ListBullet"/>
      </w:pPr>
      <w:r>
        <w:rPr>
          <w:rFonts w:ascii="Noto Serif" w:hAnsi="Noto Serif"/>
          <w:color w:val="202522"/>
          <w:sz w:val="20"/>
        </w:rPr>
        <w:t>PRU's nutrition-led cuisine</w:t>
      </w:r>
    </w:p>
    <w:p>
      <w:pPr>
        <w:pStyle w:val="ListBullet"/>
      </w:pPr>
      <w:r>
        <w:rPr>
          <w:rFonts w:ascii="Noto Serif" w:hAnsi="Noto Serif"/>
          <w:color w:val="202522"/>
          <w:sz w:val="20"/>
        </w:rPr>
        <w:t>Trisara's movement offerings, including yoga, Muay Thai, and swimming</w:t>
      </w:r>
      <w:r>
        <w:rPr>
          <w:rFonts w:ascii="Noto Sans" w:hAnsi="Noto Sans"/>
          <w:color w:val="A55E3B"/>
          <w:sz w:val="15"/>
          <w:vertAlign w:val="superscript"/>
        </w:rPr>
        <w:t>45</w:t>
      </w:r>
      <w:r>
        <w:rPr>
          <w:rFonts w:ascii="Noto Sans" w:hAnsi="Noto Sans"/>
          <w:color w:val="A55E3B"/>
          <w:sz w:val="15"/>
          <w:vertAlign w:val="superscript"/>
        </w:rPr>
        <w:t>46</w:t>
      </w:r>
    </w:p>
    <w:p>
      <w:pPr>
        <w:pStyle w:val="Heading2"/>
        <w:keepNext/>
      </w:pPr>
      <w:r>
        <w:rPr>
          <w:rFonts w:ascii="Noto Sans" w:hAnsi="Noto Sans"/>
          <w:color w:val="A55E3B"/>
          <w:sz w:val="27"/>
        </w:rPr>
        <w:t>Daily Practices</w:t>
      </w:r>
    </w:p>
    <w:p>
      <w:pPr>
        <w:pStyle w:val="ListBullet"/>
      </w:pPr>
      <w:r>
        <w:rPr>
          <w:rFonts w:ascii="Noto Serif" w:hAnsi="Noto Serif"/>
          <w:color w:val="202522"/>
          <w:sz w:val="20"/>
        </w:rPr>
        <w:t>Daily movement</w:t>
      </w:r>
    </w:p>
    <w:p>
      <w:pPr>
        <w:pStyle w:val="ListBullet"/>
      </w:pPr>
      <w:r>
        <w:rPr>
          <w:rFonts w:ascii="Noto Serif" w:hAnsi="Noto Serif"/>
          <w:color w:val="202522"/>
          <w:sz w:val="20"/>
        </w:rPr>
        <w:t>Plant-forward eating</w:t>
      </w:r>
    </w:p>
    <w:p>
      <w:pPr>
        <w:pStyle w:val="ListBullet"/>
      </w:pPr>
      <w:r>
        <w:rPr>
          <w:rFonts w:ascii="Noto Serif" w:hAnsi="Noto Serif"/>
          <w:color w:val="202522"/>
          <w:sz w:val="20"/>
        </w:rPr>
        <w:t>Sleep-hygiene protocols</w:t>
      </w:r>
    </w:p>
    <w:p>
      <w:pPr>
        <w:pStyle w:val="ListBullet"/>
      </w:pPr>
      <w:r>
        <w:rPr>
          <w:rFonts w:ascii="Noto Serif" w:hAnsi="Noto Serif"/>
          <w:color w:val="202522"/>
          <w:sz w:val="20"/>
        </w:rPr>
        <w:t>Annual biological-age assessment</w:t>
      </w:r>
    </w:p>
    <w:p>
      <w:pPr>
        <w:pStyle w:val="Heading2"/>
        <w:keepNext/>
      </w:pPr>
      <w:r>
        <w:rPr>
          <w:rFonts w:ascii="Noto Sans" w:hAnsi="Noto Sans"/>
          <w:color w:val="A55E3B"/>
          <w:sz w:val="27"/>
        </w:rPr>
        <w:t>Suggested Measures</w:t>
      </w:r>
    </w:p>
    <w:p>
      <w:pPr>
        <w:pStyle w:val="ListBullet"/>
      </w:pPr>
      <w:r>
        <w:rPr>
          <w:rFonts w:ascii="Noto Serif" w:hAnsi="Noto Serif"/>
          <w:color w:val="202522"/>
          <w:sz w:val="20"/>
        </w:rPr>
        <w:t>Reduction in biological age, subject to clinically validated methodology, over three years of active membership</w:t>
      </w:r>
    </w:p>
    <w:p>
      <w:pPr>
        <w:pStyle w:val="ListBullet"/>
      </w:pPr>
      <w:r>
        <w:rPr>
          <w:rFonts w:ascii="Noto Serif" w:hAnsi="Noto Serif"/>
          <w:color w:val="202522"/>
          <w:sz w:val="20"/>
        </w:rPr>
        <w:t>A 10% improvement in VO2 max within 12 months</w:t>
      </w:r>
    </w:p>
    <w:p>
      <w:pPr>
        <w:spacing w:before="140" w:after="140"/>
        <w:pBdr>
          <w:bottom w:val="single" w:sz="6" w:space="1" w:color="CFC6B4"/>
        </w:pBdr>
      </w:pPr>
    </w:p>
    <w:p>
      <w:pPr>
        <w:pStyle w:val="PromiseTitle"/>
        <w:pageBreakBefore/>
        <w:spacing w:before="240" w:after="160"/>
        <w:pBdr>
          <w:bottom w:val="single" w:sz="10" w:space="5" w:color="B59555"/>
        </w:pBdr>
      </w:pPr>
      <w:r>
        <w:rPr>
          <w:rFonts w:ascii="Noto Sans" w:hAnsi="Noto Sans"/>
          <w:b/>
          <w:caps/>
          <w:color w:val="B59555"/>
          <w:sz w:val="19"/>
        </w:rPr>
        <w:t xml:space="preserve">PROMISE 3  </w:t>
      </w:r>
      <w:r>
        <w:rPr>
          <w:rFonts w:ascii="Noto Serif Display" w:hAnsi="Noto Serif Display"/>
          <w:color w:val="173F37"/>
          <w:sz w:val="44"/>
        </w:rPr>
        <w:t>SERENITY</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You will develop an enduring, practised capacity to face life's pressures without being defined by them.</w:t>
      </w:r>
    </w:p>
    <w:p>
      <w:pPr>
        <w:pStyle w:val="Heading2"/>
        <w:keepNext/>
      </w:pPr>
      <w:r>
        <w:rPr>
          <w:rFonts w:ascii="Noto Sans" w:hAnsi="Noto Sans"/>
          <w:color w:val="A55E3B"/>
          <w:sz w:val="27"/>
        </w:rPr>
        <w:t>Why It Matters</w:t>
      </w:r>
    </w:p>
    <w:p>
      <w:r>
        <w:rPr>
          <w:rFonts w:ascii="Noto Serif" w:hAnsi="Noto Serif"/>
          <w:color w:val="202522"/>
          <w:sz w:val="20"/>
        </w:rPr>
        <w:t xml:space="preserve">Chronic stress is a documented accelerator of biological ageing and a contributing mechanism in cardiovascular disease, immune dysfunction, cognitive decline, and metabolic disorder. Aaron Antonovsky's salutogenic model identifies a </w:t>
      </w:r>
      <w:r>
        <w:rPr>
          <w:rFonts w:ascii="Noto Serif" w:hAnsi="Noto Serif"/>
          <w:i/>
          <w:color w:val="202522"/>
          <w:sz w:val="20"/>
        </w:rPr>
        <w:t>Sense of Coherence</w:t>
      </w:r>
      <w:r>
        <w:rPr>
          <w:rFonts w:ascii="Noto Serif" w:hAnsi="Noto Serif"/>
          <w:color w:val="202522"/>
          <w:sz w:val="20"/>
        </w:rPr>
        <w:t xml:space="preserve"> - the ability to comprehend, manage, and find meaning in one's circumstances - as an important resource for health. Serenity is not the absence of stress; it is the cultivated ability to return to equilibrium.</w:t>
      </w:r>
      <w:r>
        <w:rPr>
          <w:rFonts w:ascii="Noto Sans" w:hAnsi="Noto Sans"/>
          <w:color w:val="A55E3B"/>
          <w:sz w:val="15"/>
          <w:vertAlign w:val="superscript"/>
        </w:rPr>
        <w:t>33</w:t>
      </w:r>
      <w:r>
        <w:rPr>
          <w:rFonts w:ascii="Noto Sans" w:hAnsi="Noto Sans"/>
          <w:color w:val="A55E3B"/>
          <w:sz w:val="15"/>
          <w:vertAlign w:val="superscript"/>
        </w:rPr>
        <w:t>15</w:t>
      </w:r>
      <w:r>
        <w:rPr>
          <w:rFonts w:ascii="Noto Sans" w:hAnsi="Noto Sans"/>
          <w:color w:val="A55E3B"/>
          <w:sz w:val="15"/>
          <w:vertAlign w:val="superscript"/>
        </w:rPr>
        <w:t>47</w:t>
      </w:r>
      <w:r>
        <w:rPr>
          <w:rFonts w:ascii="Noto Sans" w:hAnsi="Noto Sans"/>
          <w:color w:val="A55E3B"/>
          <w:sz w:val="15"/>
          <w:vertAlign w:val="superscript"/>
        </w:rPr>
        <w:t>48</w:t>
      </w:r>
      <w:r>
        <w:rPr>
          <w:rFonts w:ascii="Noto Sans" w:hAnsi="Noto Sans"/>
          <w:color w:val="A55E3B"/>
          <w:sz w:val="15"/>
          <w:vertAlign w:val="superscript"/>
        </w:rPr>
        <w:t>16</w:t>
      </w:r>
    </w:p>
    <w:p>
      <w:pPr>
        <w:pStyle w:val="Heading2"/>
        <w:keepNext/>
      </w:pPr>
      <w:r>
        <w:rPr>
          <w:rFonts w:ascii="Noto Sans" w:hAnsi="Noto Sans"/>
          <w:color w:val="A55E3B"/>
          <w:sz w:val="27"/>
        </w:rPr>
        <w:t>Supporting Research</w:t>
      </w:r>
    </w:p>
    <w:p>
      <w:r>
        <w:rPr>
          <w:rFonts w:ascii="Noto Serif" w:hAnsi="Noto Serif"/>
          <w:color w:val="202522"/>
          <w:sz w:val="20"/>
        </w:rPr>
        <w:t>Blue Zones research observes daily stress-shedding rituals among long-lived communities: not the elimination of stress, but regular practices that downregulate the stress response. Meditation research also suggests that biological changes can occur after even relatively short periods of intensive practice.</w:t>
      </w:r>
      <w:r>
        <w:rPr>
          <w:rFonts w:ascii="Noto Sans" w:hAnsi="Noto Sans"/>
          <w:color w:val="A55E3B"/>
          <w:sz w:val="15"/>
          <w:vertAlign w:val="superscript"/>
        </w:rPr>
        <w:t>49</w:t>
      </w:r>
      <w:r>
        <w:rPr>
          <w:rFonts w:ascii="Noto Sans" w:hAnsi="Noto Sans"/>
          <w:color w:val="A55E3B"/>
          <w:sz w:val="15"/>
          <w:vertAlign w:val="superscript"/>
        </w:rPr>
        <w:t>33</w:t>
      </w:r>
      <w:r>
        <w:rPr>
          <w:rFonts w:ascii="Noto Sans" w:hAnsi="Noto Sans"/>
          <w:color w:val="A55E3B"/>
          <w:sz w:val="15"/>
          <w:vertAlign w:val="superscript"/>
        </w:rPr>
        <w:t>21</w:t>
      </w:r>
    </w:p>
    <w:p>
      <w:pPr>
        <w:pStyle w:val="Heading2"/>
        <w:keepNext/>
      </w:pPr>
      <w:r>
        <w:rPr>
          <w:rFonts w:ascii="Noto Sans" w:hAnsi="Noto Sans"/>
          <w:color w:val="A55E3B"/>
          <w:sz w:val="27"/>
        </w:rPr>
        <w:t>Illustrative Experiences</w:t>
      </w:r>
    </w:p>
    <w:p>
      <w:pPr>
        <w:pStyle w:val="ListBullet"/>
      </w:pPr>
      <w:r>
        <w:rPr>
          <w:rFonts w:ascii="Noto Serif" w:hAnsi="Noto Serif"/>
          <w:color w:val="202522"/>
          <w:sz w:val="20"/>
        </w:rPr>
        <w:t>Jara Spa at Trisara and its immersive healing rituals</w:t>
      </w:r>
    </w:p>
    <w:p>
      <w:pPr>
        <w:pStyle w:val="ListBullet"/>
      </w:pPr>
      <w:r>
        <w:rPr>
          <w:rFonts w:ascii="Noto Serif" w:hAnsi="Noto Serif"/>
          <w:color w:val="202522"/>
          <w:sz w:val="20"/>
        </w:rPr>
        <w:t>Tri Vananda stress-resilience programmes</w:t>
      </w:r>
    </w:p>
    <w:p>
      <w:pPr>
        <w:pStyle w:val="ListBullet"/>
      </w:pPr>
      <w:r>
        <w:rPr>
          <w:rFonts w:ascii="Noto Serif" w:hAnsi="Noto Serif"/>
          <w:color w:val="202522"/>
          <w:sz w:val="20"/>
        </w:rPr>
        <w:t>Seasonal retreats</w:t>
      </w:r>
    </w:p>
    <w:p>
      <w:pPr>
        <w:pStyle w:val="ListBullet"/>
      </w:pPr>
      <w:r>
        <w:rPr>
          <w:rFonts w:ascii="Noto Serif" w:hAnsi="Noto Serif"/>
          <w:color w:val="202522"/>
          <w:sz w:val="20"/>
        </w:rPr>
        <w:t>Biofeedback assessments</w:t>
      </w:r>
    </w:p>
    <w:p>
      <w:pPr>
        <w:pStyle w:val="Heading2"/>
        <w:keepNext/>
      </w:pPr>
      <w:r>
        <w:rPr>
          <w:rFonts w:ascii="Noto Sans" w:hAnsi="Noto Sans"/>
          <w:color w:val="A55E3B"/>
          <w:sz w:val="27"/>
        </w:rPr>
        <w:t>Daily Practices</w:t>
      </w:r>
    </w:p>
    <w:p>
      <w:pPr>
        <w:pStyle w:val="ListBullet"/>
      </w:pPr>
      <w:r>
        <w:rPr>
          <w:rFonts w:ascii="Noto Serif" w:hAnsi="Noto Serif"/>
          <w:color w:val="202522"/>
          <w:sz w:val="20"/>
        </w:rPr>
        <w:t>A personalised daily stress-release ritual</w:t>
      </w:r>
    </w:p>
    <w:p>
      <w:pPr>
        <w:pStyle w:val="ListBullet"/>
      </w:pPr>
      <w:r>
        <w:rPr>
          <w:rFonts w:ascii="Noto Serif" w:hAnsi="Noto Serif"/>
          <w:color w:val="202522"/>
          <w:sz w:val="20"/>
        </w:rPr>
        <w:t>Breathwork</w:t>
      </w:r>
    </w:p>
    <w:p>
      <w:pPr>
        <w:pStyle w:val="ListBullet"/>
      </w:pPr>
      <w:r>
        <w:rPr>
          <w:rFonts w:ascii="Noto Serif" w:hAnsi="Noto Serif"/>
          <w:color w:val="202522"/>
          <w:sz w:val="20"/>
        </w:rPr>
        <w:t>Nature immersion</w:t>
      </w:r>
    </w:p>
    <w:p>
      <w:pPr>
        <w:pStyle w:val="ListBullet"/>
      </w:pPr>
      <w:r>
        <w:rPr>
          <w:rFonts w:ascii="Noto Serif" w:hAnsi="Noto Serif"/>
          <w:color w:val="202522"/>
          <w:sz w:val="20"/>
        </w:rPr>
        <w:t>Regular massage or bodywork</w:t>
      </w:r>
    </w:p>
    <w:p>
      <w:pPr>
        <w:pStyle w:val="Heading2"/>
        <w:keepNext/>
      </w:pPr>
      <w:r>
        <w:rPr>
          <w:rFonts w:ascii="Noto Sans" w:hAnsi="Noto Sans"/>
          <w:color w:val="A55E3B"/>
          <w:sz w:val="27"/>
        </w:rPr>
        <w:t>Suggested Measures</w:t>
      </w:r>
    </w:p>
    <w:p>
      <w:pPr>
        <w:pStyle w:val="ListBullet"/>
      </w:pPr>
      <w:r>
        <w:rPr>
          <w:rFonts w:ascii="Noto Serif" w:hAnsi="Noto Serif"/>
          <w:color w:val="202522"/>
          <w:sz w:val="20"/>
        </w:rPr>
        <w:t>Reduction in relevant cortisol biomarkers, under clinical guidance</w:t>
      </w:r>
    </w:p>
    <w:p>
      <w:pPr>
        <w:pStyle w:val="ListBullet"/>
      </w:pPr>
      <w:r>
        <w:rPr>
          <w:rFonts w:ascii="Noto Serif" w:hAnsi="Noto Serif"/>
          <w:color w:val="202522"/>
          <w:sz w:val="20"/>
        </w:rPr>
        <w:t>A 15% improvement in heart-rate variability within six months, where appropriate</w:t>
      </w:r>
    </w:p>
    <w:p>
      <w:pPr>
        <w:spacing w:before="140" w:after="140"/>
        <w:pBdr>
          <w:bottom w:val="single" w:sz="6" w:space="1" w:color="CFC6B4"/>
        </w:pBdr>
      </w:pPr>
    </w:p>
    <w:p>
      <w:pPr>
        <w:pStyle w:val="PromiseTitle"/>
        <w:pageBreakBefore/>
        <w:spacing w:before="240" w:after="160"/>
        <w:pBdr>
          <w:bottom w:val="single" w:sz="10" w:space="5" w:color="B59555"/>
        </w:pBdr>
      </w:pPr>
      <w:r>
        <w:rPr>
          <w:rFonts w:ascii="Noto Sans" w:hAnsi="Noto Sans"/>
          <w:b/>
          <w:caps/>
          <w:color w:val="B59555"/>
          <w:sz w:val="19"/>
        </w:rPr>
        <w:t xml:space="preserve">PROMISE 4  </w:t>
      </w:r>
      <w:r>
        <w:rPr>
          <w:rFonts w:ascii="Noto Serif Display" w:hAnsi="Noto Serif Display"/>
          <w:color w:val="173F37"/>
          <w:sz w:val="44"/>
        </w:rPr>
        <w:t>GROWTH</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You will continue becoming - stretching, discovering, and expanding who you are - for the rest of your life.</w:t>
      </w:r>
    </w:p>
    <w:p>
      <w:pPr>
        <w:pStyle w:val="Heading2"/>
        <w:keepNext/>
      </w:pPr>
      <w:r>
        <w:rPr>
          <w:rFonts w:ascii="Noto Sans" w:hAnsi="Noto Sans"/>
          <w:color w:val="A55E3B"/>
          <w:sz w:val="27"/>
        </w:rPr>
        <w:t>Why It Matters</w:t>
      </w:r>
    </w:p>
    <w:p>
      <w:r>
        <w:rPr>
          <w:rFonts w:ascii="Noto Serif" w:hAnsi="Noto Serif"/>
          <w:color w:val="202522"/>
          <w:sz w:val="20"/>
        </w:rPr>
        <w:t>Carol Ryff's Personal Growth dimension is one of six validated components of psychological wellbeing and is distinctive because it has no clear ceiling. Self-Determination Theory identifies competence - the experience of mastery and increasing skill - as one of three universal psychological needs. Lifelong learning and new experiences are also associated with cognitive health and greater life satisfaction.</w:t>
      </w:r>
      <w:r>
        <w:rPr>
          <w:rFonts w:ascii="Noto Sans" w:hAnsi="Noto Sans"/>
          <w:color w:val="A55E3B"/>
          <w:sz w:val="15"/>
          <w:vertAlign w:val="superscript"/>
        </w:rPr>
        <w:t>37</w:t>
      </w:r>
      <w:r>
        <w:rPr>
          <w:rFonts w:ascii="Noto Sans" w:hAnsi="Noto Sans"/>
          <w:color w:val="A55E3B"/>
          <w:sz w:val="15"/>
          <w:vertAlign w:val="superscript"/>
        </w:rPr>
        <w:t>13</w:t>
      </w:r>
      <w:r>
        <w:rPr>
          <w:rFonts w:ascii="Noto Sans" w:hAnsi="Noto Sans"/>
          <w:color w:val="A55E3B"/>
          <w:sz w:val="15"/>
          <w:vertAlign w:val="superscript"/>
        </w:rPr>
        <w:t>36</w:t>
      </w:r>
      <w:r>
        <w:rPr>
          <w:rFonts w:ascii="Noto Sans" w:hAnsi="Noto Sans"/>
          <w:color w:val="A55E3B"/>
          <w:sz w:val="15"/>
          <w:vertAlign w:val="superscript"/>
        </w:rPr>
        <w:t>40</w:t>
      </w:r>
      <w:r>
        <w:rPr>
          <w:rFonts w:ascii="Noto Sans" w:hAnsi="Noto Sans"/>
          <w:color w:val="A55E3B"/>
          <w:sz w:val="15"/>
          <w:vertAlign w:val="superscript"/>
        </w:rPr>
        <w:t>5</w:t>
      </w:r>
    </w:p>
    <w:p>
      <w:pPr>
        <w:pStyle w:val="Heading2"/>
        <w:keepNext/>
      </w:pPr>
      <w:r>
        <w:rPr>
          <w:rFonts w:ascii="Noto Sans" w:hAnsi="Noto Sans"/>
          <w:color w:val="A55E3B"/>
          <w:sz w:val="27"/>
        </w:rPr>
        <w:t>Supporting Research</w:t>
      </w:r>
    </w:p>
    <w:p>
      <w:r>
        <w:rPr>
          <w:rFonts w:ascii="Noto Serif" w:hAnsi="Noto Serif"/>
          <w:color w:val="202522"/>
          <w:sz w:val="20"/>
        </w:rPr>
        <w:t xml:space="preserve">VIA Character Strengths research suggests that identifying and applying signature strengths in new ways can increase life satisfaction and engagement. The concept of </w:t>
      </w:r>
      <w:r>
        <w:rPr>
          <w:rFonts w:ascii="Noto Serif" w:hAnsi="Noto Serif"/>
          <w:i/>
          <w:color w:val="202522"/>
          <w:sz w:val="20"/>
        </w:rPr>
        <w:t>ikigai</w:t>
      </w:r>
      <w:r>
        <w:rPr>
          <w:rFonts w:ascii="Noto Serif" w:hAnsi="Noto Serif"/>
          <w:color w:val="202522"/>
          <w:sz w:val="20"/>
        </w:rPr>
        <w:t xml:space="preserve"> - a continuing Japanese philosophy of daily meaning - has been associated with lower all-cause mortality in the Ohsaki cohort study of more than 40,000 adults.</w:t>
      </w:r>
      <w:r>
        <w:rPr>
          <w:rFonts w:ascii="Noto Sans" w:hAnsi="Noto Sans"/>
          <w:color w:val="A55E3B"/>
          <w:sz w:val="15"/>
          <w:vertAlign w:val="superscript"/>
        </w:rPr>
        <w:t>34</w:t>
      </w:r>
      <w:r>
        <w:rPr>
          <w:rFonts w:ascii="Noto Sans" w:hAnsi="Noto Sans"/>
          <w:color w:val="A55E3B"/>
          <w:sz w:val="15"/>
          <w:vertAlign w:val="superscript"/>
        </w:rPr>
        <w:t>35</w:t>
      </w:r>
      <w:r>
        <w:rPr>
          <w:rFonts w:ascii="Noto Sans" w:hAnsi="Noto Sans"/>
          <w:color w:val="A55E3B"/>
          <w:sz w:val="15"/>
          <w:vertAlign w:val="superscript"/>
        </w:rPr>
        <w:t>50</w:t>
      </w:r>
      <w:r>
        <w:rPr>
          <w:rFonts w:ascii="Noto Sans" w:hAnsi="Noto Sans"/>
          <w:color w:val="A55E3B"/>
          <w:sz w:val="15"/>
          <w:vertAlign w:val="superscript"/>
        </w:rPr>
        <w:t>51</w:t>
      </w:r>
    </w:p>
    <w:p>
      <w:pPr>
        <w:pStyle w:val="Heading2"/>
        <w:keepNext/>
      </w:pPr>
      <w:r>
        <w:rPr>
          <w:rFonts w:ascii="Noto Sans" w:hAnsi="Noto Sans"/>
          <w:color w:val="A55E3B"/>
          <w:sz w:val="27"/>
        </w:rPr>
        <w:t>Illustrative Experiences</w:t>
      </w:r>
    </w:p>
    <w:p>
      <w:pPr>
        <w:pStyle w:val="ListBullet"/>
      </w:pPr>
      <w:r>
        <w:rPr>
          <w:rFonts w:ascii="Noto Serif" w:hAnsi="Noto Serif"/>
          <w:color w:val="202522"/>
          <w:sz w:val="20"/>
        </w:rPr>
        <w:t>Masterclasses and skill residencies at Tri Vananda</w:t>
      </w:r>
    </w:p>
    <w:p>
      <w:pPr>
        <w:pStyle w:val="ListBullet"/>
      </w:pPr>
      <w:r>
        <w:rPr>
          <w:rFonts w:ascii="Noto Serif" w:hAnsi="Noto Serif"/>
          <w:color w:val="202522"/>
          <w:sz w:val="20"/>
        </w:rPr>
        <w:t>PATAMA Learning Library</w:t>
      </w:r>
    </w:p>
    <w:p>
      <w:pPr>
        <w:pStyle w:val="ListBullet"/>
      </w:pPr>
      <w:r>
        <w:rPr>
          <w:rFonts w:ascii="Noto Serif" w:hAnsi="Noto Serif"/>
          <w:color w:val="202522"/>
          <w:sz w:val="20"/>
        </w:rPr>
        <w:t>Cultural-immersion experiences</w:t>
      </w:r>
    </w:p>
    <w:p>
      <w:pPr>
        <w:pStyle w:val="ListBullet"/>
      </w:pPr>
      <w:r>
        <w:rPr>
          <w:rFonts w:ascii="Noto Serif" w:hAnsi="Noto Serif"/>
          <w:color w:val="202522"/>
          <w:sz w:val="20"/>
        </w:rPr>
        <w:t>Creative workshops</w:t>
      </w:r>
    </w:p>
    <w:p>
      <w:pPr>
        <w:pStyle w:val="ListBullet"/>
      </w:pPr>
      <w:r>
        <w:rPr>
          <w:rFonts w:ascii="Noto Serif" w:hAnsi="Noto Serif"/>
          <w:color w:val="202522"/>
          <w:sz w:val="20"/>
        </w:rPr>
        <w:t>Expert-in-residence programmes</w:t>
      </w:r>
    </w:p>
    <w:p>
      <w:pPr>
        <w:pStyle w:val="Heading2"/>
        <w:keepNext/>
      </w:pPr>
      <w:r>
        <w:rPr>
          <w:rFonts w:ascii="Noto Sans" w:hAnsi="Noto Sans"/>
          <w:color w:val="A55E3B"/>
          <w:sz w:val="27"/>
        </w:rPr>
        <w:t>Daily Practices</w:t>
      </w:r>
    </w:p>
    <w:p>
      <w:pPr>
        <w:pStyle w:val="ListBullet"/>
      </w:pPr>
      <w:r>
        <w:rPr>
          <w:rFonts w:ascii="Noto Serif" w:hAnsi="Noto Serif"/>
          <w:color w:val="202522"/>
          <w:sz w:val="20"/>
        </w:rPr>
        <w:t>Weekly engagement with a meaningful learning challenge</w:t>
      </w:r>
    </w:p>
    <w:p>
      <w:pPr>
        <w:pStyle w:val="ListBullet"/>
      </w:pPr>
      <w:r>
        <w:rPr>
          <w:rFonts w:ascii="Noto Serif" w:hAnsi="Noto Serif"/>
          <w:color w:val="202522"/>
          <w:sz w:val="20"/>
        </w:rPr>
        <w:t>Application of personal character-strength assessments</w:t>
      </w:r>
    </w:p>
    <w:p>
      <w:pPr>
        <w:pStyle w:val="ListBullet"/>
      </w:pPr>
      <w:r>
        <w:rPr>
          <w:rFonts w:ascii="Noto Serif" w:hAnsi="Noto Serif"/>
          <w:color w:val="202522"/>
          <w:sz w:val="20"/>
        </w:rPr>
        <w:t>Reflection on personal growth edges</w:t>
      </w:r>
    </w:p>
    <w:p>
      <w:pPr>
        <w:pStyle w:val="Heading2"/>
        <w:keepNext/>
      </w:pPr>
      <w:r>
        <w:rPr>
          <w:rFonts w:ascii="Noto Sans" w:hAnsi="Noto Sans"/>
          <w:color w:val="A55E3B"/>
          <w:sz w:val="27"/>
        </w:rPr>
        <w:t>Suggested Measures</w:t>
      </w:r>
    </w:p>
    <w:p>
      <w:pPr>
        <w:pStyle w:val="ListBullet"/>
      </w:pPr>
      <w:r>
        <w:rPr>
          <w:rFonts w:ascii="Noto Serif" w:hAnsi="Noto Serif"/>
          <w:color w:val="202522"/>
          <w:sz w:val="20"/>
        </w:rPr>
        <w:t>Annual score on Ryff's Personal Growth subscale</w:t>
      </w:r>
    </w:p>
    <w:p>
      <w:pPr>
        <w:pStyle w:val="ListBullet"/>
      </w:pPr>
      <w:r>
        <w:rPr>
          <w:rFonts w:ascii="Noto Serif" w:hAnsi="Noto Serif"/>
          <w:color w:val="202522"/>
          <w:sz w:val="20"/>
        </w:rPr>
        <w:t>Three self-defined, meaningful learning milestones per year</w:t>
      </w:r>
    </w:p>
    <w:p>
      <w:pPr>
        <w:spacing w:before="140" w:after="140"/>
        <w:pBdr>
          <w:bottom w:val="single" w:sz="6" w:space="1" w:color="CFC6B4"/>
        </w:pBdr>
      </w:pPr>
    </w:p>
    <w:p>
      <w:pPr>
        <w:pStyle w:val="PromiseTitle"/>
        <w:pageBreakBefore/>
        <w:spacing w:before="240" w:after="160"/>
        <w:pBdr>
          <w:bottom w:val="single" w:sz="10" w:space="5" w:color="B59555"/>
        </w:pBdr>
      </w:pPr>
      <w:r>
        <w:rPr>
          <w:rFonts w:ascii="Noto Sans" w:hAnsi="Noto Sans"/>
          <w:b/>
          <w:caps/>
          <w:color w:val="B59555"/>
          <w:sz w:val="19"/>
        </w:rPr>
        <w:t xml:space="preserve">PROMISE 5  </w:t>
      </w:r>
      <w:r>
        <w:rPr>
          <w:rFonts w:ascii="Noto Serif Display" w:hAnsi="Noto Serif Display"/>
          <w:color w:val="173F37"/>
          <w:sz w:val="44"/>
        </w:rPr>
        <w:t>BELONGING</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You will be held by a community that makes you stronger, healthier, and more alive.</w:t>
      </w:r>
    </w:p>
    <w:p>
      <w:pPr>
        <w:pStyle w:val="Heading2"/>
        <w:keepNext/>
      </w:pPr>
      <w:r>
        <w:rPr>
          <w:rFonts w:ascii="Noto Sans" w:hAnsi="Noto Sans"/>
          <w:color w:val="A55E3B"/>
          <w:sz w:val="27"/>
        </w:rPr>
        <w:t>Why It Matters</w:t>
      </w:r>
    </w:p>
    <w:p>
      <w:r>
        <w:rPr>
          <w:rFonts w:ascii="Noto Serif" w:hAnsi="Noto Serif"/>
          <w:color w:val="202522"/>
          <w:sz w:val="20"/>
        </w:rPr>
        <w:t>The Harvard Study of Adult Development reaches a consistent conclusion: good relationships are closely associated with happiness and health. People with strong social connections tend to live longer, have better cardiovascular outcomes, and demonstrate slower cognitive decline. Social isolation is therefore not simply an emotional concern; it is a material health risk.</w:t>
      </w:r>
      <w:r>
        <w:rPr>
          <w:rFonts w:ascii="Noto Sans" w:hAnsi="Noto Sans"/>
          <w:color w:val="A55E3B"/>
          <w:sz w:val="15"/>
          <w:vertAlign w:val="superscript"/>
        </w:rPr>
        <w:t>29</w:t>
      </w:r>
      <w:r>
        <w:rPr>
          <w:rFonts w:ascii="Noto Sans" w:hAnsi="Noto Sans"/>
          <w:color w:val="A55E3B"/>
          <w:sz w:val="15"/>
          <w:vertAlign w:val="superscript"/>
        </w:rPr>
        <w:t>17</w:t>
      </w:r>
      <w:r>
        <w:rPr>
          <w:rFonts w:ascii="Noto Sans" w:hAnsi="Noto Sans"/>
          <w:color w:val="A55E3B"/>
          <w:sz w:val="15"/>
          <w:vertAlign w:val="superscript"/>
        </w:rPr>
        <w:t>31</w:t>
      </w:r>
      <w:r>
        <w:rPr>
          <w:rFonts w:ascii="Noto Sans" w:hAnsi="Noto Sans"/>
          <w:color w:val="A55E3B"/>
          <w:sz w:val="15"/>
          <w:vertAlign w:val="superscript"/>
        </w:rPr>
        <w:t>52</w:t>
      </w:r>
      <w:r>
        <w:rPr>
          <w:rFonts w:ascii="Noto Sans" w:hAnsi="Noto Sans"/>
          <w:color w:val="A55E3B"/>
          <w:sz w:val="15"/>
          <w:vertAlign w:val="superscript"/>
        </w:rPr>
        <w:t>23</w:t>
      </w:r>
    </w:p>
    <w:p>
      <w:pPr>
        <w:pStyle w:val="Heading2"/>
        <w:keepNext/>
      </w:pPr>
      <w:r>
        <w:rPr>
          <w:rFonts w:ascii="Noto Sans" w:hAnsi="Noto Sans"/>
          <w:color w:val="A55E3B"/>
          <w:sz w:val="27"/>
        </w:rPr>
        <w:t>Supporting Research</w:t>
      </w:r>
    </w:p>
    <w:p>
      <w:r>
        <w:rPr>
          <w:rFonts w:ascii="Noto Serif" w:hAnsi="Noto Serif"/>
          <w:color w:val="202522"/>
          <w:sz w:val="20"/>
        </w:rPr>
        <w:t xml:space="preserve">Blue Zones research identifies community structures - such as Okinawan </w:t>
      </w:r>
      <w:r>
        <w:rPr>
          <w:rFonts w:ascii="Noto Serif" w:hAnsi="Noto Serif"/>
          <w:i/>
          <w:color w:val="202522"/>
          <w:sz w:val="20"/>
        </w:rPr>
        <w:t>moais</w:t>
      </w:r>
      <w:r>
        <w:rPr>
          <w:rFonts w:ascii="Noto Serif" w:hAnsi="Noto Serif"/>
          <w:color w:val="202522"/>
          <w:sz w:val="20"/>
        </w:rPr>
        <w:t>, Sardinian social rituals, and faith-based community participation - as recurring features of longevity. Social-prescribing research in the United Kingdom has also reported statistically significant improvements in wellbeing among individuals connected to community activities.</w:t>
      </w:r>
      <w:r>
        <w:rPr>
          <w:rFonts w:ascii="Noto Sans" w:hAnsi="Noto Sans"/>
          <w:color w:val="A55E3B"/>
          <w:sz w:val="15"/>
          <w:vertAlign w:val="superscript"/>
        </w:rPr>
        <w:t>28</w:t>
      </w:r>
      <w:r>
        <w:rPr>
          <w:rFonts w:ascii="Noto Sans" w:hAnsi="Noto Sans"/>
          <w:color w:val="A55E3B"/>
          <w:sz w:val="15"/>
          <w:vertAlign w:val="superscript"/>
        </w:rPr>
        <w:t>49</w:t>
      </w:r>
      <w:r>
        <w:rPr>
          <w:rFonts w:ascii="Noto Sans" w:hAnsi="Noto Sans"/>
          <w:color w:val="A55E3B"/>
          <w:sz w:val="15"/>
          <w:vertAlign w:val="superscript"/>
        </w:rPr>
        <w:t>33</w:t>
      </w:r>
    </w:p>
    <w:p>
      <w:pPr>
        <w:pStyle w:val="Heading2"/>
        <w:keepNext/>
      </w:pPr>
      <w:r>
        <w:rPr>
          <w:rFonts w:ascii="Noto Sans" w:hAnsi="Noto Sans"/>
          <w:color w:val="A55E3B"/>
          <w:sz w:val="27"/>
        </w:rPr>
        <w:t>Illustrative Experiences</w:t>
      </w:r>
    </w:p>
    <w:p>
      <w:pPr>
        <w:pStyle w:val="ListBullet"/>
      </w:pPr>
      <w:r>
        <w:rPr>
          <w:rFonts w:ascii="Noto Serif" w:hAnsi="Noto Serif"/>
          <w:color w:val="202522"/>
          <w:sz w:val="20"/>
        </w:rPr>
        <w:t>PATAMA Membership community programming</w:t>
      </w:r>
    </w:p>
    <w:p>
      <w:pPr>
        <w:pStyle w:val="ListBullet"/>
      </w:pPr>
      <w:r>
        <w:rPr>
          <w:rFonts w:ascii="Noto Serif" w:hAnsi="Noto Serif"/>
          <w:color w:val="202522"/>
          <w:sz w:val="20"/>
        </w:rPr>
        <w:t>Multigenerational events at Tri Vananda</w:t>
      </w:r>
    </w:p>
    <w:p>
      <w:pPr>
        <w:pStyle w:val="ListBullet"/>
      </w:pPr>
      <w:r>
        <w:rPr>
          <w:rFonts w:ascii="Noto Serif" w:hAnsi="Noto Serif"/>
          <w:color w:val="202522"/>
          <w:sz w:val="20"/>
        </w:rPr>
        <w:t>Family-centred programming at Trisara</w:t>
      </w:r>
    </w:p>
    <w:p>
      <w:pPr>
        <w:pStyle w:val="ListBullet"/>
      </w:pPr>
      <w:r>
        <w:rPr>
          <w:rFonts w:ascii="Noto Serif" w:hAnsi="Noto Serif"/>
          <w:color w:val="202522"/>
          <w:sz w:val="20"/>
        </w:rPr>
        <w:t>Curated member gatherings</w:t>
      </w:r>
    </w:p>
    <w:p>
      <w:pPr>
        <w:pStyle w:val="ListBullet"/>
      </w:pPr>
      <w:r>
        <w:rPr>
          <w:rFonts w:ascii="Noto Serif" w:hAnsi="Noto Serif"/>
          <w:color w:val="202522"/>
          <w:sz w:val="20"/>
        </w:rPr>
        <w:t>A global alumni community</w:t>
      </w:r>
    </w:p>
    <w:p>
      <w:pPr>
        <w:pStyle w:val="Heading2"/>
        <w:keepNext/>
      </w:pPr>
      <w:r>
        <w:rPr>
          <w:rFonts w:ascii="Noto Sans" w:hAnsi="Noto Sans"/>
          <w:color w:val="A55E3B"/>
          <w:sz w:val="27"/>
        </w:rPr>
        <w:t>Daily Practices</w:t>
      </w:r>
    </w:p>
    <w:p>
      <w:pPr>
        <w:pStyle w:val="ListBullet"/>
      </w:pPr>
      <w:r>
        <w:rPr>
          <w:rFonts w:ascii="Noto Serif" w:hAnsi="Noto Serif"/>
          <w:color w:val="202522"/>
          <w:sz w:val="20"/>
        </w:rPr>
        <w:t>Weekly meaningful social connection</w:t>
      </w:r>
    </w:p>
    <w:p>
      <w:pPr>
        <w:pStyle w:val="ListBullet"/>
      </w:pPr>
      <w:r>
        <w:rPr>
          <w:rFonts w:ascii="Noto Serif" w:hAnsi="Noto Serif"/>
          <w:color w:val="202522"/>
          <w:sz w:val="20"/>
        </w:rPr>
        <w:t>Participation in community events</w:t>
      </w:r>
    </w:p>
    <w:p>
      <w:pPr>
        <w:pStyle w:val="ListBullet"/>
      </w:pPr>
      <w:r>
        <w:rPr>
          <w:rFonts w:ascii="Noto Serif" w:hAnsi="Noto Serif"/>
          <w:color w:val="202522"/>
          <w:sz w:val="20"/>
        </w:rPr>
        <w:t>Intentional nurturing of relationships across generations</w:t>
      </w:r>
    </w:p>
    <w:p>
      <w:pPr>
        <w:pStyle w:val="Heading2"/>
        <w:keepNext/>
      </w:pPr>
      <w:r>
        <w:rPr>
          <w:rFonts w:ascii="Noto Sans" w:hAnsi="Noto Sans"/>
          <w:color w:val="A55E3B"/>
          <w:sz w:val="27"/>
        </w:rPr>
        <w:t>Suggested Measures</w:t>
      </w:r>
    </w:p>
    <w:p>
      <w:pPr>
        <w:pStyle w:val="ListBullet"/>
      </w:pPr>
      <w:r>
        <w:rPr>
          <w:rFonts w:ascii="Noto Serif" w:hAnsi="Noto Serif"/>
          <w:color w:val="202522"/>
          <w:sz w:val="20"/>
        </w:rPr>
        <w:t>A 25% increase in a validated social-connection score within 12 months</w:t>
      </w:r>
    </w:p>
    <w:p>
      <w:pPr>
        <w:pStyle w:val="ListBullet"/>
      </w:pPr>
      <w:r>
        <w:rPr>
          <w:rFonts w:ascii="Noto Serif" w:hAnsi="Noto Serif"/>
          <w:color w:val="202522"/>
          <w:sz w:val="20"/>
        </w:rPr>
        <w:t>Participation in at least three community events per quarter</w:t>
      </w:r>
    </w:p>
    <w:p>
      <w:pPr>
        <w:spacing w:before="140" w:after="140"/>
        <w:pBdr>
          <w:bottom w:val="single" w:sz="6" w:space="1" w:color="CFC6B4"/>
        </w:pBdr>
      </w:pPr>
    </w:p>
    <w:p>
      <w:pPr>
        <w:pStyle w:val="PromiseTitle"/>
        <w:pageBreakBefore/>
        <w:spacing w:before="240" w:after="160"/>
        <w:pBdr>
          <w:bottom w:val="single" w:sz="10" w:space="5" w:color="B59555"/>
        </w:pBdr>
      </w:pPr>
      <w:r>
        <w:rPr>
          <w:rFonts w:ascii="Noto Sans" w:hAnsi="Noto Sans"/>
          <w:b/>
          <w:caps/>
          <w:color w:val="B59555"/>
          <w:sz w:val="19"/>
        </w:rPr>
        <w:t xml:space="preserve">PROMISE 6  </w:t>
      </w:r>
      <w:r>
        <w:rPr>
          <w:rFonts w:ascii="Noto Serif Display" w:hAnsi="Noto Serif Display"/>
          <w:color w:val="173F37"/>
          <w:sz w:val="44"/>
        </w:rPr>
        <w:t>PURPOSE</w:t>
      </w:r>
    </w:p>
    <w:p>
      <w:pPr>
        <w:pStyle w:val="PullQuote"/>
        <w:spacing w:before="160" w:after="200" w:line="276" w:lineRule="auto"/>
        <w:ind w:left="255" w:right="170"/>
        <w:shd w:fill="F4EFE3"/>
        <w:pBdr>
          <w:left w:val="single" w:sz="18" w:space="4" w:color="B59555"/>
        </w:pBdr>
      </w:pPr>
      <w:r>
        <w:rPr>
          <w:rFonts w:ascii="Noto Serif" w:hAnsi="Noto Serif"/>
          <w:b/>
          <w:i/>
          <w:color w:val="173F37"/>
          <w:sz w:val="22"/>
        </w:rPr>
        <w:t>You will live with a clear sense of why - and it will shape every day you spend with PATAMA.</w:t>
      </w:r>
    </w:p>
    <w:p>
      <w:pPr>
        <w:pStyle w:val="Heading2"/>
        <w:keepNext/>
      </w:pPr>
      <w:r>
        <w:rPr>
          <w:rFonts w:ascii="Noto Sans" w:hAnsi="Noto Sans"/>
          <w:color w:val="A55E3B"/>
          <w:sz w:val="27"/>
        </w:rPr>
        <w:t>Why It Matters</w:t>
      </w:r>
    </w:p>
    <w:p>
      <w:r>
        <w:rPr>
          <w:rFonts w:ascii="Noto Serif" w:hAnsi="Noto Serif"/>
          <w:color w:val="202522"/>
          <w:sz w:val="20"/>
        </w:rPr>
        <w:t xml:space="preserve">A clear sense of purpose has been associated with longevity, cognitive health, and psychological wellbeing. The Ohsaki cohort study found lower all-cause mortality among adults who reported </w:t>
      </w:r>
      <w:r>
        <w:rPr>
          <w:rFonts w:ascii="Noto Serif" w:hAnsi="Noto Serif"/>
          <w:i/>
          <w:color w:val="202522"/>
          <w:sz w:val="20"/>
        </w:rPr>
        <w:t>ikigai</w:t>
      </w:r>
      <w:r>
        <w:rPr>
          <w:rFonts w:ascii="Noto Serif" w:hAnsi="Noto Serif"/>
          <w:color w:val="202522"/>
          <w:sz w:val="20"/>
        </w:rPr>
        <w:t>. Carol Ryff's Purpose in Life dimension is one of six validated components of psychological wellbeing. Self-Determination Theory also links autonomous motivation to stronger persistence, engagement, and satisfaction.</w:t>
      </w:r>
      <w:r>
        <w:rPr>
          <w:rFonts w:ascii="Noto Sans" w:hAnsi="Noto Sans"/>
          <w:color w:val="A55E3B"/>
          <w:sz w:val="15"/>
          <w:vertAlign w:val="superscript"/>
        </w:rPr>
        <w:t>53</w:t>
      </w:r>
      <w:r>
        <w:rPr>
          <w:rFonts w:ascii="Noto Sans" w:hAnsi="Noto Sans"/>
          <w:color w:val="A55E3B"/>
          <w:sz w:val="15"/>
          <w:vertAlign w:val="superscript"/>
        </w:rPr>
        <w:t>13</w:t>
      </w:r>
      <w:r>
        <w:rPr>
          <w:rFonts w:ascii="Noto Sans" w:hAnsi="Noto Sans"/>
          <w:color w:val="A55E3B"/>
          <w:sz w:val="15"/>
          <w:vertAlign w:val="superscript"/>
        </w:rPr>
        <w:t>36</w:t>
      </w:r>
      <w:r>
        <w:rPr>
          <w:rFonts w:ascii="Noto Sans" w:hAnsi="Noto Sans"/>
          <w:color w:val="A55E3B"/>
          <w:sz w:val="15"/>
          <w:vertAlign w:val="superscript"/>
        </w:rPr>
        <w:t>32</w:t>
      </w:r>
      <w:r>
        <w:rPr>
          <w:rFonts w:ascii="Noto Sans" w:hAnsi="Noto Sans"/>
          <w:color w:val="A55E3B"/>
          <w:sz w:val="15"/>
          <w:vertAlign w:val="superscript"/>
        </w:rPr>
        <w:t>33</w:t>
      </w:r>
      <w:r>
        <w:rPr>
          <w:rFonts w:ascii="Noto Sans" w:hAnsi="Noto Sans"/>
          <w:color w:val="A55E3B"/>
          <w:sz w:val="15"/>
          <w:vertAlign w:val="superscript"/>
        </w:rPr>
        <w:t>34</w:t>
      </w:r>
      <w:r>
        <w:rPr>
          <w:rFonts w:ascii="Noto Sans" w:hAnsi="Noto Sans"/>
          <w:color w:val="A55E3B"/>
          <w:sz w:val="15"/>
          <w:vertAlign w:val="superscript"/>
        </w:rPr>
        <w:t>5</w:t>
      </w:r>
    </w:p>
    <w:p>
      <w:pPr>
        <w:pStyle w:val="Heading2"/>
        <w:keepNext/>
      </w:pPr>
      <w:r>
        <w:rPr>
          <w:rFonts w:ascii="Noto Sans" w:hAnsi="Noto Sans"/>
          <w:color w:val="A55E3B"/>
          <w:sz w:val="27"/>
        </w:rPr>
        <w:t>Supporting Research</w:t>
      </w:r>
    </w:p>
    <w:p>
      <w:r>
        <w:rPr>
          <w:rFonts w:ascii="Noto Serif" w:hAnsi="Noto Serif"/>
          <w:color w:val="202522"/>
          <w:sz w:val="20"/>
        </w:rPr>
        <w:t>Longitudinal analysis of more than 11,000 adults has associated purpose with protection against cognitive decline in later life, independent of other health factors. Purpose has also been linked with lower chronic-disease burden, reduced inflammatory markers, and better stress recovery.</w:t>
      </w:r>
      <w:r>
        <w:rPr>
          <w:rFonts w:ascii="Noto Sans" w:hAnsi="Noto Sans"/>
          <w:color w:val="A55E3B"/>
          <w:sz w:val="15"/>
          <w:vertAlign w:val="superscript"/>
        </w:rPr>
        <w:t>54</w:t>
      </w:r>
      <w:r>
        <w:rPr>
          <w:rFonts w:ascii="Noto Sans" w:hAnsi="Noto Sans"/>
          <w:color w:val="A55E3B"/>
          <w:sz w:val="15"/>
          <w:vertAlign w:val="superscript"/>
        </w:rPr>
        <w:t>40</w:t>
      </w:r>
      <w:r>
        <w:rPr>
          <w:rFonts w:ascii="Noto Sans" w:hAnsi="Noto Sans"/>
          <w:color w:val="A55E3B"/>
          <w:sz w:val="15"/>
          <w:vertAlign w:val="superscript"/>
        </w:rPr>
        <w:t>34</w:t>
      </w:r>
    </w:p>
    <w:p>
      <w:pPr>
        <w:pStyle w:val="Heading2"/>
        <w:keepNext/>
      </w:pPr>
      <w:r>
        <w:rPr>
          <w:rFonts w:ascii="Noto Sans" w:hAnsi="Noto Sans"/>
          <w:color w:val="A55E3B"/>
          <w:sz w:val="27"/>
        </w:rPr>
        <w:t>Illustrative Experiences</w:t>
      </w:r>
    </w:p>
    <w:p>
      <w:pPr>
        <w:pStyle w:val="ListBullet"/>
      </w:pPr>
      <w:r>
        <w:rPr>
          <w:rFonts w:ascii="Noto Serif" w:hAnsi="Noto Serif"/>
          <w:color w:val="202522"/>
          <w:sz w:val="20"/>
        </w:rPr>
        <w:t>PATAMA Purpose Conversations and structured coaching</w:t>
      </w:r>
    </w:p>
    <w:p>
      <w:pPr>
        <w:pStyle w:val="ListBullet"/>
      </w:pPr>
      <w:r>
        <w:rPr>
          <w:rFonts w:ascii="Noto Serif" w:hAnsi="Noto Serif"/>
          <w:color w:val="202522"/>
          <w:sz w:val="20"/>
        </w:rPr>
        <w:t>Values-alignment retreats</w:t>
      </w:r>
    </w:p>
    <w:p>
      <w:pPr>
        <w:pStyle w:val="ListBullet"/>
      </w:pPr>
      <w:r>
        <w:rPr>
          <w:rFonts w:ascii="Noto Serif" w:hAnsi="Noto Serif"/>
          <w:color w:val="202522"/>
          <w:sz w:val="20"/>
        </w:rPr>
        <w:t>Life-transition support</w:t>
      </w:r>
    </w:p>
    <w:p>
      <w:pPr>
        <w:pStyle w:val="ListBullet"/>
      </w:pPr>
      <w:r>
        <w:rPr>
          <w:rFonts w:ascii="Noto Serif" w:hAnsi="Noto Serif"/>
          <w:color w:val="202522"/>
          <w:sz w:val="20"/>
        </w:rPr>
        <w:t>PATAMA Legacy programming for multigenerational families</w:t>
      </w:r>
    </w:p>
    <w:p>
      <w:pPr>
        <w:pStyle w:val="Heading2"/>
        <w:keepNext/>
      </w:pPr>
      <w:r>
        <w:rPr>
          <w:rFonts w:ascii="Noto Sans" w:hAnsi="Noto Sans"/>
          <w:color w:val="A55E3B"/>
          <w:sz w:val="27"/>
        </w:rPr>
        <w:t>Daily Practices</w:t>
      </w:r>
    </w:p>
    <w:p>
      <w:pPr>
        <w:pStyle w:val="ListBullet"/>
      </w:pPr>
      <w:r>
        <w:rPr>
          <w:rFonts w:ascii="Noto Serif" w:hAnsi="Noto Serif"/>
          <w:color w:val="202522"/>
          <w:sz w:val="20"/>
        </w:rPr>
        <w:t>Annual purpose review</w:t>
      </w:r>
    </w:p>
    <w:p>
      <w:pPr>
        <w:pStyle w:val="ListBullet"/>
      </w:pPr>
      <w:r>
        <w:rPr>
          <w:rFonts w:ascii="Noto Serif" w:hAnsi="Noto Serif"/>
          <w:color w:val="202522"/>
          <w:sz w:val="20"/>
        </w:rPr>
        <w:t>Deliberate alignment between daily choices and stated values</w:t>
      </w:r>
    </w:p>
    <w:p>
      <w:pPr>
        <w:pStyle w:val="ListBullet"/>
      </w:pPr>
      <w:r>
        <w:rPr>
          <w:rFonts w:ascii="Noto Serif" w:hAnsi="Noto Serif"/>
          <w:color w:val="202522"/>
          <w:sz w:val="20"/>
        </w:rPr>
        <w:t>Involvement in service or contribution</w:t>
      </w:r>
    </w:p>
    <w:p>
      <w:pPr>
        <w:pStyle w:val="Heading2"/>
        <w:keepNext/>
      </w:pPr>
      <w:r>
        <w:rPr>
          <w:rFonts w:ascii="Noto Sans" w:hAnsi="Noto Sans"/>
          <w:color w:val="A55E3B"/>
          <w:sz w:val="27"/>
        </w:rPr>
        <w:t>Suggested Measures</w:t>
      </w:r>
    </w:p>
    <w:p>
      <w:pPr>
        <w:pStyle w:val="ListBullet"/>
      </w:pPr>
      <w:r>
        <w:rPr>
          <w:rFonts w:ascii="Noto Serif" w:hAnsi="Noto Serif"/>
          <w:color w:val="202522"/>
          <w:sz w:val="20"/>
        </w:rPr>
        <w:t>Annual completion of a validated Purpose in Life scale</w:t>
      </w:r>
    </w:p>
    <w:p>
      <w:pPr>
        <w:pStyle w:val="ListBullet"/>
      </w:pPr>
      <w:r>
        <w:rPr>
          <w:rFonts w:ascii="Noto Serif" w:hAnsi="Noto Serif"/>
          <w:color w:val="202522"/>
          <w:sz w:val="20"/>
        </w:rPr>
        <w:t>Member-reported alignment between stated purpose and daily activity of at least 70% within two years</w:t>
      </w:r>
    </w:p>
    <w:p>
      <w:pPr>
        <w:spacing w:before="140" w:after="140"/>
        <w:pBdr>
          <w:bottom w:val="single" w:sz="6" w:space="1" w:color="CFC6B4"/>
        </w:pBdr>
      </w:pPr>
    </w:p>
    <w:p>
      <w:pPr>
        <w:pStyle w:val="PromiseTitle"/>
        <w:pageBreakBefore/>
        <w:spacing w:before="240" w:after="160"/>
        <w:pBdr>
          <w:bottom w:val="single" w:sz="10" w:space="5" w:color="B59555"/>
        </w:pBdr>
      </w:pPr>
      <w:r>
        <w:rPr>
          <w:rFonts w:ascii="Noto Sans" w:hAnsi="Noto Sans"/>
          <w:b/>
          <w:caps/>
          <w:color w:val="B59555"/>
          <w:sz w:val="19"/>
        </w:rPr>
        <w:t xml:space="preserve">PROMISE 7  </w:t>
      </w:r>
      <w:r>
        <w:rPr>
          <w:rFonts w:ascii="Noto Serif Display" w:hAnsi="Noto Serif Display"/>
          <w:color w:val="173F37"/>
          <w:sz w:val="44"/>
        </w:rPr>
        <w:t>SANCTUARY</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Your environment - physical, natural, and social - will actively protect and restore you.</w:t>
      </w:r>
    </w:p>
    <w:p>
      <w:pPr>
        <w:pStyle w:val="Heading2"/>
        <w:keepNext/>
      </w:pPr>
      <w:r>
        <w:rPr>
          <w:rFonts w:ascii="Noto Sans" w:hAnsi="Noto Sans"/>
          <w:color w:val="A55E3B"/>
          <w:sz w:val="27"/>
        </w:rPr>
        <w:t>Why It Matters</w:t>
      </w:r>
    </w:p>
    <w:p>
      <w:r>
        <w:rPr>
          <w:rFonts w:ascii="Noto Serif" w:hAnsi="Noto Serif"/>
          <w:color w:val="202522"/>
          <w:sz w:val="20"/>
        </w:rPr>
        <w:t>The environments in which people live are not neutral containers for health; they are active determinants of it. Blue Zones research argues that longevity is shaped not only by individual discipline, but also by the visible architecture of communities. Biophilic-design research indicates that natural elements in built environments can reduce stress, lower blood pressure, support immune function, and improve mental health. In the PATAMA framework, Sanctuary extends beyond property to encompass the entire environmental ecosystem.</w:t>
      </w:r>
      <w:r>
        <w:rPr>
          <w:rFonts w:ascii="Noto Sans" w:hAnsi="Noto Sans"/>
          <w:color w:val="A55E3B"/>
          <w:sz w:val="15"/>
          <w:vertAlign w:val="superscript"/>
        </w:rPr>
        <w:t>20</w:t>
      </w:r>
      <w:r>
        <w:rPr>
          <w:rFonts w:ascii="Noto Sans" w:hAnsi="Noto Sans"/>
          <w:color w:val="A55E3B"/>
          <w:sz w:val="15"/>
          <w:vertAlign w:val="superscript"/>
        </w:rPr>
        <w:t>32</w:t>
      </w:r>
      <w:r>
        <w:rPr>
          <w:rFonts w:ascii="Noto Sans" w:hAnsi="Noto Sans"/>
          <w:color w:val="A55E3B"/>
          <w:sz w:val="15"/>
          <w:vertAlign w:val="superscript"/>
        </w:rPr>
        <w:t>19</w:t>
      </w:r>
      <w:r>
        <w:rPr>
          <w:rFonts w:ascii="Noto Sans" w:hAnsi="Noto Sans"/>
          <w:color w:val="A55E3B"/>
          <w:sz w:val="15"/>
          <w:vertAlign w:val="superscript"/>
        </w:rPr>
        <w:t>38</w:t>
      </w:r>
    </w:p>
    <w:p>
      <w:pPr>
        <w:pStyle w:val="Heading2"/>
        <w:keepNext/>
      </w:pPr>
      <w:r>
        <w:rPr>
          <w:rFonts w:ascii="Noto Sans" w:hAnsi="Noto Sans"/>
          <w:color w:val="A55E3B"/>
          <w:sz w:val="27"/>
        </w:rPr>
        <w:t>Supporting Research</w:t>
      </w:r>
    </w:p>
    <w:p>
      <w:r>
        <w:rPr>
          <w:rFonts w:ascii="Noto Serif" w:hAnsi="Noto Serif"/>
          <w:color w:val="202522"/>
          <w:sz w:val="20"/>
        </w:rPr>
        <w:t>Tri Vananda's integration of biophilic design with functional medicine is supported by research indicating that nature-integrated environments can improve patient experience, recovery, and psychological wellbeing. Environmental mastery - the sense that one can shape and manage one's living situation - is also one of Ryff's six dimensions of psychological wellbeing.</w:t>
      </w:r>
      <w:r>
        <w:rPr>
          <w:rFonts w:ascii="Noto Sans" w:hAnsi="Noto Sans"/>
          <w:color w:val="A55E3B"/>
          <w:sz w:val="15"/>
          <w:vertAlign w:val="superscript"/>
        </w:rPr>
        <w:t>18</w:t>
      </w:r>
      <w:r>
        <w:rPr>
          <w:rFonts w:ascii="Noto Sans" w:hAnsi="Noto Sans"/>
          <w:color w:val="A55E3B"/>
          <w:sz w:val="15"/>
          <w:vertAlign w:val="superscript"/>
        </w:rPr>
        <w:t>38</w:t>
      </w:r>
      <w:r>
        <w:rPr>
          <w:rFonts w:ascii="Noto Sans" w:hAnsi="Noto Sans"/>
          <w:color w:val="A55E3B"/>
          <w:sz w:val="15"/>
          <w:vertAlign w:val="superscript"/>
        </w:rPr>
        <w:t>5</w:t>
      </w:r>
    </w:p>
    <w:p>
      <w:pPr>
        <w:pStyle w:val="Heading2"/>
        <w:keepNext/>
      </w:pPr>
      <w:r>
        <w:rPr>
          <w:rFonts w:ascii="Noto Sans" w:hAnsi="Noto Sans"/>
          <w:color w:val="A55E3B"/>
          <w:sz w:val="27"/>
        </w:rPr>
        <w:t>Illustrative Experiences</w:t>
      </w:r>
    </w:p>
    <w:p>
      <w:pPr>
        <w:pStyle w:val="ListBullet"/>
      </w:pPr>
      <w:r>
        <w:rPr>
          <w:rFonts w:ascii="Noto Serif" w:hAnsi="Noto Serif"/>
          <w:color w:val="202522"/>
          <w:sz w:val="20"/>
        </w:rPr>
        <w:t>Tri Vananda's biophilic residential community</w:t>
      </w:r>
    </w:p>
    <w:p>
      <w:pPr>
        <w:pStyle w:val="ListBullet"/>
      </w:pPr>
      <w:r>
        <w:rPr>
          <w:rFonts w:ascii="Noto Serif" w:hAnsi="Noto Serif"/>
          <w:color w:val="202522"/>
          <w:sz w:val="20"/>
        </w:rPr>
        <w:t>PATAMA residential-design services</w:t>
      </w:r>
    </w:p>
    <w:p>
      <w:pPr>
        <w:pStyle w:val="ListBullet"/>
      </w:pPr>
      <w:r>
        <w:rPr>
          <w:rFonts w:ascii="Noto Serif" w:hAnsi="Noto Serif"/>
          <w:color w:val="202522"/>
          <w:sz w:val="20"/>
        </w:rPr>
        <w:t>Home-wellness consultations</w:t>
      </w:r>
    </w:p>
    <w:p>
      <w:pPr>
        <w:pStyle w:val="ListBullet"/>
      </w:pPr>
      <w:r>
        <w:rPr>
          <w:rFonts w:ascii="Noto Serif" w:hAnsi="Noto Serif"/>
          <w:color w:val="202522"/>
          <w:sz w:val="20"/>
        </w:rPr>
        <w:t>Environmental-health assessments</w:t>
      </w:r>
    </w:p>
    <w:p>
      <w:pPr>
        <w:pStyle w:val="ListBullet"/>
      </w:pPr>
      <w:r>
        <w:rPr>
          <w:rFonts w:ascii="Noto Serif" w:hAnsi="Noto Serif"/>
          <w:color w:val="202522"/>
          <w:sz w:val="20"/>
        </w:rPr>
        <w:t>Nature programming</w:t>
      </w:r>
    </w:p>
    <w:p>
      <w:pPr>
        <w:pStyle w:val="Heading2"/>
        <w:keepNext/>
      </w:pPr>
      <w:r>
        <w:rPr>
          <w:rFonts w:ascii="Noto Sans" w:hAnsi="Noto Sans"/>
          <w:color w:val="A55E3B"/>
          <w:sz w:val="27"/>
        </w:rPr>
        <w:t>Daily Practices</w:t>
      </w:r>
    </w:p>
    <w:p>
      <w:pPr>
        <w:pStyle w:val="ListBullet"/>
      </w:pPr>
      <w:r>
        <w:rPr>
          <w:rFonts w:ascii="Noto Serif" w:hAnsi="Noto Serif"/>
          <w:color w:val="202522"/>
          <w:sz w:val="20"/>
        </w:rPr>
        <w:t>Daily nature immersion</w:t>
      </w:r>
    </w:p>
    <w:p>
      <w:pPr>
        <w:pStyle w:val="ListBullet"/>
      </w:pPr>
      <w:r>
        <w:rPr>
          <w:rFonts w:ascii="Noto Serif" w:hAnsi="Noto Serif"/>
          <w:color w:val="202522"/>
          <w:sz w:val="20"/>
        </w:rPr>
        <w:t>Optimisation of the sleep environment</w:t>
      </w:r>
    </w:p>
    <w:p>
      <w:pPr>
        <w:pStyle w:val="ListBullet"/>
      </w:pPr>
      <w:r>
        <w:rPr>
          <w:rFonts w:ascii="Noto Serif" w:hAnsi="Noto Serif"/>
          <w:color w:val="202522"/>
          <w:sz w:val="20"/>
        </w:rPr>
        <w:t>Creation of restorative spaces within the home</w:t>
      </w:r>
    </w:p>
    <w:p>
      <w:pPr>
        <w:pStyle w:val="ListBullet"/>
      </w:pPr>
      <w:r>
        <w:rPr>
          <w:rFonts w:ascii="Noto Serif" w:hAnsi="Noto Serif"/>
          <w:color w:val="202522"/>
          <w:sz w:val="20"/>
        </w:rPr>
        <w:t>Reduction of environmental stressors, including light, noise, and toxins</w:t>
      </w:r>
    </w:p>
    <w:p>
      <w:pPr>
        <w:pStyle w:val="Heading2"/>
        <w:keepNext/>
      </w:pPr>
      <w:r>
        <w:rPr>
          <w:rFonts w:ascii="Noto Sans" w:hAnsi="Noto Sans"/>
          <w:color w:val="A55E3B"/>
          <w:sz w:val="27"/>
        </w:rPr>
        <w:t>Suggested Measures</w:t>
      </w:r>
    </w:p>
    <w:p>
      <w:pPr>
        <w:pStyle w:val="ListBullet"/>
      </w:pPr>
      <w:r>
        <w:rPr>
          <w:rFonts w:ascii="Noto Serif" w:hAnsi="Noto Serif"/>
          <w:color w:val="202522"/>
          <w:sz w:val="20"/>
        </w:rPr>
        <w:t>Annual environmental-health assessment</w:t>
      </w:r>
    </w:p>
    <w:p>
      <w:pPr>
        <w:pStyle w:val="ListBullet"/>
      </w:pPr>
      <w:r>
        <w:rPr>
          <w:rFonts w:ascii="Noto Serif" w:hAnsi="Noto Serif"/>
          <w:color w:val="202522"/>
          <w:sz w:val="20"/>
        </w:rPr>
        <w:t>Measurable improvement in sleep quality within six months of environmental optimisation</w:t>
      </w:r>
    </w:p>
    <w:p>
      <w:pPr>
        <w:spacing w:before="140" w:after="140"/>
        <w:pBdr>
          <w:bottom w:val="single" w:sz="6" w:space="1" w:color="CFC6B4"/>
        </w:pBdr>
      </w:pPr>
    </w:p>
    <w:p>
      <w:pPr>
        <w:pStyle w:val="PromiseTitle"/>
        <w:pageBreakBefore/>
        <w:spacing w:before="240" w:after="160"/>
        <w:pBdr>
          <w:bottom w:val="single" w:sz="10" w:space="5" w:color="B59555"/>
        </w:pBdr>
      </w:pPr>
      <w:r>
        <w:rPr>
          <w:rFonts w:ascii="Noto Sans" w:hAnsi="Noto Sans"/>
          <w:b/>
          <w:caps/>
          <w:color w:val="B59555"/>
          <w:sz w:val="19"/>
        </w:rPr>
        <w:t xml:space="preserve">PROMISE 8  </w:t>
      </w:r>
      <w:r>
        <w:rPr>
          <w:rFonts w:ascii="Noto Serif Display" w:hAnsi="Noto Serif Display"/>
          <w:color w:val="173F37"/>
          <w:sz w:val="44"/>
        </w:rPr>
        <w:t>WONDER</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You will experience beauty, culture, and transcendence that permanently expand what you believe is possible.</w:t>
      </w:r>
    </w:p>
    <w:p>
      <w:pPr>
        <w:pStyle w:val="Heading2"/>
        <w:keepNext/>
      </w:pPr>
      <w:r>
        <w:rPr>
          <w:rFonts w:ascii="Noto Sans" w:hAnsi="Noto Sans"/>
          <w:color w:val="A55E3B"/>
          <w:sz w:val="27"/>
        </w:rPr>
        <w:t>Why It Matters</w:t>
      </w:r>
    </w:p>
    <w:p>
      <w:r>
        <w:rPr>
          <w:rFonts w:ascii="Noto Serif" w:hAnsi="Noto Serif"/>
          <w:color w:val="202522"/>
          <w:sz w:val="20"/>
        </w:rPr>
        <w:t>Awe and wonder are less clinically studied than many other dimensions, but they may be among the most distinctly human elements of flourishing. VIA Character Strengths research identifies appreciation of beauty and excellence, together with gratitude, as transcendence strengths associated with meaning, reduced stress, and connection to something larger than oneself. Flourishing cannot be reduced to functional categories; it also requires encounters with the extraordinary.</w:t>
      </w:r>
      <w:r>
        <w:rPr>
          <w:rFonts w:ascii="Noto Sans" w:hAnsi="Noto Sans"/>
          <w:color w:val="A55E3B"/>
          <w:sz w:val="15"/>
          <w:vertAlign w:val="superscript"/>
        </w:rPr>
        <w:t>50</w:t>
      </w:r>
      <w:r>
        <w:rPr>
          <w:rFonts w:ascii="Noto Sans" w:hAnsi="Noto Sans"/>
          <w:color w:val="A55E3B"/>
          <w:sz w:val="15"/>
          <w:vertAlign w:val="superscript"/>
        </w:rPr>
        <w:t>39</w:t>
      </w:r>
      <w:r>
        <w:rPr>
          <w:rFonts w:ascii="Noto Sans" w:hAnsi="Noto Sans"/>
          <w:color w:val="A55E3B"/>
          <w:sz w:val="15"/>
          <w:vertAlign w:val="superscript"/>
        </w:rPr>
        <w:t>5</w:t>
      </w:r>
    </w:p>
    <w:p>
      <w:pPr>
        <w:pStyle w:val="Heading2"/>
        <w:keepNext/>
      </w:pPr>
      <w:r>
        <w:rPr>
          <w:rFonts w:ascii="Noto Sans" w:hAnsi="Noto Sans"/>
          <w:color w:val="A55E3B"/>
          <w:sz w:val="27"/>
        </w:rPr>
        <w:t>Supporting Research</w:t>
      </w:r>
    </w:p>
    <w:p>
      <w:r>
        <w:rPr>
          <w:rFonts w:ascii="Noto Serif" w:hAnsi="Noto Serif"/>
          <w:color w:val="202522"/>
          <w:sz w:val="20"/>
        </w:rPr>
        <w:t>Awe experiences have been associated with reduced inflammatory markers, increased prosocial behaviour, and an expanded subjective sense of time and possibility. Gratitude, wonder's cognitive complement, has also demonstrated reliable wellbeing benefits when practised deliberately. Experience-design principles from Disney further reinforce the lasting power of emotional connection.</w:t>
      </w:r>
      <w:r>
        <w:rPr>
          <w:rFonts w:ascii="Noto Sans" w:hAnsi="Noto Sans"/>
          <w:color w:val="A55E3B"/>
          <w:sz w:val="15"/>
          <w:vertAlign w:val="superscript"/>
        </w:rPr>
        <w:t>55</w:t>
      </w:r>
    </w:p>
    <w:p>
      <w:pPr>
        <w:pStyle w:val="Heading2"/>
        <w:keepNext/>
      </w:pPr>
      <w:r>
        <w:rPr>
          <w:rFonts w:ascii="Noto Sans" w:hAnsi="Noto Sans"/>
          <w:color w:val="A55E3B"/>
          <w:sz w:val="27"/>
        </w:rPr>
        <w:t>Illustrative Experiences</w:t>
      </w:r>
    </w:p>
    <w:p>
      <w:pPr>
        <w:pStyle w:val="ListBullet"/>
      </w:pPr>
      <w:r>
        <w:rPr>
          <w:rFonts w:ascii="Noto Serif" w:hAnsi="Noto Serif"/>
          <w:color w:val="202522"/>
          <w:sz w:val="20"/>
        </w:rPr>
        <w:t>Trisara's Garden in the Third Heaven</w:t>
      </w:r>
    </w:p>
    <w:p>
      <w:pPr>
        <w:pStyle w:val="ListBullet"/>
      </w:pPr>
      <w:r>
        <w:rPr>
          <w:rFonts w:ascii="Noto Serif" w:hAnsi="Noto Serif"/>
          <w:color w:val="202522"/>
          <w:sz w:val="20"/>
        </w:rPr>
        <w:t>PRU's Michelin Green Star culinary experiences</w:t>
      </w:r>
    </w:p>
    <w:p>
      <w:pPr>
        <w:pStyle w:val="ListBullet"/>
      </w:pPr>
      <w:r>
        <w:rPr>
          <w:rFonts w:ascii="Noto Serif" w:hAnsi="Noto Serif"/>
          <w:color w:val="202522"/>
          <w:sz w:val="20"/>
        </w:rPr>
        <w:t>Cultural-immersion programming</w:t>
      </w:r>
    </w:p>
    <w:p>
      <w:pPr>
        <w:pStyle w:val="ListBullet"/>
      </w:pPr>
      <w:r>
        <w:rPr>
          <w:rFonts w:ascii="Noto Serif" w:hAnsi="Noto Serif"/>
          <w:color w:val="202522"/>
          <w:sz w:val="20"/>
        </w:rPr>
        <w:t>Art installations and creative residencies</w:t>
      </w:r>
    </w:p>
    <w:p>
      <w:pPr>
        <w:pStyle w:val="ListBullet"/>
      </w:pPr>
      <w:r>
        <w:rPr>
          <w:rFonts w:ascii="Noto Serif" w:hAnsi="Noto Serif"/>
          <w:color w:val="202522"/>
          <w:sz w:val="20"/>
        </w:rPr>
        <w:t>Astronomical and natural-spectacle experiences</w:t>
      </w:r>
    </w:p>
    <w:p>
      <w:pPr>
        <w:pStyle w:val="ListBullet"/>
      </w:pPr>
      <w:r>
        <w:rPr>
          <w:rFonts w:ascii="Noto Serif" w:hAnsi="Noto Serif"/>
          <w:color w:val="202522"/>
          <w:sz w:val="20"/>
        </w:rPr>
        <w:t>PATAMA global expeditions</w:t>
      </w:r>
    </w:p>
    <w:p>
      <w:pPr>
        <w:pStyle w:val="Heading2"/>
        <w:keepNext/>
      </w:pPr>
      <w:r>
        <w:rPr>
          <w:rFonts w:ascii="Noto Sans" w:hAnsi="Noto Sans"/>
          <w:color w:val="A55E3B"/>
          <w:sz w:val="27"/>
        </w:rPr>
        <w:t>Daily Practices</w:t>
      </w:r>
    </w:p>
    <w:p>
      <w:pPr>
        <w:pStyle w:val="ListBullet"/>
      </w:pPr>
      <w:r>
        <w:rPr>
          <w:rFonts w:ascii="Noto Serif" w:hAnsi="Noto Serif"/>
          <w:color w:val="202522"/>
          <w:sz w:val="20"/>
        </w:rPr>
        <w:t>A monthly intentional-awe experience</w:t>
      </w:r>
    </w:p>
    <w:p>
      <w:pPr>
        <w:pStyle w:val="ListBullet"/>
      </w:pPr>
      <w:r>
        <w:rPr>
          <w:rFonts w:ascii="Noto Serif" w:hAnsi="Noto Serif"/>
          <w:color w:val="202522"/>
          <w:sz w:val="20"/>
        </w:rPr>
        <w:t>Gratitude integrated into daily reflection</w:t>
      </w:r>
    </w:p>
    <w:p>
      <w:pPr>
        <w:pStyle w:val="ListBullet"/>
      </w:pPr>
      <w:r>
        <w:rPr>
          <w:rFonts w:ascii="Noto Serif" w:hAnsi="Noto Serif"/>
          <w:color w:val="202522"/>
          <w:sz w:val="20"/>
        </w:rPr>
        <w:t>Seasonal celebration rituals</w:t>
      </w:r>
    </w:p>
    <w:p>
      <w:pPr>
        <w:pStyle w:val="ListBullet"/>
      </w:pPr>
      <w:r>
        <w:rPr>
          <w:rFonts w:ascii="Noto Serif" w:hAnsi="Noto Serif"/>
          <w:color w:val="202522"/>
          <w:sz w:val="20"/>
        </w:rPr>
        <w:t>Creative engagement</w:t>
      </w:r>
    </w:p>
    <w:p>
      <w:pPr>
        <w:pStyle w:val="Heading2"/>
        <w:keepNext/>
      </w:pPr>
      <w:r>
        <w:rPr>
          <w:rFonts w:ascii="Noto Sans" w:hAnsi="Noto Sans"/>
          <w:color w:val="A55E3B"/>
          <w:sz w:val="27"/>
        </w:rPr>
        <w:t>Suggested Measures</w:t>
      </w:r>
    </w:p>
    <w:p>
      <w:pPr>
        <w:pStyle w:val="ListBullet"/>
      </w:pPr>
      <w:r>
        <w:rPr>
          <w:rFonts w:ascii="Noto Serif" w:hAnsi="Noto Serif"/>
          <w:color w:val="202522"/>
          <w:sz w:val="20"/>
        </w:rPr>
        <w:t>Annual measurement using a validated Awe Experience Scale</w:t>
      </w:r>
    </w:p>
    <w:p>
      <w:pPr>
        <w:pStyle w:val="ListBullet"/>
      </w:pPr>
      <w:r>
        <w:rPr>
          <w:rFonts w:ascii="Noto Serif" w:hAnsi="Noto Serif"/>
          <w:color w:val="202522"/>
          <w:sz w:val="20"/>
        </w:rPr>
        <w:t>Member-reported expansion in perceived possibility</w:t>
      </w:r>
    </w:p>
    <w:p>
      <w:pPr>
        <w:pStyle w:val="ListBullet"/>
      </w:pPr>
      <w:r>
        <w:rPr>
          <w:rFonts w:ascii="Noto Serif" w:hAnsi="Noto Serif"/>
          <w:color w:val="202522"/>
          <w:sz w:val="20"/>
        </w:rPr>
        <w:t>Participation in at least two transcendent experiences per year</w:t>
      </w:r>
    </w:p>
    <w:p>
      <w:pPr>
        <w:spacing w:before="140" w:after="140"/>
        <w:pBdr>
          <w:bottom w:val="single" w:sz="6" w:space="1" w:color="CFC6B4"/>
        </w:pBdr>
      </w:pPr>
    </w:p>
    <w:p>
      <w:pPr>
        <w:pStyle w:val="Heading1"/>
        <w:pageBreakBefore/>
        <w:pBdr>
          <w:bottom w:val="single" w:sz="10" w:space="5" w:color="B59555"/>
        </w:pBdr>
      </w:pPr>
      <w:r>
        <w:rPr>
          <w:rFonts w:ascii="Noto Sans" w:hAnsi="Noto Sans"/>
          <w:b/>
          <w:caps/>
          <w:color w:val="B59555"/>
          <w:sz w:val="19"/>
        </w:rPr>
        <w:t>PART 6</w:t>
        <w:br/>
      </w:r>
      <w:r>
        <w:rPr>
          <w:rFonts w:ascii="Noto Serif Display" w:hAnsi="Noto Serif Display"/>
          <w:color w:val="173F37"/>
          <w:sz w:val="42"/>
        </w:rPr>
        <w:t>Why These Eight Promises Are Essential</w:t>
      </w:r>
    </w:p>
    <w:p>
      <w:pPr>
        <w:spacing w:after="140"/>
      </w:pPr>
      <w:r>
        <w:rPr>
          <w:rFonts w:ascii="Noto Serif" w:hAnsi="Noto Serif"/>
          <w:i/>
          <w:color w:val="66706A"/>
          <w:sz w:val="19"/>
        </w:rPr>
        <w:t>This section is designed to become PATAMA's official brand story.</w:t>
      </w:r>
    </w:p>
    <w:p>
      <w:r>
        <w:rPr>
          <w:rFonts w:ascii="Noto Serif" w:hAnsi="Noto Serif"/>
          <w:color w:val="202522"/>
          <w:sz w:val="20"/>
        </w:rPr>
        <w:t>For generations, health was measured by what was absent: the diseases avoided, the symptoms not experienced, and the years not lost. Yet rigorous research - from longitudinal studies at Harvard, to long-lived communities in Okinawa and Sardinia, to emerging epigenetic science - points towards a broader conclusion.</w:t>
      </w:r>
      <w:r>
        <w:rPr>
          <w:rFonts w:ascii="Noto Sans" w:hAnsi="Noto Sans"/>
          <w:color w:val="A55E3B"/>
          <w:sz w:val="15"/>
          <w:vertAlign w:val="superscript"/>
        </w:rPr>
        <w:t>17</w:t>
      </w:r>
      <w:r>
        <w:rPr>
          <w:rFonts w:ascii="Noto Sans" w:hAnsi="Noto Sans"/>
          <w:color w:val="A55E3B"/>
          <w:sz w:val="15"/>
          <w:vertAlign w:val="superscript"/>
        </w:rPr>
        <w:t>24</w:t>
      </w:r>
      <w:r>
        <w:rPr>
          <w:rFonts w:ascii="Noto Sans" w:hAnsi="Noto Sans"/>
          <w:color w:val="A55E3B"/>
          <w:sz w:val="15"/>
          <w:vertAlign w:val="superscript"/>
        </w:rPr>
        <w:t>33</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A long and extraordinary life is not produced by medicine alone. It emerges from the way you live every day.</w:t>
      </w:r>
    </w:p>
    <w:p>
      <w:r>
        <w:rPr>
          <w:rFonts w:ascii="Noto Serif" w:hAnsi="Noto Serif"/>
          <w:color w:val="202522"/>
          <w:sz w:val="20"/>
        </w:rPr>
        <w:t>The evidence is increasingly precise about what that way of living must include.</w:t>
      </w:r>
    </w:p>
    <w:p>
      <w:pPr>
        <w:pStyle w:val="Heading2"/>
        <w:keepNext/>
      </w:pPr>
      <w:r>
        <w:rPr>
          <w:rFonts w:ascii="Noto Sans" w:hAnsi="Noto Sans"/>
          <w:color w:val="A55E3B"/>
          <w:sz w:val="27"/>
        </w:rPr>
        <w:t>CLARITY</w:t>
      </w:r>
    </w:p>
    <w:p>
      <w:r>
        <w:rPr>
          <w:rFonts w:ascii="Noto Serif" w:hAnsi="Noto Serif"/>
          <w:color w:val="202522"/>
          <w:sz w:val="20"/>
        </w:rPr>
        <w:t>A mind that is sharp, regulated, and free from unnecessary noise is the instrument through which all other wellbeing is accessed. Every dimension of flourishing becomes richer when a person can think clearly, feel steadily, and choose deliberately.</w:t>
      </w:r>
      <w:r>
        <w:rPr>
          <w:rFonts w:ascii="Noto Sans" w:hAnsi="Noto Sans"/>
          <w:color w:val="A55E3B"/>
          <w:sz w:val="15"/>
          <w:vertAlign w:val="superscript"/>
        </w:rPr>
        <w:t>21</w:t>
      </w:r>
      <w:r>
        <w:rPr>
          <w:rFonts w:ascii="Noto Sans" w:hAnsi="Noto Sans"/>
          <w:color w:val="A55E3B"/>
          <w:sz w:val="15"/>
          <w:vertAlign w:val="superscript"/>
        </w:rPr>
        <w:t>12</w:t>
      </w:r>
    </w:p>
    <w:p>
      <w:pPr>
        <w:pStyle w:val="Heading2"/>
        <w:keepNext/>
      </w:pPr>
      <w:r>
        <w:rPr>
          <w:rFonts w:ascii="Noto Sans" w:hAnsi="Noto Sans"/>
          <w:color w:val="A55E3B"/>
          <w:sz w:val="27"/>
        </w:rPr>
        <w:t>VITALITY</w:t>
      </w:r>
    </w:p>
    <w:p>
      <w:r>
        <w:rPr>
          <w:rFonts w:ascii="Noto Serif" w:hAnsi="Noto Serif"/>
          <w:color w:val="202522"/>
          <w:sz w:val="20"/>
        </w:rPr>
        <w:t>The body is not merely a vehicle to be maintained until it fails. It is a biological system that responds to everyday inputs. Emerging epigenetic science suggests that daily habits do more than affect how a person feels; they can influence which genes are expressed. In this sense, people are continually becoming their choices.</w:t>
      </w:r>
      <w:r>
        <w:rPr>
          <w:rFonts w:ascii="Noto Sans" w:hAnsi="Noto Sans"/>
          <w:color w:val="A55E3B"/>
          <w:sz w:val="15"/>
          <w:vertAlign w:val="superscript"/>
        </w:rPr>
        <w:t>24</w:t>
      </w:r>
      <w:r>
        <w:rPr>
          <w:rFonts w:ascii="Noto Sans" w:hAnsi="Noto Sans"/>
          <w:color w:val="A55E3B"/>
          <w:sz w:val="15"/>
          <w:vertAlign w:val="superscript"/>
        </w:rPr>
        <w:t>25</w:t>
      </w:r>
      <w:r>
        <w:rPr>
          <w:rFonts w:ascii="Noto Sans" w:hAnsi="Noto Sans"/>
          <w:color w:val="A55E3B"/>
          <w:sz w:val="15"/>
          <w:vertAlign w:val="superscript"/>
        </w:rPr>
        <w:t>26</w:t>
      </w:r>
    </w:p>
    <w:p>
      <w:pPr>
        <w:pStyle w:val="Heading2"/>
        <w:keepNext/>
      </w:pPr>
      <w:r>
        <w:rPr>
          <w:rFonts w:ascii="Noto Sans" w:hAnsi="Noto Sans"/>
          <w:color w:val="A55E3B"/>
          <w:sz w:val="27"/>
        </w:rPr>
        <w:t>SERENITY</w:t>
      </w:r>
    </w:p>
    <w:p>
      <w:r>
        <w:rPr>
          <w:rFonts w:ascii="Noto Serif" w:hAnsi="Noto Serif"/>
          <w:color w:val="202522"/>
          <w:sz w:val="20"/>
        </w:rPr>
        <w:t>Stress is not merely unpleasant. Chronic stress can accelerate biological ageing, impair immune function, and contribute to chronic disease. Serenity is not passivity. It is a practised capacity to absorb life's pressures without being diminished by them.</w:t>
      </w:r>
      <w:r>
        <w:rPr>
          <w:rFonts w:ascii="Noto Sans" w:hAnsi="Noto Sans"/>
          <w:color w:val="A55E3B"/>
          <w:sz w:val="15"/>
          <w:vertAlign w:val="superscript"/>
        </w:rPr>
        <w:t>15</w:t>
      </w:r>
      <w:r>
        <w:rPr>
          <w:rFonts w:ascii="Noto Sans" w:hAnsi="Noto Sans"/>
          <w:color w:val="A55E3B"/>
          <w:sz w:val="15"/>
          <w:vertAlign w:val="superscript"/>
        </w:rPr>
        <w:t>33</w:t>
      </w:r>
    </w:p>
    <w:p>
      <w:pPr>
        <w:pStyle w:val="Heading2"/>
        <w:keepNext/>
      </w:pPr>
      <w:r>
        <w:rPr>
          <w:rFonts w:ascii="Noto Sans" w:hAnsi="Noto Sans"/>
          <w:color w:val="A55E3B"/>
          <w:sz w:val="27"/>
        </w:rPr>
        <w:t>GROWTH</w:t>
      </w:r>
    </w:p>
    <w:p>
      <w:r>
        <w:rPr>
          <w:rFonts w:ascii="Noto Serif" w:hAnsi="Noto Serif"/>
          <w:color w:val="202522"/>
          <w:sz w:val="20"/>
        </w:rPr>
        <w:t>The person who stops becoming begins to contract. Psychological research identifies Personal Growth as a core dimension of a well-lived life, and uniquely, it has no ceiling. Growth is not a destination; it is a way of inhabiting life.</w:t>
      </w:r>
      <w:r>
        <w:rPr>
          <w:rFonts w:ascii="Noto Sans" w:hAnsi="Noto Sans"/>
          <w:color w:val="A55E3B"/>
          <w:sz w:val="15"/>
          <w:vertAlign w:val="superscript"/>
        </w:rPr>
        <w:t>5</w:t>
      </w:r>
      <w:r>
        <w:rPr>
          <w:rFonts w:ascii="Noto Sans" w:hAnsi="Noto Sans"/>
          <w:color w:val="A55E3B"/>
          <w:sz w:val="15"/>
          <w:vertAlign w:val="superscript"/>
        </w:rPr>
        <w:t>50</w:t>
      </w:r>
    </w:p>
    <w:p>
      <w:pPr>
        <w:pStyle w:val="Heading2"/>
        <w:keepNext/>
      </w:pPr>
      <w:r>
        <w:rPr>
          <w:rFonts w:ascii="Noto Sans" w:hAnsi="Noto Sans"/>
          <w:color w:val="A55E3B"/>
          <w:sz w:val="27"/>
        </w:rPr>
        <w:t>BELONGING</w:t>
      </w:r>
    </w:p>
    <w:p>
      <w:r>
        <w:rPr>
          <w:rFonts w:ascii="Noto Serif" w:hAnsi="Noto Serif"/>
          <w:color w:val="202522"/>
          <w:sz w:val="20"/>
        </w:rPr>
        <w:t>One of the longest studies of adult life reaches a conclusion that supersedes many others: the quality of relationships powerfully shapes the quality of life. Community is not a luxury amenity. It is a determinant of how long and how well people live.</w:t>
      </w:r>
      <w:r>
        <w:rPr>
          <w:rFonts w:ascii="Noto Sans" w:hAnsi="Noto Sans"/>
          <w:color w:val="A55E3B"/>
          <w:sz w:val="15"/>
          <w:vertAlign w:val="superscript"/>
        </w:rPr>
        <w:t>31</w:t>
      </w:r>
      <w:r>
        <w:rPr>
          <w:rFonts w:ascii="Noto Sans" w:hAnsi="Noto Sans"/>
          <w:color w:val="A55E3B"/>
          <w:sz w:val="15"/>
          <w:vertAlign w:val="superscript"/>
        </w:rPr>
        <w:t>17</w:t>
      </w:r>
    </w:p>
    <w:p>
      <w:pPr>
        <w:pStyle w:val="Heading2"/>
        <w:keepNext/>
      </w:pPr>
      <w:r>
        <w:rPr>
          <w:rFonts w:ascii="Noto Sans" w:hAnsi="Noto Sans"/>
          <w:color w:val="A55E3B"/>
          <w:sz w:val="27"/>
        </w:rPr>
        <w:t>PURPOSE</w:t>
      </w:r>
    </w:p>
    <w:p>
      <w:r>
        <w:rPr>
          <w:rFonts w:ascii="Noto Serif" w:hAnsi="Noto Serif"/>
          <w:color w:val="202522"/>
          <w:sz w:val="20"/>
        </w:rPr>
        <w:t xml:space="preserve">A life directed by what matters most is associated with greater health, resilience, and longevity. Purpose is not synonymous with ambition or career. It is the quiet, clarifying sense of </w:t>
      </w:r>
      <w:r>
        <w:rPr>
          <w:rFonts w:ascii="Noto Serif" w:hAnsi="Noto Serif"/>
          <w:i/>
          <w:color w:val="202522"/>
          <w:sz w:val="20"/>
        </w:rPr>
        <w:t>why</w:t>
      </w:r>
      <w:r>
        <w:rPr>
          <w:rFonts w:ascii="Noto Serif" w:hAnsi="Noto Serif"/>
          <w:color w:val="202522"/>
          <w:sz w:val="20"/>
        </w:rPr>
        <w:t xml:space="preserve"> that filters decisions and makes ordinary life meaningful.</w:t>
      </w:r>
      <w:r>
        <w:rPr>
          <w:rFonts w:ascii="Noto Sans" w:hAnsi="Noto Sans"/>
          <w:color w:val="A55E3B"/>
          <w:sz w:val="15"/>
          <w:vertAlign w:val="superscript"/>
        </w:rPr>
        <w:t>32</w:t>
      </w:r>
      <w:r>
        <w:rPr>
          <w:rFonts w:ascii="Noto Sans" w:hAnsi="Noto Sans"/>
          <w:color w:val="A55E3B"/>
          <w:sz w:val="15"/>
          <w:vertAlign w:val="superscript"/>
        </w:rPr>
        <w:t>33</w:t>
      </w:r>
      <w:r>
        <w:rPr>
          <w:rFonts w:ascii="Noto Sans" w:hAnsi="Noto Sans"/>
          <w:color w:val="A55E3B"/>
          <w:sz w:val="15"/>
          <w:vertAlign w:val="superscript"/>
        </w:rPr>
        <w:t>34</w:t>
      </w:r>
    </w:p>
    <w:p>
      <w:pPr>
        <w:pStyle w:val="Heading2"/>
        <w:keepNext/>
      </w:pPr>
      <w:r>
        <w:rPr>
          <w:rFonts w:ascii="Noto Sans" w:hAnsi="Noto Sans"/>
          <w:color w:val="A55E3B"/>
          <w:sz w:val="27"/>
        </w:rPr>
        <w:t>SANCTUARY</w:t>
      </w:r>
    </w:p>
    <w:p>
      <w:r>
        <w:rPr>
          <w:rFonts w:ascii="Noto Serif" w:hAnsi="Noto Serif"/>
          <w:color w:val="202522"/>
          <w:sz w:val="20"/>
        </w:rPr>
        <w:t>An extraordinary inner life is difficult to sustain in an environment that continually depletes it. Physical spaces, natural surroundings, neighbourhoods, and access to beauty and calm are active participants in health. The architecture of where people live can shape the biology of how they age.</w:t>
      </w:r>
      <w:r>
        <w:rPr>
          <w:rFonts w:ascii="Noto Sans" w:hAnsi="Noto Sans"/>
          <w:color w:val="A55E3B"/>
          <w:sz w:val="15"/>
          <w:vertAlign w:val="superscript"/>
        </w:rPr>
        <w:t>49</w:t>
      </w:r>
      <w:r>
        <w:rPr>
          <w:rFonts w:ascii="Noto Sans" w:hAnsi="Noto Sans"/>
          <w:color w:val="A55E3B"/>
          <w:sz w:val="15"/>
          <w:vertAlign w:val="superscript"/>
        </w:rPr>
        <w:t>19</w:t>
      </w:r>
      <w:r>
        <w:rPr>
          <w:rFonts w:ascii="Noto Sans" w:hAnsi="Noto Sans"/>
          <w:color w:val="A55E3B"/>
          <w:sz w:val="15"/>
          <w:vertAlign w:val="superscript"/>
        </w:rPr>
        <w:t>32</w:t>
      </w:r>
    </w:p>
    <w:p>
      <w:pPr>
        <w:pStyle w:val="Heading2"/>
        <w:keepNext/>
      </w:pPr>
      <w:r>
        <w:rPr>
          <w:rFonts w:ascii="Noto Sans" w:hAnsi="Noto Sans"/>
          <w:color w:val="A55E3B"/>
          <w:sz w:val="27"/>
        </w:rPr>
        <w:t>WONDER</w:t>
      </w:r>
    </w:p>
    <w:p>
      <w:r>
        <w:rPr>
          <w:rFonts w:ascii="Noto Serif" w:hAnsi="Noto Serif"/>
          <w:color w:val="202522"/>
          <w:sz w:val="20"/>
        </w:rPr>
        <w:t>Human beings are not simply biological organisms seeking maintenance. They are meaning-making creatures who require encounters with beauty, culture, mystery, and transcendence to feel fully alive. Wonder is a dimension that clinical medicine alone cannot optimise. It must be cultivated by places, people, and experiences designed to reveal the extraordinary.</w:t>
      </w:r>
      <w:r>
        <w:rPr>
          <w:rFonts w:ascii="Noto Sans" w:hAnsi="Noto Sans"/>
          <w:color w:val="A55E3B"/>
          <w:sz w:val="15"/>
          <w:vertAlign w:val="superscript"/>
        </w:rPr>
        <w:t>55</w:t>
      </w:r>
      <w:r>
        <w:rPr>
          <w:rFonts w:ascii="Noto Sans" w:hAnsi="Noto Sans"/>
          <w:color w:val="A55E3B"/>
          <w:sz w:val="15"/>
          <w:vertAlign w:val="superscript"/>
        </w:rPr>
        <w:t>50</w:t>
      </w:r>
    </w:p>
    <w:p>
      <w:pPr>
        <w:pStyle w:val="PullQuote"/>
        <w:spacing w:before="160" w:after="200" w:line="276" w:lineRule="auto"/>
        <w:ind w:left="255" w:right="170"/>
        <w:shd w:fill="F4EFE3"/>
        <w:pBdr>
          <w:left w:val="single" w:sz="18" w:space="4" w:color="B59555"/>
        </w:pBdr>
      </w:pPr>
      <w:r>
        <w:rPr>
          <w:rFonts w:ascii="Noto Serif" w:hAnsi="Noto Serif"/>
          <w:b/>
          <w:i/>
          <w:color w:val="173F37"/>
          <w:sz w:val="22"/>
        </w:rPr>
        <w:t>Together, these eight promises do not describe services. They describe a complete human life.</w:t>
      </w:r>
    </w:p>
    <w:p>
      <w:r>
        <w:rPr>
          <w:rFonts w:ascii="Noto Serif" w:hAnsi="Noto Serif"/>
          <w:color w:val="202522"/>
          <w:sz w:val="20"/>
        </w:rPr>
        <w:t>They represent a minimum complete set of what a person requires - scientifically, psychologically, socially, and experientially - to flourish across a lifetime. Miss one, and the architecture is incomplete. Attend to all eight, and a person is not merely healthy; they are becoming who they were always capable of being.</w:t>
      </w:r>
    </w:p>
    <w:p>
      <w:r>
        <w:rPr>
          <w:rFonts w:ascii="Noto Serif" w:hAnsi="Noto Serif"/>
          <w:b/>
          <w:color w:val="202522"/>
          <w:sz w:val="20"/>
        </w:rPr>
        <w:t>This is the PATAMA Doctrine of Living Well.</w:t>
      </w:r>
    </w:p>
    <w:p>
      <w:pPr>
        <w:spacing w:before="140" w:after="140"/>
        <w:pBdr>
          <w:bottom w:val="single" w:sz="6" w:space="1" w:color="CFC6B4"/>
        </w:pBdr>
      </w:pPr>
    </w:p>
    <w:p>
      <w:pPr>
        <w:pStyle w:val="Heading1"/>
        <w:pageBreakBefore/>
        <w:pBdr>
          <w:bottom w:val="single" w:sz="10" w:space="5" w:color="B59555"/>
        </w:pBdr>
      </w:pPr>
      <w:r>
        <w:rPr>
          <w:rFonts w:ascii="Noto Sans" w:hAnsi="Noto Sans"/>
          <w:b/>
          <w:caps/>
          <w:color w:val="B59555"/>
          <w:sz w:val="19"/>
        </w:rPr>
        <w:t>PART 7</w:t>
        <w:br/>
      </w:r>
      <w:r>
        <w:rPr>
          <w:rFonts w:ascii="Noto Serif Display" w:hAnsi="Noto Serif Display"/>
          <w:color w:val="173F37"/>
          <w:sz w:val="42"/>
        </w:rPr>
        <w:t>The Framework Across Every PATAMA Business</w:t>
      </w:r>
    </w:p>
    <w:p>
      <w:pPr>
        <w:pStyle w:val="Heading2"/>
        <w:keepNext/>
      </w:pPr>
      <w:r>
        <w:rPr>
          <w:rFonts w:ascii="Noto Sans" w:hAnsi="Noto Sans"/>
          <w:color w:val="A55E3B"/>
          <w:sz w:val="27"/>
        </w:rPr>
        <w:t>PATAMA Membership</w:t>
      </w:r>
    </w:p>
    <w:p>
      <w:r>
        <w:rPr>
          <w:rFonts w:ascii="Noto Serif" w:hAnsi="Noto Serif"/>
          <w:color w:val="202522"/>
          <w:sz w:val="20"/>
        </w:rPr>
        <w:t xml:space="preserve">Membership is the primary vehicle for delivering all eight promises over time. The customer journey follows </w:t>
      </w:r>
      <w:r>
        <w:rPr>
          <w:rFonts w:ascii="Noto Serif" w:hAnsi="Noto Serif"/>
          <w:b/>
          <w:color w:val="202522"/>
          <w:sz w:val="20"/>
        </w:rPr>
        <w:t>Threshold -&gt; Foundation -&gt; Direction -&gt; Mastery</w:t>
      </w:r>
      <w:r>
        <w:rPr>
          <w:rFonts w:ascii="Noto Serif" w:hAnsi="Noto Serif"/>
          <w:color w:val="202522"/>
          <w:sz w:val="20"/>
        </w:rPr>
        <w:t>. Each promise is activated through a combination of digital tools (daily), programming (weekly), events (monthly), and immersive experiences (annually). A member dashboard tracks progress across the agreed measures.</w:t>
      </w:r>
    </w:p>
    <w:p>
      <w:r>
        <w:rPr>
          <w:rFonts w:ascii="Noto Serif" w:hAnsi="Noto Serif"/>
          <w:color w:val="202522"/>
          <w:sz w:val="20"/>
        </w:rPr>
        <w:t xml:space="preserve">Membership is the </w:t>
      </w:r>
      <w:r>
        <w:rPr>
          <w:rFonts w:ascii="Noto Serif" w:hAnsi="Noto Serif"/>
          <w:i/>
          <w:color w:val="202522"/>
          <w:sz w:val="20"/>
        </w:rPr>
        <w:t>practice layer</w:t>
      </w:r>
      <w:r>
        <w:rPr>
          <w:rFonts w:ascii="Noto Serif" w:hAnsi="Noto Serif"/>
          <w:color w:val="202522"/>
          <w:sz w:val="20"/>
        </w:rPr>
        <w:t xml:space="preserve"> - the Mobius loop in its purest commercial form. Every renewal is a reaffirmation that the promises continue to be kept.</w:t>
      </w:r>
    </w:p>
    <w:p>
      <w:pPr>
        <w:pStyle w:val="Heading2"/>
        <w:keepNext/>
      </w:pPr>
      <w:r>
        <w:rPr>
          <w:rFonts w:ascii="Noto Sans" w:hAnsi="Noto Sans"/>
          <w:color w:val="A55E3B"/>
          <w:sz w:val="27"/>
        </w:rPr>
        <w:t>Trisara - Luxury Hospitality</w:t>
      </w:r>
    </w:p>
    <w:p>
      <w:r>
        <w:rPr>
          <w:rFonts w:ascii="Noto Serif" w:hAnsi="Noto Serif"/>
          <w:color w:val="202522"/>
          <w:sz w:val="20"/>
        </w:rPr>
        <w:t>Trisara delivers the Threshold experience. For guests, the resort is the first physical encounter with all eight promises in condensed form: Clarity through Jara Spa's sensory treatments; Vitality through nutrition-led cuisine and movement programmes; Serenity through seclusion and Thai healing rituals; and Wonder through Michelin-recognised culinary experiences and the Garden in the Third Heaven setting.</w:t>
      </w:r>
    </w:p>
    <w:p>
      <w:r>
        <w:rPr>
          <w:rFonts w:ascii="Noto Serif" w:hAnsi="Noto Serif"/>
          <w:color w:val="202522"/>
          <w:sz w:val="20"/>
        </w:rPr>
        <w:t>Every guest touchpoint should be traceable to at least one promise. Service training should be built around the framework: hosts are not simply delivering hospitality; they are enabling transformation.</w:t>
      </w:r>
      <w:r>
        <w:rPr>
          <w:rFonts w:ascii="Noto Sans" w:hAnsi="Noto Sans"/>
          <w:color w:val="A55E3B"/>
          <w:sz w:val="15"/>
          <w:vertAlign w:val="superscript"/>
        </w:rPr>
        <w:t>56</w:t>
      </w:r>
      <w:r>
        <w:rPr>
          <w:rFonts w:ascii="Noto Sans" w:hAnsi="Noto Sans"/>
          <w:color w:val="A55E3B"/>
          <w:sz w:val="15"/>
          <w:vertAlign w:val="superscript"/>
        </w:rPr>
        <w:t>57</w:t>
      </w:r>
      <w:r>
        <w:rPr>
          <w:rFonts w:ascii="Noto Sans" w:hAnsi="Noto Sans"/>
          <w:color w:val="A55E3B"/>
          <w:sz w:val="15"/>
          <w:vertAlign w:val="superscript"/>
        </w:rPr>
        <w:t>45</w:t>
      </w:r>
    </w:p>
    <w:p>
      <w:pPr>
        <w:pStyle w:val="Heading2"/>
        <w:keepNext/>
      </w:pPr>
      <w:r>
        <w:rPr>
          <w:rFonts w:ascii="Noto Sans" w:hAnsi="Noto Sans"/>
          <w:color w:val="A55E3B"/>
          <w:sz w:val="27"/>
        </w:rPr>
        <w:t>Tri Vananda - Wellness Community and Residences</w:t>
      </w:r>
    </w:p>
    <w:p>
      <w:r>
        <w:rPr>
          <w:rFonts w:ascii="Noto Serif" w:hAnsi="Noto Serif"/>
          <w:color w:val="202522"/>
          <w:sz w:val="20"/>
        </w:rPr>
        <w:t>Tri Vananda delivers the Mastery layer. It is the most complete physical implementation of all eight promises at once: Clarity and Growth through functional medicine and cognitive-health programming; Vitality through Clinique La Prairie's longevity protocols; Serenity through biophilic design; Belonging through multigenerational community; Purpose through a shared ethos; Sanctuary as its architectural identity; and Wonder through cultural and natural programming.</w:t>
      </w:r>
    </w:p>
    <w:p>
      <w:r>
        <w:rPr>
          <w:rFonts w:ascii="Noto Serif" w:hAnsi="Noto Serif"/>
          <w:color w:val="202522"/>
          <w:sz w:val="20"/>
        </w:rPr>
        <w:t>Every villa becomes a promise kept in built form.</w:t>
      </w:r>
      <w:r>
        <w:rPr>
          <w:rFonts w:ascii="Noto Sans" w:hAnsi="Noto Sans"/>
          <w:color w:val="A55E3B"/>
          <w:sz w:val="15"/>
          <w:vertAlign w:val="superscript"/>
        </w:rPr>
        <w:t>58</w:t>
      </w:r>
      <w:r>
        <w:rPr>
          <w:rFonts w:ascii="Noto Sans" w:hAnsi="Noto Sans"/>
          <w:color w:val="A55E3B"/>
          <w:sz w:val="15"/>
          <w:vertAlign w:val="superscript"/>
        </w:rPr>
        <w:t>46</w:t>
      </w:r>
      <w:r>
        <w:rPr>
          <w:rFonts w:ascii="Noto Sans" w:hAnsi="Noto Sans"/>
          <w:color w:val="A55E3B"/>
          <w:sz w:val="15"/>
          <w:vertAlign w:val="superscript"/>
        </w:rPr>
        <w:t>18</w:t>
      </w:r>
    </w:p>
    <w:p>
      <w:pPr>
        <w:pStyle w:val="Heading2"/>
        <w:keepNext/>
      </w:pPr>
      <w:r>
        <w:rPr>
          <w:rFonts w:ascii="Noto Sans" w:hAnsi="Noto Sans"/>
          <w:color w:val="A55E3B"/>
          <w:sz w:val="27"/>
        </w:rPr>
        <w:t>Future Wellness Communities</w:t>
      </w:r>
    </w:p>
    <w:p>
      <w:r>
        <w:rPr>
          <w:rFonts w:ascii="Noto Serif" w:hAnsi="Noto Serif"/>
          <w:color w:val="202522"/>
          <w:sz w:val="20"/>
        </w:rPr>
        <w:t>The framework is designed to scale. Any future community asks one governing question:</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How does this place deliver all eight promises within its own cultural and natural context?</w:t>
      </w:r>
    </w:p>
    <w:p>
      <w:r>
        <w:rPr>
          <w:rFonts w:ascii="Noto Serif" w:hAnsi="Noto Serif"/>
          <w:color w:val="202522"/>
          <w:sz w:val="20"/>
        </w:rPr>
        <w:t>The promises are universal; their expression is local. This is the framework's franchise logic: consistent enough to form one global brand, yet flexible enough to be expressed differently in Phuket, Kyoto, Tuscany, or the Maldives.</w:t>
      </w:r>
    </w:p>
    <w:p>
      <w:pPr>
        <w:pStyle w:val="Heading2"/>
        <w:keepNext/>
      </w:pPr>
      <w:r>
        <w:rPr>
          <w:rFonts w:ascii="Noto Sans" w:hAnsi="Noto Sans"/>
          <w:color w:val="A55E3B"/>
          <w:sz w:val="27"/>
        </w:rPr>
        <w:t>Programming</w:t>
      </w:r>
    </w:p>
    <w:p>
      <w:r>
        <w:rPr>
          <w:rFonts w:ascii="Noto Serif" w:hAnsi="Noto Serif"/>
          <w:color w:val="202522"/>
          <w:sz w:val="20"/>
        </w:rPr>
        <w:t xml:space="preserve">Every programme, retreat, and immersive experience should be positioned against one or more promises. Marketing copy leads with the promise, not the activity: </w:t>
      </w:r>
      <w:r>
        <w:rPr>
          <w:rFonts w:ascii="Noto Serif" w:hAnsi="Noto Serif"/>
          <w:b/>
          <w:color w:val="202522"/>
          <w:sz w:val="20"/>
        </w:rPr>
        <w:t>"A four-day experience for Clarity"</w:t>
      </w:r>
      <w:r>
        <w:rPr>
          <w:rFonts w:ascii="Noto Serif" w:hAnsi="Noto Serif"/>
          <w:color w:val="202522"/>
          <w:sz w:val="20"/>
        </w:rPr>
        <w:t xml:space="preserve"> rather than </w:t>
      </w:r>
      <w:r>
        <w:rPr>
          <w:rFonts w:ascii="Noto Serif" w:hAnsi="Noto Serif"/>
          <w:b/>
          <w:color w:val="202522"/>
          <w:sz w:val="20"/>
        </w:rPr>
        <w:t>"A mindfulness retreat."</w:t>
      </w:r>
      <w:r>
        <w:rPr>
          <w:rFonts w:ascii="Noto Serif" w:hAnsi="Noto Serif"/>
          <w:color w:val="202522"/>
          <w:sz w:val="20"/>
        </w:rPr>
        <w:t xml:space="preserve"> This transforms PATAMA's content from calendar to curriculum.</w:t>
      </w:r>
    </w:p>
    <w:p>
      <w:pPr>
        <w:pStyle w:val="Heading2"/>
        <w:keepNext/>
      </w:pPr>
      <w:r>
        <w:rPr>
          <w:rFonts w:ascii="Noto Sans" w:hAnsi="Noto Sans"/>
          <w:color w:val="A55E3B"/>
          <w:sz w:val="27"/>
        </w:rPr>
        <w:t>Digital Products</w:t>
      </w:r>
    </w:p>
    <w:p>
      <w:r>
        <w:rPr>
          <w:rFonts w:ascii="Noto Serif" w:hAnsi="Noto Serif"/>
          <w:color w:val="202522"/>
          <w:sz w:val="20"/>
        </w:rPr>
        <w:t>The PATAMA app becomes the daily Mobius: the practice layer connecting all eight promises through small, repeatable experiences - morning clarity exercises, vitality tracking, purpose reflections, community connection, and wonder dispatches. The digital experience makes the framework tangible between stays.</w:t>
      </w:r>
    </w:p>
    <w:p>
      <w:pPr>
        <w:pStyle w:val="Heading2"/>
        <w:keepNext/>
      </w:pPr>
      <w:r>
        <w:rPr>
          <w:rFonts w:ascii="Noto Sans" w:hAnsi="Noto Sans"/>
          <w:color w:val="A55E3B"/>
          <w:sz w:val="27"/>
        </w:rPr>
        <w:t>Retail and Products</w:t>
      </w:r>
    </w:p>
    <w:p>
      <w:r>
        <w:rPr>
          <w:rFonts w:ascii="Noto Serif" w:hAnsi="Noto Serif"/>
          <w:color w:val="202522"/>
          <w:sz w:val="20"/>
        </w:rPr>
        <w:t xml:space="preserve">Every product - supplement, skincare item, nutritional product, sleepwear piece, book, or tool - should enable one or more promises. Products are not sold only by ingredient; they are sold by promise: </w:t>
      </w:r>
      <w:r>
        <w:rPr>
          <w:rFonts w:ascii="Noto Serif" w:hAnsi="Noto Serif"/>
          <w:b/>
          <w:color w:val="202522"/>
          <w:sz w:val="20"/>
        </w:rPr>
        <w:t>"This is for your Serenity."</w:t>
      </w:r>
      <w:r>
        <w:rPr>
          <w:rFonts w:ascii="Noto Serif" w:hAnsi="Noto Serif"/>
          <w:color w:val="202522"/>
          <w:sz w:val="20"/>
        </w:rPr>
        <w:t xml:space="preserve"> The framework becomes a product architecture, not merely a brand narrative.</w:t>
      </w:r>
    </w:p>
    <w:p>
      <w:pPr>
        <w:pStyle w:val="Heading2"/>
        <w:keepNext/>
      </w:pPr>
      <w:r>
        <w:rPr>
          <w:rFonts w:ascii="Noto Sans" w:hAnsi="Noto Sans"/>
          <w:color w:val="A55E3B"/>
          <w:sz w:val="27"/>
        </w:rPr>
        <w:t>Partnerships</w:t>
      </w:r>
    </w:p>
    <w:p>
      <w:r>
        <w:rPr>
          <w:rFonts w:ascii="Noto Serif" w:hAnsi="Noto Serif"/>
          <w:color w:val="202522"/>
          <w:sz w:val="20"/>
        </w:rPr>
        <w:t xml:space="preserve">PATAMA's partnership criterion becomes simple: </w:t>
      </w:r>
      <w:r>
        <w:rPr>
          <w:rFonts w:ascii="Noto Serif" w:hAnsi="Noto Serif"/>
          <w:b/>
          <w:color w:val="202522"/>
          <w:sz w:val="20"/>
        </w:rPr>
        <w:t>does this partner deliver one of the eight promises with world-class credibility?</w:t>
      </w:r>
      <w:r>
        <w:rPr>
          <w:rFonts w:ascii="Noto Serif" w:hAnsi="Noto Serif"/>
          <w:color w:val="202522"/>
          <w:sz w:val="20"/>
        </w:rPr>
        <w:t xml:space="preserve"> Clinique La Prairie for Vitality. A Michelin-starred chef for Wonder. A neuroscientist for Clarity. A contemplative teacher for Serenity. The framework governs partnerships and protects coherence at every touchpoint.</w:t>
      </w:r>
    </w:p>
    <w:p>
      <w:pPr>
        <w:spacing w:before="140" w:after="140"/>
        <w:pBdr>
          <w:bottom w:val="single" w:sz="6" w:space="1" w:color="CFC6B4"/>
        </w:pBdr>
      </w:pPr>
    </w:p>
    <w:p>
      <w:pPr>
        <w:pStyle w:val="Heading1"/>
        <w:pageBreakBefore/>
        <w:pBdr>
          <w:bottom w:val="single" w:sz="10" w:space="5" w:color="B59555"/>
        </w:pBdr>
      </w:pPr>
      <w:r>
        <w:rPr>
          <w:rFonts w:ascii="Noto Sans" w:hAnsi="Noto Sans"/>
          <w:b/>
          <w:caps/>
          <w:color w:val="B59555"/>
          <w:sz w:val="19"/>
        </w:rPr>
        <w:t>PART 8</w:t>
        <w:br/>
      </w:r>
      <w:r>
        <w:rPr>
          <w:rFonts w:ascii="Noto Serif Display" w:hAnsi="Noto Serif Display"/>
          <w:color w:val="173F37"/>
          <w:sz w:val="42"/>
        </w:rPr>
        <w:t>The Redesigned Visual Framework</w:t>
      </w:r>
    </w:p>
    <w:p>
      <w:pPr>
        <w:pStyle w:val="Heading2"/>
        <w:keepNext/>
      </w:pPr>
      <w:r>
        <w:rPr>
          <w:rFonts w:ascii="Noto Sans" w:hAnsi="Noto Sans"/>
          <w:color w:val="A55E3B"/>
          <w:sz w:val="27"/>
        </w:rPr>
        <w:t>Information Architecture</w:t>
      </w:r>
    </w:p>
    <w:p>
      <w:r>
        <w:rPr>
          <w:rFonts w:ascii="Noto Serif" w:hAnsi="Noto Serif"/>
          <w:color w:val="202522"/>
          <w:sz w:val="20"/>
        </w:rPr>
        <w:t>The visual framework is a single, continuous composition - not a grid, pie chart, or static diagram. It is a living Mobius band rendered in three dimensions, visually demonstrating the transition between Internal and External Harmony on one continuous surface.</w:t>
      </w:r>
    </w:p>
    <w:p>
      <w:pPr>
        <w:pStyle w:val="Heading2"/>
        <w:keepNext/>
      </w:pPr>
      <w:r>
        <w:rPr>
          <w:rFonts w:ascii="Noto Sans" w:hAnsi="Noto Sans"/>
          <w:color w:val="A55E3B"/>
          <w:sz w:val="27"/>
        </w:rPr>
        <w:t>Hierarchy and Reading Flow</w:t>
      </w:r>
    </w:p>
    <w:p>
      <w:pPr>
        <w:spacing w:after="50" w:line="259" w:lineRule="auto"/>
        <w:ind w:left="408" w:hanging="295"/>
      </w:pPr>
      <w:r>
        <w:rPr>
          <w:rFonts w:ascii="Noto Sans" w:hAnsi="Noto Sans"/>
          <w:b/>
          <w:color w:val="A55E3B"/>
          <w:sz w:val="18"/>
        </w:rPr>
        <w:t xml:space="preserve">1. </w:t>
      </w:r>
      <w:r>
        <w:rPr>
          <w:rFonts w:ascii="Noto Serif" w:hAnsi="Noto Serif"/>
          <w:b/>
          <w:color w:val="202522"/>
          <w:sz w:val="20"/>
        </w:rPr>
        <w:t>Centre: BECOMING</w:t>
      </w:r>
    </w:p>
    <w:p>
      <w:r>
        <w:rPr>
          <w:rFonts w:ascii="Noto Serif" w:hAnsi="Noto Serif"/>
          <w:color w:val="202522"/>
          <w:sz w:val="20"/>
        </w:rPr>
        <w:t>Set in a refined serif typeface and large enough to anchor the composition. This is the transformation promise. Everything radiates from it.</w:t>
      </w:r>
    </w:p>
    <w:p>
      <w:pPr>
        <w:spacing w:after="50" w:line="259" w:lineRule="auto"/>
        <w:ind w:left="408" w:hanging="295"/>
      </w:pPr>
      <w:r>
        <w:rPr>
          <w:rFonts w:ascii="Noto Sans" w:hAnsi="Noto Sans"/>
          <w:b/>
          <w:color w:val="A55E3B"/>
          <w:sz w:val="18"/>
        </w:rPr>
        <w:t xml:space="preserve">2. </w:t>
      </w:r>
      <w:r>
        <w:rPr>
          <w:rFonts w:ascii="Noto Serif" w:hAnsi="Noto Serif"/>
          <w:b/>
          <w:color w:val="202522"/>
          <w:sz w:val="20"/>
        </w:rPr>
        <w:t>Inner Band: Internal Harmony</w:t>
      </w:r>
    </w:p>
    <w:p>
      <w:r>
        <w:rPr>
          <w:rFonts w:ascii="Noto Serif" w:hAnsi="Noto Serif"/>
          <w:b/>
          <w:color w:val="202522"/>
          <w:sz w:val="20"/>
        </w:rPr>
        <w:t>CLARITY, VITALITY, SERENITY, GROWTH</w:t>
      </w:r>
      <w:r>
        <w:rPr>
          <w:rFonts w:ascii="Noto Serif" w:hAnsi="Noto Serif"/>
          <w:color w:val="202522"/>
          <w:sz w:val="20"/>
        </w:rPr>
        <w:t xml:space="preserve"> arc around the inner curve of the Mobius. The inner surface is rendered in warmer, earth-led tones - terracotta, amber, and rich ivory - referencing body, warmth, and inward life.</w:t>
      </w:r>
    </w:p>
    <w:p>
      <w:pPr>
        <w:spacing w:after="50" w:line="259" w:lineRule="auto"/>
        <w:ind w:left="408" w:hanging="295"/>
      </w:pPr>
      <w:r>
        <w:rPr>
          <w:rFonts w:ascii="Noto Sans" w:hAnsi="Noto Sans"/>
          <w:b/>
          <w:color w:val="A55E3B"/>
          <w:sz w:val="18"/>
        </w:rPr>
        <w:t xml:space="preserve">3. </w:t>
      </w:r>
      <w:r>
        <w:rPr>
          <w:rFonts w:ascii="Noto Serif" w:hAnsi="Noto Serif"/>
          <w:b/>
          <w:color w:val="202522"/>
          <w:sz w:val="20"/>
        </w:rPr>
        <w:t>Outer Band: External Harmony</w:t>
      </w:r>
    </w:p>
    <w:p>
      <w:r>
        <w:rPr>
          <w:rFonts w:ascii="Noto Serif" w:hAnsi="Noto Serif"/>
          <w:color w:val="202522"/>
          <w:sz w:val="20"/>
        </w:rPr>
        <w:t xml:space="preserve">As the Mobius twists, </w:t>
      </w:r>
      <w:r>
        <w:rPr>
          <w:rFonts w:ascii="Noto Serif" w:hAnsi="Noto Serif"/>
          <w:b/>
          <w:color w:val="202522"/>
          <w:sz w:val="20"/>
        </w:rPr>
        <w:t>BELONGING, PURPOSE, SANCTUARY, WONDER</w:t>
      </w:r>
      <w:r>
        <w:rPr>
          <w:rFonts w:ascii="Noto Serif" w:hAnsi="Noto Serif"/>
          <w:color w:val="202522"/>
          <w:sz w:val="20"/>
        </w:rPr>
        <w:t xml:space="preserve"> appear on what was previously the inner surface. The outer curve uses cooler, expansive tones - forest green, ocean blue, and pale gold - referencing nature, community, and the world.</w:t>
      </w:r>
    </w:p>
    <w:p>
      <w:pPr>
        <w:spacing w:after="50" w:line="259" w:lineRule="auto"/>
        <w:ind w:left="408" w:hanging="295"/>
      </w:pPr>
      <w:r>
        <w:rPr>
          <w:rFonts w:ascii="Noto Sans" w:hAnsi="Noto Sans"/>
          <w:b/>
          <w:color w:val="A55E3B"/>
          <w:sz w:val="18"/>
        </w:rPr>
        <w:t xml:space="preserve">4. </w:t>
      </w:r>
      <w:r>
        <w:rPr>
          <w:rFonts w:ascii="Noto Serif" w:hAnsi="Noto Serif"/>
          <w:b/>
          <w:color w:val="202522"/>
          <w:sz w:val="20"/>
        </w:rPr>
        <w:t>The Mobius Line</w:t>
      </w:r>
    </w:p>
    <w:p>
      <w:r>
        <w:rPr>
          <w:rFonts w:ascii="Noto Serif" w:hAnsi="Noto Serif"/>
          <w:color w:val="202522"/>
          <w:sz w:val="20"/>
        </w:rPr>
        <w:t>One continuous line traces the surface of the loop, proving the infinite and unending nature of the practice: no beginning, no end.</w:t>
      </w:r>
    </w:p>
    <w:p>
      <w:pPr>
        <w:spacing w:after="50" w:line="259" w:lineRule="auto"/>
        <w:ind w:left="408" w:hanging="295"/>
      </w:pPr>
      <w:r>
        <w:rPr>
          <w:rFonts w:ascii="Noto Sans" w:hAnsi="Noto Sans"/>
          <w:b/>
          <w:color w:val="A55E3B"/>
          <w:sz w:val="18"/>
        </w:rPr>
        <w:t xml:space="preserve">5. </w:t>
      </w:r>
      <w:r>
        <w:rPr>
          <w:rFonts w:ascii="Noto Serif" w:hAnsi="Noto Serif"/>
          <w:b/>
          <w:color w:val="202522"/>
          <w:sz w:val="20"/>
        </w:rPr>
        <w:t>Base of Composition</w:t>
      </w:r>
    </w:p>
    <w:p>
      <w:r>
        <w:rPr>
          <w:rFonts w:ascii="Noto Serif" w:hAnsi="Noto Serif"/>
          <w:color w:val="202522"/>
          <w:sz w:val="20"/>
        </w:rPr>
        <w:t xml:space="preserve">The terms </w:t>
      </w:r>
      <w:r>
        <w:rPr>
          <w:rFonts w:ascii="Noto Serif" w:hAnsi="Noto Serif"/>
          <w:b/>
          <w:color w:val="202522"/>
          <w:sz w:val="20"/>
        </w:rPr>
        <w:t>INTERNAL HARMONY</w:t>
      </w:r>
      <w:r>
        <w:rPr>
          <w:rFonts w:ascii="Noto Serif" w:hAnsi="Noto Serif"/>
          <w:color w:val="202522"/>
          <w:sz w:val="20"/>
        </w:rPr>
        <w:t xml:space="preserve"> and </w:t>
      </w:r>
      <w:r>
        <w:rPr>
          <w:rFonts w:ascii="Noto Serif" w:hAnsi="Noto Serif"/>
          <w:b/>
          <w:color w:val="202522"/>
          <w:sz w:val="20"/>
        </w:rPr>
        <w:t>EXTERNAL HARMONY</w:t>
      </w:r>
      <w:r>
        <w:rPr>
          <w:rFonts w:ascii="Noto Serif" w:hAnsi="Noto Serif"/>
          <w:color w:val="202522"/>
          <w:sz w:val="20"/>
        </w:rPr>
        <w:t xml:space="preserve"> appear as descriptions of two aspects of one continuous reality, not as labels for separate halves.</w:t>
      </w:r>
    </w:p>
    <w:p>
      <w:pPr>
        <w:pStyle w:val="Heading2"/>
        <w:keepNext/>
      </w:pPr>
      <w:r>
        <w:rPr>
          <w:rFonts w:ascii="Noto Sans" w:hAnsi="Noto Sans"/>
          <w:color w:val="A55E3B"/>
          <w:sz w:val="27"/>
        </w:rPr>
        <w:t>Wording and Labels</w:t>
      </w:r>
    </w:p>
    <w:p>
      <w:r>
        <w:rPr>
          <w:rFonts w:ascii="Noto Serif" w:hAnsi="Noto Serif"/>
          <w:color w:val="202522"/>
          <w:sz w:val="20"/>
        </w:rPr>
        <w:t>Each promise is a single, emotionally resonant English noun:</w:t>
      </w:r>
    </w:p>
    <w:p>
      <w:pPr>
        <w:pStyle w:val="ListBullet"/>
      </w:pPr>
      <w:r>
        <w:rPr>
          <w:rFonts w:ascii="Noto Serif" w:hAnsi="Noto Serif"/>
          <w:b/>
          <w:color w:val="202522"/>
          <w:sz w:val="20"/>
        </w:rPr>
        <w:t>CLARITY</w:t>
      </w:r>
      <w:r>
        <w:rPr>
          <w:rFonts w:ascii="Noto Serif" w:hAnsi="Noto Serif"/>
          <w:color w:val="202522"/>
          <w:sz w:val="20"/>
        </w:rPr>
        <w:t xml:space="preserve"> - not "Mental Wellbeing"</w:t>
      </w:r>
    </w:p>
    <w:p>
      <w:pPr>
        <w:pStyle w:val="ListBullet"/>
      </w:pPr>
      <w:r>
        <w:rPr>
          <w:rFonts w:ascii="Noto Serif" w:hAnsi="Noto Serif"/>
          <w:b/>
          <w:color w:val="202522"/>
          <w:sz w:val="20"/>
        </w:rPr>
        <w:t>VITALITY</w:t>
      </w:r>
      <w:r>
        <w:rPr>
          <w:rFonts w:ascii="Noto Serif" w:hAnsi="Noto Serif"/>
          <w:color w:val="202522"/>
          <w:sz w:val="20"/>
        </w:rPr>
        <w:t xml:space="preserve"> - not "Physical Health"</w:t>
      </w:r>
    </w:p>
    <w:p>
      <w:pPr>
        <w:pStyle w:val="ListBullet"/>
      </w:pPr>
      <w:r>
        <w:rPr>
          <w:rFonts w:ascii="Noto Serif" w:hAnsi="Noto Serif"/>
          <w:b/>
          <w:color w:val="202522"/>
          <w:sz w:val="20"/>
        </w:rPr>
        <w:t>SERENITY</w:t>
      </w:r>
      <w:r>
        <w:rPr>
          <w:rFonts w:ascii="Noto Serif" w:hAnsi="Noto Serif"/>
          <w:color w:val="202522"/>
          <w:sz w:val="20"/>
        </w:rPr>
        <w:t xml:space="preserve"> - not "Stress Management"</w:t>
      </w:r>
    </w:p>
    <w:p>
      <w:pPr>
        <w:pStyle w:val="ListBullet"/>
      </w:pPr>
      <w:r>
        <w:rPr>
          <w:rFonts w:ascii="Noto Serif" w:hAnsi="Noto Serif"/>
          <w:b/>
          <w:color w:val="202522"/>
          <w:sz w:val="20"/>
        </w:rPr>
        <w:t>GROWTH</w:t>
      </w:r>
      <w:r>
        <w:rPr>
          <w:rFonts w:ascii="Noto Serif" w:hAnsi="Noto Serif"/>
          <w:color w:val="202522"/>
          <w:sz w:val="20"/>
        </w:rPr>
        <w:t xml:space="preserve"> - not "Personal Development"</w:t>
      </w:r>
    </w:p>
    <w:p>
      <w:pPr>
        <w:pStyle w:val="ListBullet"/>
      </w:pPr>
      <w:r>
        <w:rPr>
          <w:rFonts w:ascii="Noto Serif" w:hAnsi="Noto Serif"/>
          <w:b/>
          <w:color w:val="202522"/>
          <w:sz w:val="20"/>
        </w:rPr>
        <w:t>BELONGING</w:t>
      </w:r>
      <w:r>
        <w:rPr>
          <w:rFonts w:ascii="Noto Serif" w:hAnsi="Noto Serif"/>
          <w:color w:val="202522"/>
          <w:sz w:val="20"/>
        </w:rPr>
        <w:t xml:space="preserve"> - not "Community"</w:t>
      </w:r>
    </w:p>
    <w:p>
      <w:pPr>
        <w:pStyle w:val="ListBullet"/>
      </w:pPr>
      <w:r>
        <w:rPr>
          <w:rFonts w:ascii="Noto Serif" w:hAnsi="Noto Serif"/>
          <w:b/>
          <w:color w:val="202522"/>
          <w:sz w:val="20"/>
        </w:rPr>
        <w:t>PURPOSE</w:t>
      </w:r>
      <w:r>
        <w:rPr>
          <w:rFonts w:ascii="Noto Serif" w:hAnsi="Noto Serif"/>
          <w:color w:val="202522"/>
          <w:sz w:val="20"/>
        </w:rPr>
        <w:t xml:space="preserve"> - not "Meaning"</w:t>
      </w:r>
    </w:p>
    <w:p>
      <w:pPr>
        <w:pStyle w:val="ListBullet"/>
      </w:pPr>
      <w:r>
        <w:rPr>
          <w:rFonts w:ascii="Noto Serif" w:hAnsi="Noto Serif"/>
          <w:b/>
          <w:color w:val="202522"/>
          <w:sz w:val="20"/>
        </w:rPr>
        <w:t>SANCTUARY</w:t>
      </w:r>
      <w:r>
        <w:rPr>
          <w:rFonts w:ascii="Noto Serif" w:hAnsi="Noto Serif"/>
          <w:color w:val="202522"/>
          <w:sz w:val="20"/>
        </w:rPr>
        <w:t xml:space="preserve"> - not "Environment" or "Home"</w:t>
      </w:r>
    </w:p>
    <w:p>
      <w:pPr>
        <w:pStyle w:val="ListBullet"/>
      </w:pPr>
      <w:r>
        <w:rPr>
          <w:rFonts w:ascii="Noto Serif" w:hAnsi="Noto Serif"/>
          <w:b/>
          <w:color w:val="202522"/>
          <w:sz w:val="20"/>
        </w:rPr>
        <w:t>WONDER</w:t>
      </w:r>
      <w:r>
        <w:rPr>
          <w:rFonts w:ascii="Noto Serif" w:hAnsi="Noto Serif"/>
          <w:color w:val="202522"/>
          <w:sz w:val="20"/>
        </w:rPr>
        <w:t xml:space="preserve"> - not "Culture &amp; Experience"</w:t>
      </w:r>
    </w:p>
    <w:p>
      <w:r>
        <w:rPr>
          <w:rFonts w:ascii="Noto Serif" w:hAnsi="Noto Serif"/>
          <w:color w:val="202522"/>
          <w:sz w:val="20"/>
        </w:rPr>
        <w:t>Each name should pass three tests:</w:t>
      </w:r>
    </w:p>
    <w:p>
      <w:pPr>
        <w:spacing w:after="50" w:line="259" w:lineRule="auto"/>
        <w:ind w:left="408" w:hanging="295"/>
      </w:pPr>
      <w:r>
        <w:rPr>
          <w:rFonts w:ascii="Noto Sans" w:hAnsi="Noto Sans"/>
          <w:b/>
          <w:color w:val="A55E3B"/>
          <w:sz w:val="18"/>
        </w:rPr>
        <w:t xml:space="preserve">1. </w:t>
      </w:r>
      <w:r>
        <w:rPr>
          <w:rFonts w:ascii="Noto Serif" w:hAnsi="Noto Serif"/>
          <w:color w:val="202522"/>
          <w:sz w:val="20"/>
        </w:rPr>
        <w:t>Does a first-time reader understand it as a human outcome?</w:t>
      </w:r>
    </w:p>
    <w:p>
      <w:pPr>
        <w:spacing w:after="50" w:line="259" w:lineRule="auto"/>
        <w:ind w:left="408" w:hanging="295"/>
      </w:pPr>
      <w:r>
        <w:rPr>
          <w:rFonts w:ascii="Noto Sans" w:hAnsi="Noto Sans"/>
          <w:b/>
          <w:color w:val="A55E3B"/>
          <w:sz w:val="18"/>
        </w:rPr>
        <w:t xml:space="preserve">2. </w:t>
      </w:r>
      <w:r>
        <w:rPr>
          <w:rFonts w:ascii="Noto Serif" w:hAnsi="Noto Serif"/>
          <w:color w:val="202522"/>
          <w:sz w:val="20"/>
        </w:rPr>
        <w:t>Does it sound premium in English and translate with dignity into Thai, Mandarin, Japanese, and Arabic?</w:t>
      </w:r>
    </w:p>
    <w:p>
      <w:pPr>
        <w:spacing w:after="50" w:line="259" w:lineRule="auto"/>
        <w:ind w:left="408" w:hanging="295"/>
      </w:pPr>
      <w:r>
        <w:rPr>
          <w:rFonts w:ascii="Noto Sans" w:hAnsi="Noto Sans"/>
          <w:b/>
          <w:color w:val="A55E3B"/>
          <w:sz w:val="18"/>
        </w:rPr>
        <w:t xml:space="preserve">3. </w:t>
      </w:r>
      <w:r>
        <w:rPr>
          <w:rFonts w:ascii="Noto Serif" w:hAnsi="Noto Serif"/>
          <w:color w:val="202522"/>
          <w:sz w:val="20"/>
        </w:rPr>
        <w:t>Does it feel timeless - credible in 2026 and equally credible in 2046?</w:t>
      </w:r>
    </w:p>
    <w:p>
      <w:pPr>
        <w:pStyle w:val="Heading2"/>
        <w:keepNext/>
      </w:pPr>
      <w:r>
        <w:rPr>
          <w:rFonts w:ascii="Noto Sans" w:hAnsi="Noto Sans"/>
          <w:color w:val="A55E3B"/>
          <w:sz w:val="27"/>
        </w:rPr>
        <w:t>Typography</w:t>
      </w:r>
    </w:p>
    <w:p>
      <w:r>
        <w:rPr>
          <w:rFonts w:ascii="Noto Serif" w:hAnsi="Noto Serif"/>
          <w:b/>
          <w:color w:val="202522"/>
          <w:sz w:val="20"/>
        </w:rPr>
        <w:t>Wordmark:</w:t>
      </w:r>
      <w:r>
        <w:rPr>
          <w:rFonts w:ascii="Noto Serif" w:hAnsi="Noto Serif"/>
          <w:color w:val="202522"/>
          <w:sz w:val="20"/>
        </w:rPr>
        <w:t xml:space="preserve"> A custom serif with subtle Thai calligraphic influence, suggesting wisdom, antiquity, and cultural rootedness.</w:t>
      </w:r>
    </w:p>
    <w:p>
      <w:r>
        <w:rPr>
          <w:rFonts w:ascii="Noto Serif" w:hAnsi="Noto Serif"/>
          <w:b/>
          <w:color w:val="202522"/>
          <w:sz w:val="20"/>
        </w:rPr>
        <w:t>Promise names:</w:t>
      </w:r>
      <w:r>
        <w:rPr>
          <w:rFonts w:ascii="Noto Serif" w:hAnsi="Noto Serif"/>
          <w:color w:val="202522"/>
          <w:sz w:val="20"/>
        </w:rPr>
        <w:t xml:space="preserve"> All-capital, light-weight sans serif - modern, clear, and internationally legible.</w:t>
      </w:r>
    </w:p>
    <w:p>
      <w:r>
        <w:rPr>
          <w:rFonts w:ascii="Noto Serif" w:hAnsi="Noto Serif"/>
          <w:b/>
          <w:color w:val="202522"/>
          <w:sz w:val="20"/>
        </w:rPr>
        <w:t>Descriptive text:</w:t>
      </w:r>
      <w:r>
        <w:rPr>
          <w:rFonts w:ascii="Noto Serif" w:hAnsi="Noto Serif"/>
          <w:color w:val="202522"/>
          <w:sz w:val="20"/>
        </w:rPr>
        <w:t xml:space="preserve"> A restrained serif with mixed weights - intelligent, literary, and unhurried.</w:t>
      </w:r>
    </w:p>
    <w:p>
      <w:pPr>
        <w:pStyle w:val="Heading2"/>
        <w:keepNext/>
      </w:pPr>
      <w:r>
        <w:rPr>
          <w:rFonts w:ascii="Noto Sans" w:hAnsi="Noto Sans"/>
          <w:color w:val="A55E3B"/>
          <w:sz w:val="27"/>
        </w:rPr>
        <w:t>Colour</w:t>
      </w:r>
    </w:p>
    <w:p>
      <w:r>
        <w:rPr>
          <w:rFonts w:ascii="Noto Serif" w:hAnsi="Noto Serif"/>
          <w:b/>
          <w:color w:val="202522"/>
          <w:sz w:val="20"/>
        </w:rPr>
        <w:t>Primary palette:</w:t>
      </w:r>
      <w:r>
        <w:rPr>
          <w:rFonts w:ascii="Noto Serif" w:hAnsi="Noto Serif"/>
          <w:color w:val="202522"/>
          <w:sz w:val="20"/>
        </w:rPr>
        <w:t xml:space="preserve"> deep ivory, terracotta gold for Internal Harmony, and a forest-to-ocean gradient for External Harmony.</w:t>
      </w:r>
    </w:p>
    <w:p>
      <w:r>
        <w:rPr>
          <w:rFonts w:ascii="Noto Serif" w:hAnsi="Noto Serif"/>
          <w:b/>
          <w:color w:val="202522"/>
          <w:sz w:val="20"/>
        </w:rPr>
        <w:t>Secondary palette:</w:t>
      </w:r>
      <w:r>
        <w:rPr>
          <w:rFonts w:ascii="Noto Serif" w:hAnsi="Noto Serif"/>
          <w:color w:val="202522"/>
          <w:sz w:val="20"/>
        </w:rPr>
        <w:t xml:space="preserve"> eight restrained accent tones, one for each promise.</w:t>
      </w:r>
    </w:p>
    <w:p>
      <w:pPr>
        <w:pStyle w:val="Heading2"/>
        <w:keepNext/>
      </w:pPr>
      <w:r>
        <w:rPr>
          <w:rFonts w:ascii="Noto Sans" w:hAnsi="Noto Sans"/>
          <w:color w:val="A55E3B"/>
          <w:sz w:val="27"/>
        </w:rPr>
        <w:t>Mobius Implementation</w:t>
      </w:r>
    </w:p>
    <w:p>
      <w:r>
        <w:rPr>
          <w:rFonts w:ascii="Noto Serif" w:hAnsi="Noto Serif"/>
          <w:color w:val="202522"/>
          <w:sz w:val="20"/>
        </w:rPr>
        <w:t xml:space="preserve">The Mobius is not an icon. It is the </w:t>
      </w:r>
      <w:r>
        <w:rPr>
          <w:rFonts w:ascii="Noto Serif" w:hAnsi="Noto Serif"/>
          <w:i/>
          <w:color w:val="202522"/>
          <w:sz w:val="20"/>
        </w:rPr>
        <w:t>container</w:t>
      </w:r>
      <w:r>
        <w:rPr>
          <w:rFonts w:ascii="Noto Serif" w:hAnsi="Noto Serif"/>
          <w:color w:val="202522"/>
          <w:sz w:val="20"/>
        </w:rPr>
        <w:t xml:space="preserve"> - the visual environment within which all eight promises exist.</w:t>
      </w:r>
    </w:p>
    <w:p>
      <w:pPr>
        <w:pStyle w:val="ListBullet"/>
      </w:pPr>
      <w:r>
        <w:rPr>
          <w:rFonts w:ascii="Noto Serif" w:hAnsi="Noto Serif"/>
          <w:b/>
          <w:color w:val="202522"/>
          <w:sz w:val="20"/>
        </w:rPr>
        <w:t>Print:</w:t>
      </w:r>
      <w:r>
        <w:rPr>
          <w:rFonts w:ascii="Noto Serif" w:hAnsi="Noto Serif"/>
          <w:color w:val="202522"/>
          <w:sz w:val="20"/>
        </w:rPr>
        <w:t xml:space="preserve"> a high-contrast, three-dimensional sculptural form</w:t>
      </w:r>
    </w:p>
    <w:p>
      <w:pPr>
        <w:pStyle w:val="ListBullet"/>
      </w:pPr>
      <w:r>
        <w:rPr>
          <w:rFonts w:ascii="Noto Serif" w:hAnsi="Noto Serif"/>
          <w:b/>
          <w:color w:val="202522"/>
          <w:sz w:val="20"/>
        </w:rPr>
        <w:t>Digital:</w:t>
      </w:r>
      <w:r>
        <w:rPr>
          <w:rFonts w:ascii="Noto Serif" w:hAnsi="Noto Serif"/>
          <w:color w:val="202522"/>
          <w:sz w:val="20"/>
        </w:rPr>
        <w:t xml:space="preserve"> a slow, continuous animation in which promises emerge as the loop turns</w:t>
      </w:r>
    </w:p>
    <w:p>
      <w:pPr>
        <w:pStyle w:val="ListBullet"/>
      </w:pPr>
      <w:r>
        <w:rPr>
          <w:rFonts w:ascii="Noto Serif" w:hAnsi="Noto Serif"/>
          <w:b/>
          <w:color w:val="202522"/>
          <w:sz w:val="20"/>
        </w:rPr>
        <w:t>Environmental:</w:t>
      </w:r>
      <w:r>
        <w:rPr>
          <w:rFonts w:ascii="Noto Serif" w:hAnsi="Noto Serif"/>
          <w:color w:val="202522"/>
          <w:sz w:val="20"/>
        </w:rPr>
        <w:t xml:space="preserve"> a physical installation in polished stone, organic metal, or water at the entry to PATAMA spaces</w:t>
      </w:r>
    </w:p>
    <w:p>
      <w:pPr>
        <w:pStyle w:val="ListBullet"/>
      </w:pPr>
      <w:r>
        <w:rPr>
          <w:rFonts w:ascii="Noto Serif" w:hAnsi="Noto Serif"/>
          <w:b/>
          <w:color w:val="202522"/>
          <w:sz w:val="20"/>
        </w:rPr>
        <w:t>App:</w:t>
      </w:r>
      <w:r>
        <w:rPr>
          <w:rFonts w:ascii="Noto Serif" w:hAnsi="Noto Serif"/>
          <w:color w:val="202522"/>
          <w:sz w:val="20"/>
        </w:rPr>
        <w:t xml:space="preserve"> the Mobius line alone, reduced to its essential gesture</w:t>
      </w:r>
    </w:p>
    <w:p>
      <w:pPr>
        <w:pStyle w:val="ListBullet"/>
      </w:pPr>
      <w:r>
        <w:rPr>
          <w:rFonts w:ascii="Noto Serif" w:hAnsi="Noto Serif"/>
          <w:b/>
          <w:color w:val="202522"/>
          <w:sz w:val="20"/>
        </w:rPr>
        <w:t>Membership card:</w:t>
      </w:r>
      <w:r>
        <w:rPr>
          <w:rFonts w:ascii="Noto Serif" w:hAnsi="Noto Serif"/>
          <w:color w:val="202522"/>
          <w:sz w:val="20"/>
        </w:rPr>
        <w:t xml:space="preserve"> a debossed Mobius band, with the eight promises on the reverse</w:t>
      </w:r>
    </w:p>
    <w:p>
      <w:pPr>
        <w:pStyle w:val="Heading2"/>
        <w:keepNext/>
      </w:pPr>
      <w:r>
        <w:rPr>
          <w:rFonts w:ascii="Noto Sans" w:hAnsi="Noto Sans"/>
          <w:color w:val="A55E3B"/>
          <w:sz w:val="27"/>
        </w:rPr>
        <w:t>Designer Specification</w:t>
      </w:r>
    </w:p>
    <w:p>
      <w:r>
        <w:rPr>
          <w:rFonts w:ascii="Noto Serif" w:hAnsi="Noto Serif"/>
          <w:color w:val="202522"/>
          <w:sz w:val="20"/>
        </w:rPr>
        <w:t>The framework should use a single continuous band in an approximately 4:3 landscape ratio, adaptable to:</w:t>
      </w:r>
    </w:p>
    <w:p>
      <w:pPr>
        <w:pStyle w:val="ListBullet"/>
      </w:pPr>
      <w:r>
        <w:rPr>
          <w:rFonts w:ascii="Noto Serif" w:hAnsi="Noto Serif"/>
          <w:color w:val="202522"/>
          <w:sz w:val="20"/>
        </w:rPr>
        <w:t>Full-page membership materials</w:t>
      </w:r>
    </w:p>
    <w:p>
      <w:pPr>
        <w:pStyle w:val="ListBullet"/>
      </w:pPr>
      <w:r>
        <w:rPr>
          <w:rFonts w:ascii="Noto Serif" w:hAnsi="Noto Serif"/>
          <w:color w:val="202522"/>
          <w:sz w:val="20"/>
        </w:rPr>
        <w:t>16:9 presentations</w:t>
      </w:r>
    </w:p>
    <w:p>
      <w:pPr>
        <w:pStyle w:val="ListBullet"/>
      </w:pPr>
      <w:r>
        <w:rPr>
          <w:rFonts w:ascii="Noto Serif" w:hAnsi="Noto Serif"/>
          <w:color w:val="202522"/>
          <w:sz w:val="20"/>
        </w:rPr>
        <w:t>Square social formats through extracted sections</w:t>
      </w:r>
    </w:p>
    <w:p>
      <w:pPr>
        <w:pStyle w:val="ListBullet"/>
      </w:pPr>
      <w:r>
        <w:rPr>
          <w:rFonts w:ascii="Noto Serif" w:hAnsi="Noto Serif"/>
          <w:color w:val="202522"/>
          <w:sz w:val="20"/>
        </w:rPr>
        <w:t>Environmental installations</w:t>
      </w:r>
    </w:p>
    <w:p>
      <w:pPr>
        <w:pStyle w:val="ListBullet"/>
      </w:pPr>
      <w:r>
        <w:rPr>
          <w:rFonts w:ascii="Noto Serif" w:hAnsi="Noto Serif"/>
          <w:color w:val="202522"/>
          <w:sz w:val="20"/>
        </w:rPr>
        <w:t>App icons</w:t>
      </w:r>
    </w:p>
    <w:p>
      <w:pPr>
        <w:pStyle w:val="ListBullet"/>
      </w:pPr>
      <w:r>
        <w:rPr>
          <w:rFonts w:ascii="Noto Serif" w:hAnsi="Noto Serif"/>
          <w:color w:val="202522"/>
          <w:sz w:val="20"/>
        </w:rPr>
        <w:t>Membership cards</w:t>
      </w:r>
    </w:p>
    <w:p>
      <w:pPr>
        <w:spacing w:before="140" w:after="140"/>
        <w:pBdr>
          <w:bottom w:val="single" w:sz="6" w:space="1" w:color="CFC6B4"/>
        </w:pBdr>
      </w:pPr>
    </w:p>
    <w:p>
      <w:pPr>
        <w:pStyle w:val="Heading1"/>
        <w:pageBreakBefore/>
        <w:pBdr>
          <w:bottom w:val="single" w:sz="10" w:space="5" w:color="B59555"/>
        </w:pBdr>
      </w:pPr>
      <w:r>
        <w:rPr>
          <w:rFonts w:ascii="Noto Sans" w:hAnsi="Noto Sans"/>
          <w:b/>
          <w:caps/>
          <w:color w:val="B59555"/>
          <w:sz w:val="19"/>
        </w:rPr>
        <w:t>PART 9</w:t>
        <w:br/>
      </w:r>
      <w:r>
        <w:rPr>
          <w:rFonts w:ascii="Noto Serif Display" w:hAnsi="Noto Serif Display"/>
          <w:color w:val="173F37"/>
          <w:sz w:val="42"/>
        </w:rPr>
        <w:t>Stress Test - The Interbrand/McKinsey Review</w:t>
      </w:r>
    </w:p>
    <w:p>
      <w:pPr>
        <w:spacing w:after="140"/>
      </w:pPr>
      <w:r>
        <w:rPr>
          <w:rFonts w:ascii="Noto Serif" w:hAnsi="Noto Serif"/>
          <w:i/>
          <w:color w:val="66706A"/>
          <w:sz w:val="19"/>
        </w:rPr>
        <w:t>The framework is now subjected to a rigorous strategic critique.</w:t>
      </w:r>
    </w:p>
    <w:p>
      <w:pPr>
        <w:pStyle w:val="Heading2"/>
        <w:keepNext/>
      </w:pPr>
      <w:r>
        <w:rPr>
          <w:rFonts w:ascii="Noto Sans" w:hAnsi="Noto Sans"/>
          <w:color w:val="A55E3B"/>
          <w:sz w:val="27"/>
        </w:rPr>
        <w:t>Residual Strengths</w:t>
      </w:r>
    </w:p>
    <w:p>
      <w:r>
        <w:rPr>
          <w:rFonts w:ascii="Noto Serif" w:hAnsi="Noto Serif"/>
          <w:color w:val="202522"/>
          <w:sz w:val="20"/>
        </w:rPr>
        <w:t>The Mobius architecture is world-class. The Internal/External Harmony distinction is genuinely innovative and scientifically supported. The eight promise names are stronger than the original threads in clarity, memorability, and emotional relevance. The rationale is defensible at board level, while the suggested measures make the promises potentially viable as membership outcomes rather than merely aspirational claims.</w:t>
      </w:r>
    </w:p>
    <w:p>
      <w:pPr>
        <w:pStyle w:val="Heading2"/>
        <w:keepNext/>
      </w:pPr>
      <w:r>
        <w:rPr>
          <w:rFonts w:ascii="Noto Sans" w:hAnsi="Noto Sans"/>
          <w:color w:val="A55E3B"/>
          <w:sz w:val="27"/>
        </w:rPr>
        <w:t>Remaining Weaknesses and Resolutions</w:t>
      </w:r>
    </w:p>
    <w:p>
      <w:pPr>
        <w:pStyle w:val="Heading3"/>
        <w:keepNext/>
      </w:pPr>
      <w:r>
        <w:rPr>
          <w:rFonts w:ascii="Noto Sans" w:hAnsi="Noto Sans"/>
          <w:color w:val="285A62"/>
          <w:sz w:val="22"/>
        </w:rPr>
        <w:t>1. The Earlier Name "Home" Risked Sounding Like Real-Estate Marketing</w:t>
      </w:r>
    </w:p>
    <w:p>
      <w:r>
        <w:rPr>
          <w:rFonts w:ascii="Noto Serif" w:hAnsi="Noto Serif"/>
          <w:b/>
          <w:color w:val="202522"/>
          <w:sz w:val="20"/>
        </w:rPr>
        <w:t>Resolution:</w:t>
      </w:r>
      <w:r>
        <w:rPr>
          <w:rFonts w:ascii="Noto Serif" w:hAnsi="Noto Serif"/>
          <w:color w:val="202522"/>
          <w:sz w:val="20"/>
        </w:rPr>
        <w:t xml:space="preserve"> The final framework uses </w:t>
      </w:r>
      <w:r>
        <w:rPr>
          <w:rFonts w:ascii="Noto Serif" w:hAnsi="Noto Serif"/>
          <w:b/>
          <w:color w:val="202522"/>
          <w:sz w:val="20"/>
        </w:rPr>
        <w:t>SANCTUARY</w:t>
      </w:r>
      <w:r>
        <w:rPr>
          <w:rFonts w:ascii="Noto Serif" w:hAnsi="Noto Serif"/>
          <w:color w:val="202522"/>
          <w:sz w:val="20"/>
        </w:rPr>
        <w:t>. The word preserves the protective and restorative environmental idea while elevating it beyond property. It suggests refuge, intentionality, and care, while remaining compatible with biophilic and environmental science.</w:t>
      </w:r>
    </w:p>
    <w:p>
      <w:pPr>
        <w:pStyle w:val="Heading3"/>
        <w:keepNext/>
      </w:pPr>
      <w:r>
        <w:rPr>
          <w:rFonts w:ascii="Noto Sans" w:hAnsi="Noto Sans"/>
          <w:color w:val="285A62"/>
          <w:sz w:val="22"/>
        </w:rPr>
        <w:t>2. Eight Promises Are More Than Most Customers Will Immediately Memorise</w:t>
      </w:r>
    </w:p>
    <w:p>
      <w:r>
        <w:rPr>
          <w:rFonts w:ascii="Noto Serif" w:hAnsi="Noto Serif"/>
          <w:b/>
          <w:color w:val="202522"/>
          <w:sz w:val="20"/>
        </w:rPr>
        <w:t>Resolution:</w:t>
      </w:r>
      <w:r>
        <w:rPr>
          <w:rFonts w:ascii="Noto Serif" w:hAnsi="Noto Serif"/>
          <w:color w:val="202522"/>
          <w:sz w:val="20"/>
        </w:rPr>
        <w:t xml:space="preserve"> The framework is not intended to be memorised as a list. It is experienced as a continuous whole through the Mobius. Customers will naturally enter through the three or four promises most relevant to them. For communication, the promises are clustered into two memorable groups:</w:t>
      </w:r>
    </w:p>
    <w:p>
      <w:pPr>
        <w:pStyle w:val="ListBullet"/>
      </w:pPr>
      <w:r>
        <w:rPr>
          <w:rFonts w:ascii="Noto Serif" w:hAnsi="Noto Serif"/>
          <w:b/>
          <w:color w:val="202522"/>
          <w:sz w:val="20"/>
        </w:rPr>
        <w:t>Inner Life:</w:t>
      </w:r>
      <w:r>
        <w:rPr>
          <w:rFonts w:ascii="Noto Serif" w:hAnsi="Noto Serif"/>
          <w:color w:val="202522"/>
          <w:sz w:val="20"/>
        </w:rPr>
        <w:t xml:space="preserve"> Clarity, Vitality, Serenity, Growth</w:t>
      </w:r>
    </w:p>
    <w:p>
      <w:pPr>
        <w:pStyle w:val="ListBullet"/>
      </w:pPr>
      <w:r>
        <w:rPr>
          <w:rFonts w:ascii="Noto Serif" w:hAnsi="Noto Serif"/>
          <w:b/>
          <w:color w:val="202522"/>
          <w:sz w:val="20"/>
        </w:rPr>
        <w:t>Outer World:</w:t>
      </w:r>
      <w:r>
        <w:rPr>
          <w:rFonts w:ascii="Noto Serif" w:hAnsi="Noto Serif"/>
          <w:color w:val="202522"/>
          <w:sz w:val="20"/>
        </w:rPr>
        <w:t xml:space="preserve"> Belonging, Purpose, Sanctuary, Wonder</w:t>
      </w:r>
    </w:p>
    <w:p>
      <w:pPr>
        <w:pStyle w:val="Heading3"/>
        <w:keepNext/>
      </w:pPr>
      <w:r>
        <w:rPr>
          <w:rFonts w:ascii="Noto Sans" w:hAnsi="Noto Sans"/>
          <w:color w:val="285A62"/>
          <w:sz w:val="22"/>
        </w:rPr>
        <w:t>3. Wonder May Appear Passive</w:t>
      </w:r>
    </w:p>
    <w:p>
      <w:r>
        <w:rPr>
          <w:rFonts w:ascii="Noto Serif" w:hAnsi="Noto Serif"/>
          <w:b/>
          <w:color w:val="202522"/>
          <w:sz w:val="20"/>
        </w:rPr>
        <w:t>Resolution:</w:t>
      </w:r>
      <w:r>
        <w:rPr>
          <w:rFonts w:ascii="Noto Serif" w:hAnsi="Noto Serif"/>
          <w:color w:val="202522"/>
          <w:sz w:val="20"/>
        </w:rPr>
        <w:t xml:space="preserve"> Use the descriptor </w:t>
      </w:r>
      <w:r>
        <w:rPr>
          <w:rFonts w:ascii="Noto Serif" w:hAnsi="Noto Serif"/>
          <w:b/>
          <w:color w:val="202522"/>
          <w:sz w:val="20"/>
        </w:rPr>
        <w:t>"Wonder: the practice of encountering the extraordinary."</w:t>
      </w:r>
      <w:r>
        <w:rPr>
          <w:rFonts w:ascii="Noto Serif" w:hAnsi="Noto Serif"/>
          <w:color w:val="202522"/>
          <w:sz w:val="20"/>
        </w:rPr>
        <w:t xml:space="preserve"> This makes Wonder an active discipline consistent with the Mobius principle: everything PATAMA offers is cultivated, not merely consumed.</w:t>
      </w:r>
    </w:p>
    <w:p>
      <w:pPr>
        <w:pStyle w:val="Heading3"/>
        <w:keepNext/>
      </w:pPr>
      <w:r>
        <w:rPr>
          <w:rFonts w:ascii="Noto Sans" w:hAnsi="Noto Sans"/>
          <w:color w:val="285A62"/>
          <w:sz w:val="22"/>
        </w:rPr>
        <w:t>4. Cultural Sensitivity Requires More Than Translation</w:t>
      </w:r>
    </w:p>
    <w:p>
      <w:r>
        <w:rPr>
          <w:rFonts w:ascii="Noto Serif" w:hAnsi="Noto Serif"/>
          <w:b/>
          <w:color w:val="202522"/>
          <w:sz w:val="20"/>
        </w:rPr>
        <w:t>Resolution:</w:t>
      </w:r>
      <w:r>
        <w:rPr>
          <w:rFonts w:ascii="Noto Serif" w:hAnsi="Noto Serif"/>
          <w:color w:val="202522"/>
          <w:sz w:val="20"/>
        </w:rPr>
        <w:t xml:space="preserve"> The framework should draw explicitly from Thai Buddhist ideas of impermanence, non-duality, and continuous practice, as well as Asian concepts such as </w:t>
      </w:r>
      <w:r>
        <w:rPr>
          <w:rFonts w:ascii="Noto Serif" w:hAnsi="Noto Serif"/>
          <w:i/>
          <w:color w:val="202522"/>
          <w:sz w:val="20"/>
        </w:rPr>
        <w:t>ikigai</w:t>
      </w:r>
      <w:r>
        <w:rPr>
          <w:rFonts w:ascii="Noto Serif" w:hAnsi="Noto Serif"/>
          <w:color w:val="202522"/>
          <w:sz w:val="20"/>
        </w:rPr>
        <w:t>. In Thai-market communication, each promise should be paired with a Thai resonance term rather than translated literally. This strengthens cultural rootedness without compromising international legibility.</w:t>
      </w:r>
    </w:p>
    <w:p>
      <w:pPr>
        <w:pStyle w:val="Heading3"/>
        <w:keepNext/>
      </w:pPr>
      <w:r>
        <w:rPr>
          <w:rFonts w:ascii="Noto Sans" w:hAnsi="Noto Sans"/>
          <w:color w:val="285A62"/>
          <w:sz w:val="22"/>
        </w:rPr>
        <w:t>5. The Framework Needs a Single-Sentence Introduction</w:t>
      </w:r>
    </w:p>
    <w:p>
      <w:r>
        <w:rPr>
          <w:rFonts w:ascii="Noto Serif" w:hAnsi="Noto Serif"/>
          <w:b/>
          <w:color w:val="202522"/>
          <w:sz w:val="20"/>
        </w:rPr>
        <w:t>Resolution:</w:t>
      </w:r>
    </w:p>
    <w:p>
      <w:pPr>
        <w:pStyle w:val="PullQuote"/>
        <w:spacing w:before="160" w:after="200" w:line="276" w:lineRule="auto"/>
        <w:ind w:left="255" w:right="170"/>
        <w:shd w:fill="F4EFE3"/>
        <w:pBdr>
          <w:left w:val="single" w:sz="18" w:space="4" w:color="B59555"/>
        </w:pBdr>
      </w:pPr>
      <w:r>
        <w:rPr>
          <w:rFonts w:ascii="Noto Serif" w:hAnsi="Noto Serif"/>
          <w:b/>
          <w:i/>
          <w:color w:val="173F37"/>
          <w:sz w:val="22"/>
        </w:rPr>
        <w:t>The PATAMA Doctrine of Living Well: Eight Promises for a Complete Human Life.</w:t>
      </w:r>
    </w:p>
    <w:p>
      <w:r>
        <w:rPr>
          <w:rFonts w:ascii="Noto Serif" w:hAnsi="Noto Serif"/>
          <w:color w:val="202522"/>
          <w:sz w:val="20"/>
        </w:rPr>
        <w:t>This sentence is sufficient for press, investor, partner, and customer introductions. It is precise, premium, and differentiated.</w:t>
      </w:r>
    </w:p>
    <w:p>
      <w:pPr>
        <w:pStyle w:val="Heading2"/>
        <w:keepNext/>
      </w:pPr>
      <w:r>
        <w:rPr>
          <w:rFonts w:ascii="Noto Sans" w:hAnsi="Noto Sans"/>
          <w:color w:val="A55E3B"/>
          <w:sz w:val="27"/>
        </w:rPr>
        <w:t>Post-Refinement Scorecard</w:t>
      </w:r>
    </w:p>
    <w:tbl>
      <w:tblPr>
        <w:tblW w:type="auto" w:w="0"/>
        <w:jc w:val="center"/>
        <w:tblLayout w:type="fixed"/>
        <w:tblLook w:firstColumn="1" w:firstRow="1" w:lastColumn="0" w:lastRow="0" w:noHBand="0" w:noVBand="1" w:val="04A0"/>
      </w:tblPr>
      <w:tblGrid>
        <w:gridCol w:w="2494"/>
        <w:gridCol w:w="2438"/>
        <w:gridCol w:w="4535"/>
      </w:tblGrid>
      <w:tr>
        <w:trPr>
          <w:cantSplit/>
          <w:tblHeader w:val="true"/>
        </w:trPr>
        <w:tc>
          <w:tcPr>
            <w:tcW w:type="dxa" w:w="2494"/>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CRITERION</w:t>
            </w:r>
          </w:p>
        </w:tc>
        <w:tc>
          <w:tcPr>
            <w:tcW w:type="dxa" w:w="2438"/>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SCORE</w:t>
            </w:r>
          </w:p>
        </w:tc>
        <w:tc>
          <w:tcPr>
            <w:tcW w:type="dxa" w:w="4535"/>
            <w:vAlign w:val="center"/>
            <w:shd w:fill="173F37"/>
            <w:tcBorders>
              <w:top w:val="single" w:sz="4" w:color="CFC6B4"/>
              <w:left w:val="single" w:sz="4" w:color="CFC6B4"/>
              <w:bottom w:val="single" w:sz="4" w:color="CFC6B4"/>
              <w:right w:val="single" w:sz="4" w:color="CFC6B4"/>
            </w:tcBorders>
          </w:tcPr>
          <w:p>
            <w:pPr>
              <w:spacing w:before="44" w:after="44" w:line="252" w:lineRule="auto"/>
            </w:pPr>
            <w:r>
              <w:rPr>
                <w:rFonts w:ascii="Noto Sans" w:hAnsi="Noto Sans"/>
                <w:b/>
                <w:caps/>
                <w:color w:val="FFFFFF"/>
                <w:sz w:val="17"/>
              </w:rPr>
              <w:t>ASSESSMENT</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Strategic Clarity</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9/10</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The architecture is unambiguous and hierarchical.</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Customer Understanding</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9/10</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Eight single-word promises are immediately comprehensible.</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Emotional Resonance</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9/10</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BECOMING is a deeply human central transformation.</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Scientific Credibility</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9/10</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Strong foundation; independent academic validation remains essential.</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Memorability</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8/10</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Eight is manageable when clustered into two groups of four.</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Luxury Positioning</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10/10</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Timeless, intelligent, and premium rather than trend-dependent.</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Operational Usefulness</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10/10</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Provides a clear brief for products, services, design, and partnerships.</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Scalability</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10/10</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Works across hospitality, residences, membership, products, and digital.</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Commercial Value</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9/10</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Measurable promises can support a clear membership value proposition.</w:t>
            </w:r>
          </w:p>
        </w:tc>
      </w:tr>
      <w:tr>
        <w:trPr>
          <w:cantSplit/>
        </w:trPr>
        <w:tc>
          <w:tcPr>
            <w:tcW w:type="dxa" w:w="2494"/>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Long-Term Brand Equity</w:t>
            </w:r>
          </w:p>
        </w:tc>
        <w:tc>
          <w:tcPr>
            <w:tcW w:type="dxa" w:w="2438"/>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10/10</w:t>
            </w:r>
          </w:p>
        </w:tc>
        <w:tc>
          <w:tcPr>
            <w:tcW w:type="dxa" w:w="4535"/>
            <w:vAlign w:val="center"/>
            <w:shd w:fill="E9F0EC"/>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color w:val="202522"/>
                <w:sz w:val="17"/>
              </w:rPr>
              <w:t>A coherent philosophy can endure beyond individual wellness trends.</w:t>
            </w:r>
          </w:p>
        </w:tc>
      </w:tr>
      <w:tr>
        <w:trPr>
          <w:cantSplit/>
        </w:trPr>
        <w:tc>
          <w:tcPr>
            <w:tcW w:type="dxa" w:w="2494"/>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COMPOSITE</w:t>
            </w:r>
          </w:p>
        </w:tc>
        <w:tc>
          <w:tcPr>
            <w:tcW w:type="dxa" w:w="2438"/>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9.3/10</w:t>
            </w:r>
          </w:p>
        </w:tc>
        <w:tc>
          <w:tcPr>
            <w:tcW w:type="dxa" w:w="4535"/>
            <w:vAlign w:val="center"/>
            <w:shd w:fill="FFFFFF"/>
            <w:tcBorders>
              <w:top w:val="single" w:sz="4" w:color="CFC6B4"/>
              <w:left w:val="single" w:sz="4" w:color="CFC6B4"/>
              <w:bottom w:val="single" w:sz="4" w:color="CFC6B4"/>
              <w:right w:val="single" w:sz="4" w:color="CFC6B4"/>
            </w:tcBorders>
          </w:tcPr>
          <w:p>
            <w:pPr>
              <w:spacing w:before="44" w:after="44" w:line="252" w:lineRule="auto"/>
            </w:pPr>
            <w:r>
              <w:rPr>
                <w:rFonts w:ascii="Noto Serif" w:hAnsi="Noto Serif"/>
                <w:b/>
                <w:color w:val="202522"/>
                <w:sz w:val="17"/>
              </w:rPr>
              <w:t>World-class potential, subject to validation and disciplined execution.</w:t>
            </w:r>
          </w:p>
        </w:tc>
      </w:tr>
    </w:tbl>
    <w:p>
      <w:pPr>
        <w:spacing w:after="20"/>
      </w:pPr>
    </w:p>
    <w:p>
      <w:pPr>
        <w:spacing w:before="140" w:after="140"/>
        <w:pBdr>
          <w:bottom w:val="single" w:sz="6" w:space="1" w:color="CFC6B4"/>
        </w:pBdr>
      </w:pPr>
    </w:p>
    <w:p>
      <w:pPr>
        <w:pStyle w:val="Heading1"/>
        <w:pageBreakBefore/>
        <w:pBdr>
          <w:bottom w:val="single" w:sz="10" w:space="5" w:color="B59555"/>
        </w:pBdr>
      </w:pPr>
      <w:r>
        <w:rPr>
          <w:rFonts w:ascii="Noto Serif Display" w:hAnsi="Noto Serif Display"/>
          <w:color w:val="173F37"/>
          <w:sz w:val="42"/>
        </w:rPr>
        <w:t>Final Assessment: Readiness for Global Launch</w:t>
      </w:r>
    </w:p>
    <w:p>
      <w:pPr>
        <w:pStyle w:val="Heading2"/>
        <w:keepNext/>
      </w:pPr>
      <w:r>
        <w:rPr>
          <w:rFonts w:ascii="Noto Sans" w:hAnsi="Noto Sans"/>
          <w:color w:val="A55E3B"/>
          <w:sz w:val="27"/>
        </w:rPr>
        <w:t>Conditionally Ready</w:t>
      </w:r>
    </w:p>
    <w:p>
      <w:r>
        <w:rPr>
          <w:rFonts w:ascii="Noto Serif" w:hAnsi="Noto Serif"/>
          <w:color w:val="202522"/>
          <w:sz w:val="20"/>
        </w:rPr>
        <w:t>The framework can compete at the level of the world's most distinguished wellbeing brands. It combines Aman's philosophical depth, Clinique La Prairie's scientific credibility, and Six Senses' operational breadth - while offering something none has fully articulated: a complete, internally coherent, customer-centred system for long-term wellbeing rather than a collection of services.</w:t>
      </w:r>
    </w:p>
    <w:p>
      <w:r>
        <w:rPr>
          <w:rFonts w:ascii="Noto Serif" w:hAnsi="Noto Serif"/>
          <w:color w:val="202522"/>
          <w:sz w:val="20"/>
        </w:rPr>
        <w:t>Two actions should precede external launch.</w:t>
      </w:r>
    </w:p>
    <w:p>
      <w:pPr>
        <w:pStyle w:val="Heading3"/>
        <w:keepNext/>
      </w:pPr>
      <w:r>
        <w:rPr>
          <w:rFonts w:ascii="Noto Sans" w:hAnsi="Noto Sans"/>
          <w:color w:val="285A62"/>
          <w:sz w:val="22"/>
        </w:rPr>
        <w:t>1. Commission Independent Scientific Validation</w:t>
      </w:r>
    </w:p>
    <w:p>
      <w:r>
        <w:rPr>
          <w:rFonts w:ascii="Noto Serif" w:hAnsi="Noto Serif"/>
          <w:color w:val="202522"/>
          <w:sz w:val="20"/>
        </w:rPr>
        <w:t>A formal literature review by a credible academic partner - ideally an institution with recognised expertise in wellbeing, longevity, medicine, or behavioural science - should validate the evidence behind each promise and refine the proposed metrics. This would transform the framework from brand architecture into defensible intellectual property and provide the authority required for premium membership and real-estate customers.</w:t>
      </w:r>
    </w:p>
    <w:p>
      <w:pPr>
        <w:pStyle w:val="Heading3"/>
        <w:keepNext/>
      </w:pPr>
      <w:r>
        <w:rPr>
          <w:rFonts w:ascii="Noto Sans" w:hAnsi="Noto Sans"/>
          <w:color w:val="285A62"/>
          <w:sz w:val="22"/>
        </w:rPr>
        <w:t>2. Protect the Intellectual Property</w:t>
      </w:r>
    </w:p>
    <w:p>
      <w:r>
        <w:rPr>
          <w:rFonts w:ascii="Noto Serif" w:hAnsi="Noto Serif"/>
          <w:color w:val="202522"/>
          <w:sz w:val="20"/>
        </w:rPr>
        <w:t xml:space="preserve">Before external publication, PATAMA should assess and register </w:t>
      </w:r>
      <w:r>
        <w:rPr>
          <w:rFonts w:ascii="Noto Serif" w:hAnsi="Noto Serif"/>
          <w:b/>
          <w:color w:val="202522"/>
          <w:sz w:val="20"/>
        </w:rPr>
        <w:t>The PATAMA Doctrine of Living Well</w:t>
      </w:r>
      <w:r>
        <w:rPr>
          <w:rFonts w:ascii="Noto Serif" w:hAnsi="Noto Serif"/>
          <w:color w:val="202522"/>
          <w:sz w:val="20"/>
        </w:rPr>
        <w:t>, the promise architecture, and the Mobius-octagon visual system as trademarks, design rights, and other appropriate intellectual property in priority markets.</w:t>
      </w:r>
    </w:p>
    <w:p>
      <w:r>
        <w:rPr>
          <w:rFonts w:ascii="Noto Serif" w:hAnsi="Noto Serif"/>
          <w:color w:val="202522"/>
          <w:sz w:val="20"/>
        </w:rPr>
        <w:t>If these actions are completed, the conclusion is compelling:</w:t>
      </w:r>
    </w:p>
    <w:p>
      <w:pPr>
        <w:pStyle w:val="PullQuote"/>
        <w:spacing w:before="160" w:after="200" w:line="276" w:lineRule="auto"/>
        <w:ind w:left="255" w:right="170"/>
        <w:shd w:fill="F4EFE3"/>
        <w:pBdr>
          <w:left w:val="single" w:sz="18" w:space="4" w:color="B59555"/>
        </w:pBdr>
      </w:pPr>
      <w:r>
        <w:rPr>
          <w:rFonts w:ascii="Noto Serif" w:hAnsi="Noto Serif"/>
          <w:b/>
          <w:i/>
          <w:color w:val="173F37"/>
          <w:sz w:val="22"/>
        </w:rPr>
        <w:t>PATAMA has the potential to become one of the world's most distinctive and proprietary wellbeing philosophies - not because it is the most expensive, famous, or extensive, but because it is intellectually coherent and completely human.</w:t>
      </w:r>
    </w:p>
    <w:p>
      <w:r>
        <w:rPr>
          <w:rFonts w:ascii="Noto Serif" w:hAnsi="Noto Serif"/>
          <w:color w:val="202522"/>
          <w:sz w:val="20"/>
        </w:rPr>
        <w:t>PATAMA does not need to promise to make people younger or cure disease. It can promise something both more powerful and more credible:</w:t>
      </w:r>
    </w:p>
    <w:p>
      <w:pPr>
        <w:pStyle w:val="PullQuote"/>
        <w:spacing w:before="160" w:after="200" w:line="276" w:lineRule="auto"/>
        <w:ind w:left="255" w:right="170"/>
        <w:shd w:fill="E9F0EC"/>
        <w:pBdr>
          <w:left w:val="single" w:sz="18" w:space="4" w:color="173F37"/>
        </w:pBdr>
      </w:pPr>
      <w:r>
        <w:rPr>
          <w:rFonts w:ascii="Noto Serif" w:hAnsi="Noto Serif"/>
          <w:b/>
          <w:i/>
          <w:color w:val="173F37"/>
          <w:sz w:val="22"/>
        </w:rPr>
        <w:t>With the right environment, community, daily practice, and philosophy, you can continue becoming the best version of yourself - for the rest of your life.</w:t>
      </w:r>
    </w:p>
    <w:p>
      <w:r>
        <w:rPr>
          <w:rFonts w:ascii="Noto Serif" w:hAnsi="Noto Serif"/>
          <w:color w:val="202522"/>
          <w:sz w:val="20"/>
        </w:rPr>
        <w:t>That is a promise worth keeping.</w:t>
      </w:r>
    </w:p>
    <w:p>
      <w:r>
        <w:rPr>
          <w:rFonts w:ascii="Noto Serif" w:hAnsi="Noto Serif"/>
          <w:color w:val="202522"/>
          <w:sz w:val="20"/>
        </w:rPr>
        <w:t>That is a brand worth building.</w:t>
      </w:r>
    </w:p>
    <w:p>
      <w:r>
        <w:rPr>
          <w:rFonts w:ascii="Noto Serif" w:hAnsi="Noto Serif"/>
          <w:color w:val="202522"/>
          <w:sz w:val="20"/>
        </w:rPr>
        <w:t>That is a philosophy worthy of the world's attention.</w:t>
      </w:r>
    </w:p>
    <w:p>
      <w:pPr>
        <w:spacing w:before="140" w:after="140"/>
        <w:pBdr>
          <w:bottom w:val="single" w:sz="6" w:space="1" w:color="CFC6B4"/>
        </w:pBdr>
      </w:pPr>
    </w:p>
    <w:p>
      <w:pPr>
        <w:spacing w:before="140" w:after="140"/>
        <w:pBdr>
          <w:bottom w:val="single" w:sz="6" w:space="1" w:color="CFC6B4"/>
        </w:pBdr>
      </w:pPr>
    </w:p>
    <w:p>
      <w:pPr>
        <w:pStyle w:val="Heading1"/>
        <w:pageBreakBefore/>
        <w:pBdr>
          <w:bottom w:val="single" w:sz="10" w:space="5" w:color="B59555"/>
        </w:pBdr>
      </w:pPr>
      <w:r>
        <w:rPr>
          <w:rFonts w:ascii="Noto Serif Display" w:hAnsi="Noto Serif Display"/>
          <w:color w:val="173F37"/>
          <w:sz w:val="42"/>
        </w:rPr>
        <w:t>References</w:t>
      </w:r>
    </w:p>
    <w:p>
      <w:pPr>
        <w:pStyle w:val="SmallNote"/>
        <w:spacing w:after="160"/>
      </w:pPr>
      <w:r>
        <w:rPr>
          <w:rFonts w:ascii="Noto Serif" w:hAnsi="Noto Serif"/>
          <w:i/>
          <w:color w:val="66706A"/>
          <w:sz w:val="17"/>
        </w:rPr>
        <w:t>Source list retained from the June 2026 strategic draft. External publication requires independent scientific and legal review.</w:t>
      </w:r>
    </w:p>
    <w:p>
      <w:pPr>
        <w:pStyle w:val="Reference"/>
        <w:spacing w:after="90" w:line="252" w:lineRule="auto"/>
        <w:ind w:left="397" w:hanging="397"/>
      </w:pPr>
      <w:r>
        <w:rPr>
          <w:rFonts w:ascii="Noto Sans" w:hAnsi="Noto Sans"/>
          <w:b/>
          <w:color w:val="A55E3B"/>
          <w:sz w:val="16"/>
        </w:rPr>
        <w:t xml:space="preserve">1. </w:t>
      </w:r>
      <w:r>
        <w:rPr>
          <w:rFonts w:ascii="Noto Serif" w:hAnsi="Noto Serif"/>
          <w:color w:val="202522"/>
          <w:sz w:val="17"/>
        </w:rPr>
        <w:t xml:space="preserve">What Aman Resorts Teaches Us About Prestige Positioning. LinkedIn. </w:t>
      </w:r>
      <w:hyperlink r:id="rId11">
        <w:r>
          <w:rPr>
            <w:color w:val="285A62"/>
            <w:u w:val="none"/>
            <w:rFonts w:ascii="Noto Sans" w:hAnsi="Noto Sans"/>
            <w:sz w:val="17"/>
          </w:rPr>
          <w:t>linkedin.com</w:t>
        </w:r>
      </w:hyperlink>
    </w:p>
    <w:p>
      <w:pPr>
        <w:pStyle w:val="Reference"/>
        <w:spacing w:after="90" w:line="252" w:lineRule="auto"/>
        <w:ind w:left="397" w:hanging="397"/>
      </w:pPr>
      <w:r>
        <w:rPr>
          <w:rFonts w:ascii="Noto Sans" w:hAnsi="Noto Sans"/>
          <w:b/>
          <w:color w:val="A55E3B"/>
          <w:sz w:val="16"/>
        </w:rPr>
        <w:t xml:space="preserve">2. </w:t>
      </w:r>
      <w:r>
        <w:rPr>
          <w:rFonts w:ascii="Noto Serif" w:hAnsi="Noto Serif"/>
          <w:color w:val="202522"/>
          <w:sz w:val="17"/>
        </w:rPr>
        <w:t xml:space="preserve">Philosophy of Our Longevity Clinic. Clinique La Prairie. </w:t>
      </w:r>
      <w:hyperlink r:id="rId12">
        <w:r>
          <w:rPr>
            <w:color w:val="285A62"/>
            <w:u w:val="none"/>
            <w:rFonts w:ascii="Noto Sans" w:hAnsi="Noto Sans"/>
            <w:sz w:val="17"/>
          </w:rPr>
          <w:t>cliniquelaprairie.com</w:t>
        </w:r>
      </w:hyperlink>
    </w:p>
    <w:p>
      <w:pPr>
        <w:pStyle w:val="Reference"/>
        <w:spacing w:after="90" w:line="252" w:lineRule="auto"/>
        <w:ind w:left="397" w:hanging="397"/>
      </w:pPr>
      <w:r>
        <w:rPr>
          <w:rFonts w:ascii="Noto Sans" w:hAnsi="Noto Sans"/>
          <w:b/>
          <w:color w:val="A55E3B"/>
          <w:sz w:val="16"/>
        </w:rPr>
        <w:t xml:space="preserve">3. </w:t>
      </w:r>
      <w:r>
        <w:rPr>
          <w:rFonts w:ascii="Noto Serif" w:hAnsi="Noto Serif"/>
          <w:color w:val="202522"/>
          <w:sz w:val="17"/>
        </w:rPr>
        <w:t xml:space="preserve">Clinique La Prairie Phuket: Longevity &amp; Wellness in 2027. Luxe Wellness Club. </w:t>
      </w:r>
      <w:hyperlink r:id="rId13">
        <w:r>
          <w:rPr>
            <w:color w:val="285A62"/>
            <w:u w:val="none"/>
            <w:rFonts w:ascii="Noto Sans" w:hAnsi="Noto Sans"/>
            <w:sz w:val="17"/>
          </w:rPr>
          <w:t>luxewellnessclub.com</w:t>
        </w:r>
      </w:hyperlink>
    </w:p>
    <w:p>
      <w:pPr>
        <w:pStyle w:val="Reference"/>
        <w:spacing w:after="90" w:line="252" w:lineRule="auto"/>
        <w:ind w:left="397" w:hanging="397"/>
      </w:pPr>
      <w:r>
        <w:rPr>
          <w:rFonts w:ascii="Noto Sans" w:hAnsi="Noto Sans"/>
          <w:b/>
          <w:color w:val="A55E3B"/>
          <w:sz w:val="16"/>
        </w:rPr>
        <w:t xml:space="preserve">4. </w:t>
      </w:r>
      <w:r>
        <w:rPr>
          <w:rFonts w:ascii="Noto Serif" w:hAnsi="Noto Serif"/>
          <w:color w:val="202522"/>
          <w:sz w:val="17"/>
        </w:rPr>
        <w:t xml:space="preserve">PERMA Model - A Pathway to Flourishing. Rajeev Ranjan. </w:t>
      </w:r>
      <w:hyperlink r:id="rId14">
        <w:r>
          <w:rPr>
            <w:color w:val="285A62"/>
            <w:u w:val="none"/>
            <w:rFonts w:ascii="Noto Sans" w:hAnsi="Noto Sans"/>
            <w:sz w:val="17"/>
          </w:rPr>
          <w:t>rajeevelt.com</w:t>
        </w:r>
      </w:hyperlink>
    </w:p>
    <w:p>
      <w:pPr>
        <w:pStyle w:val="Reference"/>
        <w:spacing w:after="90" w:line="252" w:lineRule="auto"/>
        <w:ind w:left="397" w:hanging="397"/>
      </w:pPr>
      <w:r>
        <w:rPr>
          <w:rFonts w:ascii="Noto Sans" w:hAnsi="Noto Sans"/>
          <w:b/>
          <w:color w:val="A55E3B"/>
          <w:sz w:val="16"/>
        </w:rPr>
        <w:t xml:space="preserve">5. </w:t>
      </w:r>
      <w:r>
        <w:rPr>
          <w:rFonts w:ascii="Noto Serif" w:hAnsi="Noto Serif"/>
          <w:color w:val="202522"/>
          <w:sz w:val="17"/>
        </w:rPr>
        <w:t xml:space="preserve">Six-Factor Model of Psychological Well-Being. Wikipedia. </w:t>
      </w:r>
      <w:hyperlink r:id="rId15">
        <w:r>
          <w:rPr>
            <w:color w:val="285A62"/>
            <w:u w:val="none"/>
            <w:rFonts w:ascii="Noto Sans" w:hAnsi="Noto Sans"/>
            <w:sz w:val="17"/>
          </w:rPr>
          <w:t>en.wikipedia.org</w:t>
        </w:r>
      </w:hyperlink>
    </w:p>
    <w:p>
      <w:pPr>
        <w:pStyle w:val="Reference"/>
        <w:spacing w:after="90" w:line="252" w:lineRule="auto"/>
        <w:ind w:left="397" w:hanging="397"/>
      </w:pPr>
      <w:r>
        <w:rPr>
          <w:rFonts w:ascii="Noto Sans" w:hAnsi="Noto Sans"/>
          <w:b/>
          <w:color w:val="A55E3B"/>
          <w:sz w:val="16"/>
        </w:rPr>
        <w:t xml:space="preserve">6. </w:t>
      </w:r>
      <w:r>
        <w:rPr>
          <w:rFonts w:ascii="Noto Serif" w:hAnsi="Noto Serif"/>
          <w:color w:val="202522"/>
          <w:sz w:val="17"/>
        </w:rPr>
        <w:t xml:space="preserve">What Does a Mobius Bracelet Mean? Kemstone Jewelry. </w:t>
      </w:r>
      <w:hyperlink r:id="rId16">
        <w:r>
          <w:rPr>
            <w:color w:val="285A62"/>
            <w:u w:val="none"/>
            <w:rFonts w:ascii="Noto Sans" w:hAnsi="Noto Sans"/>
            <w:sz w:val="17"/>
          </w:rPr>
          <w:t>kemstonejewelry.com</w:t>
        </w:r>
      </w:hyperlink>
    </w:p>
    <w:p>
      <w:pPr>
        <w:pStyle w:val="Reference"/>
        <w:spacing w:after="90" w:line="252" w:lineRule="auto"/>
        <w:ind w:left="397" w:hanging="397"/>
      </w:pPr>
      <w:r>
        <w:rPr>
          <w:rFonts w:ascii="Noto Sans" w:hAnsi="Noto Sans"/>
          <w:b/>
          <w:color w:val="A55E3B"/>
          <w:sz w:val="16"/>
        </w:rPr>
        <w:t xml:space="preserve">7. </w:t>
      </w:r>
      <w:r>
        <w:rPr>
          <w:rFonts w:ascii="Noto Serif" w:hAnsi="Noto Serif"/>
          <w:color w:val="202522"/>
          <w:sz w:val="17"/>
        </w:rPr>
        <w:t xml:space="preserve">A Structural Interpretation of the Mobius Strip. PhilArchive. </w:t>
      </w:r>
      <w:hyperlink r:id="rId17">
        <w:r>
          <w:rPr>
            <w:color w:val="285A62"/>
            <w:u w:val="none"/>
            <w:rFonts w:ascii="Noto Sans" w:hAnsi="Noto Sans"/>
            <w:sz w:val="17"/>
          </w:rPr>
          <w:t>philarchive.org</w:t>
        </w:r>
      </w:hyperlink>
    </w:p>
    <w:p>
      <w:pPr>
        <w:pStyle w:val="Reference"/>
        <w:spacing w:after="90" w:line="252" w:lineRule="auto"/>
        <w:ind w:left="397" w:hanging="397"/>
      </w:pPr>
      <w:r>
        <w:rPr>
          <w:rFonts w:ascii="Noto Sans" w:hAnsi="Noto Sans"/>
          <w:b/>
          <w:color w:val="A55E3B"/>
          <w:sz w:val="16"/>
        </w:rPr>
        <w:t xml:space="preserve">8. </w:t>
      </w:r>
      <w:r>
        <w:rPr>
          <w:rFonts w:ascii="Noto Serif" w:hAnsi="Noto Serif"/>
          <w:color w:val="202522"/>
          <w:sz w:val="17"/>
        </w:rPr>
        <w:t xml:space="preserve">CX Framework Series: Customer Experience Strategy. Wow Now. </w:t>
      </w:r>
      <w:hyperlink r:id="rId18">
        <w:r>
          <w:rPr>
            <w:color w:val="285A62"/>
            <w:u w:val="none"/>
            <w:rFonts w:ascii="Noto Sans" w:hAnsi="Noto Sans"/>
            <w:sz w:val="17"/>
          </w:rPr>
          <w:t>wownow.eu</w:t>
        </w:r>
      </w:hyperlink>
    </w:p>
    <w:p>
      <w:pPr>
        <w:pStyle w:val="Reference"/>
        <w:spacing w:after="90" w:line="252" w:lineRule="auto"/>
        <w:ind w:left="397" w:hanging="397"/>
      </w:pPr>
      <w:r>
        <w:rPr>
          <w:rFonts w:ascii="Noto Sans" w:hAnsi="Noto Sans"/>
          <w:b/>
          <w:color w:val="A55E3B"/>
          <w:sz w:val="16"/>
        </w:rPr>
        <w:t xml:space="preserve">9. </w:t>
      </w:r>
      <w:r>
        <w:rPr>
          <w:rFonts w:ascii="Noto Serif" w:hAnsi="Noto Serif"/>
          <w:color w:val="202522"/>
          <w:sz w:val="17"/>
        </w:rPr>
        <w:t xml:space="preserve">Nike's Brand Promise. LinkedIn. </w:t>
      </w:r>
      <w:hyperlink r:id="rId19">
        <w:r>
          <w:rPr>
            <w:color w:val="285A62"/>
            <w:u w:val="none"/>
            <w:rFonts w:ascii="Noto Sans" w:hAnsi="Noto Sans"/>
            <w:sz w:val="17"/>
          </w:rPr>
          <w:t>linkedin.com</w:t>
        </w:r>
      </w:hyperlink>
    </w:p>
    <w:p>
      <w:pPr>
        <w:pStyle w:val="Reference"/>
        <w:spacing w:after="90" w:line="252" w:lineRule="auto"/>
        <w:ind w:left="397" w:hanging="397"/>
      </w:pPr>
      <w:r>
        <w:rPr>
          <w:rFonts w:ascii="Noto Sans" w:hAnsi="Noto Sans"/>
          <w:b/>
          <w:color w:val="A55E3B"/>
          <w:sz w:val="16"/>
        </w:rPr>
        <w:t xml:space="preserve">10. </w:t>
      </w:r>
      <w:r>
        <w:rPr>
          <w:rFonts w:ascii="Noto Serif" w:hAnsi="Noto Serif"/>
          <w:color w:val="202522"/>
          <w:sz w:val="17"/>
        </w:rPr>
        <w:t xml:space="preserve">Apple's Brand Strategy - Purpose, Values and Personality. </w:t>
      </w:r>
      <w:hyperlink r:id="rId20">
        <w:r>
          <w:rPr>
            <w:color w:val="285A62"/>
            <w:u w:val="none"/>
            <w:rFonts w:ascii="Noto Sans" w:hAnsi="Noto Sans"/>
            <w:sz w:val="17"/>
          </w:rPr>
          <w:t>brandstrategysarah.com</w:t>
        </w:r>
      </w:hyperlink>
    </w:p>
    <w:p>
      <w:pPr>
        <w:pStyle w:val="Reference"/>
        <w:spacing w:after="90" w:line="252" w:lineRule="auto"/>
        <w:ind w:left="397" w:hanging="397"/>
      </w:pPr>
      <w:r>
        <w:rPr>
          <w:rFonts w:ascii="Noto Sans" w:hAnsi="Noto Sans"/>
          <w:b/>
          <w:color w:val="A55E3B"/>
          <w:sz w:val="16"/>
        </w:rPr>
        <w:t xml:space="preserve">11. </w:t>
      </w:r>
      <w:r>
        <w:rPr>
          <w:rFonts w:ascii="Noto Serif" w:hAnsi="Noto Serif"/>
          <w:color w:val="202522"/>
          <w:sz w:val="17"/>
        </w:rPr>
        <w:t xml:space="preserve">A Brand Is a Customer's Gut Feeling. Instagram. </w:t>
      </w:r>
      <w:hyperlink r:id="rId21">
        <w:r>
          <w:rPr>
            <w:color w:val="285A62"/>
            <w:u w:val="none"/>
            <w:rFonts w:ascii="Noto Sans" w:hAnsi="Noto Sans"/>
            <w:sz w:val="17"/>
          </w:rPr>
          <w:t>instagram.com</w:t>
        </w:r>
      </w:hyperlink>
    </w:p>
    <w:p>
      <w:pPr>
        <w:pStyle w:val="Reference"/>
        <w:spacing w:after="90" w:line="252" w:lineRule="auto"/>
        <w:ind w:left="397" w:hanging="397"/>
      </w:pPr>
      <w:r>
        <w:rPr>
          <w:rFonts w:ascii="Noto Sans" w:hAnsi="Noto Sans"/>
          <w:b/>
          <w:color w:val="A55E3B"/>
          <w:sz w:val="16"/>
        </w:rPr>
        <w:t xml:space="preserve">12. </w:t>
      </w:r>
      <w:r>
        <w:rPr>
          <w:rFonts w:ascii="Noto Serif" w:hAnsi="Noto Serif"/>
          <w:color w:val="202522"/>
          <w:sz w:val="17"/>
        </w:rPr>
        <w:t xml:space="preserve">Experts Finally Agree on What Wellbeing Actually Means. Neuroscience News. </w:t>
      </w:r>
      <w:hyperlink r:id="rId22">
        <w:r>
          <w:rPr>
            <w:color w:val="285A62"/>
            <w:u w:val="none"/>
            <w:rFonts w:ascii="Noto Sans" w:hAnsi="Noto Sans"/>
            <w:sz w:val="17"/>
          </w:rPr>
          <w:t>neurosciencenews.com</w:t>
        </w:r>
      </w:hyperlink>
    </w:p>
    <w:p>
      <w:pPr>
        <w:pStyle w:val="Reference"/>
        <w:spacing w:after="90" w:line="252" w:lineRule="auto"/>
        <w:ind w:left="397" w:hanging="397"/>
      </w:pPr>
      <w:r>
        <w:rPr>
          <w:rFonts w:ascii="Noto Sans" w:hAnsi="Noto Sans"/>
          <w:b/>
          <w:color w:val="A55E3B"/>
          <w:sz w:val="16"/>
        </w:rPr>
        <w:t xml:space="preserve">13. </w:t>
      </w:r>
      <w:r>
        <w:rPr>
          <w:rFonts w:ascii="Noto Serif" w:hAnsi="Noto Serif"/>
          <w:color w:val="202522"/>
          <w:sz w:val="17"/>
        </w:rPr>
        <w:t xml:space="preserve">Self-Determination Theory of Motivation. University of Rochester Medical Center. </w:t>
      </w:r>
      <w:hyperlink r:id="rId23">
        <w:r>
          <w:rPr>
            <w:color w:val="285A62"/>
            <w:u w:val="none"/>
            <w:rFonts w:ascii="Noto Sans" w:hAnsi="Noto Sans"/>
            <w:sz w:val="17"/>
          </w:rPr>
          <w:t>urmc.rochester.edu</w:t>
        </w:r>
      </w:hyperlink>
    </w:p>
    <w:p>
      <w:pPr>
        <w:pStyle w:val="Reference"/>
        <w:spacing w:after="90" w:line="252" w:lineRule="auto"/>
        <w:ind w:left="397" w:hanging="397"/>
      </w:pPr>
      <w:r>
        <w:rPr>
          <w:rFonts w:ascii="Noto Sans" w:hAnsi="Noto Sans"/>
          <w:b/>
          <w:color w:val="A55E3B"/>
          <w:sz w:val="16"/>
        </w:rPr>
        <w:t xml:space="preserve">14. </w:t>
      </w:r>
      <w:r>
        <w:rPr>
          <w:rFonts w:ascii="Noto Serif" w:hAnsi="Noto Serif"/>
          <w:color w:val="202522"/>
          <w:sz w:val="17"/>
        </w:rPr>
        <w:t xml:space="preserve">PERMA Model. Wikipedia. </w:t>
      </w:r>
      <w:hyperlink r:id="rId24">
        <w:r>
          <w:rPr>
            <w:color w:val="285A62"/>
            <w:u w:val="none"/>
            <w:rFonts w:ascii="Noto Sans" w:hAnsi="Noto Sans"/>
            <w:sz w:val="17"/>
          </w:rPr>
          <w:t>en.wikipedia.org</w:t>
        </w:r>
      </w:hyperlink>
    </w:p>
    <w:p>
      <w:pPr>
        <w:pStyle w:val="Reference"/>
        <w:spacing w:after="90" w:line="252" w:lineRule="auto"/>
        <w:ind w:left="397" w:hanging="397"/>
      </w:pPr>
      <w:r>
        <w:rPr>
          <w:rFonts w:ascii="Noto Sans" w:hAnsi="Noto Sans"/>
          <w:b/>
          <w:color w:val="A55E3B"/>
          <w:sz w:val="16"/>
        </w:rPr>
        <w:t xml:space="preserve">15. </w:t>
      </w:r>
      <w:r>
        <w:rPr>
          <w:rFonts w:ascii="Noto Serif" w:hAnsi="Noto Serif"/>
          <w:color w:val="202522"/>
          <w:sz w:val="17"/>
        </w:rPr>
        <w:t xml:space="preserve">Salutogenesis. Academia.edu. </w:t>
      </w:r>
      <w:hyperlink r:id="rId25">
        <w:r>
          <w:rPr>
            <w:color w:val="285A62"/>
            <w:u w:val="none"/>
            <w:rFonts w:ascii="Noto Sans" w:hAnsi="Noto Sans"/>
            <w:sz w:val="17"/>
          </w:rPr>
          <w:t>academia.edu</w:t>
        </w:r>
      </w:hyperlink>
    </w:p>
    <w:p>
      <w:pPr>
        <w:pStyle w:val="Reference"/>
        <w:spacing w:after="90" w:line="252" w:lineRule="auto"/>
        <w:ind w:left="397" w:hanging="397"/>
      </w:pPr>
      <w:r>
        <w:rPr>
          <w:rFonts w:ascii="Noto Sans" w:hAnsi="Noto Sans"/>
          <w:b/>
          <w:color w:val="A55E3B"/>
          <w:sz w:val="16"/>
        </w:rPr>
        <w:t xml:space="preserve">16. </w:t>
      </w:r>
      <w:r>
        <w:rPr>
          <w:rFonts w:ascii="Noto Serif" w:hAnsi="Noto Serif"/>
          <w:color w:val="202522"/>
          <w:sz w:val="17"/>
        </w:rPr>
        <w:t xml:space="preserve">Six Pillars of Lifestyle Medicine. Sri Lanka Society of Lifestyle Medicine. </w:t>
      </w:r>
      <w:hyperlink r:id="rId26">
        <w:r>
          <w:rPr>
            <w:color w:val="285A62"/>
            <w:u w:val="none"/>
            <w:rFonts w:ascii="Noto Sans" w:hAnsi="Noto Sans"/>
            <w:sz w:val="17"/>
          </w:rPr>
          <w:t>slslm.org.lk</w:t>
        </w:r>
      </w:hyperlink>
    </w:p>
    <w:p>
      <w:pPr>
        <w:pStyle w:val="Reference"/>
        <w:spacing w:after="90" w:line="252" w:lineRule="auto"/>
        <w:ind w:left="397" w:hanging="397"/>
      </w:pPr>
      <w:r>
        <w:rPr>
          <w:rFonts w:ascii="Noto Sans" w:hAnsi="Noto Sans"/>
          <w:b/>
          <w:color w:val="A55E3B"/>
          <w:sz w:val="16"/>
        </w:rPr>
        <w:t xml:space="preserve">17. </w:t>
      </w:r>
      <w:r>
        <w:rPr>
          <w:rFonts w:ascii="Noto Serif" w:hAnsi="Noto Serif"/>
          <w:color w:val="202522"/>
          <w:sz w:val="17"/>
        </w:rPr>
        <w:t xml:space="preserve">Over Nearly 80 Years, Harvard Study Has Been Showing How to Live a Healthy and Happy Life. Harvard Gazette. </w:t>
      </w:r>
      <w:hyperlink r:id="rId27">
        <w:r>
          <w:rPr>
            <w:color w:val="285A62"/>
            <w:u w:val="none"/>
            <w:rFonts w:ascii="Noto Sans" w:hAnsi="Noto Sans"/>
            <w:sz w:val="17"/>
          </w:rPr>
          <w:t>news.harvard.edu</w:t>
        </w:r>
      </w:hyperlink>
    </w:p>
    <w:p>
      <w:pPr>
        <w:pStyle w:val="Reference"/>
        <w:spacing w:after="90" w:line="252" w:lineRule="auto"/>
        <w:ind w:left="397" w:hanging="397"/>
      </w:pPr>
      <w:r>
        <w:rPr>
          <w:rFonts w:ascii="Noto Sans" w:hAnsi="Noto Sans"/>
          <w:b/>
          <w:color w:val="A55E3B"/>
          <w:sz w:val="16"/>
        </w:rPr>
        <w:t xml:space="preserve">18. </w:t>
      </w:r>
      <w:r>
        <w:rPr>
          <w:rFonts w:ascii="Noto Serif" w:hAnsi="Noto Serif"/>
          <w:color w:val="202522"/>
          <w:sz w:val="17"/>
        </w:rPr>
        <w:t xml:space="preserve">Project Concept. Tri Vananda. </w:t>
      </w:r>
      <w:hyperlink r:id="rId28">
        <w:r>
          <w:rPr>
            <w:color w:val="285A62"/>
            <w:u w:val="none"/>
            <w:rFonts w:ascii="Noto Sans" w:hAnsi="Noto Sans"/>
            <w:sz w:val="17"/>
          </w:rPr>
          <w:t>trivananda.com</w:t>
        </w:r>
      </w:hyperlink>
    </w:p>
    <w:p>
      <w:pPr>
        <w:pStyle w:val="Reference"/>
        <w:spacing w:after="90" w:line="252" w:lineRule="auto"/>
        <w:ind w:left="397" w:hanging="397"/>
      </w:pPr>
      <w:r>
        <w:rPr>
          <w:rFonts w:ascii="Noto Sans" w:hAnsi="Noto Sans"/>
          <w:b/>
          <w:color w:val="A55E3B"/>
          <w:sz w:val="16"/>
        </w:rPr>
        <w:t xml:space="preserve">19. </w:t>
      </w:r>
      <w:r>
        <w:rPr>
          <w:rFonts w:ascii="Noto Serif" w:hAnsi="Noto Serif"/>
          <w:color w:val="202522"/>
          <w:sz w:val="17"/>
        </w:rPr>
        <w:t xml:space="preserve">Biophilic Design in Architecture and Its Contributions to Health, Wellbeing and Sustainability. Root in Nature. </w:t>
      </w:r>
      <w:hyperlink r:id="rId29">
        <w:r>
          <w:rPr>
            <w:color w:val="285A62"/>
            <w:u w:val="none"/>
            <w:rFonts w:ascii="Noto Sans" w:hAnsi="Noto Sans"/>
            <w:sz w:val="17"/>
          </w:rPr>
          <w:t>rootinnature.ca</w:t>
        </w:r>
      </w:hyperlink>
    </w:p>
    <w:p>
      <w:pPr>
        <w:pStyle w:val="Reference"/>
        <w:spacing w:after="90" w:line="252" w:lineRule="auto"/>
        <w:ind w:left="397" w:hanging="397"/>
      </w:pPr>
      <w:r>
        <w:rPr>
          <w:rFonts w:ascii="Noto Sans" w:hAnsi="Noto Sans"/>
          <w:b/>
          <w:color w:val="A55E3B"/>
          <w:sz w:val="16"/>
        </w:rPr>
        <w:t xml:space="preserve">20. </w:t>
      </w:r>
      <w:r>
        <w:rPr>
          <w:rFonts w:ascii="Noto Serif" w:hAnsi="Noto Serif"/>
          <w:color w:val="202522"/>
          <w:sz w:val="17"/>
        </w:rPr>
        <w:t xml:space="preserve">The Healing Power of Nature: Biophilic Design Applied to Healthcare Facilities. ScienceDirect. </w:t>
      </w:r>
      <w:hyperlink r:id="rId30">
        <w:r>
          <w:rPr>
            <w:color w:val="285A62"/>
            <w:u w:val="none"/>
            <w:rFonts w:ascii="Noto Sans" w:hAnsi="Noto Sans"/>
            <w:sz w:val="17"/>
          </w:rPr>
          <w:t>sciencedirect.com</w:t>
        </w:r>
      </w:hyperlink>
    </w:p>
    <w:p>
      <w:pPr>
        <w:pStyle w:val="Reference"/>
        <w:spacing w:after="90" w:line="252" w:lineRule="auto"/>
        <w:ind w:left="397" w:hanging="397"/>
      </w:pPr>
      <w:r>
        <w:rPr>
          <w:rFonts w:ascii="Noto Sans" w:hAnsi="Noto Sans"/>
          <w:b/>
          <w:color w:val="A55E3B"/>
          <w:sz w:val="16"/>
        </w:rPr>
        <w:t xml:space="preserve">21. </w:t>
      </w:r>
      <w:r>
        <w:rPr>
          <w:rFonts w:ascii="Noto Serif" w:hAnsi="Noto Serif"/>
          <w:color w:val="202522"/>
          <w:sz w:val="17"/>
        </w:rPr>
        <w:t xml:space="preserve">What Neuroscience Has Revealed About Wellbeing, Flourishing and Mindfulness. </w:t>
      </w:r>
      <w:hyperlink r:id="rId31">
        <w:r>
          <w:rPr>
            <w:color w:val="285A62"/>
            <w:u w:val="none"/>
            <w:rFonts w:ascii="Noto Sans" w:hAnsi="Noto Sans"/>
            <w:sz w:val="17"/>
          </w:rPr>
          <w:t>drmariaelenalukeides.com.au</w:t>
        </w:r>
      </w:hyperlink>
    </w:p>
    <w:p>
      <w:pPr>
        <w:pStyle w:val="Reference"/>
        <w:spacing w:after="90" w:line="252" w:lineRule="auto"/>
        <w:ind w:left="397" w:hanging="397"/>
      </w:pPr>
      <w:r>
        <w:rPr>
          <w:rFonts w:ascii="Noto Sans" w:hAnsi="Noto Sans"/>
          <w:b/>
          <w:color w:val="A55E3B"/>
          <w:sz w:val="16"/>
        </w:rPr>
        <w:t xml:space="preserve">22. </w:t>
      </w:r>
      <w:r>
        <w:rPr>
          <w:rFonts w:ascii="Noto Serif" w:hAnsi="Noto Serif"/>
          <w:color w:val="202522"/>
          <w:sz w:val="17"/>
        </w:rPr>
        <w:t xml:space="preserve">The Neuroscience of Happiness and Pleasure. NIH / PMC. </w:t>
      </w:r>
      <w:hyperlink r:id="rId32">
        <w:r>
          <w:rPr>
            <w:color w:val="285A62"/>
            <w:u w:val="none"/>
            <w:rFonts w:ascii="Noto Sans" w:hAnsi="Noto Sans"/>
            <w:sz w:val="17"/>
          </w:rPr>
          <w:t>pmc.ncbi.nlm.nih.gov</w:t>
        </w:r>
      </w:hyperlink>
    </w:p>
    <w:p>
      <w:pPr>
        <w:pStyle w:val="Reference"/>
        <w:spacing w:after="90" w:line="252" w:lineRule="auto"/>
        <w:ind w:left="397" w:hanging="397"/>
      </w:pPr>
      <w:r>
        <w:rPr>
          <w:rFonts w:ascii="Noto Sans" w:hAnsi="Noto Sans"/>
          <w:b/>
          <w:color w:val="A55E3B"/>
          <w:sz w:val="16"/>
        </w:rPr>
        <w:t xml:space="preserve">23. </w:t>
      </w:r>
      <w:r>
        <w:rPr>
          <w:rFonts w:ascii="Noto Serif" w:hAnsi="Noto Serif"/>
          <w:color w:val="202522"/>
          <w:sz w:val="17"/>
        </w:rPr>
        <w:t xml:space="preserve">The Six Pillars of Lifestyle Medicine. UCLA Health. </w:t>
      </w:r>
      <w:hyperlink r:id="rId33">
        <w:r>
          <w:rPr>
            <w:color w:val="285A62"/>
            <w:u w:val="none"/>
            <w:rFonts w:ascii="Noto Sans" w:hAnsi="Noto Sans"/>
            <w:sz w:val="17"/>
          </w:rPr>
          <w:t>uclahealth.org</w:t>
        </w:r>
      </w:hyperlink>
    </w:p>
    <w:p>
      <w:pPr>
        <w:pStyle w:val="Reference"/>
        <w:spacing w:after="90" w:line="252" w:lineRule="auto"/>
        <w:ind w:left="397" w:hanging="397"/>
      </w:pPr>
      <w:r>
        <w:rPr>
          <w:rFonts w:ascii="Noto Sans" w:hAnsi="Noto Sans"/>
          <w:b/>
          <w:color w:val="A55E3B"/>
          <w:sz w:val="16"/>
        </w:rPr>
        <w:t xml:space="preserve">24. </w:t>
      </w:r>
      <w:r>
        <w:rPr>
          <w:rFonts w:ascii="Noto Serif" w:hAnsi="Noto Serif"/>
          <w:color w:val="202522"/>
          <w:sz w:val="17"/>
        </w:rPr>
        <w:t xml:space="preserve">Epigenetics and Lifestyle. Ayman Reffai. </w:t>
      </w:r>
      <w:hyperlink r:id="rId34">
        <w:r>
          <w:rPr>
            <w:color w:val="285A62"/>
            <w:u w:val="none"/>
            <w:rFonts w:ascii="Noto Sans" w:hAnsi="Noto Sans"/>
            <w:sz w:val="17"/>
          </w:rPr>
          <w:t>aymanreffai.com</w:t>
        </w:r>
      </w:hyperlink>
    </w:p>
    <w:p>
      <w:pPr>
        <w:pStyle w:val="Reference"/>
        <w:spacing w:after="90" w:line="252" w:lineRule="auto"/>
        <w:ind w:left="397" w:hanging="397"/>
      </w:pPr>
      <w:r>
        <w:rPr>
          <w:rFonts w:ascii="Noto Sans" w:hAnsi="Noto Sans"/>
          <w:b/>
          <w:color w:val="A55E3B"/>
          <w:sz w:val="16"/>
        </w:rPr>
        <w:t xml:space="preserve">25. </w:t>
      </w:r>
      <w:r>
        <w:rPr>
          <w:rFonts w:ascii="Noto Serif" w:hAnsi="Noto Serif"/>
          <w:color w:val="202522"/>
          <w:sz w:val="17"/>
        </w:rPr>
        <w:t xml:space="preserve">How Daily Habits Influence the Aging Switch. VitalLife. </w:t>
      </w:r>
      <w:hyperlink r:id="rId35">
        <w:r>
          <w:rPr>
            <w:color w:val="285A62"/>
            <w:u w:val="none"/>
            <w:rFonts w:ascii="Noto Sans" w:hAnsi="Noto Sans"/>
            <w:sz w:val="17"/>
          </w:rPr>
          <w:t>vitallifeintegratedhealth.com</w:t>
        </w:r>
      </w:hyperlink>
    </w:p>
    <w:p>
      <w:pPr>
        <w:pStyle w:val="Reference"/>
        <w:spacing w:after="90" w:line="252" w:lineRule="auto"/>
        <w:ind w:left="397" w:hanging="397"/>
      </w:pPr>
      <w:r>
        <w:rPr>
          <w:rFonts w:ascii="Noto Sans" w:hAnsi="Noto Sans"/>
          <w:b/>
          <w:color w:val="A55E3B"/>
          <w:sz w:val="16"/>
        </w:rPr>
        <w:t xml:space="preserve">26. </w:t>
      </w:r>
      <w:r>
        <w:rPr>
          <w:rFonts w:ascii="Noto Serif" w:hAnsi="Noto Serif"/>
          <w:color w:val="202522"/>
          <w:sz w:val="17"/>
        </w:rPr>
        <w:t xml:space="preserve">What Is Epigenetics? How Your Lifestyle Affects Gene Expression. Geneus DNA. </w:t>
      </w:r>
      <w:hyperlink r:id="rId36">
        <w:r>
          <w:rPr>
            <w:color w:val="285A62"/>
            <w:u w:val="none"/>
            <w:rFonts w:ascii="Noto Sans" w:hAnsi="Noto Sans"/>
            <w:sz w:val="17"/>
          </w:rPr>
          <w:t>geneusdna.com</w:t>
        </w:r>
      </w:hyperlink>
    </w:p>
    <w:p>
      <w:pPr>
        <w:pStyle w:val="Reference"/>
        <w:spacing w:after="90" w:line="252" w:lineRule="auto"/>
        <w:ind w:left="397" w:hanging="397"/>
      </w:pPr>
      <w:r>
        <w:rPr>
          <w:rFonts w:ascii="Noto Sans" w:hAnsi="Noto Sans"/>
          <w:b/>
          <w:color w:val="A55E3B"/>
          <w:sz w:val="16"/>
        </w:rPr>
        <w:t xml:space="preserve">27. </w:t>
      </w:r>
      <w:r>
        <w:rPr>
          <w:rFonts w:ascii="Noto Serif" w:hAnsi="Noto Serif"/>
          <w:color w:val="202522"/>
          <w:sz w:val="17"/>
        </w:rPr>
        <w:t xml:space="preserve">Social Prescribing: A Narrative Review of How Community Engagement Can Improve Wellbeing. Wiley. </w:t>
      </w:r>
      <w:hyperlink r:id="rId37">
        <w:r>
          <w:rPr>
            <w:color w:val="285A62"/>
            <w:u w:val="none"/>
            <w:rFonts w:ascii="Noto Sans" w:hAnsi="Noto Sans"/>
            <w:sz w:val="17"/>
          </w:rPr>
          <w:t>onlinelibrary.wiley.com</w:t>
        </w:r>
      </w:hyperlink>
    </w:p>
    <w:p>
      <w:pPr>
        <w:pStyle w:val="Reference"/>
        <w:spacing w:after="90" w:line="252" w:lineRule="auto"/>
        <w:ind w:left="397" w:hanging="397"/>
      </w:pPr>
      <w:r>
        <w:rPr>
          <w:rFonts w:ascii="Noto Sans" w:hAnsi="Noto Sans"/>
          <w:b/>
          <w:color w:val="A55E3B"/>
          <w:sz w:val="16"/>
        </w:rPr>
        <w:t xml:space="preserve">28. </w:t>
      </w:r>
      <w:r>
        <w:rPr>
          <w:rFonts w:ascii="Noto Serif" w:hAnsi="Noto Serif"/>
          <w:color w:val="202522"/>
          <w:sz w:val="17"/>
        </w:rPr>
        <w:t xml:space="preserve">The Impact of Social Prescribing on Wellbeing Outcomes. Nature. </w:t>
      </w:r>
      <w:hyperlink r:id="rId38">
        <w:r>
          <w:rPr>
            <w:color w:val="285A62"/>
            <w:u w:val="none"/>
            <w:rFonts w:ascii="Noto Sans" w:hAnsi="Noto Sans"/>
            <w:sz w:val="17"/>
          </w:rPr>
          <w:t>nature.com</w:t>
        </w:r>
      </w:hyperlink>
    </w:p>
    <w:p>
      <w:pPr>
        <w:pStyle w:val="Reference"/>
        <w:spacing w:after="90" w:line="252" w:lineRule="auto"/>
        <w:ind w:left="397" w:hanging="397"/>
      </w:pPr>
      <w:r>
        <w:rPr>
          <w:rFonts w:ascii="Noto Sans" w:hAnsi="Noto Sans"/>
          <w:b/>
          <w:color w:val="A55E3B"/>
          <w:sz w:val="16"/>
        </w:rPr>
        <w:t xml:space="preserve">29. </w:t>
      </w:r>
      <w:r>
        <w:rPr>
          <w:rFonts w:ascii="Noto Serif" w:hAnsi="Noto Serif"/>
          <w:color w:val="202522"/>
          <w:sz w:val="17"/>
        </w:rPr>
        <w:t xml:space="preserve">The Role of Social Prescribing in Supporting Whole-of-Person Wellbeing. Sonder. </w:t>
      </w:r>
      <w:hyperlink r:id="rId39">
        <w:r>
          <w:rPr>
            <w:color w:val="285A62"/>
            <w:u w:val="none"/>
            <w:rFonts w:ascii="Noto Sans" w:hAnsi="Noto Sans"/>
            <w:sz w:val="17"/>
          </w:rPr>
          <w:t>sonder.net.au</w:t>
        </w:r>
      </w:hyperlink>
    </w:p>
    <w:p>
      <w:pPr>
        <w:pStyle w:val="Reference"/>
        <w:spacing w:after="90" w:line="252" w:lineRule="auto"/>
        <w:ind w:left="397" w:hanging="397"/>
      </w:pPr>
      <w:r>
        <w:rPr>
          <w:rFonts w:ascii="Noto Sans" w:hAnsi="Noto Sans"/>
          <w:b/>
          <w:color w:val="A55E3B"/>
          <w:sz w:val="16"/>
        </w:rPr>
        <w:t xml:space="preserve">30. </w:t>
      </w:r>
      <w:r>
        <w:rPr>
          <w:rFonts w:ascii="Noto Serif" w:hAnsi="Noto Serif"/>
          <w:color w:val="202522"/>
          <w:sz w:val="17"/>
        </w:rPr>
        <w:t xml:space="preserve">The Secret to Happiness? Advice from the Longest-Running Study on Happiness. Harvard Health. </w:t>
      </w:r>
      <w:hyperlink r:id="rId40">
        <w:r>
          <w:rPr>
            <w:color w:val="285A62"/>
            <w:u w:val="none"/>
            <w:rFonts w:ascii="Noto Sans" w:hAnsi="Noto Sans"/>
            <w:sz w:val="17"/>
          </w:rPr>
          <w:t>health.harvard.edu</w:t>
        </w:r>
      </w:hyperlink>
    </w:p>
    <w:p>
      <w:pPr>
        <w:pStyle w:val="Reference"/>
        <w:spacing w:after="90" w:line="252" w:lineRule="auto"/>
        <w:ind w:left="397" w:hanging="397"/>
      </w:pPr>
      <w:r>
        <w:rPr>
          <w:rFonts w:ascii="Noto Sans" w:hAnsi="Noto Sans"/>
          <w:b/>
          <w:color w:val="A55E3B"/>
          <w:sz w:val="16"/>
        </w:rPr>
        <w:t xml:space="preserve">31. </w:t>
      </w:r>
      <w:r>
        <w:rPr>
          <w:rFonts w:ascii="Noto Serif" w:hAnsi="Noto Serif"/>
          <w:color w:val="202522"/>
          <w:sz w:val="17"/>
        </w:rPr>
        <w:t xml:space="preserve">What Makes a Good Life? Lessons from the Longest Study on Happiness. TED / YouTube. </w:t>
      </w:r>
      <w:hyperlink r:id="rId41">
        <w:r>
          <w:rPr>
            <w:color w:val="285A62"/>
            <w:u w:val="none"/>
            <w:rFonts w:ascii="Noto Sans" w:hAnsi="Noto Sans"/>
            <w:sz w:val="17"/>
          </w:rPr>
          <w:t>youtube.com</w:t>
        </w:r>
      </w:hyperlink>
    </w:p>
    <w:p>
      <w:pPr>
        <w:pStyle w:val="Reference"/>
        <w:spacing w:after="90" w:line="252" w:lineRule="auto"/>
        <w:ind w:left="397" w:hanging="397"/>
      </w:pPr>
      <w:r>
        <w:rPr>
          <w:rFonts w:ascii="Noto Sans" w:hAnsi="Noto Sans"/>
          <w:b/>
          <w:color w:val="A55E3B"/>
          <w:sz w:val="16"/>
        </w:rPr>
        <w:t xml:space="preserve">32. </w:t>
      </w:r>
      <w:r>
        <w:rPr>
          <w:rFonts w:ascii="Noto Serif" w:hAnsi="Noto Serif"/>
          <w:color w:val="202522"/>
          <w:sz w:val="17"/>
        </w:rPr>
        <w:t xml:space="preserve">Healthy Minds, Longer Lives: Inside the Science and Promise of Blue Zones. Health Policy Watch. </w:t>
      </w:r>
      <w:hyperlink r:id="rId42">
        <w:r>
          <w:rPr>
            <w:color w:val="285A62"/>
            <w:u w:val="none"/>
            <w:rFonts w:ascii="Noto Sans" w:hAnsi="Noto Sans"/>
            <w:sz w:val="17"/>
          </w:rPr>
          <w:t>healthpolicy-watch.news</w:t>
        </w:r>
      </w:hyperlink>
    </w:p>
    <w:p>
      <w:pPr>
        <w:pStyle w:val="Reference"/>
        <w:spacing w:after="90" w:line="252" w:lineRule="auto"/>
        <w:ind w:left="397" w:hanging="397"/>
      </w:pPr>
      <w:r>
        <w:rPr>
          <w:rFonts w:ascii="Noto Sans" w:hAnsi="Noto Sans"/>
          <w:b/>
          <w:color w:val="A55E3B"/>
          <w:sz w:val="16"/>
        </w:rPr>
        <w:t xml:space="preserve">33. </w:t>
      </w:r>
      <w:r>
        <w:rPr>
          <w:rFonts w:ascii="Noto Serif" w:hAnsi="Noto Serif"/>
          <w:color w:val="202522"/>
          <w:sz w:val="17"/>
        </w:rPr>
        <w:t xml:space="preserve">Blue Zones: Lessons from the World's Longest Lived. NIH / PMC. </w:t>
      </w:r>
      <w:hyperlink r:id="rId43">
        <w:r>
          <w:rPr>
            <w:color w:val="285A62"/>
            <w:u w:val="none"/>
            <w:rFonts w:ascii="Noto Sans" w:hAnsi="Noto Sans"/>
            <w:sz w:val="17"/>
          </w:rPr>
          <w:t>pmc.ncbi.nlm.nih.gov</w:t>
        </w:r>
      </w:hyperlink>
    </w:p>
    <w:p>
      <w:pPr>
        <w:pStyle w:val="Reference"/>
        <w:spacing w:after="90" w:line="252" w:lineRule="auto"/>
        <w:ind w:left="397" w:hanging="397"/>
      </w:pPr>
      <w:r>
        <w:rPr>
          <w:rFonts w:ascii="Noto Sans" w:hAnsi="Noto Sans"/>
          <w:b/>
          <w:color w:val="A55E3B"/>
          <w:sz w:val="16"/>
        </w:rPr>
        <w:t xml:space="preserve">34. </w:t>
      </w:r>
      <w:r>
        <w:rPr>
          <w:rFonts w:ascii="Noto Serif" w:hAnsi="Noto Serif"/>
          <w:color w:val="202522"/>
          <w:sz w:val="17"/>
        </w:rPr>
        <w:t xml:space="preserve">Ikigai and Longevity: What the Evidence Really Shows. JobCannon. </w:t>
      </w:r>
      <w:hyperlink r:id="rId44">
        <w:r>
          <w:rPr>
            <w:color w:val="285A62"/>
            <w:u w:val="none"/>
            <w:rFonts w:ascii="Noto Sans" w:hAnsi="Noto Sans"/>
            <w:sz w:val="17"/>
          </w:rPr>
          <w:t>jobcannon.io</w:t>
        </w:r>
      </w:hyperlink>
    </w:p>
    <w:p>
      <w:pPr>
        <w:pStyle w:val="Reference"/>
        <w:spacing w:after="90" w:line="252" w:lineRule="auto"/>
        <w:ind w:left="397" w:hanging="397"/>
      </w:pPr>
      <w:r>
        <w:rPr>
          <w:rFonts w:ascii="Noto Sans" w:hAnsi="Noto Sans"/>
          <w:b/>
          <w:color w:val="A55E3B"/>
          <w:sz w:val="16"/>
        </w:rPr>
        <w:t xml:space="preserve">35. </w:t>
      </w:r>
      <w:r>
        <w:rPr>
          <w:rFonts w:ascii="Noto Serif" w:hAnsi="Noto Serif"/>
          <w:color w:val="202522"/>
          <w:sz w:val="17"/>
        </w:rPr>
        <w:t xml:space="preserve">Rediscovering Ikigai: What We Got Wrong and How to Find Meaning. Ness Labs. </w:t>
      </w:r>
      <w:hyperlink r:id="rId45">
        <w:r>
          <w:rPr>
            <w:color w:val="285A62"/>
            <w:u w:val="none"/>
            <w:rFonts w:ascii="Noto Sans" w:hAnsi="Noto Sans"/>
            <w:sz w:val="17"/>
          </w:rPr>
          <w:t>nesslabs.com</w:t>
        </w:r>
      </w:hyperlink>
    </w:p>
    <w:p>
      <w:pPr>
        <w:pStyle w:val="Reference"/>
        <w:spacing w:after="90" w:line="252" w:lineRule="auto"/>
        <w:ind w:left="397" w:hanging="397"/>
      </w:pPr>
      <w:r>
        <w:rPr>
          <w:rFonts w:ascii="Noto Sans" w:hAnsi="Noto Sans"/>
          <w:b/>
          <w:color w:val="A55E3B"/>
          <w:sz w:val="16"/>
        </w:rPr>
        <w:t xml:space="preserve">36. </w:t>
      </w:r>
      <w:r>
        <w:rPr>
          <w:rFonts w:ascii="Noto Serif" w:hAnsi="Noto Serif"/>
          <w:color w:val="202522"/>
          <w:sz w:val="17"/>
        </w:rPr>
        <w:t xml:space="preserve">Self-Determination Theory. </w:t>
      </w:r>
      <w:hyperlink r:id="rId46">
        <w:r>
          <w:rPr>
            <w:color w:val="285A62"/>
            <w:u w:val="none"/>
            <w:rFonts w:ascii="Noto Sans" w:hAnsi="Noto Sans"/>
            <w:sz w:val="17"/>
          </w:rPr>
          <w:t>selfdeterminationtheory.org</w:t>
        </w:r>
      </w:hyperlink>
    </w:p>
    <w:p>
      <w:pPr>
        <w:pStyle w:val="Reference"/>
        <w:spacing w:after="90" w:line="252" w:lineRule="auto"/>
        <w:ind w:left="397" w:hanging="397"/>
      </w:pPr>
      <w:r>
        <w:rPr>
          <w:rFonts w:ascii="Noto Sans" w:hAnsi="Noto Sans"/>
          <w:b/>
          <w:color w:val="A55E3B"/>
          <w:sz w:val="16"/>
        </w:rPr>
        <w:t xml:space="preserve">37. </w:t>
      </w:r>
      <w:r>
        <w:rPr>
          <w:rFonts w:ascii="Noto Serif" w:hAnsi="Noto Serif"/>
          <w:color w:val="202522"/>
          <w:sz w:val="17"/>
        </w:rPr>
        <w:t xml:space="preserve">Six Dimensions of Psychological Well-Being. Coping.us. </w:t>
      </w:r>
      <w:hyperlink r:id="rId47">
        <w:r>
          <w:rPr>
            <w:color w:val="285A62"/>
            <w:u w:val="none"/>
            <w:rFonts w:ascii="Noto Sans" w:hAnsi="Noto Sans"/>
            <w:sz w:val="17"/>
          </w:rPr>
          <w:t>coping.us</w:t>
        </w:r>
      </w:hyperlink>
    </w:p>
    <w:p>
      <w:pPr>
        <w:pStyle w:val="Reference"/>
        <w:spacing w:after="90" w:line="252" w:lineRule="auto"/>
        <w:ind w:left="397" w:hanging="397"/>
      </w:pPr>
      <w:r>
        <w:rPr>
          <w:rFonts w:ascii="Noto Sans" w:hAnsi="Noto Sans"/>
          <w:b/>
          <w:color w:val="A55E3B"/>
          <w:sz w:val="16"/>
        </w:rPr>
        <w:t xml:space="preserve">38. </w:t>
      </w:r>
      <w:r>
        <w:rPr>
          <w:rFonts w:ascii="Noto Serif" w:hAnsi="Noto Serif"/>
          <w:color w:val="202522"/>
          <w:sz w:val="17"/>
        </w:rPr>
        <w:t xml:space="preserve">Biophilic Design in Hospital Environments: A Rapid Review. NIH / PMC. </w:t>
      </w:r>
      <w:hyperlink r:id="rId48">
        <w:r>
          <w:rPr>
            <w:color w:val="285A62"/>
            <w:u w:val="none"/>
            <w:rFonts w:ascii="Noto Sans" w:hAnsi="Noto Sans"/>
            <w:sz w:val="17"/>
          </w:rPr>
          <w:t>pmc.ncbi.nlm.nih.gov</w:t>
        </w:r>
      </w:hyperlink>
    </w:p>
    <w:p>
      <w:pPr>
        <w:pStyle w:val="Reference"/>
        <w:spacing w:after="90" w:line="252" w:lineRule="auto"/>
        <w:ind w:left="397" w:hanging="397"/>
      </w:pPr>
      <w:r>
        <w:rPr>
          <w:rFonts w:ascii="Noto Sans" w:hAnsi="Noto Sans"/>
          <w:b/>
          <w:color w:val="A55E3B"/>
          <w:sz w:val="16"/>
        </w:rPr>
        <w:t xml:space="preserve">39. </w:t>
      </w:r>
      <w:r>
        <w:rPr>
          <w:rFonts w:ascii="Noto Serif" w:hAnsi="Noto Serif"/>
          <w:color w:val="202522"/>
          <w:sz w:val="17"/>
        </w:rPr>
        <w:t xml:space="preserve">The 24 Character Strengths Explained. The Positivity Project. </w:t>
      </w:r>
      <w:hyperlink r:id="rId49">
        <w:r>
          <w:rPr>
            <w:color w:val="285A62"/>
            <w:u w:val="none"/>
            <w:rFonts w:ascii="Noto Sans" w:hAnsi="Noto Sans"/>
            <w:sz w:val="17"/>
          </w:rPr>
          <w:t>posproject.org</w:t>
        </w:r>
      </w:hyperlink>
    </w:p>
    <w:p>
      <w:pPr>
        <w:pStyle w:val="Reference"/>
        <w:spacing w:after="90" w:line="252" w:lineRule="auto"/>
        <w:ind w:left="397" w:hanging="397"/>
      </w:pPr>
      <w:r>
        <w:rPr>
          <w:rFonts w:ascii="Noto Sans" w:hAnsi="Noto Sans"/>
          <w:b/>
          <w:color w:val="A55E3B"/>
          <w:sz w:val="16"/>
        </w:rPr>
        <w:t xml:space="preserve">40. </w:t>
      </w:r>
      <w:r>
        <w:rPr>
          <w:rFonts w:ascii="Noto Serif" w:hAnsi="Noto Serif"/>
          <w:color w:val="202522"/>
          <w:sz w:val="17"/>
        </w:rPr>
        <w:t xml:space="preserve">Seven Principles for Living a Good Life, According to Neuroscience. LinkedIn. </w:t>
      </w:r>
      <w:hyperlink r:id="rId50">
        <w:r>
          <w:rPr>
            <w:color w:val="285A62"/>
            <w:u w:val="none"/>
            <w:rFonts w:ascii="Noto Sans" w:hAnsi="Noto Sans"/>
            <w:sz w:val="17"/>
          </w:rPr>
          <w:t>linkedin.com</w:t>
        </w:r>
      </w:hyperlink>
    </w:p>
    <w:p>
      <w:pPr>
        <w:pStyle w:val="Reference"/>
        <w:spacing w:after="90" w:line="252" w:lineRule="auto"/>
        <w:ind w:left="397" w:hanging="397"/>
      </w:pPr>
      <w:r>
        <w:rPr>
          <w:rFonts w:ascii="Noto Sans" w:hAnsi="Noto Sans"/>
          <w:b/>
          <w:color w:val="A55E3B"/>
          <w:sz w:val="16"/>
        </w:rPr>
        <w:t xml:space="preserve">41. </w:t>
      </w:r>
      <w:r>
        <w:rPr>
          <w:rFonts w:ascii="Noto Serif" w:hAnsi="Noto Serif"/>
          <w:color w:val="202522"/>
          <w:sz w:val="17"/>
        </w:rPr>
        <w:t xml:space="preserve">Why Vitality Is the Missing Key to Flourishing. Biri Publishing. </w:t>
      </w:r>
      <w:hyperlink r:id="rId51">
        <w:r>
          <w:rPr>
            <w:color w:val="285A62"/>
            <w:u w:val="none"/>
            <w:rFonts w:ascii="Noto Sans" w:hAnsi="Noto Sans"/>
            <w:sz w:val="17"/>
          </w:rPr>
          <w:t>biripublishing.com</w:t>
        </w:r>
      </w:hyperlink>
    </w:p>
    <w:p>
      <w:pPr>
        <w:pStyle w:val="Reference"/>
        <w:spacing w:after="90" w:line="252" w:lineRule="auto"/>
        <w:ind w:left="397" w:hanging="397"/>
      </w:pPr>
      <w:r>
        <w:rPr>
          <w:rFonts w:ascii="Noto Sans" w:hAnsi="Noto Sans"/>
          <w:b/>
          <w:color w:val="A55E3B"/>
          <w:sz w:val="16"/>
        </w:rPr>
        <w:t xml:space="preserve">42. </w:t>
      </w:r>
      <w:r>
        <w:rPr>
          <w:rFonts w:ascii="Noto Serif" w:hAnsi="Noto Serif"/>
          <w:color w:val="202522"/>
          <w:sz w:val="17"/>
        </w:rPr>
        <w:t xml:space="preserve">PERMA-V Model. The Pathfinder Coach. </w:t>
      </w:r>
      <w:hyperlink r:id="rId52">
        <w:r>
          <w:rPr>
            <w:color w:val="285A62"/>
            <w:u w:val="none"/>
            <w:rFonts w:ascii="Noto Sans" w:hAnsi="Noto Sans"/>
            <w:sz w:val="17"/>
          </w:rPr>
          <w:t>thepathfinder.org</w:t>
        </w:r>
      </w:hyperlink>
    </w:p>
    <w:p>
      <w:pPr>
        <w:pStyle w:val="Reference"/>
        <w:spacing w:after="90" w:line="252" w:lineRule="auto"/>
        <w:ind w:left="397" w:hanging="397"/>
      </w:pPr>
      <w:r>
        <w:rPr>
          <w:rFonts w:ascii="Noto Sans" w:hAnsi="Noto Sans"/>
          <w:b/>
          <w:color w:val="A55E3B"/>
          <w:sz w:val="16"/>
        </w:rPr>
        <w:t xml:space="preserve">43. </w:t>
      </w:r>
      <w:r>
        <w:rPr>
          <w:rFonts w:ascii="Noto Serif" w:hAnsi="Noto Serif"/>
          <w:color w:val="202522"/>
          <w:sz w:val="17"/>
        </w:rPr>
        <w:t xml:space="preserve">The PERMA + V Model. It's Mental. </w:t>
      </w:r>
      <w:hyperlink r:id="rId53">
        <w:r>
          <w:rPr>
            <w:color w:val="285A62"/>
            <w:u w:val="none"/>
            <w:rFonts w:ascii="Noto Sans" w:hAnsi="Noto Sans"/>
            <w:sz w:val="17"/>
          </w:rPr>
          <w:t>itsmental.co.uk</w:t>
        </w:r>
      </w:hyperlink>
    </w:p>
    <w:p>
      <w:pPr>
        <w:pStyle w:val="Reference"/>
        <w:spacing w:after="90" w:line="252" w:lineRule="auto"/>
        <w:ind w:left="397" w:hanging="397"/>
      </w:pPr>
      <w:r>
        <w:rPr>
          <w:rFonts w:ascii="Noto Sans" w:hAnsi="Noto Sans"/>
          <w:b/>
          <w:color w:val="A55E3B"/>
          <w:sz w:val="16"/>
        </w:rPr>
        <w:t xml:space="preserve">44. </w:t>
      </w:r>
      <w:r>
        <w:rPr>
          <w:rFonts w:ascii="Noto Serif" w:hAnsi="Noto Serif"/>
          <w:color w:val="202522"/>
          <w:sz w:val="17"/>
        </w:rPr>
        <w:t xml:space="preserve">Personalised Health: Epigenetics and Lifestylopathy Approach. ESMED. </w:t>
      </w:r>
      <w:hyperlink r:id="rId54">
        <w:r>
          <w:rPr>
            <w:color w:val="285A62"/>
            <w:u w:val="none"/>
            <w:rFonts w:ascii="Noto Sans" w:hAnsi="Noto Sans"/>
            <w:sz w:val="17"/>
          </w:rPr>
          <w:t>esmed.org</w:t>
        </w:r>
      </w:hyperlink>
    </w:p>
    <w:p>
      <w:pPr>
        <w:pStyle w:val="Reference"/>
        <w:spacing w:after="90" w:line="252" w:lineRule="auto"/>
        <w:ind w:left="397" w:hanging="397"/>
      </w:pPr>
      <w:r>
        <w:rPr>
          <w:rFonts w:ascii="Noto Sans" w:hAnsi="Noto Sans"/>
          <w:b/>
          <w:color w:val="A55E3B"/>
          <w:sz w:val="16"/>
        </w:rPr>
        <w:t xml:space="preserve">45. </w:t>
      </w:r>
      <w:r>
        <w:rPr>
          <w:rFonts w:ascii="Noto Serif" w:hAnsi="Noto Serif"/>
          <w:color w:val="202522"/>
          <w:sz w:val="17"/>
        </w:rPr>
        <w:t xml:space="preserve">Trisara Phuket Hotel Review. Hotels Above Par. </w:t>
      </w:r>
      <w:hyperlink r:id="rId55">
        <w:r>
          <w:rPr>
            <w:color w:val="285A62"/>
            <w:u w:val="none"/>
            <w:rFonts w:ascii="Noto Sans" w:hAnsi="Noto Sans"/>
            <w:sz w:val="17"/>
          </w:rPr>
          <w:t>hotelsabovepar.com</w:t>
        </w:r>
      </w:hyperlink>
    </w:p>
    <w:p>
      <w:pPr>
        <w:pStyle w:val="Reference"/>
        <w:spacing w:after="90" w:line="252" w:lineRule="auto"/>
        <w:ind w:left="397" w:hanging="397"/>
      </w:pPr>
      <w:r>
        <w:rPr>
          <w:rFonts w:ascii="Noto Sans" w:hAnsi="Noto Sans"/>
          <w:b/>
          <w:color w:val="A55E3B"/>
          <w:sz w:val="16"/>
        </w:rPr>
        <w:t xml:space="preserve">46. </w:t>
      </w:r>
      <w:r>
        <w:rPr>
          <w:rFonts w:ascii="Noto Serif" w:hAnsi="Noto Serif"/>
          <w:color w:val="202522"/>
          <w:sz w:val="17"/>
        </w:rPr>
        <w:t xml:space="preserve">Tri Vananda Phuket: Premium Villa Community in Thailand. YouTube. </w:t>
      </w:r>
      <w:hyperlink r:id="rId56">
        <w:r>
          <w:rPr>
            <w:color w:val="285A62"/>
            <w:u w:val="none"/>
            <w:rFonts w:ascii="Noto Sans" w:hAnsi="Noto Sans"/>
            <w:sz w:val="17"/>
          </w:rPr>
          <w:t>youtube.com</w:t>
        </w:r>
      </w:hyperlink>
    </w:p>
    <w:p>
      <w:pPr>
        <w:pStyle w:val="Reference"/>
        <w:spacing w:after="90" w:line="252" w:lineRule="auto"/>
        <w:ind w:left="397" w:hanging="397"/>
      </w:pPr>
      <w:r>
        <w:rPr>
          <w:rFonts w:ascii="Noto Sans" w:hAnsi="Noto Sans"/>
          <w:b/>
          <w:color w:val="A55E3B"/>
          <w:sz w:val="16"/>
        </w:rPr>
        <w:t xml:space="preserve">47. </w:t>
      </w:r>
      <w:r>
        <w:rPr>
          <w:rFonts w:ascii="Noto Serif" w:hAnsi="Noto Serif"/>
          <w:color w:val="202522"/>
          <w:sz w:val="17"/>
        </w:rPr>
        <w:t xml:space="preserve">Salutogenesis for Thriving Nations: Sense of Coherence and Wellbeing. ScienceDirect. </w:t>
      </w:r>
      <w:hyperlink r:id="rId57">
        <w:r>
          <w:rPr>
            <w:color w:val="285A62"/>
            <w:u w:val="none"/>
            <w:rFonts w:ascii="Noto Sans" w:hAnsi="Noto Sans"/>
            <w:sz w:val="17"/>
          </w:rPr>
          <w:t>sciencedirect.com</w:t>
        </w:r>
      </w:hyperlink>
    </w:p>
    <w:p>
      <w:pPr>
        <w:pStyle w:val="Reference"/>
        <w:spacing w:after="90" w:line="252" w:lineRule="auto"/>
        <w:ind w:left="397" w:hanging="397"/>
      </w:pPr>
      <w:r>
        <w:rPr>
          <w:rFonts w:ascii="Noto Sans" w:hAnsi="Noto Sans"/>
          <w:b/>
          <w:color w:val="A55E3B"/>
          <w:sz w:val="16"/>
        </w:rPr>
        <w:t xml:space="preserve">48. </w:t>
      </w:r>
      <w:r>
        <w:rPr>
          <w:rFonts w:ascii="Noto Serif" w:hAnsi="Noto Serif"/>
          <w:color w:val="202522"/>
          <w:sz w:val="17"/>
        </w:rPr>
        <w:t xml:space="preserve">Salutogenesis and Health Promotion. Public Health Ontario. </w:t>
      </w:r>
      <w:hyperlink r:id="rId58">
        <w:r>
          <w:rPr>
            <w:color w:val="285A62"/>
            <w:u w:val="none"/>
            <w:rFonts w:ascii="Noto Sans" w:hAnsi="Noto Sans"/>
            <w:sz w:val="17"/>
          </w:rPr>
          <w:t>publichealthontario.ca</w:t>
        </w:r>
      </w:hyperlink>
    </w:p>
    <w:p>
      <w:pPr>
        <w:pStyle w:val="Reference"/>
        <w:spacing w:after="90" w:line="252" w:lineRule="auto"/>
        <w:ind w:left="397" w:hanging="397"/>
      </w:pPr>
      <w:r>
        <w:rPr>
          <w:rFonts w:ascii="Noto Sans" w:hAnsi="Noto Sans"/>
          <w:b/>
          <w:color w:val="A55E3B"/>
          <w:sz w:val="16"/>
        </w:rPr>
        <w:t xml:space="preserve">49. </w:t>
      </w:r>
      <w:r>
        <w:rPr>
          <w:rFonts w:ascii="Noto Serif" w:hAnsi="Noto Serif"/>
          <w:color w:val="202522"/>
          <w:sz w:val="17"/>
        </w:rPr>
        <w:t xml:space="preserve">Blue Zones: Lessons for Human Flourishing. Observatory. </w:t>
      </w:r>
      <w:hyperlink r:id="rId59">
        <w:r>
          <w:rPr>
            <w:color w:val="285A62"/>
            <w:u w:val="none"/>
            <w:rFonts w:ascii="Noto Sans" w:hAnsi="Noto Sans"/>
            <w:sz w:val="17"/>
          </w:rPr>
          <w:t>observatory.tec.mx</w:t>
        </w:r>
      </w:hyperlink>
    </w:p>
    <w:p>
      <w:pPr>
        <w:pStyle w:val="Reference"/>
        <w:spacing w:after="90" w:line="252" w:lineRule="auto"/>
        <w:ind w:left="397" w:hanging="397"/>
      </w:pPr>
      <w:r>
        <w:rPr>
          <w:rFonts w:ascii="Noto Sans" w:hAnsi="Noto Sans"/>
          <w:b/>
          <w:color w:val="A55E3B"/>
          <w:sz w:val="16"/>
        </w:rPr>
        <w:t xml:space="preserve">50. </w:t>
      </w:r>
      <w:r>
        <w:rPr>
          <w:rFonts w:ascii="Noto Serif" w:hAnsi="Noto Serif"/>
          <w:color w:val="202522"/>
          <w:sz w:val="17"/>
        </w:rPr>
        <w:t xml:space="preserve">What Are Character Strengths and Virtues? Positive Psychology. </w:t>
      </w:r>
      <w:hyperlink r:id="rId60">
        <w:r>
          <w:rPr>
            <w:color w:val="285A62"/>
            <w:u w:val="none"/>
            <w:rFonts w:ascii="Noto Sans" w:hAnsi="Noto Sans"/>
            <w:sz w:val="17"/>
          </w:rPr>
          <w:t>positivepsychology.com</w:t>
        </w:r>
      </w:hyperlink>
    </w:p>
    <w:p>
      <w:pPr>
        <w:pStyle w:val="Reference"/>
        <w:spacing w:after="90" w:line="252" w:lineRule="auto"/>
        <w:ind w:left="397" w:hanging="397"/>
      </w:pPr>
      <w:r>
        <w:rPr>
          <w:rFonts w:ascii="Noto Sans" w:hAnsi="Noto Sans"/>
          <w:b/>
          <w:color w:val="A55E3B"/>
          <w:sz w:val="16"/>
        </w:rPr>
        <w:t xml:space="preserve">51. </w:t>
      </w:r>
      <w:r>
        <w:rPr>
          <w:rFonts w:ascii="Noto Serif" w:hAnsi="Noto Serif"/>
          <w:color w:val="202522"/>
          <w:sz w:val="17"/>
        </w:rPr>
        <w:t xml:space="preserve">Signature Strengths Research and Insights. VIA Institute. </w:t>
      </w:r>
      <w:hyperlink r:id="rId61">
        <w:r>
          <w:rPr>
            <w:color w:val="285A62"/>
            <w:u w:val="none"/>
            <w:rFonts w:ascii="Noto Sans" w:hAnsi="Noto Sans"/>
            <w:sz w:val="17"/>
          </w:rPr>
          <w:t>viacharacter.org</w:t>
        </w:r>
      </w:hyperlink>
    </w:p>
    <w:p>
      <w:pPr>
        <w:pStyle w:val="Reference"/>
        <w:spacing w:after="90" w:line="252" w:lineRule="auto"/>
        <w:ind w:left="397" w:hanging="397"/>
      </w:pPr>
      <w:r>
        <w:rPr>
          <w:rFonts w:ascii="Noto Sans" w:hAnsi="Noto Sans"/>
          <w:b/>
          <w:color w:val="A55E3B"/>
          <w:sz w:val="16"/>
        </w:rPr>
        <w:t xml:space="preserve">52. </w:t>
      </w:r>
      <w:r>
        <w:rPr>
          <w:rFonts w:ascii="Noto Serif" w:hAnsi="Noto Serif"/>
          <w:color w:val="202522"/>
          <w:sz w:val="17"/>
        </w:rPr>
        <w:t xml:space="preserve">The Good Life: Lessons from the World's Longest Scientific Study of Happiness. NIH / PMC. </w:t>
      </w:r>
      <w:hyperlink r:id="rId62">
        <w:r>
          <w:rPr>
            <w:color w:val="285A62"/>
            <w:u w:val="none"/>
            <w:rFonts w:ascii="Noto Sans" w:hAnsi="Noto Sans"/>
            <w:sz w:val="17"/>
          </w:rPr>
          <w:t>pmc.ncbi.nlm.nih.gov</w:t>
        </w:r>
      </w:hyperlink>
    </w:p>
    <w:p>
      <w:pPr>
        <w:pStyle w:val="Reference"/>
        <w:spacing w:after="90" w:line="252" w:lineRule="auto"/>
        <w:ind w:left="397" w:hanging="397"/>
      </w:pPr>
      <w:r>
        <w:rPr>
          <w:rFonts w:ascii="Noto Sans" w:hAnsi="Noto Sans"/>
          <w:b/>
          <w:color w:val="A55E3B"/>
          <w:sz w:val="16"/>
        </w:rPr>
        <w:t xml:space="preserve">53. </w:t>
      </w:r>
      <w:r>
        <w:rPr>
          <w:rFonts w:ascii="Noto Serif" w:hAnsi="Noto Serif"/>
          <w:color w:val="202522"/>
          <w:sz w:val="17"/>
        </w:rPr>
        <w:t xml:space="preserve">Psychological Well-Being Scales. University of Pennsylvania. </w:t>
      </w:r>
      <w:hyperlink r:id="rId63">
        <w:r>
          <w:rPr>
            <w:color w:val="285A62"/>
            <w:u w:val="none"/>
            <w:rFonts w:ascii="Noto Sans" w:hAnsi="Noto Sans"/>
            <w:sz w:val="17"/>
          </w:rPr>
          <w:t>ppc.sas.upenn.edu</w:t>
        </w:r>
      </w:hyperlink>
    </w:p>
    <w:p>
      <w:pPr>
        <w:pStyle w:val="Reference"/>
        <w:spacing w:after="90" w:line="252" w:lineRule="auto"/>
        <w:ind w:left="397" w:hanging="397"/>
      </w:pPr>
      <w:r>
        <w:rPr>
          <w:rFonts w:ascii="Noto Sans" w:hAnsi="Noto Sans"/>
          <w:b/>
          <w:color w:val="A55E3B"/>
          <w:sz w:val="16"/>
        </w:rPr>
        <w:t xml:space="preserve">54. </w:t>
      </w:r>
      <w:r>
        <w:rPr>
          <w:rFonts w:ascii="Noto Serif" w:hAnsi="Noto Serif"/>
          <w:color w:val="202522"/>
          <w:sz w:val="17"/>
        </w:rPr>
        <w:t xml:space="preserve">What Is Ikigai and How It Shapes Your Wellness Journey. Ikigai Wellness Clinic. </w:t>
      </w:r>
      <w:hyperlink r:id="rId64">
        <w:r>
          <w:rPr>
            <w:color w:val="285A62"/>
            <w:u w:val="none"/>
            <w:rFonts w:ascii="Noto Sans" w:hAnsi="Noto Sans"/>
            <w:sz w:val="17"/>
          </w:rPr>
          <w:t>ikigaiwellnessclinic.com</w:t>
        </w:r>
      </w:hyperlink>
    </w:p>
    <w:p>
      <w:pPr>
        <w:pStyle w:val="Reference"/>
        <w:spacing w:after="90" w:line="252" w:lineRule="auto"/>
        <w:ind w:left="397" w:hanging="397"/>
      </w:pPr>
      <w:r>
        <w:rPr>
          <w:rFonts w:ascii="Noto Sans" w:hAnsi="Noto Sans"/>
          <w:b/>
          <w:color w:val="A55E3B"/>
          <w:sz w:val="16"/>
        </w:rPr>
        <w:t xml:space="preserve">55. </w:t>
      </w:r>
      <w:r>
        <w:rPr>
          <w:rFonts w:ascii="Noto Serif" w:hAnsi="Noto Serif"/>
          <w:color w:val="202522"/>
          <w:sz w:val="17"/>
        </w:rPr>
        <w:t xml:space="preserve">Disney Executive: The Six Essential Principles of Great Experiences. Innovation Leader. </w:t>
      </w:r>
      <w:hyperlink r:id="rId65">
        <w:r>
          <w:rPr>
            <w:color w:val="285A62"/>
            <w:u w:val="none"/>
            <w:rFonts w:ascii="Noto Sans" w:hAnsi="Noto Sans"/>
            <w:sz w:val="17"/>
          </w:rPr>
          <w:t>innovationleader.com</w:t>
        </w:r>
      </w:hyperlink>
    </w:p>
    <w:p>
      <w:pPr>
        <w:pStyle w:val="Reference"/>
        <w:spacing w:after="90" w:line="252" w:lineRule="auto"/>
        <w:ind w:left="397" w:hanging="397"/>
      </w:pPr>
      <w:r>
        <w:rPr>
          <w:rFonts w:ascii="Noto Sans" w:hAnsi="Noto Sans"/>
          <w:b/>
          <w:color w:val="A55E3B"/>
          <w:sz w:val="16"/>
        </w:rPr>
        <w:t xml:space="preserve">56. </w:t>
      </w:r>
      <w:r>
        <w:rPr>
          <w:rFonts w:ascii="Noto Serif" w:hAnsi="Noto Serif"/>
          <w:color w:val="202522"/>
          <w:sz w:val="17"/>
        </w:rPr>
        <w:t xml:space="preserve">Trisara. Montara Hospitality. </w:t>
      </w:r>
      <w:hyperlink r:id="rId66">
        <w:r>
          <w:rPr>
            <w:color w:val="285A62"/>
            <w:u w:val="none"/>
            <w:rFonts w:ascii="Noto Sans" w:hAnsi="Noto Sans"/>
            <w:sz w:val="17"/>
          </w:rPr>
          <w:t>montarahospitality.com</w:t>
        </w:r>
      </w:hyperlink>
    </w:p>
    <w:p>
      <w:pPr>
        <w:pStyle w:val="Reference"/>
        <w:spacing w:after="90" w:line="252" w:lineRule="auto"/>
        <w:ind w:left="397" w:hanging="397"/>
      </w:pPr>
      <w:r>
        <w:rPr>
          <w:rFonts w:ascii="Noto Sans" w:hAnsi="Noto Sans"/>
          <w:b/>
          <w:color w:val="A55E3B"/>
          <w:sz w:val="16"/>
        </w:rPr>
        <w:t xml:space="preserve">57. </w:t>
      </w:r>
      <w:r>
        <w:rPr>
          <w:rFonts w:ascii="Noto Serif" w:hAnsi="Noto Serif"/>
          <w:color w:val="202522"/>
          <w:sz w:val="17"/>
        </w:rPr>
        <w:t xml:space="preserve">Trisara - The Garden in the Third Heaven. </w:t>
      </w:r>
      <w:hyperlink r:id="rId67">
        <w:r>
          <w:rPr>
            <w:color w:val="285A62"/>
            <w:u w:val="none"/>
            <w:rFonts w:ascii="Noto Sans" w:hAnsi="Noto Sans"/>
            <w:sz w:val="17"/>
          </w:rPr>
          <w:t>trisara.com</w:t>
        </w:r>
      </w:hyperlink>
    </w:p>
    <w:p>
      <w:pPr>
        <w:pStyle w:val="Reference"/>
        <w:spacing w:after="90" w:line="252" w:lineRule="auto"/>
        <w:ind w:left="397" w:hanging="397"/>
      </w:pPr>
      <w:r>
        <w:rPr>
          <w:rFonts w:ascii="Noto Sans" w:hAnsi="Noto Sans"/>
          <w:b/>
          <w:color w:val="A55E3B"/>
          <w:sz w:val="16"/>
        </w:rPr>
        <w:t xml:space="preserve">58. </w:t>
      </w:r>
      <w:r>
        <w:rPr>
          <w:rFonts w:ascii="Noto Serif" w:hAnsi="Noto Serif"/>
          <w:color w:val="202522"/>
          <w:sz w:val="17"/>
        </w:rPr>
        <w:t xml:space="preserve">Tri Vananda. FazWaz. </w:t>
      </w:r>
      <w:hyperlink r:id="rId68">
        <w:r>
          <w:rPr>
            <w:color w:val="285A62"/>
            <w:u w:val="none"/>
            <w:rFonts w:ascii="Noto Sans" w:hAnsi="Noto Sans"/>
            <w:sz w:val="17"/>
          </w:rPr>
          <w:t>fazwaz.com</w:t>
        </w:r>
      </w:hyperlink>
    </w:p>
    <w:sectPr w:rsidR="00FC693F" w:rsidRPr="0006063C" w:rsidSect="00034616">
      <w:pgSz w:w="11906" w:h="16838"/>
      <w:pgMar w:top="1219" w:right="1134" w:bottom="1049" w:left="1219" w:header="482" w:footer="42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824"/>
      <w:gridCol w:w="1729"/>
    </w:tblGrid>
    <w:tr>
      <w:tc>
        <w:tcPr>
          <w:tcW w:type="dxa" w:w="4776"/>
          <w:tcBorders>
            <w:top w:val="single" w:sz="6" w:color="CFC6B4"/>
            <w:left w:val="nil"/>
            <w:bottom w:val="nil"/>
            <w:right w:val="nil"/>
          </w:tcBorders>
        </w:tcPr>
        <w:p>
          <w:pPr>
            <w:jc w:val="left"/>
          </w:pPr>
          <w:r>
            <w:rPr>
              <w:rFonts w:ascii="Noto Sans" w:hAnsi="Noto Sans"/>
              <w:caps/>
              <w:color w:val="66706A"/>
              <w:sz w:val="15"/>
            </w:rPr>
            <w:t>CONFIDENTIAL &amp; PROPRIETARY  |  JUNE 2026</w:t>
          </w:r>
        </w:p>
      </w:tc>
      <w:tc>
        <w:tcPr>
          <w:tcW w:type="dxa" w:w="4776"/>
          <w:tcBorders>
            <w:top w:val="single" w:sz="6" w:color="CFC6B4"/>
            <w:left w:val="nil"/>
            <w:bottom w:val="nil"/>
            <w:right w:val="nil"/>
          </w:tcBorders>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CFC6B4"/>
      </w:pBdr>
    </w:pPr>
    <w:r>
      <w:rPr>
        <w:rFonts w:ascii="Noto Sans" w:hAnsi="Noto Sans"/>
        <w:b/>
        <w:caps/>
        <w:color w:val="173F37"/>
        <w:sz w:val="16"/>
      </w:rPr>
      <w:t>PATAMA</w:t>
    </w:r>
    <w:r>
      <w:rPr>
        <w:rFonts w:ascii="Noto Sans" w:hAnsi="Noto Sans"/>
        <w:caps/>
        <w:color w:val="66706A"/>
        <w:sz w:val="16"/>
      </w:rPr>
      <w:t xml:space="preserve">   |   THE DOCTRINE OF LIVING WELL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78" w:lineRule="auto"/>
    </w:pPr>
    <w:rPr>
      <w:rFonts w:ascii="Noto Serif" w:hAnsi="Noto Serif"/>
      <w:color w:val="2025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Noto Sans" w:hAnsi="Noto Sans"/>
      <w:b/>
      <w:bCs/>
      <w:color w:val="173F37"/>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A55E3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285A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40" w:hanging="159"/>
      <w:contextualSpacing/>
    </w:pPr>
    <w:rPr>
      <w:rFonts w:ascii="Noto Serif" w:hAnsi="Noto Seri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40" w:hanging="159"/>
      <w:contextualSpacing/>
    </w:pPr>
    <w:rPr>
      <w:rFonts w:ascii="Noto Serif" w:hAnsi="Noto Seri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widowControl/>
    </w:pPr>
    <w:rPr>
      <w:rFonts w:ascii="Noto Sans" w:hAnsi="Noto Sans"/>
      <w:b/>
      <w:i w:val="0"/>
      <w:color w:val="B59555"/>
      <w:sz w:val="22"/>
    </w:rPr>
  </w:style>
  <w:style w:type="paragraph" w:customStyle="1" w:styleId="CoverTitle">
    <w:name w:val="Cover Title"/>
    <w:pPr>
      <w:widowControl/>
    </w:pPr>
    <w:rPr>
      <w:rFonts w:ascii="Noto Serif Display" w:hAnsi="Noto Serif Display"/>
      <w:b w:val="0"/>
      <w:i w:val="0"/>
      <w:color w:val="173F37"/>
      <w:sz w:val="72"/>
    </w:rPr>
  </w:style>
  <w:style w:type="paragraph" w:customStyle="1" w:styleId="CoverSubtitle">
    <w:name w:val="Cover Subtitle"/>
    <w:pPr>
      <w:widowControl/>
    </w:pPr>
    <w:rPr>
      <w:rFonts w:ascii="Noto Serif Display" w:hAnsi="Noto Serif Display"/>
      <w:b w:val="0"/>
      <w:i/>
      <w:color w:val="A55E3B"/>
      <w:sz w:val="40"/>
    </w:rPr>
  </w:style>
  <w:style w:type="paragraph" w:customStyle="1" w:styleId="CoverDeck">
    <w:name w:val="Cover Deck"/>
    <w:pPr>
      <w:widowControl/>
    </w:pPr>
    <w:rPr>
      <w:rFonts w:ascii="Noto Serif" w:hAnsi="Noto Serif"/>
      <w:b w:val="0"/>
      <w:i/>
      <w:color w:val="66706A"/>
      <w:sz w:val="25"/>
    </w:rPr>
  </w:style>
  <w:style w:type="paragraph" w:customStyle="1" w:styleId="CoverMeta">
    <w:name w:val="Cover Meta"/>
    <w:pPr>
      <w:widowControl/>
    </w:pPr>
    <w:rPr>
      <w:rFonts w:ascii="Noto Sans" w:hAnsi="Noto Sans"/>
      <w:b/>
      <w:i w:val="0"/>
      <w:color w:val="66706A"/>
      <w:sz w:val="18"/>
    </w:rPr>
  </w:style>
  <w:style w:type="paragraph" w:customStyle="1" w:styleId="PartLabel">
    <w:name w:val="Part Label"/>
    <w:pPr>
      <w:widowControl/>
    </w:pPr>
    <w:rPr>
      <w:rFonts w:ascii="Noto Sans" w:hAnsi="Noto Sans"/>
      <w:b/>
      <w:i w:val="0"/>
      <w:color w:val="B59555"/>
      <w:sz w:val="19"/>
    </w:rPr>
  </w:style>
  <w:style w:type="paragraph" w:customStyle="1" w:styleId="PromiseTitle">
    <w:name w:val="Promise Title"/>
    <w:pPr>
      <w:widowControl/>
    </w:pPr>
    <w:rPr>
      <w:rFonts w:ascii="Noto Sans" w:hAnsi="Noto Sans"/>
      <w:b/>
      <w:i w:val="0"/>
      <w:color w:val="173F37"/>
      <w:sz w:val="36"/>
    </w:rPr>
  </w:style>
  <w:style w:type="paragraph" w:customStyle="1" w:styleId="PullQuote">
    <w:name w:val="Pull Quote"/>
    <w:pPr>
      <w:widowControl/>
    </w:pPr>
    <w:rPr>
      <w:rFonts w:ascii="Noto Serif" w:hAnsi="Noto Serif"/>
      <w:b w:val="0"/>
      <w:i/>
      <w:color w:val="173F37"/>
      <w:sz w:val="22"/>
    </w:rPr>
  </w:style>
  <w:style w:type="paragraph" w:customStyle="1" w:styleId="SmallNote">
    <w:name w:val="Small Note"/>
    <w:pPr>
      <w:widowControl/>
    </w:pPr>
    <w:rPr>
      <w:rFonts w:ascii="Noto Serif" w:hAnsi="Noto Serif"/>
      <w:b w:val="0"/>
      <w:i w:val="0"/>
      <w:color w:val="66706A"/>
      <w:sz w:val="17"/>
    </w:rPr>
  </w:style>
  <w:style w:type="paragraph" w:customStyle="1" w:styleId="Reference">
    <w:name w:val="Reference"/>
    <w:pPr>
      <w:widowControl/>
    </w:pPr>
    <w:rPr>
      <w:rFonts w:ascii="Noto Serif" w:hAnsi="Noto Serif"/>
      <w:b w:val="0"/>
      <w:i w:val="0"/>
      <w:color w:val="202522"/>
      <w:sz w:val="17"/>
    </w:rPr>
  </w:style>
  <w:style w:type="paragraph" w:customStyle="1" w:styleId="TOCEntry">
    <w:name w:val="TOC Entry"/>
    <w:pPr>
      <w:widowControl/>
    </w:pPr>
    <w:rPr>
      <w:rFonts w:ascii="Noto Sans" w:hAnsi="Noto Sans"/>
      <w:b w:val="0"/>
      <w:i w:val="0"/>
      <w:color w:val="2025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pulse/what-aman-resorts-teaches-us-prestige-positioning-why-laenny-medina-npjqe" TargetMode="External"/><Relationship Id="rId12" Type="http://schemas.openxmlformats.org/officeDocument/2006/relationships/hyperlink" Target="https://www.cliniquelaprairie.com/philosophy/" TargetMode="External"/><Relationship Id="rId13" Type="http://schemas.openxmlformats.org/officeDocument/2006/relationships/hyperlink" Target="https://www.luxewellnessclub.com/en/clinique-la-prairie-phuket-a-longevity-sanctuary-in-the-heart-of-tri-vananda/" TargetMode="External"/><Relationship Id="rId14" Type="http://schemas.openxmlformats.org/officeDocument/2006/relationships/hyperlink" Target="https://www.rajeevelt.com/perma-model-a-pathway-to-flourishing/rajeev-ranjan/" TargetMode="External"/><Relationship Id="rId15" Type="http://schemas.openxmlformats.org/officeDocument/2006/relationships/hyperlink" Target="https://en.wikipedia.org/wiki/Six-factor_model_of_psychological_well-being" TargetMode="External"/><Relationship Id="rId16" Type="http://schemas.openxmlformats.org/officeDocument/2006/relationships/hyperlink" Target="https://www.kemstonejewelry.com/blogs/news/what-does-a-mobius-bracelet-mean-symbolism-infinity-amp-modern-style" TargetMode="External"/><Relationship Id="rId17" Type="http://schemas.openxmlformats.org/officeDocument/2006/relationships/hyperlink" Target="https://philarchive.org/archive/SUDASI" TargetMode="External"/><Relationship Id="rId18" Type="http://schemas.openxmlformats.org/officeDocument/2006/relationships/hyperlink" Target="https://wownow.eu/customer-experience-strategy/" TargetMode="External"/><Relationship Id="rId19" Type="http://schemas.openxmlformats.org/officeDocument/2006/relationships/hyperlink" Target="https://www.linkedin.com/posts/thejasbhat_everyone-talks-about-building-a-brand-but-activity-7346387223304425473-FCqm" TargetMode="External"/><Relationship Id="rId20" Type="http://schemas.openxmlformats.org/officeDocument/2006/relationships/hyperlink" Target="https://www.brandstrategysarah.com/blog/Apple-brand-strategy" TargetMode="External"/><Relationship Id="rId21" Type="http://schemas.openxmlformats.org/officeDocument/2006/relationships/hyperlink" Target="https://www.instagram.com/reel/DMNP-HdAIzW/" TargetMode="External"/><Relationship Id="rId22" Type="http://schemas.openxmlformats.org/officeDocument/2006/relationships/hyperlink" Target="https://neurosciencenews.com/mental-wellbeing-definition-30496/" TargetMode="External"/><Relationship Id="rId23" Type="http://schemas.openxmlformats.org/officeDocument/2006/relationships/hyperlink" Target="https://www.urmc.rochester.edu/community-health/patient-care/self-determination-theory" TargetMode="External"/><Relationship Id="rId24" Type="http://schemas.openxmlformats.org/officeDocument/2006/relationships/hyperlink" Target="https://en.wikipedia.org/wiki/PERMA_model" TargetMode="External"/><Relationship Id="rId25" Type="http://schemas.openxmlformats.org/officeDocument/2006/relationships/hyperlink" Target="https://www.academia.edu/48167066/Salutogenesis" TargetMode="External"/><Relationship Id="rId26" Type="http://schemas.openxmlformats.org/officeDocument/2006/relationships/hyperlink" Target="https://slslm.org.lk/six-pillars-of-lifestyle-medicine/" TargetMode="External"/><Relationship Id="rId27" Type="http://schemas.openxmlformats.org/officeDocument/2006/relationships/hyperlink" Target="https://news.harvard.edu/gazette/story/2017/04/over-nearly-80-years-harvard-study-has-been-showing-how-to-live-a-healthy-and-happy-life/" TargetMode="External"/><Relationship Id="rId28" Type="http://schemas.openxmlformats.org/officeDocument/2006/relationships/hyperlink" Target="https://trivananda.com/project-concept/" TargetMode="External"/><Relationship Id="rId29" Type="http://schemas.openxmlformats.org/officeDocument/2006/relationships/hyperlink" Target="https://rootinnature.ca/research/biophilic-design-in-architecture-and-its-contributions-to-health-well-being-and-sustainability-a-critical-review/" TargetMode="External"/><Relationship Id="rId30" Type="http://schemas.openxmlformats.org/officeDocument/2006/relationships/hyperlink" Target="https://www.sciencedirect.com/science/article/pii/S2352250X25000624" TargetMode="External"/><Relationship Id="rId31" Type="http://schemas.openxmlformats.org/officeDocument/2006/relationships/hyperlink" Target="https://www.drmariaelenalukeides.com.au/blog/2020/3/15/what-neuroscience-has-revealed-about-wellbeing-flourishing-and-mindfulness" TargetMode="External"/><Relationship Id="rId32" Type="http://schemas.openxmlformats.org/officeDocument/2006/relationships/hyperlink" Target="https://pmc.ncbi.nlm.nih.gov/articles/PMC3008658/" TargetMode="External"/><Relationship Id="rId33" Type="http://schemas.openxmlformats.org/officeDocument/2006/relationships/hyperlink" Target="https://www.uclahealth.org/departments/medicine/medicine-pediatrics/clinical-services/ucla-lifestyle-medicine-clinic/six-pillars-lifestyle-medicine-aclm-aligned" TargetMode="External"/><Relationship Id="rId34" Type="http://schemas.openxmlformats.org/officeDocument/2006/relationships/hyperlink" Target="https://aymanreffai.com/2025/03/24/epigenetics-and-lifestyle/" TargetMode="External"/><Relationship Id="rId35" Type="http://schemas.openxmlformats.org/officeDocument/2006/relationships/hyperlink" Target="https://www.vitallifeintegratedhealth.com/en/blog/2025-12-23-how-daily-habits-influence-the-aging-switch" TargetMode="External"/><Relationship Id="rId36" Type="http://schemas.openxmlformats.org/officeDocument/2006/relationships/hyperlink" Target="https://www.geneusdna.com/en/blog/epigenetics-lifestyle-genes" TargetMode="External"/><Relationship Id="rId37" Type="http://schemas.openxmlformats.org/officeDocument/2006/relationships/hyperlink" Target="https://onlinelibrary.wiley.com/doi/full/10.1002/casp.2631" TargetMode="External"/><Relationship Id="rId38" Type="http://schemas.openxmlformats.org/officeDocument/2006/relationships/hyperlink" Target="https://www.nature.com/articles/s44360-026-00099-w" TargetMode="External"/><Relationship Id="rId39" Type="http://schemas.openxmlformats.org/officeDocument/2006/relationships/hyperlink" Target="https://sonder.net.au/social-prescribing-in-supporting-wellbeing/" TargetMode="External"/><Relationship Id="rId40" Type="http://schemas.openxmlformats.org/officeDocument/2006/relationships/hyperlink" Target="https://www.health.harvard.edu/blog/the-secret-to-happiness-heres-some-advice-from-the-longest-running-study-on-happiness-2017100512543" TargetMode="External"/><Relationship Id="rId41" Type="http://schemas.openxmlformats.org/officeDocument/2006/relationships/hyperlink" Target="https://www.youtube.com/watch?v=8KkKuTCFvzI" TargetMode="External"/><Relationship Id="rId42" Type="http://schemas.openxmlformats.org/officeDocument/2006/relationships/hyperlink" Target="https://healthpolicy-watch.news/healthy-minds-longer-lives-inside-the-science-and-promise-of-blue-zones/" TargetMode="External"/><Relationship Id="rId43" Type="http://schemas.openxmlformats.org/officeDocument/2006/relationships/hyperlink" Target="https://pmc.ncbi.nlm.nih.gov/articles/PMC6125071/" TargetMode="External"/><Relationship Id="rId44" Type="http://schemas.openxmlformats.org/officeDocument/2006/relationships/hyperlink" Target="https://jobcannon.io/blog/ikigai-and-longevity" TargetMode="External"/><Relationship Id="rId45" Type="http://schemas.openxmlformats.org/officeDocument/2006/relationships/hyperlink" Target="https://nesslabs.com/ikigai" TargetMode="External"/><Relationship Id="rId46" Type="http://schemas.openxmlformats.org/officeDocument/2006/relationships/hyperlink" Target="https://selfdeterminationtheory.org/theory/" TargetMode="External"/><Relationship Id="rId47" Type="http://schemas.openxmlformats.org/officeDocument/2006/relationships/hyperlink" Target="https://coping.us/images/King_6_Keys_to_mental_health.pdf" TargetMode="External"/><Relationship Id="rId48" Type="http://schemas.openxmlformats.org/officeDocument/2006/relationships/hyperlink" Target="https://pmc.ncbi.nlm.nih.gov/articles/PMC13040352/" TargetMode="External"/><Relationship Id="rId49" Type="http://schemas.openxmlformats.org/officeDocument/2006/relationships/hyperlink" Target="https://posproject.org/character-strengths/" TargetMode="External"/><Relationship Id="rId50" Type="http://schemas.openxmlformats.org/officeDocument/2006/relationships/hyperlink" Target="https://www.linkedin.com/pulse/7-principles-living-good-life-according-neuroscience-fratantoni-phd-uuesc" TargetMode="External"/><Relationship Id="rId51" Type="http://schemas.openxmlformats.org/officeDocument/2006/relationships/hyperlink" Target="https://www.biripublishing.com/blogs/vitality-pathway-1/from-perma-to-perma-v-why-vitality-is-the-missing-key-to-flourishing" TargetMode="External"/><Relationship Id="rId52" Type="http://schemas.openxmlformats.org/officeDocument/2006/relationships/hyperlink" Target="https://thepathfinder.org/perma-v-model/" TargetMode="External"/><Relationship Id="rId53" Type="http://schemas.openxmlformats.org/officeDocument/2006/relationships/hyperlink" Target="https://www.itsmental.co.uk/PERMA-V-MODEL" TargetMode="External"/><Relationship Id="rId54" Type="http://schemas.openxmlformats.org/officeDocument/2006/relationships/hyperlink" Target="https://esmed.org/personalized-health-epigenetics-and-lifestylopathy-approach/" TargetMode="External"/><Relationship Id="rId55" Type="http://schemas.openxmlformats.org/officeDocument/2006/relationships/hyperlink" Target="https://www.hotelsabovepar.com/articles/hotels/trisara-phuket-hotel-review" TargetMode="External"/><Relationship Id="rId56" Type="http://schemas.openxmlformats.org/officeDocument/2006/relationships/hyperlink" Target="https://www.youtube.com/watch?v=8oJ5OVW-ECc" TargetMode="External"/><Relationship Id="rId57" Type="http://schemas.openxmlformats.org/officeDocument/2006/relationships/hyperlink" Target="https://www.sciencedirect.com/science/article/pii/S235282732500093X" TargetMode="External"/><Relationship Id="rId58" Type="http://schemas.openxmlformats.org/officeDocument/2006/relationships/hyperlink" Target="https://www.publichealthontario.ca/-/media/Documents/S/2023/salutogenesis-health-promotion.pdf" TargetMode="External"/><Relationship Id="rId59" Type="http://schemas.openxmlformats.org/officeDocument/2006/relationships/hyperlink" Target="https://observatory.tec.mx/edu-news/blue-zones-lessons-for-human-flourishing/" TargetMode="External"/><Relationship Id="rId60" Type="http://schemas.openxmlformats.org/officeDocument/2006/relationships/hyperlink" Target="https://positivepsychology.com/classification-character-strengths-virtues/" TargetMode="External"/><Relationship Id="rId61" Type="http://schemas.openxmlformats.org/officeDocument/2006/relationships/hyperlink" Target="https://www.viacharacter.org/research/findings/signature-strengths" TargetMode="External"/><Relationship Id="rId62" Type="http://schemas.openxmlformats.org/officeDocument/2006/relationships/hyperlink" Target="https://pmc.ncbi.nlm.nih.gov/articles/PMC11575524/" TargetMode="External"/><Relationship Id="rId63" Type="http://schemas.openxmlformats.org/officeDocument/2006/relationships/hyperlink" Target="https://ppc.sas.upenn.edu/resources/questionnaires-researchers/psychological-well-being-scales" TargetMode="External"/><Relationship Id="rId64" Type="http://schemas.openxmlformats.org/officeDocument/2006/relationships/hyperlink" Target="https://www.ikigaiwellnessclinic.com/blogs/longevity-and-health/what-is-ikigai-and-how-it-shapes-your-wellness-journey" TargetMode="External"/><Relationship Id="rId65" Type="http://schemas.openxmlformats.org/officeDocument/2006/relationships/hyperlink" Target="https://www.innovationleader.com/entertainment-and-media/disney-six-essential-principles-of-great-experiences-and-storytelling/" TargetMode="External"/><Relationship Id="rId66" Type="http://schemas.openxmlformats.org/officeDocument/2006/relationships/hyperlink" Target="https://montarahospitality.com/trisara/" TargetMode="External"/><Relationship Id="rId67" Type="http://schemas.openxmlformats.org/officeDocument/2006/relationships/hyperlink" Target="https://trisara.com" TargetMode="External"/><Relationship Id="rId68" Type="http://schemas.openxmlformats.org/officeDocument/2006/relationships/hyperlink" Target="https://www.fazwaz.com/projects/thailand/phuket/thalang/thep-krasattri/tri-vana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PATAMA: The Doctrine of Living Well</dc:title>
  <dc:subject>Strategic Brand Philosophy for Long-Term Human Flourishing</dc:subject>
  <dc:creator>PATAMA</dc:creator>
  <cp:keywords>PATAMA, wellbeing, longevity, brand philosophy, Mobius, brand promises</cp:keywords>
  <dc:description>Professionally edited strategic framework. Confidential and proprietary.</dc:description>
  <cp:lastModifiedBy/>
  <cp:revision>1</cp:revision>
  <dcterms:created xsi:type="dcterms:W3CDTF">2013-12-23T23:15:00Z</dcterms:created>
  <dcterms:modified xsi:type="dcterms:W3CDTF">2013-12-23T23:15:00Z</dcterms:modified>
  <cp:category/>
</cp:coreProperties>
</file>