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A3050"/>
          <w:sz w:val="34"/>
        </w:rPr>
        <w:t>Anexo técnico — Análisis avanzados del proyecto WGI</w:t>
      </w:r>
    </w:p>
    <w:p>
      <w:pPr>
        <w:jc w:val="both"/>
      </w:pPr>
      <w:r>
        <w:rPr>
          <w:i w:val="0"/>
        </w:rPr>
        <w:t>Proyecto:** Gobernanza institucional y competitividad exportadora del Perú (Perú / CPTPP-China).</w:t>
      </w:r>
    </w:p>
    <w:p>
      <w:pPr>
        <w:jc w:val="both"/>
      </w:pPr>
      <w:r>
        <w:rPr>
          <w:i w:val="0"/>
        </w:rPr>
        <w:t>Autores:** Mg. Ricardo A. Cuba Alván · Dra. Rosa Patricia Larios Francia.</w:t>
      </w:r>
    </w:p>
    <w:p>
      <w:pPr>
        <w:jc w:val="both"/>
      </w:pPr>
      <w:r>
        <w:rPr>
          <w:i w:val="0"/>
        </w:rPr>
        <w:t>Fecha:** octubre de 2026.</w:t>
      </w:r>
    </w:p>
    <w:p>
      <w:pPr>
        <w:jc w:val="both"/>
      </w:pPr>
      <w:r>
        <w:rPr>
          <w:i w:val="0"/>
        </w:rPr>
        <w:t>Este anexo documenta la batería de análisis avanzados ejecutada sobre el panel de gravedad (184 socios, 2016-2024) y los insumos de producto y acuerdos disponibles. Hace explícito el alcance del hallazgo: **la asociación entre gobernanza y exportaciones es robusta en niveles entre países, pero no se sostiene en la variación dentro del país ni dentro de producto**. Se reporta, por tanto, como asociación y no como efecto causal.</w:t>
      </w:r>
    </w:p>
    <w:p>
      <w:pPr>
        <w:jc w:val="both"/>
      </w:pPr>
      <w:r>
        <w:rPr>
          <w:i w:val="0"/>
        </w:rPr>
        <w:t>Los scripts (19-32) y las tablas completas están en el repositorio del proyecto (`scripts/`, `results_avanzados/`) y en el libro `analisis_avanzados_wgi.xlsx`, hoja por análisis. Las tablas de este anexo reproducen esos resultados; las de mayor tamaño se resumen en sus primeras filas.</w:t>
      </w:r>
    </w:p>
    <w:p>
      <w:pPr>
        <w:spacing w:before="240" w:after="60"/>
      </w:pPr>
      <w:r>
        <w:rPr>
          <w:b/>
          <w:color w:val="1A3050"/>
          <w:sz w:val="22"/>
        </w:rPr>
        <w:t>RESUMEN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569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1. PPML y márgenes (20)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Poisson/Gamma PML con FE socio+año, con y sin ceros; LPM/Logit extensivo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OLS 0.667*; Gamma PML 0.696*; PPML 0.157 (ns) / 0.381 (ns); margen extensivo ~0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La asociación NO se sostiene en PPML: sensible al estimador y a los flujos grandes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 Gravedad por producto (22)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PPML FE socio+año+HS2, 198k obs (Perú→184 socios × HS4)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 principal ns; interacción WGI×PCI = -0.58* (PPML) / -0.28* (OLS)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efecto positivo DENTRO de producto: la señal vive entre países, no dentro de producto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3. CPTPP y acuerdos (23)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Control RTA + DiD (CPTPP×post2022) + event study (base 2019)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WGI sobrevive al control del acuerdo (0.655*); DiD ≈ 0 (p=0.90); sin pre-tendencia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Sin efecto detectable del CPTPP en el agregado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4. IV / 2SLS (24)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Instrumentos: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latitud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y gobernanza regional (leave-one-out)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F 1ª etapa 39-67 (no débil); 2SLS 0.70-0.96; Sargan p=0.021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Asociación positiva y no débil, pero la validez del instrumento es discutible</w:t>
            </w:r>
          </w:p>
        </w:tc>
      </w:tr>
      <w:tr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5. Panel dinámico (25)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Anderson-Hsiao: 2SLS en primeras diferencias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ρ (persistencia) ≈ 0.52; β(WGI) no significativo (-0.10 a -0.31)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Dentro del país no hay efecto: consistente con el fallo de primeras diferencias (18_)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6. Double ML (26)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Robinson PLR con cross-fitting (gradient boosting), K=5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θ = 0.705* (completo) / 0.643 (+región)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Robusto a mala especificación funcional de los controles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7. Curva de especificaciones (26)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32 combinaciones (muestra, controles, rezago, FE)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100% positivo y significativo; mediana 0.59; rango [0.46, 0.69]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En niveles, el resultado es extremadamente estable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8. Oster (26)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Sesgo de variable omitida (Rmax = 1.3·R²)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δ = 2.58 (&gt;1); β* = 0.41 (&gt;0)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Robusto a no-observables: haría falta que pesaran 2.6× lo observado para anularlo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9. Complejidad económica (27)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ECI/PCI (Hidalgo-Hausmann) desde BACI HS4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Perú ECI = -0.72 (2024, puesto bajo); oportunidades adyacentes a recursos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  <w:t>Perú en la parte baja de complejidad; margen en productos vecinos a su canasta</w:t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10. H3 definitiva (30-31)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Nunn (2007) y Rauch (1999) + FE producto×socio (HS4/HS6); exposición diferencial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WGI×Nunn: A -2.6 (ns); B OLS +0.7 (ns); B2 -0.07 (ns); C +0.5 (ns); Rauch -0.72 (ns); tercios: CI baja +0.83 (ns), media -0.86 (p=0.055), alta -0.44 (p=0.012); HS6 saturada -3.8 (p=0.014)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PRUEBA DEFINITIVA: se RECHAZA el efecto positivo; dentro de producto×socio el efecto no existe y en productos de alta intensidad contractual aparece una débil asociación negativa</w:t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569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b/>
          <w:color w:val="1A3050"/>
          <w:sz w:val="22"/>
        </w:rPr>
        <w:t>1. PPML, GAMMA PML Y MÁRGENES (SCRIPT 20)</w:t>
      </w:r>
    </w:p>
    <w:p>
      <w:pPr>
        <w:jc w:val="both"/>
      </w:pPr>
      <w:r>
        <w:rPr>
          <w:i w:val="0"/>
        </w:rPr>
        <w:t>El OLS log-lineal descarta ceros y es sensible a la heterocedasticidad y a los flujos grandes. Se estima un Poisson pseudo-máximo-verosímil (PPML) con y sin efectos fijos de socio, un panel con ceros (margen extensivo) y una Gamma PML. El coeficiente de gobernanza (WGI promedio rezagado) por modelo: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A. OLS log-lineal (ref.)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0.6668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0.1235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6.745e-08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1.948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0.721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B. PPML (sin FE socio)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0.1568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0.1582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0.3217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1.17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0.1362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C. PPML (FE socio+año)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0.3813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0.3095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0.218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1.464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0.008977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PPML sin FE (con ceros)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0.1595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0.1581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0.3131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1644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1.173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0.1311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D. PPML FE socio+año (con ceros)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0.3815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0.3076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0.2148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1.464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0.008652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E. Gamma PML (sin FE)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0.6956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0.1828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0.0001417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2.005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0.3765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F. LPM margen extensivo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-0.0002477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0.01901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0.9896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0.9998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0.2191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el efecto de 0,667 (OLS) y 0,696 (Gamma PML) **cae y pierde significancia en PPML** (0,16-0,38) y el margen extensivo es nulo. El hallazgo en niveles es sensible al estimador — un resultado que el proyecto reporta explícitamente.</w:t>
      </w:r>
    </w:p>
    <w:p>
      <w:pPr>
        <w:spacing w:before="240" w:after="60"/>
      </w:pPr>
      <w:r>
        <w:rPr>
          <w:b/>
          <w:color w:val="1A3050"/>
          <w:sz w:val="22"/>
        </w:rPr>
        <w:t>2. GRAVEDAD POR PRODUCTO (SCRIPT 22)</w:t>
      </w:r>
    </w:p>
    <w:p>
      <w:pPr>
        <w:jc w:val="both"/>
      </w:pPr>
      <w:r>
        <w:rPr>
          <w:i w:val="0"/>
        </w:rPr>
        <w:t>Panel Perú → 212 socios × HS4 (2015-2024), 198.159 observaciones, estimado por PPML con efectos fijos de socio, año y HS2. La gobernanza se interactúa con la complejidad del producto (PCI 2015, predeterminada).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PPML FE socio+año+HS2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-0.2707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0.5131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0.5977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0.7628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PPML FE socio+año+HS2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wgi_promedio:pci_2015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-0.5771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0.2368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0.01479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0.5615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PPML FE socio+año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-0.3455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0.6082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0.7079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PPML FE socio+año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wgi_promedio:pci_2015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-0.8782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0.3324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0.008233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0.4155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OLS log FE socio+año+HS2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0.01586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0.1706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0.9261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 log FE socio+año+HS2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wgi_promedio:pci_2015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-0.2803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0.04636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8.615e-09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198023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PPML complejidad baja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0.4252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0.3095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0.1695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66018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1.53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PPML complejidad media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-0.1568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0.2676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0.558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66059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0.8549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no hay efecto **positivo** dentro de producto; la interacción gobernanza × complejidad es negativa y significativa. La señal agregada vive entre países, no dentro de la canasta.</w:t>
      </w:r>
    </w:p>
    <w:p>
      <w:pPr>
        <w:spacing w:before="240" w:after="60"/>
      </w:pPr>
      <w:r>
        <w:rPr>
          <w:b/>
          <w:color w:val="1A3050"/>
          <w:sz w:val="22"/>
        </w:rPr>
        <w:t>3. ACUERDOS COMERCIALES Y DID DEL CPTPP (SCRIPT 23)</w:t>
      </w:r>
    </w:p>
    <w:p>
      <w:pPr>
        <w:jc w:val="both"/>
      </w:pPr>
      <w:r>
        <w:rPr>
          <w:i w:val="0"/>
        </w:rPr>
        <w:t>Control de acuerdos comerciales (base CEPII RTA), diferencias en diferencias de la entrada en vigor del CPTPP para Perú (19-sep-2021) y evento-estudio (año base 2019).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17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A. Gravedad sin acuerdo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0.6668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0.1235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6.745e-08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0.721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B. Gravedad + acuerdo (rta)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wgi_promedio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0.6551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0.1261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2.039e-07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0.7215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B. Gravedad + acuerdo (rta)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rta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0.2076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0.4552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0.7215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C. DiD (CPTPP x post2022)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cp_post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0.02152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0.1775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0.9035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cp_2016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0.3141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0.2668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0.2391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cp_2017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0.2721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0.2084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0.1915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cp_2018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0.09378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0.1843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0.6108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cp_2020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0.1734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0.2059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0.3996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cp_2021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0.3201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0.2644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0.226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cp_2022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0.2344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0.2049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0.2527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cp_2023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0.2138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0.261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0.4127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Event study (año x CPTPP, base 2019)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cp_2024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0.2029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0.2288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0.3752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OLS</w:t>
            </w:r>
          </w:p>
        </w:tc>
        <w:tc>
          <w:tcPr>
            <w:tcW w:type="dxa" w:w="117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0.9393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E. PPML DiD (con ceros)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cp_post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0.1454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0.07169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0.04251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1644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PPML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17"/>
              </w:rPr>
              <w:t>0.00866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la gobernanza sobrevive al control del acuerdo (0,655; p &lt; 0,001); el DiD del CPTPP es nulo (coeficiente ≈ 0; p = 0,90) y no hay pre-tendencia ni efecto posterior.</w:t>
      </w:r>
    </w:p>
    <w:p>
      <w:pPr>
        <w:spacing w:before="240" w:after="60"/>
      </w:pPr>
      <w:r>
        <w:rPr>
          <w:b/>
          <w:color w:val="1A3050"/>
          <w:sz w:val="22"/>
        </w:rPr>
        <w:t>4. VARIABLES INSTRUMENTALES (SCRIPT 24)</w:t>
      </w:r>
    </w:p>
    <w:p>
      <w:pPr>
        <w:jc w:val="both"/>
      </w:pPr>
      <w:r>
        <w:rPr>
          <w:i w:val="0"/>
        </w:rPr>
        <w:t>2SLS con dos instrumentos exógenos: |latitud| del socio (proxy histórico de instituciones) y gobernanza promedio de su región, excluyendo al propio país (leave-one-out).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OLS (referencia)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0.6668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0.1235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6.745e-08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IV — año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0.8671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0.276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0.001684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64.99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0.0211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IV — año FE + región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0.7331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0.2261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0.001184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66.56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0.07977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IV — solo latitud (just-id)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0.7015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0.2766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0.01121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39.39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primera etapa fuerte (F = 39-67) y coeficiente 2SLS positivo (0,70-0,96; p &lt; 0,01). El contraste de sobreidentificación no respalda del todo los instrumentos (Sargan p = 0,02-0,08), por lo que la lectura causal es limitada.</w:t>
      </w:r>
    </w:p>
    <w:p>
      <w:pPr>
        <w:spacing w:before="240" w:after="60"/>
      </w:pPr>
      <w:r>
        <w:rPr>
          <w:b/>
          <w:color w:val="1A3050"/>
          <w:sz w:val="22"/>
        </w:rPr>
        <w:t>5. PANEL DINÁMICO (SCRIPT 25)</w:t>
      </w:r>
    </w:p>
    <w:p>
      <w:pPr>
        <w:jc w:val="both"/>
      </w:pPr>
      <w:r>
        <w:rPr>
          <w:i w:val="0"/>
        </w:rPr>
        <w:t>Estimación de Anderson-Hsiao (2SLS en primeras diferencias) para medir la persistencia de las exportaciones y el efecto de la gobernanza **dentro** del país.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882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882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882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882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A. WGI exógeno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rho (persistencia)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0.5158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0.3537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1134</w:t>
            </w:r>
          </w:p>
        </w:tc>
      </w:tr>
      <w:tr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A. WGI exógeno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beta (WGI)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-0.1014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0.891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1134</w:t>
            </w:r>
          </w:p>
        </w:tc>
      </w:tr>
      <w:tr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B. WGI endógeno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rho (persistencia)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0.5293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0.1993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1134</w:t>
            </w:r>
          </w:p>
        </w:tc>
      </w:tr>
      <w:tr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B. WGI endógeno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beta (WGI)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-0.3091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0.9465</w:t>
            </w:r>
          </w:p>
        </w:tc>
        <w:tc>
          <w:tcPr>
            <w:tcW w:type="dxa" w:w="1882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1134</w:t>
            </w:r>
          </w:p>
        </w:tc>
      </w:tr>
      <w:tr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C. OLS en diferencias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rho (persistencia)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-0.3543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8.17e-20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>
              <w:rPr>
                <w:sz w:val="17"/>
              </w:rPr>
              <w:t>1134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fuerte persistencia (ρ ≈ 0,5) y efecto de gobernanza no significativo dentro del país, consistente con el fallo en primeras diferencias.</w:t>
      </w:r>
    </w:p>
    <w:p>
      <w:pPr>
        <w:spacing w:before="240" w:after="60"/>
      </w:pPr>
      <w:r>
        <w:rPr>
          <w:b/>
          <w:color w:val="1A3050"/>
          <w:sz w:val="22"/>
        </w:rPr>
        <w:t>6. DOBLE APRENDIZAJE AUTOMÁTICO Y SESGO DE OSTER (SCRIPT 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2353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2353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2353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DML controles completos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0.7046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0.1401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4.954e-07</w:t>
            </w:r>
          </w:p>
        </w:tc>
      </w:tr>
      <w:tr>
        <w:tc>
          <w:tcPr>
            <w:tcW w:type="dxa" w:w="2353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DML controles + región</w:t>
            </w:r>
          </w:p>
        </w:tc>
        <w:tc>
          <w:tcPr>
            <w:tcW w:type="dxa" w:w="2353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0.6429</w:t>
            </w:r>
          </w:p>
        </w:tc>
        <w:tc>
          <w:tcPr>
            <w:tcW w:type="dxa" w:w="2353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0.2098</w:t>
            </w:r>
          </w:p>
        </w:tc>
        <w:tc>
          <w:tcPr>
            <w:tcW w:type="dxa" w:w="2353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0.002179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Oster delta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  <w:t>2.583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θ = 0,705 (p &lt; 0,001) con controles completos y δ = 2,58 &gt; 1 en Oster (2019): haría falta un sesgo de selección no observado dos veces y media mayor que el observado para anular la asociación en niveles.</w:t>
      </w:r>
    </w:p>
    <w:p>
      <w:pPr>
        <w:spacing w:before="240" w:after="60"/>
      </w:pPr>
      <w:r>
        <w:rPr>
          <w:b/>
          <w:color w:val="1A3050"/>
          <w:sz w:val="22"/>
        </w:rPr>
        <w:t>7. CURVA DE ESPECIFICACIONES (SCRIPT 26)</w:t>
      </w:r>
    </w:p>
    <w:p>
      <w:pPr>
        <w:jc w:val="both"/>
      </w:pPr>
      <w:r>
        <w:rPr>
          <w:i w:val="0"/>
        </w:rPr>
        <w:t>32 combinaciones de muestra (todas / sin China / sin CPTPP / winsor 5%), controles (mínimos / completos), rezago (t-1 / t-2) y efectos fijos (año / año + región).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0.6657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3.284e-08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0.5583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0.0005646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0.6668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6.745e-08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0.5201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0.001887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1.092e-08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1487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0.5775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0.0003666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1487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0.6881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2.178e-08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1487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0.5424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0.001239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1487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0.6888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8.912e-08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1406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0.6111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0.0003586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1406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0.6853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2.936e-07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1406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0.5562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0.001997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1406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0.5804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8.248e-08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1346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0.4696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0.0005682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1346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0.5979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1.44e-07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1346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0.4675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0.001097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1346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0.667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4.446e-08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1325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0.5555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0.0006304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1325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0.6676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9.188e-08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1325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todas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0.5167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0.002043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1325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1.467e-08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1317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0.5752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0.0004037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1317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0.6897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2.94e-08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1317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China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0.5395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0.001321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1317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0.6938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9.796e-08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1245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0.6111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0.0003677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1245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0.6899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3.248e-07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1245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sin CPTPP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0.5555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0.002003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1245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0.5838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1.701e-07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1191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mínimos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año+región FE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0.4649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0.0008995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1191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t-2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winsor 5%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completos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año FE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0.5998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3.008e-07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1191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100% de las especificaciones son positivas y significativas; mediana 0,59, rango [0,46; 0,69]. Estabilidad alta en niveles.</w:t>
      </w:r>
    </w:p>
    <w:p>
      <w:pPr>
        <w:spacing w:before="240" w:after="60"/>
      </w:pPr>
      <w:r>
        <w:rPr>
          <w:b/>
          <w:color w:val="1A3050"/>
          <w:sz w:val="22"/>
        </w:rPr>
        <w:t>8. COMPLEJIDAD ECONÓMICA — ECI POR PAÍS (SCRIPT 27)</w:t>
      </w:r>
    </w:p>
    <w:p>
      <w:pPr>
        <w:jc w:val="both"/>
      </w:pPr>
      <w:r>
        <w:rPr>
          <w:i w:val="0"/>
        </w:rPr>
        <w:t>Índice de complejidad económica (Hidalgo-Hausmann) calculado desde BACI HS4. Se muestran los 15 países más complejos de 2024 y el Perú.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3137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3137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S19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2.055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2.154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JPN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2.435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2.106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CHE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2.094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2.103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KOR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2.017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2.099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NIU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1.761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1.883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DEU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1.968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1.773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CZE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1.655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1.657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AND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0.7934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1.62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AUT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1.618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1.57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SWE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1.698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1.557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SGP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1.852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1.552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GBR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1.597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1.54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SVN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1.541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1.498</w:t>
            </w:r>
          </w:p>
        </w:tc>
      </w:tr>
      <w:tr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USA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1.583</w:t>
            </w:r>
          </w:p>
        </w:tc>
        <w:tc>
          <w:tcPr>
            <w:tcW w:type="dxa" w:w="3137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1.434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ISR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1.171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>
              <w:rPr>
                <w:sz w:val="17"/>
              </w:rPr>
              <w:t>1.406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el Perú registra ECI = -0,72 (2024), en la parte baja de la distribución.</w:t>
      </w:r>
    </w:p>
    <w:p>
      <w:pPr>
        <w:spacing w:before="240" w:after="60"/>
      </w:pPr>
      <w:r>
        <w:rPr>
          <w:b/>
          <w:color w:val="1A3050"/>
          <w:sz w:val="22"/>
        </w:rPr>
        <w:t>9. COMPLEJIDAD DE PRODUCTO — PCI POR HS4 (SCRIPT 27)</w:t>
      </w:r>
    </w:p>
    <w:p>
      <w:pPr>
        <w:jc w:val="both"/>
      </w:pPr>
      <w:r>
        <w:rPr>
          <w:i w:val="0"/>
        </w:rPr>
        <w:t>Los 10 productos HS4 más complejos (PCI 2024) y su ubicuidad (número de países con ventaja revelada).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3705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1.934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2.278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84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3707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1.97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159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2.175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128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8457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2.216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148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2.125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3810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1.814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149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132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7223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1.016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2.037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120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3818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2.145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106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2.027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89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9012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1.834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2.009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112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8479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1.475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221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1.961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221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7221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1.967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1.942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88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b/>
          <w:color w:val="1A3050"/>
          <w:sz w:val="22"/>
        </w:rPr>
        <w:t>10. OPORTUNIDADES DE DIVERSIFICACIÓN DEL PERÚ (SCRIPT 27)</w:t>
      </w:r>
    </w:p>
    <w:p>
      <w:pPr>
        <w:jc w:val="both"/>
      </w:pPr>
      <w:r>
        <w:rPr>
          <w:i w:val="0"/>
        </w:rPr>
        <w:t>Productos aún sin ventaja revelada (RCA &lt; 1) con mayor densidad (vecindad en el espacio de productos).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470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2602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0.2032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2609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0.2008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1301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0.183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1202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0.1766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2615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0.1759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5201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0.1749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2401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0.1703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5202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0.1688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2709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0.1673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1701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0.1668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2612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0.1663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1212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0.1663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6305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0.1658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807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0.1653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802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0.1642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1511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0.1638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3105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0.1615</w:t>
            </w:r>
          </w:p>
        </w:tc>
      </w:tr>
      <w:tr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2529</w:t>
            </w:r>
          </w:p>
        </w:tc>
        <w:tc>
          <w:tcPr>
            <w:tcW w:type="dxa" w:w="470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0.1604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702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sz w:val="17"/>
              </w:rPr>
              <w:t>0.1601</w:t>
            </w:r>
          </w:p>
        </w:tc>
      </w:tr>
    </w:tbl>
    <w:p>
      <w:pPr>
        <w:spacing w:after="60"/>
      </w:pPr>
    </w:p>
    <w:p>
      <w:pPr>
        <w:spacing w:before="240" w:after="60"/>
      </w:pPr>
      <w:r>
        <w:rPr>
          <w:b/>
          <w:color w:val="1A3050"/>
          <w:sz w:val="22"/>
        </w:rPr>
        <w:t>11. H3 DEFINITIVA — INTENSIDAD CONTRACTUAL DE NUNN (2007) CON EFECTOS FIJOS PRODUCTO×SOCIO (SCRIPTS 30-31)</w:t>
      </w:r>
    </w:p>
    <w:p>
      <w:pPr>
        <w:jc w:val="both"/>
      </w:pPr>
      <w:r>
        <w:rPr>
          <w:i w:val="0"/>
        </w:rPr>
        <w:t>El test central del proyecto lleva su forma definitiva. Se reemplaza la proxy de complejidad (PCI) por la **intensidad contractual de Nunn (2007)** —la fracción de insumos intermedios diferenciados de la industria, medida liberal— y se añade la clasificación de **Rauch (1999)** como contraste. Ambas se mapean a HS6/HS4 sobre la nomenclatura HS 1988/92 de BACI (con las concordancias ISIC rev.2 y SITC rev.2 de la clasificación de las Naciones Unidas). Los Nunn cubren 88,7% de las filas y 45,3% del valor exportado (lo no cubierto son, sobre todo, minerales). La especificación de exposición diferencial interactúa la gobernanza rezagada del socio con la intensidad contractual del producto y satura la variación entre países con **efectos fijos producto×socio** (más año; y una variante saturada con socio×año):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344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A. PPML FE producto x socio + año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0.03434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0.167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0.8371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162363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1.035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A. PPML FE producto x socio + año (HS4)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-2.616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2.129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0.2193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162363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0.07312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B. OLS FE producto-socio + socio-año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0.7325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0.6297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0.2464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162400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2.08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B2. OLS saturada FE pj+pt+jt (HS4)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-0.06573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0.575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0.9091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161518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0.9364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C. OLS FE producto x socio + año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-0.05981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0.1219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0.6244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162363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0.9419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C. OLS FE producto x socio + año (HS4)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0.4841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0.6178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0.4344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162363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1.623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D. PPML FE producto x socio + año, Rauch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0.8197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0.7168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0.2528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153368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2.27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PPML FE producto x socio + año, Rauch (HS4)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wgi_c:rauch_lib_diff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-0.7201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0.7771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0.3541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153368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0.4867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E. PPML FE pj+año, CI baja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0.8349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0.6574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0.2041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60625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2.305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E. PPML FE pj+año, CI media (HS4)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-0.8619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0.449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0.05489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47436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0.4224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E. PPML FE pj+año, CI alta (HS4)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-0.4406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0.1755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0.01204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54302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0.6437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A. PPML FE producto x socio + año (HS6)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-0.2252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0.2241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0.3148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287191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0.7983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A. PPML FE producto x socio + año (HS6)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-2.452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2.159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0.2561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287191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0.08612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B. PPML FE producto-socio + socio-año (HS6)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-3.801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1.554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0.01441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287210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0.02234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B2. OLS saturada FE pj+pt+jt (HS6)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-0.1928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0.5421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0.7225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281230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0.8246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C. OLS FE producto x socio + año (HS6)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-0.1652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0.1023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0.108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287191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0.8477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C. OLS FE producto x socio + año (HS6)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wgi_c:ci_c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0.1987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0.507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0.6957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287191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1.22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D. PPML FE producto x socio + año, Rauch (HS6)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0.587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0.7831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0.4535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270920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1.799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D. PPML FE producto x socio + año, Rauch (HS6)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wgi_c:rauch_lib_diff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-0.6258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0.8357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0.454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270920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0.5349</w:t>
            </w:r>
          </w:p>
        </w:tc>
      </w:tr>
      <w:tr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E. PPML FE pj+año, CI baja (HS6)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0.5937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0.7146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0.4061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97215</w:t>
            </w:r>
          </w:p>
        </w:tc>
        <w:tc>
          <w:tcPr>
            <w:tcW w:type="dxa" w:w="1344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1.811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E. PPML FE pj+año, CI media (HS6)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wgi_c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-0.8414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0.4555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0.06475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95981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7"/>
              </w:rPr>
              <w:t>0.4311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el término de exposición diferencial gobernanza × intensidad contractual **no es positivo en ningún modelo** y sólo resulta significativo —con signo negativo— en la especificación saturada a HS6 (-3,8; p = 0,014). Por tercios de intensidad contractual, el efecto de nivel de la gobernanza es positivo pero no significativo en la canasta de baja intensidad (+0,83) y pasa a negativo en la media (-0,86; p = 0,055) y la alta (-0,44; p = 0,012). La prueba definitiva **rechaza H3 en su forma de signo positivo**: la gobernanza no eleva las exportaciones del Perú ni siquiera en los productos más intensivos en relaciones contractuales.</w:t>
      </w:r>
    </w:p>
    <w:p>
      <w:pPr>
        <w:spacing w:before="240" w:after="60"/>
      </w:pPr>
      <w:r>
        <w:rPr>
          <w:b/>
          <w:color w:val="1A3050"/>
          <w:sz w:val="22"/>
        </w:rPr>
        <w:t>12. PANEL HS6 DEL PERÚ (SCRIPT 19)</w:t>
      </w:r>
    </w:p>
    <w:p>
      <w:pPr>
        <w:jc w:val="both"/>
      </w:pPr>
      <w:r>
        <w:rPr>
          <w:i w:val="0"/>
        </w:rPr>
        <w:t>Base del test anterior: panel Perú → mundo a nivel HS6 (2015-2024), construido desde BACI, con la cobertura de la intensidad contractual de Nunn y de la clasificación de Rauch, y la magnitud de la demanda del destino (importaciones del socio desde el mundo, excluido el Perú).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  <w:tc>
          <w:tcPr>
            <w:tcW w:type="dxa" w:w="1046"/>
            <w:shd w:val="clear" w:color="auto" w:fill="1A305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---</w:t>
            </w:r>
          </w:p>
        </w:tc>
      </w:tr>
      <w:tr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2015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3830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187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40423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3.741e+04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36085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55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38303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1.601e+07</w:t>
            </w:r>
          </w:p>
        </w:tc>
      </w:tr>
      <w:tr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2016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39997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3.843e+04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35510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50.1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37905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1.565e+07</w:t>
            </w:r>
          </w:p>
        </w:tc>
      </w:tr>
      <w:tr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2017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3749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188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41067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4.611e+04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36385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47.7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39002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1.758e+07</w:t>
            </w:r>
          </w:p>
        </w:tc>
      </w:tr>
      <w:tr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2018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3739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188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41969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4.93e+04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37329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47.1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39803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1.907e+07</w:t>
            </w:r>
          </w:p>
        </w:tc>
      </w:tr>
      <w:tr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2019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3752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41941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4.851e+04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37290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45.3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39827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1.852e+07</w:t>
            </w:r>
          </w:p>
        </w:tc>
      </w:tr>
      <w:tr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2020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3648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38105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4.245e+04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33589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44.9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36204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1.713e+07</w:t>
            </w:r>
          </w:p>
        </w:tc>
      </w:tr>
      <w:tr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2021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3763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41897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5.9e+04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36929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43.2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39795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2.138e+07</w:t>
            </w:r>
          </w:p>
        </w:tc>
      </w:tr>
      <w:tr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2022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3788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184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43271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6.306e+04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38309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43.7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40978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2.408e+07</w:t>
            </w:r>
          </w:p>
        </w:tc>
      </w:tr>
      <w:tr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2023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3764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183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44065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6.715e+04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39080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40.9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41773</w:t>
            </w:r>
          </w:p>
        </w:tc>
        <w:tc>
          <w:tcPr>
            <w:tcW w:type="dxa" w:w="1046"/>
          </w:tcPr>
          <w:p>
            <w:pPr>
              <w:spacing w:before="40" w:after="40"/>
            </w:pPr>
            <w:r>
              <w:rPr>
                <w:sz w:val="17"/>
              </w:rPr>
              <w:t>2.289e+07</w:t>
            </w:r>
          </w:p>
        </w:tc>
      </w:tr>
      <w:tr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2024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3724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171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43022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7.684e+04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38102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42.5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40753</w:t>
            </w:r>
          </w:p>
        </w:tc>
        <w:tc>
          <w:tcPr>
            <w:tcW w:type="dxa" w:w="1046"/>
            <w:shd w:val="clear" w:color="auto" w:fill="F4F6FA"/>
          </w:tcPr>
          <w:p>
            <w:pPr>
              <w:spacing w:before="40" w:after="40"/>
            </w:pPr>
            <w:r>
              <w:rPr>
                <w:sz w:val="17"/>
              </w:rPr>
              <w:t>2.276e+07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</w:rPr>
        <w:t>Lectura:* la canasta exportadora del Perú es amplia en número de productos (≈3.700 HS6 al año) pero la intensidad contractual sólo está definida para el subconjunto manufacturero/agropecuario de Nunn; el valor no cubierto corresponde a minerales.</w:t>
      </w:r>
    </w:p>
    <w:p>
      <w:pPr>
        <w:spacing w:before="240" w:after="60"/>
      </w:pPr>
      <w:r>
        <w:rPr>
          <w:b/>
          <w:color w:val="1A3050"/>
          <w:sz w:val="22"/>
        </w:rPr>
        <w:t>NOTA DE REPRODUCIBILIDAD</w:t>
      </w:r>
    </w:p>
    <w:p>
      <w:pPr>
        <w:jc w:val="both"/>
      </w:pPr>
      <w:r>
        <w:rPr>
          <w:i w:val="0"/>
        </w:rPr>
        <w:t>Los scripts 19-32 y el módulo común `_comun_gravedad.py` reproducen todas las tablas. Insumos: BACI/CEPII (HS92 V202601), WGI/WDI y atributos del Banco Mundial, CEPII GeoDist y CEPII RTA; intensidad contractual de Nunn (2007) y clasificación de Rauch (1999), mapeadas a HS con las concordancias del paquete `concordance` (ISIC rev.2 y SITC rev.2). El panel de producto y la matriz país × producto se construyen desde BACI en una sola pasada (script 21). Dependencias: pandas, statsmodels, linearmodels, pyfixest, scikit-learn, pyreadr, openpyxl.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