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ulo"/>
      </w:pPr>
      <w:r>
        <w:t xml:space="preserve">Residuos sólidos per cápita y capacidad económica distrital: un corte transversal nacional (2024)</w:t>
      </w:r>
    </w:p>
    <w:p>
      <w:pPr>
        <w:spacing w:after="40"/>
        <w:jc w:val="both"/>
      </w:pPr>
      <w:r>
        <w:rPr>
          <w:b/>
          <w:bCs/>
        </w:rPr>
        <w:t xml:space="preserve">Tipo:</w:t>
      </w:r>
      <w:r>
        <w:t xml:space="preserve"> investigación de corte transversal, corta y reproducible</w:t>
      </w:r>
    </w:p>
    <w:p>
      <w:pPr>
        <w:spacing w:after="40"/>
        <w:jc w:val="both"/>
      </w:pPr>
      <w:r>
        <w:rPr>
          <w:b/>
          <w:bCs/>
        </w:rPr>
        <w:t xml:space="preserve">Unidad de análisis:</w:t>
      </w:r>
      <w:r>
        <w:t xml:space="preserve"> distrito (n = 1.891)</w:t>
      </w:r>
    </w:p>
    <w:p>
      <w:pPr>
        <w:spacing w:after="40"/>
        <w:jc w:val="both"/>
      </w:pPr>
      <w:r>
        <w:rPr>
          <w:b/>
          <w:bCs/>
        </w:rPr>
        <w:t xml:space="preserve">Corte temporal:</w:t>
      </w:r>
      <w:r>
        <w:t xml:space="preserve"> año 2024 (serie 2019–2024 disponible para robustez)</w:t>
      </w:r>
    </w:p>
    <w:p>
      <w:pPr>
        <w:spacing w:after="40"/>
        <w:jc w:val="both"/>
      </w:pPr>
      <w:r>
        <w:rPr>
          <w:b/>
          <w:bCs/>
        </w:rPr>
        <w:t xml:space="preserve">Fuentes:</w:t>
      </w:r>
      <w:r>
        <w:t xml:space="preserve"> MINAM/SIGERSOL, MTPE, Invierte.pe, MIDIS/INFOMIDIS, INEI (población) — todas ya conectadas en Rastro</w:t>
      </w:r>
    </w:p>
    <w:p>
      <w:pPr>
        <w:spacing w:after="120"/>
        <w:jc w:val="both"/>
      </w:pPr>
      <w:r>
        <w:rPr>
          <w:b/>
          <w:bCs/>
        </w:rPr>
        <w:t xml:space="preserve">Estado (2026-10-19):</w:t>
      </w:r>
      <w:r>
        <w:t xml:space="preserve"> aprobada y ejecutada — ver </w:t>
      </w:r>
      <w:r>
        <w:rPr>
          <w:rFonts w:ascii="Consolas" w:cs="Consolas" w:eastAsia="Consolas" w:hAnsi="Consolas"/>
          <w:sz w:val="20"/>
          <w:szCs w:val="20"/>
        </w:rPr>
        <w:t xml:space="preserve">results/resumen_ejecutivo.md</w:t>
      </w:r>
      <w:r>
        <w:t xml:space="preserve">. Unidades y diccionario MEF confirmados con el diccionario oficial MINAM (ver </w:t>
      </w:r>
      <w:r>
        <w:rPr>
          <w:rFonts w:ascii="Consolas" w:cs="Consolas" w:eastAsia="Consolas" w:hAnsi="Consolas"/>
          <w:sz w:val="20"/>
          <w:szCs w:val="20"/>
        </w:rPr>
        <w:t xml:space="preserve">docs/data-contracts/minam-residuos-solidos.md</w:t>
      </w:r>
      <w:r>
        <w:t xml:space="preserve">).</w:t>
      </w:r>
    </w:p>
    <w:p>
      <w:pPr>
        <w:pBdr>
          <w:bottom w:val="single" w:color="BFBFBF" w:sz="6" w:space="1"/>
        </w:pBdr>
        <w:spacing w:after="200"/>
      </w:pPr>
    </w:p>
    <w:p>
      <w:pPr>
        <w:pStyle w:val="Seccion"/>
      </w:pPr>
      <w:r>
        <w:t xml:space="preserve">1. Motivación e interés público económico</w:t>
      </w:r>
    </w:p>
    <w:p>
      <w:pPr>
        <w:spacing w:after="120"/>
        <w:jc w:val="both"/>
      </w:pPr>
      <w:r>
        <w:t xml:space="preserve">La generación de residuos per cápita es una de las pocas variables distritales disponibles en el país que funciona como </w:t>
      </w:r>
      <w:r>
        <w:rPr>
          <w:b/>
          <w:bCs/>
        </w:rPr>
        <w:t xml:space="preserve">proxy de consumo material y de actividad económica cotidiana</w:t>
      </w:r>
      <w:r>
        <w:t xml:space="preserve">, y a la vez es el insumo del costo que cada municipalidad debe asumir en recolección y disposición final.</w:t>
      </w:r>
    </w:p>
    <w:p>
      <w:pPr>
        <w:spacing w:after="120"/>
        <w:jc w:val="both"/>
      </w:pPr>
      <w:r>
        <w:t xml:space="preserve">Dos hechos hacen relevante un corte transversal nacional: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Municipalidades con realidades muy distintas.</w:t>
      </w:r>
      <w:r>
        <w:t xml:space="preserve"> El MEF (Programa de Incentivos a la Mejora de la Gestión Municipal) clasifica a los municipios de A a G según </w:t>
      </w:r>
      <w:r>
        <w:rPr>
          <w:b/>
          <w:bCs/>
        </w:rPr>
        <w:t xml:space="preserve">tamaño de ciudad y % de población urbana</w:t>
      </w:r>
      <w:r>
        <w:t xml:space="preserve"> (A ciudades principales · C Lima Metropolitana · E/F/G no principales con &gt;70%, 35–70% y &lt;35% urbana). Si la generación de residuos per cápita difiere sistemáticamente entre esas clases, el costo de recolección por tonelada —más alto donde hay menos densidad— recae sobre territorios con menor escala de servicio: un problema de economía política local con impacto directo en tarifas, transferencias y saneamiento.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Falta de lectura territorial integrada.</w:t>
      </w:r>
      <w:r>
        <w:t xml:space="preserve"> Los datos existen por separado (residuos, empresas formales, inversión pública, cobertura social), pero no se han cruzado a nivel distrito. Rastro ya los tiene conectados, lo que hace viable un producto corto en días, no meses.</w:t>
      </w:r>
    </w:p>
    <w:p>
      <w:pPr>
        <w:spacing w:after="120"/>
        <w:jc w:val="both"/>
      </w:pPr>
      <w:r>
        <w:rPr>
          <w:b/>
          <w:bCs/>
        </w:rPr>
        <w:t xml:space="preserve">Pregunta central:</w:t>
      </w:r>
      <w:r>
        <w:t xml:space="preserve"> </w:t>
      </w:r>
      <w:r>
        <w:rPr>
          <w:i/>
          <w:iCs/>
        </w:rPr>
        <w:t xml:space="preserve">En el corte 2024, ¿cómo se distribuye la generación de residuos sólidos per cápita entre los 1.891 distritos del Perú y qué relación guarda con la actividad económica formal, la inversión pública acumulada y la clasificación MEF (tamaño/urbanización) del municipio?</w:t>
      </w:r>
    </w:p>
    <w:p>
      <w:pPr>
        <w:spacing w:after="80"/>
        <w:jc w:val="both"/>
      </w:pPr>
      <w:r>
        <w:rPr>
          <w:b/>
          <w:bCs/>
        </w:rPr>
        <w:t xml:space="preserve">Preguntas secundarias: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¿Cuánta desigualdad territorial hay (P90/P10) y dónde se concentra?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¿Los distritos con más empresas formales y más inversión pública generan más residuos per cápita?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¿Qué distritos combinan </w:t>
      </w:r>
      <w:r>
        <w:rPr>
          <w:b/>
          <w:bCs/>
        </w:rPr>
        <w:t xml:space="preserve">alta generación con clasificación MEF baja</w:t>
      </w:r>
      <w:r>
        <w:t xml:space="preserve"> (prioridad de política)?</w:t>
      </w:r>
    </w:p>
    <w:p>
      <w:pPr>
        <w:pStyle w:val="Seccion"/>
      </w:pPr>
      <w:r>
        <w:t xml:space="preserve">2. Datos</w:t>
      </w:r>
    </w:p>
    <w:tbl>
      <w:tblPr>
        <w:tblW w:type="dxa" w:w="9026"/>
        <w:tblBorders>
          <w:top w:val="single" w:color="9FBAD0" w:sz="4"/>
          <w:left w:val="single" w:color="9FBAD0" w:sz="4"/>
          <w:bottom w:val="single" w:color="9FBAD0" w:sz="4"/>
          <w:right w:val="single" w:color="9FBAD0" w:sz="4"/>
          <w:insideH w:val="single" w:color="9FBAD0" w:sz="4"/>
          <w:insideV w:val="single" w:color="9FBAD0" w:sz="4"/>
        </w:tblBorders>
      </w:tblPr>
      <w:tblGrid>
        <w:gridCol w:w="3400"/>
        <w:gridCol w:w="2400"/>
        <w:gridCol w:w="1900"/>
        <w:gridCol w:w="1326"/>
      </w:tblGrid>
      <w:tr>
        <w:trPr>
          <w:tblHeader/>
        </w:trPr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Fuente en Rastro</w:t>
            </w:r>
          </w:p>
        </w:tc>
        <w:tc>
          <w:tcPr>
            <w:tcW w:type="dxa" w:w="1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Cobertura verificada</w:t>
            </w:r>
          </w:p>
        </w:tc>
        <w:tc>
          <w:tcPr>
            <w:tcW w:type="dxa" w:w="132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Generación residuos domiciliarios y municipal per cápita (</w:t>
            </w:r>
            <w:r>
              <w:rPr>
                <w:b/>
                <w:bCs/>
              </w:rPr>
              <w:t xml:space="preserve">kg/hab/día</w:t>
            </w:r>
            <w:r>
              <w:t xml:space="preserve">, según diccionario oficial MINAM), ton/día, ton/año, población INEI, región natural, tipo de municipalidad, clasificación MEF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residuos_solidos.residuos_solidos_municipales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1.891 ubigeos × 2019–2024, 0 nulos, ingesta 2026-09-30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DV y covariables base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Empresas formales por distrito (mensual 2025)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actividad_empresarial.empresas_privadas_distrito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1.508/1.891 distritos (80%)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Proxy de actividad/formalidad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Inversión pública acumulada y en ejecución por distrito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radar_inversiones.investments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150.042 proyectos, 149.896 con ubigeo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Inversión pública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Hogares Juntos, Pensión 65, Qali Warma, FONCODES por distrito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programas_sociales.cobertura_social</w:t>
            </w:r>
            <w:r>
              <w:t xml:space="preserve"> (corte 2026-04-30)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1.891/1.891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Vulnerabilidad / control</w:t>
            </w:r>
          </w:p>
        </w:tc>
      </w:tr>
    </w:tbl>
    <w:p>
      <w:pPr>
        <w:spacing w:after="120" w:before="160"/>
        <w:jc w:val="both"/>
      </w:pPr>
      <w:r>
        <w:rPr>
          <w:b/>
          <w:bCs/>
        </w:rPr>
        <w:t xml:space="preserve">Corte elegido:</w:t>
      </w:r>
      <w:r>
        <w:t xml:space="preserve"> 2024, último año con cobertura completa (1.891 distritos) en la fuente MINAM. 2019–2023 se usan para robustez (¿la relación se sostiene en el tiempo?) sin convertir el producto en un panel.</w:t>
      </w:r>
    </w:p>
    <w:p>
      <w:pPr>
        <w:pStyle w:val="Seccion"/>
      </w:pPr>
      <w:r>
        <w:t xml:space="preserve">3. Diseño y método (breve)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Descripción:</w:t>
      </w:r>
      <w:r>
        <w:t xml:space="preserve"> percentiles (P10, P50, P90) de generación per cápita, descomposición por departamento, región natural, tipo de municipalidad y clase MEF; mapa de coropletas a nivel distrito.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Asociación:</w:t>
      </w:r>
      <w:r>
        <w:t xml:space="preserve"> regresión de </w:t>
      </w:r>
      <w:r>
        <w:rPr>
          <w:rFonts w:ascii="Consolas" w:cs="Consolas" w:eastAsia="Consolas" w:hAnsi="Consolas"/>
          <w:sz w:val="20"/>
          <w:szCs w:val="20"/>
        </w:rPr>
        <w:t xml:space="preserve">log(generación per cápita domiciliaria)</w:t>
      </w:r>
      <w:r>
        <w:t xml:space="preserve"> sobre </w:t>
      </w:r>
      <w:r>
        <w:rPr>
          <w:rFonts w:ascii="Consolas" w:cs="Consolas" w:eastAsia="Consolas" w:hAnsi="Consolas"/>
          <w:sz w:val="20"/>
          <w:szCs w:val="20"/>
        </w:rPr>
        <w:t xml:space="preserve">log(empresas por distrito)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log(inversión pública acumulada + 1)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% población urbana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log(población)</w:t>
      </w:r>
      <w:r>
        <w:t xml:space="preserve">, clase MEF y controles de región natural, con errores estándar robustos clusterizados por departamento. Dado que E/F/G se definen por % urbana, se añade una especificación sin </w:t>
      </w:r>
      <w:r>
        <w:rPr>
          <w:rFonts w:ascii="Consolas" w:cs="Consolas" w:eastAsia="Consolas" w:hAnsi="Consolas"/>
          <w:sz w:val="20"/>
          <w:szCs w:val="20"/>
        </w:rPr>
        <w:t xml:space="preserve">pct_urbana</w:t>
      </w:r>
      <w:r>
        <w:t xml:space="preserve"> para diagnosticar colinealidad.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Priorización:</w:t>
      </w:r>
      <w:r>
        <w:t xml:space="preserve"> índice simple de dos dimensiones (posición en generación per cápita × posición inversa en la escala MEF A→G, i.e. municipios pequeños/no urbanos) para listar los 30 distritos de mayor presión combinada — alta generación con alto costo unitario de servicio.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Robustez:</w:t>
      </w:r>
      <w:r>
        <w:t xml:space="preserve"> año 2023; exclusión de distritos con población &lt; 1.000; winsorización del 1% superior; muestra completa vs muestra con empresas (sesgo de selección).</w:t>
      </w:r>
    </w:p>
    <w:p>
      <w:pPr>
        <w:spacing w:after="120" w:before="120"/>
        <w:jc w:val="both"/>
      </w:pPr>
      <w:r>
        <w:rPr>
          <w:b/>
          <w:bCs/>
        </w:rPr>
        <w:t xml:space="preserve">Herramientas:</w:t>
      </w:r>
      <w:r>
        <w:t xml:space="preserve"> extracción con SQL directo a Neon (</w:t>
      </w:r>
      <w:r>
        <w:rPr>
          <w:rFonts w:ascii="Consolas" w:cs="Consolas" w:eastAsia="Consolas" w:hAnsi="Consolas"/>
          <w:sz w:val="20"/>
          <w:szCs w:val="20"/>
        </w:rPr>
        <w:t xml:space="preserve">scripts/diagnostico.sql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scripts/extraer_datos.py</w:t>
      </w:r>
      <w:r>
        <w:t xml:space="preserve">), análisis en Python (pandas + statsmodels), figuras en matplotlib. Todo reproducible desde </w:t>
      </w:r>
      <w:r>
        <w:rPr>
          <w:rFonts w:ascii="Consolas" w:cs="Consolas" w:eastAsia="Consolas" w:hAnsi="Consolas"/>
          <w:sz w:val="20"/>
          <w:szCs w:val="20"/>
        </w:rPr>
        <w:t xml:space="preserve">data/raw/</w:t>
      </w:r>
      <w:r>
        <w:t xml:space="preserve">.</w:t>
      </w:r>
    </w:p>
    <w:p>
      <w:pPr>
        <w:pStyle w:val="Seccion"/>
      </w:pPr>
      <w:r>
        <w:t xml:space="preserve">4. Entregables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4–6 tablas/figuras en </w:t>
      </w:r>
      <w:r>
        <w:rPr>
          <w:rFonts w:ascii="Consolas" w:cs="Consolas" w:eastAsia="Consolas" w:hAnsi="Consolas"/>
          <w:sz w:val="20"/>
          <w:szCs w:val="20"/>
        </w:rPr>
        <w:t xml:space="preserve">results/</w:t>
      </w:r>
      <w:r>
        <w:t xml:space="preserve"> (distribución, mapa, tabla de regresión, lista de priorización).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ejecutiva de 2–3 páginas con hallazgos y sus tres implicancias de política.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de LinkedIn derivado (patrón ya usado en Rastro).</w:t>
      </w:r>
    </w:p>
    <w:p>
      <w:pPr>
        <w:pStyle w:val="Seccion"/>
      </w:pPr>
      <w:r>
        <w:t xml:space="preserve">5. Limitaciones declaradas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mide </w:t>
      </w:r>
      <w:r>
        <w:rPr>
          <w:b/>
          <w:bCs/>
        </w:rPr>
        <w:t xml:space="preserve">generación</w:t>
      </w:r>
      <w:r>
        <w:t xml:space="preserve">, no cobertura de servicio: no se afirmarán brechas de recolección (SINAN no está en el catálogo).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Desfase de años entre fuentes (residuos 2024, empresas 2025, programas 2026): se declara explícitamente y no se presentan como simultáneos.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trike/>
        </w:rPr>
        <w:t xml:space="preserve">Unidades de generación y diccionario MEF pendientes de confirmación</w:t>
      </w:r>
      <w:r>
        <w:t xml:space="preserve"> → </w:t>
      </w:r>
      <w:r>
        <w:rPr>
          <w:b/>
          <w:bCs/>
        </w:rPr>
        <w:t xml:space="preserve">resueltos 2026-10-19</w:t>
      </w:r>
      <w:r>
        <w:t xml:space="preserve"> con el diccionario oficial MINAM: per cápita en kg/hab/día (sobre población urbana) y MEF = Programa de Incentivos (tamaño de ciudad + % urbana, no capacidad fiscal). Queda la advertencia de que la GPC sale de estudios de caracterización municipales, no de medición continua.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383 distritos sin dato MTPE: se modelan como faltantes, no como cero.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Asociación, no causalidad: el diseño es transversal por definición.</w:t>
      </w:r>
    </w:p>
    <w:p>
      <w:pPr>
        <w:pStyle w:val="Seccion"/>
      </w:pPr>
      <w:r>
        <w:t xml:space="preserve">6. Esfuerzo estimado</w:t>
      </w:r>
    </w:p>
    <w:tbl>
      <w:tblPr>
        <w:tblW w:type="dxa" w:w="9026"/>
        <w:tblBorders>
          <w:top w:val="single" w:color="9FBAD0" w:sz="4"/>
          <w:left w:val="single" w:color="9FBAD0" w:sz="4"/>
          <w:bottom w:val="single" w:color="9FBAD0" w:sz="4"/>
          <w:right w:val="single" w:color="9FBAD0" w:sz="4"/>
          <w:insideH w:val="single" w:color="9FBAD0" w:sz="4"/>
          <w:insideV w:val="single" w:color="9FBAD0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02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Esfuerzo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Extracción + limpieza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0,5 día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Descriptivos + figuras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0,5 día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Regresión + robustez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0,5 día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Nota ejecutiva + revisión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0,5 día</w:t>
            </w:r>
          </w:p>
        </w:tc>
      </w:tr>
      <w:tr>
        <w:trPr>
          <w:tblHeader w:val="off"/>
        </w:trP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~2 días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ulo">
    <w:name w:val="Titulo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Seccion">
    <w:name w:val="Seccion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— Residuos sólidos per cápita 2024</dc:title>
  <dc:creator>Rastro</dc:creator>
  <dc:description>Corte transversal nacional de generación de residuos sólidos per cápita (1.891 distritos, 2024)</dc:description>
  <cp:lastModifiedBy>Un-named</cp:lastModifiedBy>
  <cp:revision>1</cp:revision>
  <dcterms:created xsi:type="dcterms:W3CDTF">2026-10-19T16:57:36.169Z</dcterms:created>
  <dcterms:modified xsi:type="dcterms:W3CDTF">2026-10-19T16:57:36.170Z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