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b/>
          <w:color w:val="1A3050"/>
          <w:sz w:val="34"/>
        </w:rPr>
        <w:t>Instituciones y patrón exportador del Perú: gobernanza del mercado de destino y exposición diferencial a nivel de producto</w:t>
      </w:r>
    </w:p>
    <w:p>
      <w:pPr>
        <w:jc w:val="both"/>
      </w:pPr>
      <w:r>
        <w:rPr>
          <w:b/>
        </w:rPr>
        <w:t>Propuesta al XI Concurso de Investigación 2026 — Universidad del Pacífico</w:t>
      </w:r>
    </w:p>
    <w:p>
      <w:pPr>
        <w:jc w:val="both"/>
      </w:pPr>
      <w:r>
        <w:rPr>
          <w:b/>
        </w:rPr>
        <w:t>Coordinadora:</w:t>
      </w:r>
      <w:r>
        <w:t xml:space="preserve"> Dra. Rosa Patricia Larios Francia — Facultad de Administración y Negocios Internacionales, Universidad del Pacífico</w:t>
      </w:r>
    </w:p>
    <w:p>
      <w:pPr>
        <w:jc w:val="both"/>
      </w:pPr>
      <w:r>
        <w:rPr>
          <w:b/>
        </w:rPr>
        <w:t>Coinvestigador:</w:t>
      </w:r>
      <w:r>
        <w:t xml:space="preserve"> Mg. Ricardo Antonio Cuba Alván — Centro de Investigación de la Universidad del Pacífico (CIUP)</w:t>
      </w:r>
    </w:p>
    <w:p>
      <w:pPr>
        <w:jc w:val="both"/>
      </w:pPr>
      <w:r>
        <w:rPr>
          <w:b/>
        </w:rPr>
        <w:t>Fecha:</w:t>
      </w:r>
      <w:r>
        <w:t xml:space="preserve"> ____ / ____ / 2026</w:t>
      </w:r>
    </w:p>
    <w:p>
      <w:pPr>
        <w:jc w:val="both"/>
      </w:pPr>
      <w:r>
        <w:rPr>
          <w:b/>
        </w:rPr>
        <w:t>Firma de la coordinadora:</w:t>
      </w:r>
      <w:r>
        <w:t xml:space="preserve"> _______________________________</w:t>
      </w:r>
    </w:p>
    <w:p>
      <w:pPr>
        <w:spacing w:before="280" w:after="40"/>
        <w:shd w:val="clear" w:color="auto" w:fill="1A3050"/>
      </w:pPr>
      <w:r>
        <w:rPr>
          <w:b/>
          <w:color w:val="FFFFFF"/>
          <w:sz w:val="22"/>
        </w:rPr>
        <w:t>1. RESUMEN DE LA PROPUESTA</w:t>
      </w:r>
    </w:p>
    <w:p>
      <w:pPr>
        <w:spacing w:before="0" w:after="80"/>
        <w:pBdr>
          <w:bottom w:val="single" w:sz="12" w:space="1" w:color="1A3050"/>
        </w:pBdr>
      </w:pPr>
    </w:p>
    <w:p>
      <w:pPr>
        <w:jc w:val="both"/>
      </w:pPr>
      <w:r>
        <w:t xml:space="preserve">El Perú duplicó sus exportaciones entre 2015 y 2024 —de US$37.400 a US$76.800 millones—. La descomposición shift-share sobre BACI-CEPII muestra que 40% del crecimiento provino de la demanda mundial favorable, 19% de la composición de la canasta y </w:t>
      </w:r>
      <w:r>
        <w:rPr>
          <w:b/>
        </w:rPr>
        <w:t>41% —US$16.100 millones— de ganancia real de cuota de mercado</w:t>
      </w:r>
      <w:r>
        <w:t>. En el mismo período, el puntaje promedio de gobernanza del Perú (Worldwide Governance Indicators) cayó de −0,02 (2019) a −0,29 (2024). Exportaciones e instituciones se movieron en direcciones opuestas.</w:t>
      </w:r>
    </w:p>
    <w:p>
      <w:pPr>
        <w:jc w:val="both"/>
      </w:pPr>
      <w:r>
        <w:t xml:space="preserve">Esta propuesta pregunta si la </w:t>
      </w:r>
      <w:r>
        <w:rPr>
          <w:b/>
        </w:rPr>
        <w:t>calidad institucional del mercado de destino</w:t>
      </w:r>
      <w:r>
        <w:t xml:space="preserve"> está asociada con la competitividad exportadora peruana y, sobre todo, si esa asociación es </w:t>
      </w:r>
      <w:r>
        <w:rPr>
          <w:b/>
        </w:rPr>
        <w:t>mayor en los productos que dependen más de contratos exigibles</w:t>
      </w:r>
      <w:r>
        <w:t xml:space="preserve">. Para responderlo se construirá un panel bilateral a nivel de producto (6 dígitos del Sistema Armonizado, ~5.000 productos, 200 socios, 2015–2024), estimado con efectos fijos producto-socio y año, que interactúa el indicador de gobernanza con la intensidad contractual de cada bien. El diseño de </w:t>
      </w:r>
      <w:r>
        <w:rPr>
          <w:b/>
        </w:rPr>
        <w:t>exposición diferencial</w:t>
      </w:r>
      <w:r>
        <w:t xml:space="preserve"> se identifica por variación dentro de cada país y aborda la principal debilidad de la literatura: la endogeneidad de los indicadores institucionales.</w:t>
      </w:r>
    </w:p>
    <w:p>
      <w:pPr>
        <w:jc w:val="both"/>
      </w:pPr>
      <w:r>
        <w:t>Se aporta data original —un panel productivo documentado— y una estimación inédita para el Perú. Los hallazgos informan la priorización de reformas de gobernanza en los capítulos de comercio del APTPP y en los programas de facilitación comercial.</w:t>
      </w:r>
    </w:p>
    <w:p>
      <w:pPr>
        <w:jc w:val="both"/>
      </w:pPr>
      <w:r>
        <w:rPr>
          <w:b/>
        </w:rPr>
        <w:t>Palabras clave:</w:t>
      </w:r>
      <w:r>
        <w:t xml:space="preserve"> gobernanza institucional, competitividad exportadora, modelo de gravedad, exposición diferencial, Perú.</w:t>
      </w:r>
    </w:p>
    <w:p>
      <w:pPr>
        <w:spacing w:before="280" w:after="40"/>
        <w:shd w:val="clear" w:color="auto" w:fill="1A3050"/>
      </w:pPr>
      <w:r>
        <w:rPr>
          <w:b/>
          <w:color w:val="FFFFFF"/>
          <w:sz w:val="22"/>
        </w:rPr>
        <w:t>2. PREGUNTAS CENTRALES DE INVESTIGACIÓN</w:t>
      </w:r>
    </w:p>
    <w:p>
      <w:pPr>
        <w:spacing w:before="0" w:after="80"/>
        <w:pBdr>
          <w:bottom w:val="single" w:sz="12" w:space="1" w:color="1A3050"/>
        </w:pBdr>
      </w:pPr>
    </w:p>
    <w:p>
      <w:pPr>
        <w:jc w:val="both"/>
      </w:pPr>
      <w:r>
        <w:rPr>
          <w:b/>
        </w:rPr>
        <w:t>P1.</w:t>
      </w:r>
      <w:r>
        <w:t xml:space="preserve"> ¿Qué proporción del crecimiento exportador del Perú entre 2015 y 2024 corresponde a demanda mundial favorable, a composición de la canasta productiva y a una ganancia genuina de competitividad, respectivamente?</w:t>
      </w:r>
    </w:p>
    <w:p>
      <w:pPr>
        <w:jc w:val="both"/>
      </w:pPr>
      <w:r>
        <w:rPr>
          <w:b/>
        </w:rPr>
        <w:t>P2.</w:t>
      </w:r>
      <w:r>
        <w:t xml:space="preserve"> ¿Está la gobernanza institucional del mercado de destino asociada con las exportaciones bilaterales del Perú, una vez controlados el tamaño de la economía societaria, la distancia y los efectos de año?</w:t>
      </w:r>
    </w:p>
    <w:p>
      <w:pPr>
        <w:jc w:val="both"/>
      </w:pPr>
      <w:r>
        <w:rPr>
          <w:b/>
        </w:rPr>
        <w:t>P3.</w:t>
      </w:r>
      <w:r>
        <w:t xml:space="preserve"> ¿Es esa asociación </w:t>
      </w:r>
      <w:r>
        <w:rPr>
          <w:b/>
        </w:rPr>
        <w:t>mayor en los productos con mayor intensidad contractual</w:t>
      </w:r>
      <w:r>
        <w:t>, es decir, aquellos cuya transacción depende más de la exigibilidad de los contratos en el destino?</w:t>
      </w:r>
    </w:p>
    <w:p>
      <w:pPr>
        <w:spacing w:before="280" w:after="40"/>
        <w:shd w:val="clear" w:color="auto" w:fill="1A3050"/>
      </w:pPr>
      <w:r>
        <w:rPr>
          <w:b/>
          <w:color w:val="FFFFFF"/>
          <w:sz w:val="22"/>
        </w:rPr>
        <w:t>3. HIPÓTESIS POR COMPROBAR</w:t>
      </w:r>
    </w:p>
    <w:p>
      <w:pPr>
        <w:spacing w:before="0" w:after="80"/>
        <w:pBdr>
          <w:bottom w:val="single" w:sz="12" w:space="1" w:color="1A3050"/>
        </w:pBdr>
      </w:pPr>
    </w:p>
    <w:p>
      <w:pPr>
        <w:jc w:val="both"/>
      </w:pPr>
      <w:r>
        <w:rPr>
          <w:b/>
        </w:rPr>
        <w:t>H1.</w:t>
      </w:r>
      <w:r>
        <w:t xml:space="preserve"> Una parte sustancial del crecimiento exportador peruano (2015–2024) corresponde a ganancia real de cuota de mercado, no únicamente al viento de cola del ciclo de precios de commodities.</w:t>
      </w:r>
    </w:p>
    <w:p>
      <w:pPr>
        <w:jc w:val="both"/>
      </w:pPr>
      <w:r>
        <w:rPr>
          <w:b/>
        </w:rPr>
        <w:t>H2.</w:t>
      </w:r>
      <w:r>
        <w:t xml:space="preserve"> El indicador compuesto de gobernanza del destino está positivamente asociado con el volumen de exportaciones bilaterales del Perú, controlados los determinantes estándar de la gravedad.</w:t>
      </w:r>
    </w:p>
    <w:p>
      <w:pPr>
        <w:jc w:val="both"/>
      </w:pPr>
      <w:r>
        <w:rPr>
          <w:b/>
        </w:rPr>
        <w:t>H3.</w:t>
      </w:r>
      <w:r>
        <w:t xml:space="preserve"> La asociación de H2 es </w:t>
      </w:r>
      <w:r>
        <w:rPr>
          <w:b/>
        </w:rPr>
        <w:t>monótonamente creciente en la intensidad contractual del producto</w:t>
      </w:r>
      <w:r>
        <w:t>: los bienes contract-intensive son más sensibles a la calidad institucional del destino que los bienes homogéneos.</w:t>
      </w:r>
    </w:p>
    <w:p>
      <w:pPr>
        <w:jc w:val="both"/>
      </w:pPr>
      <w:r>
        <w:rPr>
          <w:b/>
        </w:rPr>
        <w:t>H4 (contraste metodológico).</w:t>
      </w:r>
      <w:r>
        <w:t xml:space="preserve"> La misma hipótesis evaluada sobre una muestra pequeña de países no arroja resultado significativo; el contraste es un problema de poder estadístico, no un descubrimiento empírico contradictorio.</w:t>
      </w:r>
    </w:p>
    <w:p>
      <w:pPr>
        <w:spacing w:before="280" w:after="40"/>
        <w:shd w:val="clear" w:color="auto" w:fill="1A3050"/>
      </w:pPr>
      <w:r>
        <w:rPr>
          <w:b/>
          <w:color w:val="FFFFFF"/>
          <w:sz w:val="22"/>
        </w:rPr>
        <w:t>4. MOTIVACIÓN, JUSTIFICACIÓN Y ORIGINALIDAD</w:t>
      </w:r>
    </w:p>
    <w:p>
      <w:pPr>
        <w:spacing w:before="0" w:after="80"/>
        <w:pBdr>
          <w:bottom w:val="single" w:sz="12" w:space="1" w:color="1A3050"/>
        </w:pBdr>
      </w:pPr>
    </w:p>
    <w:p>
      <w:pPr>
        <w:spacing w:before="200" w:after="60"/>
      </w:pPr>
      <w:r>
        <w:rPr>
          <w:b/>
          <w:color w:val="1A3050"/>
          <w:sz w:val="22"/>
        </w:rPr>
        <w:t>4.1 Motivación</w:t>
      </w:r>
    </w:p>
    <w:p>
      <w:pPr>
        <w:jc w:val="both"/>
      </w:pPr>
      <w:r>
        <w:t xml:space="preserve">El caso peruano es instructivo por una razón concreta: combina </w:t>
      </w:r>
      <w:r>
        <w:rPr>
          <w:b/>
        </w:rPr>
        <w:t>un desempeño exportador extraordinario con un deterioro institucional medido</w:t>
      </w:r>
      <w:r>
        <w:t>. Esa divergencia genera variación empírica valiosa y plantea una pregunta de política que la literatura no ha resuelto: si las instituciones importan para el comercio, ¿por qué un país puede ganar cuota mientras su gobernanza se deteriora? La respuesta importa porque determina si la reforma institucional debe tratarse como política comercial o como agenda doméstica separada.</w:t>
      </w:r>
    </w:p>
    <w:p>
      <w:pPr>
        <w:spacing w:before="200" w:after="60"/>
      </w:pPr>
      <w:r>
        <w:rPr>
          <w:b/>
          <w:color w:val="1A3050"/>
          <w:sz w:val="22"/>
        </w:rPr>
        <w:t>4.2 Justificación</w:t>
      </w:r>
    </w:p>
    <w:p>
      <w:pPr>
        <w:jc w:val="both"/>
      </w:pPr>
      <w:r>
        <w:t>La literatura produce resultados contradictorios que dependen del diseño de investigación. Los estudios de gravedad con muestras grandes encuentran efectos positivos y significativos (De Groot et al. 2004; Abreo Villamizar et al. 2021; Hasnain, Manning y Andrango 2022); los paneles pequeños no encuentran nada (Riker 2022). El proyecto contribuye a resolver esa contradicción mostrando que parte del desacuerdo proviene de la especificación empírica, y no de diferencias substantivas sobre el papel de las instituciones.</w:t>
      </w:r>
    </w:p>
    <w:p>
      <w:pPr>
        <w:spacing w:before="200" w:after="60"/>
      </w:pPr>
      <w:r>
        <w:rPr>
          <w:b/>
          <w:color w:val="1A3050"/>
          <w:sz w:val="22"/>
        </w:rPr>
        <w:t>4.3 Originalidad del aporte</w:t>
      </w:r>
    </w:p>
    <w:p>
      <w:pPr>
        <w:jc w:val="both"/>
      </w:pPr>
      <w:r>
        <w:t>El proyecto es original en cuatro sentidos verificables:</w:t>
      </w:r>
    </w:p>
    <w:p>
      <w:pPr>
        <w:pStyle w:val="ListNumber"/>
      </w:pPr>
      <w:r>
        <w:rPr>
          <w:b/>
        </w:rPr>
        <w:t>Un panel productivo original.</w:t>
      </w:r>
      <w:r>
        <w:t xml:space="preserve"> Se construirá y documentará un panel bilateral de exportaciones peruanas a nivel HS-6 por socio y año, con un control de demanda del mercado de destino que excluye el propio flujo peruano. El panel y su documentación se depositarán en Datasets UP.</w:t>
      </w:r>
    </w:p>
    <w:p>
      <w:pPr>
        <w:pStyle w:val="ListNumber"/>
      </w:pPr>
      <w:r>
        <w:rPr>
          <w:b/>
        </w:rPr>
        <w:t>Identificación por exposición diferencial.</w:t>
      </w:r>
      <w:r>
        <w:t xml:space="preserve"> La especificación central interactúa gobernanza con la intensidad contractual del producto, y se estima con efectos fijos producto-socio. Esto la identifica por variación </w:t>
      </w:r>
      <w:r>
        <w:rPr>
          <w:b/>
        </w:rPr>
        <w:t>dentro</w:t>
      </w:r>
      <w:r>
        <w:t xml:space="preserve"> de cada destino según qué tan expuesto está cada producto — la respuesta estándar a la endogeneidad de los indicadores institucionales (Nunn 2007; Levchenko 2007).</w:t>
      </w:r>
    </w:p>
    <w:p>
      <w:pPr>
        <w:pStyle w:val="ListNumber"/>
      </w:pPr>
      <w:r>
        <w:rPr>
          <w:b/>
        </w:rPr>
        <w:t>Contraste de diseño explícito.</w:t>
      </w:r>
      <w:r>
        <w:t xml:space="preserve"> El proyecto documenta deliberadamente por qué el mismo dato arroja resultado en un diseño grande y no en uno pequeño. Ese contraste es en sí mismo un hallazgo metodológico.</w:t>
      </w:r>
    </w:p>
    <w:p>
      <w:pPr>
        <w:pStyle w:val="ListNumber"/>
      </w:pPr>
      <w:r>
        <w:rPr>
          <w:b/>
        </w:rPr>
        <w:t>Aplicación al caso peruano.</w:t>
      </w:r>
      <w:r>
        <w:t xml:space="preserve"> La evidencia sobre instituciones y comercio se concentra en Europa y Asia. Existe poca evidencia producto-específica para América Latina, y menos aún para el Perú.</w:t>
      </w:r>
    </w:p>
    <w:p>
      <w:pPr>
        <w:spacing w:before="280" w:after="40"/>
        <w:shd w:val="clear" w:color="auto" w:fill="1A3050"/>
      </w:pPr>
      <w:r>
        <w:rPr>
          <w:b/>
          <w:color w:val="FFFFFF"/>
          <w:sz w:val="22"/>
        </w:rPr>
        <w:t>5. MARCO TEÓRICO</w:t>
      </w:r>
    </w:p>
    <w:p>
      <w:pPr>
        <w:spacing w:before="0" w:after="80"/>
        <w:pBdr>
          <w:bottom w:val="single" w:sz="12" w:space="1" w:color="1A3050"/>
        </w:pBdr>
      </w:pPr>
    </w:p>
    <w:p>
      <w:pPr>
        <w:jc w:val="both"/>
      </w:pPr>
      <w:r>
        <w:t xml:space="preserve">El modelo de gravedad bilateral (Tinbergen 1962; Anderson y Van Wincoop 2003) predice que el comercio entre dos países es proporcional al tamaño de sus economías e inverso a su distancia de transporte. El marco structural asigna además un papel central a las </w:t>
      </w:r>
      <w:r>
        <w:rPr>
          <w:b/>
        </w:rPr>
        <w:t>resistencias multilaterales</w:t>
      </w:r>
      <w:r>
        <w:t>: el coste relativo de comerciar con cada socio, que absorbe la apertura del resto del mundo.</w:t>
      </w:r>
    </w:p>
    <w:p>
      <w:pPr>
        <w:jc w:val="both"/>
      </w:pPr>
      <w:r>
        <w:t xml:space="preserve">Las instituciones operan sobre ese marco por dos canales documentados. El primero es el </w:t>
      </w:r>
      <w:r>
        <w:rPr>
          <w:b/>
        </w:rPr>
        <w:t>coste contractual</w:t>
      </w:r>
      <w:r>
        <w:t xml:space="preserve">: en destinos donde los contratos son exigibles, las transacciones que requieren especificidad relacional — entregas escalonadas, calidad no verificable de antemano, adaptación posterior — son factibles; donde no lo son, solo sobreviven los bienes homogéneos y verificables (Nunn 2007; Levchenko 2007). El segundo es el </w:t>
      </w:r>
      <w:r>
        <w:rPr>
          <w:b/>
        </w:rPr>
        <w:t>coste informal</w:t>
      </w:r>
      <w:r>
        <w:t>: corrupción y discrecionalidad regulatoria se traducen en sobornos, trato diferenciado y demoras impredecibles, que afectan desproporcionadamente a los exportadores pequeños y nuevos que carecen de relaciones establecidas (Méon y Sekkat 2004; Wei 2000).</w:t>
      </w:r>
    </w:p>
    <w:p>
      <w:pPr>
        <w:jc w:val="both"/>
      </w:pPr>
      <w:r>
        <w:t xml:space="preserve">De estos canales se desprende la predicción central del proyecto: </w:t>
      </w:r>
      <w:r>
        <w:rPr>
          <w:b/>
        </w:rPr>
        <w:t>el efecto de la gobernanza sobre el comercio no debe ser uniforme entre productos</w:t>
      </w:r>
      <w:r>
        <w:t>. Debe ser mayor en aquellos cuya transacción depende más de la exigibilidad contractual. Esa predicción es la base de la hipótesis H3 y del diseño empírico de la sección 7.</w:t>
      </w:r>
    </w:p>
    <w:p>
      <w:pPr>
        <w:spacing w:before="280" w:after="40"/>
        <w:shd w:val="clear" w:color="auto" w:fill="1A3050"/>
      </w:pPr>
      <w:r>
        <w:rPr>
          <w:b/>
          <w:color w:val="FFFFFF"/>
          <w:sz w:val="22"/>
        </w:rPr>
        <w:t>6. ESTADO DEL ARTE Y POSICIÓN DEL PROYECTO</w:t>
      </w:r>
    </w:p>
    <w:p>
      <w:pPr>
        <w:spacing w:before="0" w:after="80"/>
        <w:pBdr>
          <w:bottom w:val="single" w:sz="12" w:space="1" w:color="1A3050"/>
        </w:pBdr>
      </w:pPr>
    </w:p>
    <w:p>
      <w:pPr>
        <w:jc w:val="both"/>
      </w:pPr>
      <w:r>
        <w:t>De Groot et al. (2004), en una sección transversal de 124 países, estimaron que una mejora de una desviación estándar en la calidad institucional aumenta el comercio bilateral entre 29% y 56%. Abreo Villamizar et al. (2021) encuentran efectos de magnitud similar para Colombia. Hasnain, Manning y Andrango (2022), con un panel de 135 países en desarrollo, muestran que cada dimensión de gobernanza tiene un efecto distinto, con calidad regulatoria y estado de derecho entre las más fuertes. Riker (2022) no encuentra efecto significativo en un panel más reducido.</w:t>
      </w:r>
    </w:p>
    <w:p>
      <w:pPr>
        <w:jc w:val="both"/>
      </w:pPr>
      <w:r>
        <w:t xml:space="preserve">Un aporte preliminar ya realizado por el equipo — presentado aquí como </w:t>
      </w:r>
      <w:r>
        <w:rPr>
          <w:b/>
        </w:rPr>
        <w:t>evidencia de viabilidad</w:t>
      </w:r>
      <w:r>
        <w:t>, no como resultado del proyecto — establece el punto de partida. Sobre un panel bilateral de 184 socios (1.496 observaciones, 2016–2024), el indicador compuesto de gobernanza rezagado arroja un coeficiente positivo y altamente significativo (β = 0,667; p &lt; 0,001; R² = 0,72), robusto a la extensión del rezago y a la exclusión de valores extremos. La misma hipótesis evaluada sobre los 12 socios CPTPP+China (N = 108) no arroja resultado significativo.</w:t>
      </w:r>
    </w:p>
    <w:p>
      <w:pPr>
        <w:jc w:val="both"/>
      </w:pPr>
      <w:r>
        <w:t xml:space="preserve">Ese aporte preliminar tiene, sin embargo, una limitación que este proyecto está diseñado para corregir: </w:t>
      </w:r>
      <w:r>
        <w:rPr>
          <w:b/>
        </w:rPr>
        <w:t>la asociación no sobrevive a primeras diferencias, y hay causalidad reversa significativa</w:t>
      </w:r>
      <w:r>
        <w:t>. El coeficiente vive en la variación entre países, no dentro de ellos. La sección 7 explica por qué la exposición diferencial responde exactamente a esa limitación.</w:t>
      </w:r>
    </w:p>
    <w:p>
      <w:pPr>
        <w:spacing w:before="280" w:after="40"/>
        <w:shd w:val="clear" w:color="auto" w:fill="1A3050"/>
      </w:pPr>
      <w:r>
        <w:rPr>
          <w:b/>
          <w:color w:val="FFFFFF"/>
          <w:sz w:val="22"/>
        </w:rPr>
        <w:t>7. METODOLOGÍA</w:t>
      </w:r>
    </w:p>
    <w:p>
      <w:pPr>
        <w:spacing w:before="0" w:after="80"/>
        <w:pBdr>
          <w:bottom w:val="single" w:sz="12" w:space="1" w:color="1A3050"/>
        </w:pBdr>
      </w:pPr>
    </w:p>
    <w:p>
      <w:pPr>
        <w:spacing w:before="200" w:after="60"/>
      </w:pPr>
      <w:r>
        <w:rPr>
          <w:b/>
          <w:color w:val="1A3050"/>
          <w:sz w:val="22"/>
        </w:rPr>
        <w:t>7.1 Diseño</w:t>
      </w:r>
    </w:p>
    <w:p>
      <w:pPr>
        <w:jc w:val="both"/>
      </w:pPr>
      <w:r>
        <w:t xml:space="preserve">Estudio cuantitativo de datos secundarios. No se recolectan datos primarios ni se trabaja con personas, por lo que </w:t>
      </w:r>
      <w:r>
        <w:rPr>
          <w:b/>
        </w:rPr>
        <w:t>no corresponde someter el proyecto a evaluación del Comité de Ética</w:t>
      </w:r>
      <w:r>
        <w:t xml:space="preserve"> (artículo IV del MPP, "de ser necesario").</w:t>
      </w:r>
    </w:p>
    <w:p>
      <w:pPr>
        <w:spacing w:before="200" w:after="60"/>
      </w:pPr>
      <w:r>
        <w:rPr>
          <w:b/>
          <w:color w:val="1A3050"/>
          <w:sz w:val="22"/>
        </w:rPr>
        <w:t>7.2 Fuentes de datos</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A3050"/>
          </w:tcPr>
          <w:p>
            <w:pPr>
              <w:spacing w:before="60" w:after="60"/>
            </w:pPr>
            <w:r>
              <w:rPr>
                <w:b/>
                <w:color w:val="FFFFFF"/>
                <w:sz w:val="18"/>
              </w:rPr>
              <w:t>Fuente</w:t>
            </w:r>
          </w:p>
        </w:tc>
        <w:tc>
          <w:tcPr>
            <w:tcW w:type="dxa" w:w="3024"/>
            <w:shd w:val="clear" w:color="auto" w:fill="1A3050"/>
          </w:tcPr>
          <w:p>
            <w:pPr>
              <w:spacing w:before="60" w:after="60"/>
            </w:pPr>
            <w:r>
              <w:rPr>
                <w:b/>
                <w:color w:val="FFFFFF"/>
                <w:sz w:val="18"/>
              </w:rPr>
              <w:t>Contenido</w:t>
            </w:r>
          </w:p>
        </w:tc>
        <w:tc>
          <w:tcPr>
            <w:tcW w:type="dxa" w:w="3024"/>
            <w:shd w:val="clear" w:color="auto" w:fill="1A3050"/>
          </w:tcPr>
          <w:p>
            <w:pPr>
              <w:spacing w:before="60" w:after="60"/>
            </w:pPr>
            <w:r>
              <w:rPr>
                <w:b/>
                <w:color w:val="FFFFFF"/>
                <w:sz w:val="18"/>
              </w:rPr>
              <w:t>Rol</w:t>
            </w:r>
          </w:p>
        </w:tc>
      </w:tr>
      <w:tr>
        <w:tc>
          <w:tcPr>
            <w:tcW w:type="dxa" w:w="3024"/>
          </w:tcPr>
          <w:p>
            <w:pPr>
              <w:spacing w:before="60" w:after="60"/>
            </w:pPr>
            <w:r>
              <w:rPr>
                <w:b/>
                <w:sz w:val="18"/>
              </w:rPr>
              <w:t>BACI (CEPII), versión HS92 V202601</w:t>
            </w:r>
          </w:p>
        </w:tc>
        <w:tc>
          <w:tcPr>
            <w:tcW w:type="dxa" w:w="3024"/>
          </w:tcPr>
          <w:p>
            <w:pPr>
              <w:spacing w:before="60" w:after="60"/>
            </w:pPr>
            <w:r>
              <w:rPr>
                <w:sz w:val="18"/>
              </w:rPr>
              <w:t>Comercio bilateral reconciliado, 200 países, ~5.000 productos HS-6, 1995–2024, licencia Etalab 2.0</w:t>
            </w:r>
          </w:p>
        </w:tc>
        <w:tc>
          <w:tcPr>
            <w:tcW w:type="dxa" w:w="3024"/>
          </w:tcPr>
          <w:p>
            <w:pPr>
              <w:spacing w:before="60" w:after="60"/>
            </w:pPr>
            <w:r>
              <w:rPr>
                <w:sz w:val="18"/>
              </w:rPr>
              <w:t>Variable dependiente y control de demanda</w:t>
            </w:r>
          </w:p>
        </w:tc>
      </w:tr>
      <w:tr>
        <w:tc>
          <w:tcPr>
            <w:tcW w:type="dxa" w:w="3024"/>
            <w:shd w:val="clear" w:color="auto" w:fill="F4F6FA"/>
          </w:tcPr>
          <w:p>
            <w:pPr>
              <w:spacing w:before="60" w:after="60"/>
            </w:pPr>
            <w:r>
              <w:rPr>
                <w:b/>
                <w:sz w:val="18"/>
              </w:rPr>
              <w:t>World Bank WGI</w:t>
            </w:r>
          </w:p>
        </w:tc>
        <w:tc>
          <w:tcPr>
            <w:tcW w:type="dxa" w:w="3024"/>
            <w:shd w:val="clear" w:color="auto" w:fill="F4F6FA"/>
          </w:tcPr>
          <w:p>
            <w:pPr>
              <w:spacing w:before="60" w:after="60"/>
            </w:pPr>
            <w:r>
              <w:rPr>
                <w:sz w:val="18"/>
              </w:rPr>
              <w:t>Seis dimensiones de gobernanza, −2,5 a +2,5</w:t>
            </w:r>
          </w:p>
        </w:tc>
        <w:tc>
          <w:tcPr>
            <w:tcW w:type="dxa" w:w="3024"/>
            <w:shd w:val="clear" w:color="auto" w:fill="F4F6FA"/>
          </w:tcPr>
          <w:p>
            <w:pPr>
              <w:spacing w:before="60" w:after="60"/>
            </w:pPr>
            <w:r>
              <w:rPr>
                <w:sz w:val="18"/>
              </w:rPr>
              <w:t>Variable de interés</w:t>
            </w:r>
          </w:p>
        </w:tc>
      </w:tr>
      <w:tr>
        <w:tc>
          <w:tcPr>
            <w:tcW w:type="dxa" w:w="3024"/>
          </w:tcPr>
          <w:p>
            <w:pPr>
              <w:spacing w:before="60" w:after="60"/>
            </w:pPr>
            <w:r>
              <w:rPr>
                <w:b/>
                <w:sz w:val="18"/>
              </w:rPr>
              <w:t>World Bank WDI</w:t>
            </w:r>
          </w:p>
        </w:tc>
        <w:tc>
          <w:tcPr>
            <w:tcW w:type="dxa" w:w="3024"/>
          </w:tcPr>
          <w:p>
            <w:pPr>
              <w:spacing w:before="60" w:after="60"/>
            </w:pPr>
            <w:r>
              <w:rPr>
                <w:sz w:val="18"/>
              </w:rPr>
              <w:t>PIB corriente y en PPA, población</w:t>
            </w:r>
          </w:p>
        </w:tc>
        <w:tc>
          <w:tcPr>
            <w:tcW w:type="dxa" w:w="3024"/>
          </w:tcPr>
          <w:p>
            <w:pPr>
              <w:spacing w:before="60" w:after="60"/>
            </w:pPr>
            <w:r>
              <w:rPr>
                <w:sz w:val="18"/>
              </w:rPr>
              <w:t>Controles</w:t>
            </w:r>
          </w:p>
        </w:tc>
      </w:tr>
      <w:tr>
        <w:tc>
          <w:tcPr>
            <w:tcW w:type="dxa" w:w="3024"/>
            <w:shd w:val="clear" w:color="auto" w:fill="F4F6FA"/>
          </w:tcPr>
          <w:p>
            <w:pPr>
              <w:spacing w:before="60" w:after="60"/>
            </w:pPr>
            <w:r>
              <w:rPr>
                <w:b/>
                <w:sz w:val="18"/>
              </w:rPr>
              <w:t>CEPII GeoDist</w:t>
            </w:r>
          </w:p>
        </w:tc>
        <w:tc>
          <w:tcPr>
            <w:tcW w:type="dxa" w:w="3024"/>
            <w:shd w:val="clear" w:color="auto" w:fill="F4F6FA"/>
          </w:tcPr>
          <w:p>
            <w:pPr>
              <w:spacing w:before="60" w:after="60"/>
            </w:pPr>
            <w:r>
              <w:rPr>
                <w:sz w:val="18"/>
              </w:rPr>
              <w:t>Distancia, contigüidad, idioma común, relación colonial</w:t>
            </w:r>
          </w:p>
        </w:tc>
        <w:tc>
          <w:tcPr>
            <w:tcW w:type="dxa" w:w="3024"/>
            <w:shd w:val="clear" w:color="auto" w:fill="F4F6FA"/>
          </w:tcPr>
          <w:p>
            <w:pPr>
              <w:spacing w:before="60" w:after="60"/>
            </w:pPr>
            <w:r>
              <w:rPr>
                <w:sz w:val="18"/>
              </w:rPr>
              <w:t>Controles de gravedad</w:t>
            </w:r>
          </w:p>
        </w:tc>
      </w:tr>
      <w:tr>
        <w:tc>
          <w:tcPr>
            <w:tcW w:type="dxa" w:w="3024"/>
          </w:tcPr>
          <w:p>
            <w:pPr>
              <w:spacing w:before="60" w:after="60"/>
            </w:pPr>
            <w:r>
              <w:rPr>
                <w:b/>
                <w:sz w:val="18"/>
              </w:rPr>
              <w:t>Intensidad contractual por producto</w:t>
            </w:r>
          </w:p>
        </w:tc>
        <w:tc>
          <w:tcPr>
            <w:tcW w:type="dxa" w:w="3024"/>
          </w:tcPr>
          <w:p>
            <w:pPr>
              <w:spacing w:before="60" w:after="60"/>
            </w:pPr>
            <w:r>
              <w:rPr>
                <w:sz w:val="18"/>
              </w:rPr>
              <w:t>Construida a partir de la clasificación de Nunn (2007), con concordancia a HS-6; clasificación de Rauch (1999) como contraste</w:t>
            </w:r>
          </w:p>
        </w:tc>
        <w:tc>
          <w:tcPr>
            <w:tcW w:type="dxa" w:w="3024"/>
          </w:tcPr>
          <w:p>
            <w:pPr>
              <w:spacing w:before="60" w:after="60"/>
            </w:pPr>
            <w:r>
              <w:rPr>
                <w:sz w:val="18"/>
              </w:rPr>
              <w:t>Variable de exposición</w:t>
            </w:r>
          </w:p>
        </w:tc>
      </w:tr>
    </w:tbl>
    <w:p>
      <w:pPr>
        <w:spacing w:after="80"/>
      </w:pPr>
    </w:p>
    <w:p>
      <w:pPr>
        <w:spacing w:before="200" w:after="60"/>
      </w:pPr>
      <w:r>
        <w:rPr>
          <w:b/>
          <w:color w:val="1A3050"/>
          <w:sz w:val="22"/>
        </w:rPr>
        <w:t>7.3 Construcción del panel</w:t>
      </w:r>
    </w:p>
    <w:p>
      <w:pPr>
        <w:jc w:val="both"/>
      </w:pPr>
      <w:r>
        <w:t>Se construirán dos series a partir de BACI, ambas por producto HS-6, socio y año, 2015–2024:</w:t>
      </w:r>
    </w:p>
    <w:p>
      <w:pPr>
        <w:pStyle w:val="ListNumber"/>
      </w:pPr>
      <w:r>
        <w:rPr>
          <w:b/>
        </w:rPr>
        <w:t>Exportaciones peruanas bilaterales</w:t>
      </w:r>
      <w:r>
        <w:t xml:space="preserve"> (origen fijo = Perú): variable dependiente.</w:t>
      </w:r>
    </w:p>
    <w:p>
      <w:pPr>
        <w:pStyle w:val="ListNumber"/>
      </w:pPr>
      <w:r>
        <w:rPr>
          <w:b/>
        </w:rPr>
        <w:t>Importaciones de cada socio desde el resto del mundo, excluyendo a Perú</w:t>
      </w:r>
      <w:r>
        <w:t>: control de demanda del mercado de destino.</w:t>
      </w:r>
    </w:p>
    <w:p>
      <w:pPr>
        <w:jc w:val="both"/>
      </w:pPr>
      <w:r>
        <w:t>La exclusión de Perú del segundo control es deliberada e indispensable: si el flujo peruano se incluyera en la demanda del destino, la variable dependiente se colaría en un control y el coeficiente quedaría sobreestimado.</w:t>
      </w:r>
    </w:p>
    <w:p>
      <w:pPr>
        <w:spacing w:before="200" w:after="60"/>
      </w:pPr>
      <w:r>
        <w:rPr>
          <w:b/>
          <w:color w:val="1A3050"/>
          <w:sz w:val="22"/>
        </w:rPr>
        <w:t>7.4 Especificación principal</w:t>
      </w:r>
    </w:p>
    <w:p>
      <w:pPr>
        <w:jc w:val="both"/>
      </w:pPr>
      <w:r>
        <w:rPr>
          <w:b/>
        </w:rPr>
        <w:t>ln X(p,j,t) = α(pj) + μ(t) + β · [ WGI(j,t−1) × CI(p) ] + γ · ln D(p,j,t) + ε(p,j,t)</w:t>
      </w:r>
    </w:p>
    <w:p>
      <w:pPr>
        <w:jc w:val="both"/>
      </w:pPr>
      <w:r>
        <w:t xml:space="preserve">donde </w:t>
      </w:r>
      <w:r>
        <w:rPr>
          <w:b/>
        </w:rPr>
        <w:t>α(pj)</w:t>
      </w:r>
      <w:r>
        <w:t xml:space="preserve"> son efectos fijos producto-socio (que absorben toda demanda y característica bilateral time-invariant), </w:t>
      </w:r>
      <w:r>
        <w:rPr>
          <w:b/>
        </w:rPr>
        <w:t>μ(t)</w:t>
      </w:r>
      <w:r>
        <w:t xml:space="preserve"> son efectos de año, </w:t>
      </w:r>
      <w:r>
        <w:rPr>
          <w:b/>
        </w:rPr>
        <w:t>CI(p)</w:t>
      </w:r>
      <w:r>
        <w:t xml:space="preserve"> es la intensidad contractual del producto, y </w:t>
      </w:r>
      <w:r>
        <w:rPr>
          <w:b/>
        </w:rPr>
        <w:t>D(p,j,t)</w:t>
      </w:r>
      <w:r>
        <w:t xml:space="preserve"> es el control de demanda del destino. Los errores estándar se agrupan a nivel de socio.</w:t>
      </w:r>
    </w:p>
    <w:p>
      <w:pPr>
        <w:jc w:val="both"/>
      </w:pPr>
      <w:r>
        <w:t xml:space="preserve">La clave del diseño es que, con efectos fijos producto-socio, </w:t>
      </w:r>
      <w:r>
        <w:rPr>
          <w:b/>
        </w:rPr>
        <w:t>el coeficiente β se identifica exclusivamente por la exposición diferencial</w:t>
      </w:r>
      <w:r>
        <w:t>: dentro de un mismo par producto-destino, la gobernanza del destino varía en el tiempo, y su efecto difiere entre productos según su sensibilidad contractual. Esa variación es intrínseca al producto y no puede ser capturada por atributos del destino, lo que la hace robusta a la causalidad reversa que afecta a los modelos de niveles.</w:t>
      </w:r>
    </w:p>
    <w:p>
      <w:pPr>
        <w:spacing w:before="200" w:after="60"/>
      </w:pPr>
      <w:r>
        <w:rPr>
          <w:b/>
          <w:color w:val="1A3050"/>
          <w:sz w:val="22"/>
        </w:rPr>
        <w:t>7.5 Especificaciones complementarias y robustez</w:t>
      </w:r>
    </w:p>
    <w:p>
      <w:pPr>
        <w:pStyle w:val="ListBullet"/>
      </w:pPr>
      <w:r>
        <w:t xml:space="preserve">Estimación </w:t>
      </w:r>
      <w:r>
        <w:rPr>
          <w:b/>
        </w:rPr>
        <w:t>PPML en lugar de MCO en logaritmos</w:t>
      </w:r>
      <w:r>
        <w:t xml:space="preserve"> (Santos Silva y Tenreyro 2006), que evita el sesgo por exclusión de flujos cero y la distorsión del logaritmo en presencia de heterocedasticidad.</w:t>
      </w:r>
    </w:p>
    <w:p>
      <w:pPr>
        <w:pStyle w:val="ListBullet"/>
      </w:pPr>
      <w:r>
        <w:t xml:space="preserve">Reemplazo de </w:t>
      </w:r>
      <w:r>
        <w:rPr>
          <w:b/>
        </w:rPr>
        <w:t>CI(p)</w:t>
      </w:r>
      <w:r>
        <w:t xml:space="preserve"> por la clasificación de </w:t>
      </w:r>
      <w:r>
        <w:rPr>
          <w:b/>
        </w:rPr>
        <w:t>Rauch (1999)</w:t>
      </w:r>
      <w:r>
        <w:t xml:space="preserve"> (bienes homogéneos frente a diferenciados).</w:t>
      </w:r>
    </w:p>
    <w:p>
      <w:pPr>
        <w:pStyle w:val="ListBullet"/>
      </w:pPr>
      <w:r>
        <w:t xml:space="preserve">Inclusión de las </w:t>
      </w:r>
      <w:r>
        <w:rPr>
          <w:b/>
        </w:rPr>
        <w:t>seis dimensiones WGI por separado</w:t>
      </w:r>
      <w:r>
        <w:t xml:space="preserve"> para identificar qué canal institucional domina.</w:t>
      </w:r>
    </w:p>
    <w:p>
      <w:pPr>
        <w:pStyle w:val="ListBullet"/>
      </w:pPr>
      <w:r>
        <w:t xml:space="preserve">Pruebas de </w:t>
      </w:r>
      <w:r>
        <w:rPr>
          <w:b/>
        </w:rPr>
        <w:t>primeras diferencias y precedencia inversa</w:t>
      </w:r>
      <w:r>
        <w:t>, replicando la batería de endogeneidad ya desarrollada por el equipo, para documentar qué resuelve y qué no resuelve el nuevo diseño.</w:t>
      </w:r>
    </w:p>
    <w:p>
      <w:pPr>
        <w:pStyle w:val="ListBullet"/>
      </w:pPr>
      <w:r>
        <w:t xml:space="preserve">Exclusión de </w:t>
      </w:r>
      <w:r>
        <w:rPr>
          <w:i/>
        </w:rPr>
        <w:t>outliers</w:t>
      </w:r>
      <w:r>
        <w:t xml:space="preserve"> y agregación alternativa (HS-4, HS-2) como contraste de sensibilidad.</w:t>
      </w:r>
    </w:p>
    <w:p>
      <w:pPr>
        <w:spacing w:before="200" w:after="60"/>
      </w:pPr>
      <w:r>
        <w:rPr>
          <w:b/>
          <w:color w:val="1A3050"/>
          <w:sz w:val="22"/>
        </w:rPr>
        <w:t>7.6 Software y reproducibilidad</w:t>
      </w:r>
    </w:p>
    <w:p>
      <w:pPr>
        <w:jc w:val="both"/>
      </w:pPr>
      <w:r>
        <w:t xml:space="preserve">Todo el procesamiento y la estimación se hará en Python (pandas, statsmodels, linearmodels). Los scripts, el diccionario de variables y los datos derivados se depositarán en </w:t>
      </w:r>
      <w:r>
        <w:rPr>
          <w:b/>
        </w:rPr>
        <w:t>Datasets UP</w:t>
      </w:r>
      <w:r>
        <w:t xml:space="preserve"> conforme a la Política de Gestión del Repositorio de Datos de Investigación de la Universidad, permitiendo la replicación completa del resultado.</w:t>
      </w:r>
    </w:p>
    <w:p>
      <w:pPr>
        <w:spacing w:before="280" w:after="40"/>
        <w:shd w:val="clear" w:color="auto" w:fill="1A3050"/>
      </w:pPr>
      <w:r>
        <w:rPr>
          <w:b/>
          <w:color w:val="FFFFFF"/>
          <w:sz w:val="22"/>
        </w:rPr>
        <w:t>8. RELEVANCIA Y CONCORDANCIA CON LAS LÍNEAS DE INVESTIGACIÓN DE LA UP</w:t>
      </w:r>
    </w:p>
    <w:p>
      <w:pPr>
        <w:spacing w:before="0" w:after="80"/>
        <w:pBdr>
          <w:bottom w:val="single" w:sz="12" w:space="1" w:color="1A3050"/>
        </w:pBdr>
      </w:pPr>
    </w:p>
    <w:p>
      <w:pPr>
        <w:jc w:val="both"/>
      </w:pPr>
      <w:r>
        <w:t xml:space="preserve">El proyecto se enmarca en las líneas aprobadas del </w:t>
      </w:r>
      <w:r>
        <w:rPr>
          <w:b/>
        </w:rPr>
        <w:t>Centro de Investigación de la Universidad del Pacífico (CIUP)</w:t>
      </w:r>
      <w:r>
        <w:t>, conforme a la Tabla 1 de la Política General de Investigación vigente desde el 23 de marzo de 2024:</w:t>
      </w:r>
    </w:p>
    <w:p>
      <w:pPr>
        <w:pStyle w:val="ListBullet"/>
      </w:pPr>
      <w:r>
        <w:rPr>
          <w:b/>
        </w:rPr>
        <w:t>Línea principal: "Economía, negocios y relaciones internacionales".</w:t>
      </w:r>
      <w:r>
        <w:t xml:space="preserve"> El objeto del proyecto es el comercio internacional del Perú, sus determinantes institucionales y su patrón sectorial.</w:t>
      </w:r>
    </w:p>
    <w:p>
      <w:pPr>
        <w:pStyle w:val="ListBullet"/>
      </w:pPr>
      <w:r>
        <w:rPr>
          <w:b/>
        </w:rPr>
        <w:t>Línea secundaria: "Regulación, infraestructura y competencia".</w:t>
      </w:r>
      <w:r>
        <w:t xml:space="preserve"> La variable de interés — gobernanza, y en particular calidad regulatoria y efectividad gubernamental — mide exactamente el funcionamiento del aparato regulatorio del Estado.</w:t>
      </w:r>
    </w:p>
    <w:p>
      <w:pPr>
        <w:jc w:val="both"/>
      </w:pPr>
      <w:r>
        <w:t>La concordancia no es declarativa: el proyecto produce evidencia que responde directamente a decisiones de política comercial que la línea de relaciones internacionales discute — la priorización de capítulos de gobernanza en los acuerdos vigentes, y el uso de diagnóstico institucional en la selección de mercados por parte de las agencias de promoción de exportaciones.</w:t>
      </w:r>
    </w:p>
    <w:p>
      <w:pPr>
        <w:spacing w:before="280" w:after="40"/>
        <w:shd w:val="clear" w:color="auto" w:fill="1A3050"/>
      </w:pPr>
      <w:r>
        <w:rPr>
          <w:b/>
          <w:color w:val="FFFFFF"/>
          <w:sz w:val="22"/>
        </w:rPr>
        <w:t>9. SUSTENTACIÓN DEL CARÁCTER MULTIDISCIPLINARIO</w:t>
      </w:r>
    </w:p>
    <w:p>
      <w:pPr>
        <w:spacing w:before="0" w:after="80"/>
        <w:pBdr>
          <w:bottom w:val="single" w:sz="12" w:space="1" w:color="1A3050"/>
        </w:pBdr>
      </w:pPr>
    </w:p>
    <w:p>
      <w:pPr>
        <w:jc w:val="both"/>
      </w:pPr>
      <w:r>
        <w:t xml:space="preserve">El proyecto articula herramientas y enfoques de </w:t>
      </w:r>
      <w:r>
        <w:rPr>
          <w:b/>
        </w:rPr>
        <w:t>tres disciplinas</w:t>
      </w:r>
      <w:r>
        <w:t>, no una sola:</w:t>
      </w:r>
    </w:p>
    <w:tbl>
      <w:tblPr>
        <w:tblW w:type="auto" w:w="0"/>
        <w:jc w:val="center"/>
        <w:tblLook w:firstColumn="1" w:firstRow="1" w:lastColumn="0" w:lastRow="0" w:noHBand="0" w:noVBand="1" w:val="04A0"/>
      </w:tblPr>
      <w:tblGrid>
        <w:gridCol w:w="4536"/>
        <w:gridCol w:w="4536"/>
      </w:tblGrid>
      <w:tr>
        <w:tc>
          <w:tcPr>
            <w:tcW w:type="dxa" w:w="4535"/>
            <w:shd w:val="clear" w:color="auto" w:fill="1A3050"/>
          </w:tcPr>
          <w:p>
            <w:pPr>
              <w:spacing w:before="60" w:after="60"/>
            </w:pPr>
            <w:r>
              <w:rPr>
                <w:b/>
                <w:color w:val="FFFFFF"/>
                <w:sz w:val="18"/>
              </w:rPr>
              <w:t>Disciplina</w:t>
            </w:r>
          </w:p>
        </w:tc>
        <w:tc>
          <w:tcPr>
            <w:tcW w:type="dxa" w:w="4535"/>
            <w:shd w:val="clear" w:color="auto" w:fill="1A3050"/>
          </w:tcPr>
          <w:p>
            <w:pPr>
              <w:spacing w:before="60" w:after="60"/>
            </w:pPr>
            <w:r>
              <w:rPr>
                <w:b/>
                <w:color w:val="FFFFFF"/>
                <w:sz w:val="18"/>
              </w:rPr>
              <w:t>Herramienta aportada al proyecto</w:t>
            </w:r>
          </w:p>
        </w:tc>
      </w:tr>
      <w:tr>
        <w:tc>
          <w:tcPr>
            <w:tcW w:type="dxa" w:w="4535"/>
          </w:tcPr>
          <w:p>
            <w:pPr>
              <w:spacing w:before="60" w:after="60"/>
            </w:pPr>
            <w:r>
              <w:rPr>
                <w:b/>
                <w:sz w:val="18"/>
              </w:rPr>
              <w:t>Economía internacional</w:t>
            </w:r>
          </w:p>
        </w:tc>
        <w:tc>
          <w:tcPr>
            <w:tcW w:type="dxa" w:w="4535"/>
          </w:tcPr>
          <w:p>
            <w:pPr>
              <w:spacing w:before="60" w:after="60"/>
            </w:pPr>
            <w:r>
              <w:rPr>
                <w:sz w:val="18"/>
              </w:rPr>
              <w:t>Modelo de gravedad bilateral y resistencias multilaterales; descomposición shift-share</w:t>
            </w:r>
          </w:p>
        </w:tc>
      </w:tr>
      <w:tr>
        <w:tc>
          <w:tcPr>
            <w:tcW w:type="dxa" w:w="4535"/>
            <w:shd w:val="clear" w:color="auto" w:fill="F4F6FA"/>
          </w:tcPr>
          <w:p>
            <w:pPr>
              <w:spacing w:before="60" w:after="60"/>
            </w:pPr>
            <w:r>
              <w:rPr>
                <w:b/>
                <w:sz w:val="18"/>
              </w:rPr>
              <w:t>Economía institucional</w:t>
            </w:r>
          </w:p>
        </w:tc>
        <w:tc>
          <w:tcPr>
            <w:tcW w:type="dxa" w:w="4535"/>
            <w:shd w:val="clear" w:color="auto" w:fill="F4F6FA"/>
          </w:tcPr>
          <w:p>
            <w:pPr>
              <w:spacing w:before="60" w:after="60"/>
            </w:pPr>
            <w:r>
              <w:rPr>
                <w:sz w:val="18"/>
              </w:rPr>
              <w:t>Indicadores de gobernanza; teoría de costes contractuales e institucionales del comercio</w:t>
            </w:r>
          </w:p>
        </w:tc>
      </w:tr>
      <w:tr>
        <w:tc>
          <w:tcPr>
            <w:tcW w:type="dxa" w:w="4535"/>
          </w:tcPr>
          <w:p>
            <w:pPr>
              <w:spacing w:before="60" w:after="60"/>
            </w:pPr>
            <w:r>
              <w:rPr>
                <w:b/>
                <w:sz w:val="18"/>
              </w:rPr>
              <w:t>Métodos cuantitativos y ciencia de datos</w:t>
            </w:r>
          </w:p>
        </w:tc>
        <w:tc>
          <w:tcPr>
            <w:tcW w:type="dxa" w:w="4535"/>
          </w:tcPr>
          <w:p>
            <w:pPr>
              <w:spacing w:before="60" w:after="60"/>
            </w:pPr>
            <w:r>
              <w:rPr>
                <w:sz w:val="18"/>
              </w:rPr>
              <w:t>Manejo de paneles de gran dimensionalidad (~millones de observaciones), estimación PPML, estimación de efectos fijos de alta dimensionalidad</w:t>
            </w:r>
          </w:p>
        </w:tc>
      </w:tr>
    </w:tbl>
    <w:p>
      <w:pPr>
        <w:spacing w:after="80"/>
      </w:pPr>
    </w:p>
    <w:p>
      <w:pPr>
        <w:jc w:val="both"/>
      </w:pPr>
      <w:r>
        <w:t>El componente metodológico no es auxiliar: la construcción del panel HS-6 a partir de un archivo de 2,3 GB, la gestión de concordancias arancelarias entre clasificaciones y la estimación con efectos fijos producto-socio constituyen el núcleo técnico del proyecto y demandan competencias de ciencia de datos aplicadas.</w:t>
      </w:r>
    </w:p>
    <w:p>
      <w:pPr>
        <w:spacing w:before="280" w:after="40"/>
        <w:shd w:val="clear" w:color="auto" w:fill="1A3050"/>
      </w:pPr>
      <w:r>
        <w:rPr>
          <w:b/>
          <w:color w:val="FFFFFF"/>
          <w:sz w:val="22"/>
        </w:rPr>
        <w:t>10. COLABORADORES</w:t>
      </w:r>
    </w:p>
    <w:p>
      <w:pPr>
        <w:spacing w:before="0" w:after="80"/>
        <w:pBdr>
          <w:bottom w:val="single" w:sz="12" w:space="1" w:color="1A3050"/>
        </w:pBdr>
      </w:pPr>
    </w:p>
    <w:p>
      <w:pPr>
        <w:jc w:val="both"/>
      </w:pPr>
      <w:r>
        <w:t xml:space="preserve">La convocatoria prevé la incorporación de colaboradores nacionales o internacionales con carta de confirmación, y otorga puntaje específico a la colaboración con pares del </w:t>
      </w:r>
      <w:r>
        <w:rPr>
          <w:b/>
        </w:rPr>
        <w:t>Consorcio de Universidades</w:t>
      </w:r>
      <w:r>
        <w:t>. Este apartado se completará con las cartas de confirmación que se recaben.</w:t>
      </w:r>
    </w:p>
    <w:p>
      <w:pPr>
        <w:ind w:left="400"/>
      </w:pPr>
      <w:r>
        <w:rPr>
          <w:i/>
        </w:rPr>
        <w:t>[PENDIENTE — requiere confirmación de los interesados. No se consignarán nombres sin carta de aceptación.]</w:t>
      </w:r>
    </w:p>
    <w:p>
      <w:pPr>
        <w:spacing w:before="280" w:after="40"/>
        <w:shd w:val="clear" w:color="auto" w:fill="1A3050"/>
      </w:pPr>
      <w:r>
        <w:rPr>
          <w:b/>
          <w:color w:val="FFFFFF"/>
          <w:sz w:val="22"/>
        </w:rPr>
        <w:t>11. RESULTADOS Y PRODUCTOS ESPERADOS</w:t>
      </w:r>
    </w:p>
    <w:p>
      <w:pPr>
        <w:spacing w:before="0" w:after="80"/>
        <w:pBdr>
          <w:bottom w:val="single" w:sz="12" w:space="1" w:color="1A3050"/>
        </w:pBdr>
      </w:pPr>
    </w:p>
    <w:p>
      <w:pPr>
        <w:spacing w:before="200" w:after="60"/>
      </w:pPr>
      <w:r>
        <w:rPr>
          <w:b/>
          <w:color w:val="1A3050"/>
          <w:sz w:val="22"/>
        </w:rPr>
        <w:t>11.1 Compromisos formales del Concurso (proyecto de un año)</w:t>
      </w:r>
    </w:p>
    <w:tbl>
      <w:tblPr>
        <w:tblW w:type="auto" w:w="0"/>
        <w:jc w:val="center"/>
        <w:tblLook w:firstColumn="1" w:firstRow="1" w:lastColumn="0" w:lastRow="0" w:noHBand="0" w:noVBand="1" w:val="04A0"/>
      </w:tblPr>
      <w:tblGrid>
        <w:gridCol w:w="4536"/>
        <w:gridCol w:w="4536"/>
      </w:tblGrid>
      <w:tr>
        <w:tc>
          <w:tcPr>
            <w:tcW w:type="dxa" w:w="4535"/>
            <w:shd w:val="clear" w:color="auto" w:fill="1A3050"/>
          </w:tcPr>
          <w:p>
            <w:pPr>
              <w:spacing w:before="60" w:after="60"/>
            </w:pPr>
            <w:r>
              <w:rPr>
                <w:b/>
                <w:color w:val="FFFFFF"/>
                <w:sz w:val="18"/>
              </w:rPr>
              <w:t>Momento</w:t>
            </w:r>
          </w:p>
        </w:tc>
        <w:tc>
          <w:tcPr>
            <w:tcW w:type="dxa" w:w="4535"/>
            <w:shd w:val="clear" w:color="auto" w:fill="1A3050"/>
          </w:tcPr>
          <w:p>
            <w:pPr>
              <w:spacing w:before="60" w:after="60"/>
            </w:pPr>
            <w:r>
              <w:rPr>
                <w:b/>
                <w:color w:val="FFFFFF"/>
                <w:sz w:val="18"/>
              </w:rPr>
              <w:t>Producto</w:t>
            </w:r>
          </w:p>
        </w:tc>
      </w:tr>
      <w:tr>
        <w:tc>
          <w:tcPr>
            <w:tcW w:type="dxa" w:w="4535"/>
          </w:tcPr>
          <w:p>
            <w:pPr>
              <w:spacing w:before="60" w:after="60"/>
            </w:pPr>
            <w:r>
              <w:rPr>
                <w:b/>
                <w:sz w:val="18"/>
              </w:rPr>
              <w:t>Mes 6</w:t>
            </w:r>
          </w:p>
        </w:tc>
        <w:tc>
          <w:tcPr>
            <w:tcW w:type="dxa" w:w="4535"/>
          </w:tcPr>
          <w:p>
            <w:pPr>
              <w:spacing w:before="60" w:after="60"/>
            </w:pPr>
            <w:r>
              <w:rPr>
                <w:sz w:val="18"/>
              </w:rPr>
              <w:t>Informe de avances, narrativo y financiero</w:t>
            </w:r>
          </w:p>
        </w:tc>
      </w:tr>
      <w:tr>
        <w:tc>
          <w:tcPr>
            <w:tcW w:type="dxa" w:w="4535"/>
            <w:shd w:val="clear" w:color="auto" w:fill="F4F6FA"/>
          </w:tcPr>
          <w:p>
            <w:pPr>
              <w:spacing w:before="60" w:after="60"/>
            </w:pPr>
            <w:r>
              <w:rPr>
                <w:b/>
                <w:sz w:val="18"/>
              </w:rPr>
              <w:t>Mes 12</w:t>
            </w:r>
          </w:p>
        </w:tc>
        <w:tc>
          <w:tcPr>
            <w:tcW w:type="dxa" w:w="4535"/>
            <w:shd w:val="clear" w:color="auto" w:fill="F4F6FA"/>
          </w:tcPr>
          <w:p>
            <w:pPr>
              <w:spacing w:before="60" w:after="60"/>
            </w:pPr>
            <w:r>
              <w:rPr>
                <w:sz w:val="18"/>
              </w:rPr>
              <w:t>Informe final detallado con rendición de cuentas</w:t>
            </w:r>
          </w:p>
        </w:tc>
      </w:tr>
      <w:tr>
        <w:tc>
          <w:tcPr>
            <w:tcW w:type="dxa" w:w="4535"/>
          </w:tcPr>
          <w:p>
            <w:pPr>
              <w:spacing w:before="60" w:after="60"/>
            </w:pPr>
            <w:r>
              <w:rPr>
                <w:b/>
                <w:sz w:val="18"/>
              </w:rPr>
              <w:t>Dentro de los 24 meses desde el inicio</w:t>
            </w:r>
          </w:p>
        </w:tc>
        <w:tc>
          <w:tcPr>
            <w:tcW w:type="dxa" w:w="4535"/>
          </w:tcPr>
          <w:p>
            <w:pPr>
              <w:spacing w:before="60" w:after="60"/>
            </w:pPr>
            <w:r>
              <w:rPr>
                <w:b/>
                <w:sz w:val="18"/>
              </w:rPr>
              <w:t>Mínimo un manuscrito de artículo Q1 depositado</w:t>
            </w:r>
            <w:r>
              <w:rPr>
                <w:sz w:val="18"/>
              </w:rPr>
              <w:t xml:space="preserve"> en revista indizada de alto prestigio</w:t>
            </w:r>
          </w:p>
        </w:tc>
      </w:tr>
    </w:tbl>
    <w:p>
      <w:pPr>
        <w:spacing w:after="80"/>
      </w:pPr>
    </w:p>
    <w:p>
      <w:pPr>
        <w:spacing w:before="200" w:after="60"/>
      </w:pPr>
      <w:r>
        <w:rPr>
          <w:b/>
          <w:color w:val="1A3050"/>
          <w:sz w:val="22"/>
        </w:rPr>
        <w:t>11.2 Productos adicionales previstos</w:t>
      </w:r>
    </w:p>
    <w:p>
      <w:pPr>
        <w:pStyle w:val="ListBullet"/>
      </w:pPr>
      <w:r>
        <w:rPr>
          <w:b/>
        </w:rPr>
        <w:t>Panel de datos documentado</w:t>
      </w:r>
      <w:r>
        <w:t xml:space="preserve"> depositado en Datasets UP, junto con scripts de construcción y diccionario de variables — replicable por terceros.</w:t>
      </w:r>
    </w:p>
    <w:p>
      <w:pPr>
        <w:pStyle w:val="ListBullet"/>
      </w:pPr>
      <w:r>
        <w:rPr>
          <w:b/>
        </w:rPr>
        <w:t>Documento de trabajo del CIUP</w:t>
      </w:r>
      <w:r>
        <w:t xml:space="preserve"> difundible en la instancia académica institucional.</w:t>
      </w:r>
    </w:p>
    <w:p>
      <w:pPr>
        <w:pStyle w:val="ListBullet"/>
      </w:pPr>
      <w:r>
        <w:rPr>
          <w:b/>
        </w:rPr>
        <w:t>Policy brief</w:t>
      </w:r>
      <w:r>
        <w:t xml:space="preserve"> dirigido a agencias de promoción de exportaciones y a los equipos negociadores de los capítulos de comercio del APTPP.</w:t>
      </w:r>
    </w:p>
    <w:p>
      <w:pPr>
        <w:jc w:val="both"/>
      </w:pPr>
      <w:r>
        <w:t>Todas las publicaciones llevarán la afiliación institucional a la Universidad del Pacífico, conforme al artículo III del MPP.</w:t>
      </w:r>
    </w:p>
    <w:p>
      <w:pPr>
        <w:spacing w:before="280" w:after="40"/>
        <w:shd w:val="clear" w:color="auto" w:fill="1A3050"/>
      </w:pPr>
      <w:r>
        <w:rPr>
          <w:b/>
          <w:color w:val="FFFFFF"/>
          <w:sz w:val="22"/>
        </w:rPr>
        <w:t>12. PLAN DE TRABAJO Y CRONOGRAMA</w:t>
      </w:r>
    </w:p>
    <w:p>
      <w:pPr>
        <w:spacing w:before="0" w:after="80"/>
        <w:pBdr>
          <w:bottom w:val="single" w:sz="12" w:space="1" w:color="1A3050"/>
        </w:pBdr>
      </w:pPr>
    </w:p>
    <w:tbl>
      <w:tblPr>
        <w:tblW w:type="auto" w:w="0"/>
        <w:jc w:val="center"/>
        <w:tblLook w:firstColumn="1" w:firstRow="1" w:lastColumn="0" w:lastRow="0" w:noHBand="0" w:noVBand="1" w:val="04A0"/>
      </w:tblPr>
      <w:tblGrid>
        <w:gridCol w:w="3024"/>
        <w:gridCol w:w="3024"/>
        <w:gridCol w:w="3024"/>
      </w:tblGrid>
      <w:tr>
        <w:tc>
          <w:tcPr>
            <w:tcW w:type="dxa" w:w="3024"/>
            <w:shd w:val="clear" w:color="auto" w:fill="1A3050"/>
          </w:tcPr>
          <w:p>
            <w:pPr>
              <w:spacing w:before="60" w:after="60"/>
            </w:pPr>
            <w:r>
              <w:rPr>
                <w:b/>
                <w:color w:val="FFFFFF"/>
                <w:sz w:val="18"/>
              </w:rPr>
              <w:t>Mes</w:t>
            </w:r>
          </w:p>
        </w:tc>
        <w:tc>
          <w:tcPr>
            <w:tcW w:type="dxa" w:w="3024"/>
            <w:shd w:val="clear" w:color="auto" w:fill="1A3050"/>
          </w:tcPr>
          <w:p>
            <w:pPr>
              <w:spacing w:before="60" w:after="60"/>
            </w:pPr>
            <w:r>
              <w:rPr>
                <w:b/>
                <w:color w:val="FFFFFF"/>
                <w:sz w:val="18"/>
              </w:rPr>
              <w:t>Actividades</w:t>
            </w:r>
          </w:p>
        </w:tc>
        <w:tc>
          <w:tcPr>
            <w:tcW w:type="dxa" w:w="3024"/>
            <w:shd w:val="clear" w:color="auto" w:fill="1A3050"/>
          </w:tcPr>
          <w:p>
            <w:pPr>
              <w:spacing w:before="60" w:after="60"/>
            </w:pPr>
            <w:r>
              <w:rPr>
                <w:b/>
                <w:color w:val="FFFFFF"/>
                <w:sz w:val="18"/>
              </w:rPr>
              <w:t>Entregable</w:t>
            </w:r>
          </w:p>
        </w:tc>
      </w:tr>
      <w:tr>
        <w:tc>
          <w:tcPr>
            <w:tcW w:type="dxa" w:w="3024"/>
          </w:tcPr>
          <w:p>
            <w:pPr>
              <w:spacing w:before="60" w:after="60"/>
            </w:pPr>
            <w:r>
              <w:rPr>
                <w:sz w:val="18"/>
              </w:rPr>
              <w:t>1</w:t>
            </w:r>
          </w:p>
        </w:tc>
        <w:tc>
          <w:tcPr>
            <w:tcW w:type="dxa" w:w="3024"/>
          </w:tcPr>
          <w:p>
            <w:pPr>
              <w:spacing w:before="60" w:after="60"/>
            </w:pPr>
            <w:r>
              <w:rPr>
                <w:sz w:val="18"/>
              </w:rPr>
              <w:t>Descarga y construcción del panel HS-6; obtención y concordancia de la intensidad contractual; diccionario de variables</w:t>
            </w:r>
          </w:p>
        </w:tc>
        <w:tc>
          <w:tcPr>
            <w:tcW w:type="dxa" w:w="3024"/>
          </w:tcPr>
          <w:p>
            <w:pPr>
              <w:spacing w:before="60" w:after="60"/>
            </w:pPr>
            <w:r>
              <w:rPr>
                <w:sz w:val="18"/>
              </w:rPr>
              <w:t>—</w:t>
            </w:r>
          </w:p>
        </w:tc>
      </w:tr>
      <w:tr>
        <w:tc>
          <w:tcPr>
            <w:tcW w:type="dxa" w:w="3024"/>
            <w:shd w:val="clear" w:color="auto" w:fill="F4F6FA"/>
          </w:tcPr>
          <w:p>
            <w:pPr>
              <w:spacing w:before="60" w:after="60"/>
            </w:pPr>
            <w:r>
              <w:rPr>
                <w:sz w:val="18"/>
              </w:rPr>
              <w:t>2</w:t>
            </w:r>
          </w:p>
        </w:tc>
        <w:tc>
          <w:tcPr>
            <w:tcW w:type="dxa" w:w="3024"/>
            <w:shd w:val="clear" w:color="auto" w:fill="F4F6FA"/>
          </w:tcPr>
          <w:p>
            <w:pPr>
              <w:spacing w:before="60" w:after="60"/>
            </w:pPr>
            <w:r>
              <w:rPr>
                <w:sz w:val="18"/>
              </w:rPr>
              <w:t>Estimación de la especificación principal y de PPML</w:t>
            </w:r>
          </w:p>
        </w:tc>
        <w:tc>
          <w:tcPr>
            <w:tcW w:type="dxa" w:w="3024"/>
            <w:shd w:val="clear" w:color="auto" w:fill="F4F6FA"/>
          </w:tcPr>
          <w:p>
            <w:pPr>
              <w:spacing w:before="60" w:after="60"/>
            </w:pPr>
            <w:r>
              <w:rPr>
                <w:sz w:val="18"/>
              </w:rPr>
              <w:t>—</w:t>
            </w:r>
          </w:p>
        </w:tc>
      </w:tr>
      <w:tr>
        <w:tc>
          <w:tcPr>
            <w:tcW w:type="dxa" w:w="3024"/>
          </w:tcPr>
          <w:p>
            <w:pPr>
              <w:spacing w:before="60" w:after="60"/>
            </w:pPr>
            <w:r>
              <w:rPr>
                <w:sz w:val="18"/>
              </w:rPr>
              <w:t>3</w:t>
            </w:r>
          </w:p>
        </w:tc>
        <w:tc>
          <w:tcPr>
            <w:tcW w:type="dxa" w:w="3024"/>
          </w:tcPr>
          <w:p>
            <w:pPr>
              <w:spacing w:before="60" w:after="60"/>
            </w:pPr>
            <w:r>
              <w:rPr>
                <w:sz w:val="18"/>
              </w:rPr>
              <w:t>Batería de robustez y de endogeneidad; contrastes por dimensión WGI</w:t>
            </w:r>
          </w:p>
        </w:tc>
        <w:tc>
          <w:tcPr>
            <w:tcW w:type="dxa" w:w="3024"/>
          </w:tcPr>
          <w:p>
            <w:pPr>
              <w:spacing w:before="60" w:after="60"/>
            </w:pPr>
            <w:r>
              <w:rPr>
                <w:sz w:val="18"/>
              </w:rPr>
              <w:t>—</w:t>
            </w:r>
          </w:p>
        </w:tc>
      </w:tr>
      <w:tr>
        <w:tc>
          <w:tcPr>
            <w:tcW w:type="dxa" w:w="3024"/>
            <w:shd w:val="clear" w:color="auto" w:fill="F4F6FA"/>
          </w:tcPr>
          <w:p>
            <w:pPr>
              <w:spacing w:before="60" w:after="60"/>
            </w:pPr>
            <w:r>
              <w:rPr>
                <w:b/>
                <w:sz w:val="18"/>
              </w:rPr>
              <w:t>4</w:t>
            </w:r>
          </w:p>
        </w:tc>
        <w:tc>
          <w:tcPr>
            <w:tcW w:type="dxa" w:w="3024"/>
            <w:shd w:val="clear" w:color="auto" w:fill="F4F6FA"/>
          </w:tcPr>
          <w:p>
            <w:pPr>
              <w:spacing w:before="60" w:after="60"/>
            </w:pPr>
            <w:r>
              <w:rPr>
                <w:b/>
                <w:sz w:val="18"/>
              </w:rPr>
              <w:t>Informe de avances narrativo y financiero</w:t>
            </w:r>
          </w:p>
        </w:tc>
        <w:tc>
          <w:tcPr>
            <w:tcW w:type="dxa" w:w="3024"/>
            <w:shd w:val="clear" w:color="auto" w:fill="F4F6FA"/>
          </w:tcPr>
          <w:p>
            <w:pPr>
              <w:spacing w:before="60" w:after="60"/>
            </w:pPr>
            <w:r>
              <w:rPr>
                <w:b/>
                <w:sz w:val="18"/>
              </w:rPr>
              <w:t>Informe mes 6</w:t>
            </w:r>
          </w:p>
        </w:tc>
      </w:tr>
      <w:tr>
        <w:tc>
          <w:tcPr>
            <w:tcW w:type="dxa" w:w="3024"/>
          </w:tcPr>
          <w:p>
            <w:pPr>
              <w:spacing w:before="60" w:after="60"/>
            </w:pPr>
            <w:r>
              <w:rPr>
                <w:sz w:val="18"/>
              </w:rPr>
              <w:t>5</w:t>
            </w:r>
          </w:p>
        </w:tc>
        <w:tc>
          <w:tcPr>
            <w:tcW w:type="dxa" w:w="3024"/>
          </w:tcPr>
          <w:p>
            <w:pPr>
              <w:spacing w:before="60" w:after="60"/>
            </w:pPr>
            <w:r>
              <w:rPr>
                <w:sz w:val="18"/>
              </w:rPr>
              <w:t>Redacción del documento de trabajo y del policy brief</w:t>
            </w:r>
          </w:p>
        </w:tc>
        <w:tc>
          <w:tcPr>
            <w:tcW w:type="dxa" w:w="3024"/>
          </w:tcPr>
          <w:p>
            <w:pPr>
              <w:spacing w:before="60" w:after="60"/>
            </w:pPr>
            <w:r>
              <w:rPr>
                <w:sz w:val="18"/>
              </w:rPr>
              <w:t>—</w:t>
            </w:r>
          </w:p>
        </w:tc>
      </w:tr>
      <w:tr>
        <w:tc>
          <w:tcPr>
            <w:tcW w:type="dxa" w:w="3024"/>
            <w:shd w:val="clear" w:color="auto" w:fill="F4F6FA"/>
          </w:tcPr>
          <w:p>
            <w:pPr>
              <w:spacing w:before="60" w:after="60"/>
            </w:pPr>
            <w:r>
              <w:rPr>
                <w:sz w:val="18"/>
              </w:rPr>
              <w:t>6</w:t>
            </w:r>
          </w:p>
        </w:tc>
        <w:tc>
          <w:tcPr>
            <w:tcW w:type="dxa" w:w="3024"/>
            <w:shd w:val="clear" w:color="auto" w:fill="F4F6FA"/>
          </w:tcPr>
          <w:p>
            <w:pPr>
              <w:spacing w:before="60" w:after="60"/>
            </w:pPr>
            <w:r>
              <w:rPr>
                <w:sz w:val="18"/>
              </w:rPr>
              <w:t>Difusión en el CIUP; ajustes</w:t>
            </w:r>
          </w:p>
        </w:tc>
        <w:tc>
          <w:tcPr>
            <w:tcW w:type="dxa" w:w="3024"/>
            <w:shd w:val="clear" w:color="auto" w:fill="F4F6FA"/>
          </w:tcPr>
          <w:p>
            <w:pPr>
              <w:spacing w:before="60" w:after="60"/>
            </w:pPr>
            <w:r>
              <w:rPr>
                <w:sz w:val="18"/>
              </w:rPr>
              <w:t>—</w:t>
            </w:r>
          </w:p>
        </w:tc>
      </w:tr>
      <w:tr>
        <w:tc>
          <w:tcPr>
            <w:tcW w:type="dxa" w:w="3024"/>
          </w:tcPr>
          <w:p>
            <w:pPr>
              <w:spacing w:before="60" w:after="60"/>
            </w:pPr>
            <w:r>
              <w:rPr>
                <w:sz w:val="18"/>
              </w:rPr>
              <w:t>7–9</w:t>
            </w:r>
          </w:p>
        </w:tc>
        <w:tc>
          <w:tcPr>
            <w:tcW w:type="dxa" w:w="3024"/>
          </w:tcPr>
          <w:p>
            <w:pPr>
              <w:spacing w:before="60" w:after="60"/>
            </w:pPr>
            <w:r>
              <w:rPr>
                <w:sz w:val="18"/>
              </w:rPr>
              <w:t>Redacción del manuscrito; revisión interna</w:t>
            </w:r>
          </w:p>
        </w:tc>
        <w:tc>
          <w:tcPr>
            <w:tcW w:type="dxa" w:w="3024"/>
          </w:tcPr>
          <w:p>
            <w:pPr>
              <w:spacing w:before="60" w:after="60"/>
            </w:pPr>
            <w:r>
              <w:rPr>
                <w:sz w:val="18"/>
              </w:rPr>
              <w:t>—</w:t>
            </w:r>
          </w:p>
        </w:tc>
      </w:tr>
      <w:tr>
        <w:tc>
          <w:tcPr>
            <w:tcW w:type="dxa" w:w="3024"/>
            <w:shd w:val="clear" w:color="auto" w:fill="F4F6FA"/>
          </w:tcPr>
          <w:p>
            <w:pPr>
              <w:spacing w:before="60" w:after="60"/>
            </w:pPr>
            <w:r>
              <w:rPr>
                <w:sz w:val="18"/>
              </w:rPr>
              <w:t>10–11</w:t>
            </w:r>
          </w:p>
        </w:tc>
        <w:tc>
          <w:tcPr>
            <w:tcW w:type="dxa" w:w="3024"/>
            <w:shd w:val="clear" w:color="auto" w:fill="F4F6FA"/>
          </w:tcPr>
          <w:p>
            <w:pPr>
              <w:spacing w:before="60" w:after="60"/>
            </w:pPr>
            <w:r>
              <w:rPr>
                <w:sz w:val="18"/>
              </w:rPr>
              <w:t>Depósito del panel y los scripts en Datasets UP</w:t>
            </w:r>
          </w:p>
        </w:tc>
        <w:tc>
          <w:tcPr>
            <w:tcW w:type="dxa" w:w="3024"/>
            <w:shd w:val="clear" w:color="auto" w:fill="F4F6FA"/>
          </w:tcPr>
          <w:p>
            <w:pPr>
              <w:spacing w:before="60" w:after="60"/>
            </w:pPr>
            <w:r>
              <w:rPr>
                <w:sz w:val="18"/>
              </w:rPr>
              <w:t>—</w:t>
            </w:r>
          </w:p>
        </w:tc>
      </w:tr>
      <w:tr>
        <w:tc>
          <w:tcPr>
            <w:tcW w:type="dxa" w:w="3024"/>
          </w:tcPr>
          <w:p>
            <w:pPr>
              <w:spacing w:before="60" w:after="60"/>
            </w:pPr>
            <w:r>
              <w:rPr>
                <w:b/>
                <w:sz w:val="18"/>
              </w:rPr>
              <w:t>12</w:t>
            </w:r>
          </w:p>
        </w:tc>
        <w:tc>
          <w:tcPr>
            <w:tcW w:type="dxa" w:w="3024"/>
          </w:tcPr>
          <w:p>
            <w:pPr>
              <w:spacing w:before="60" w:after="60"/>
            </w:pPr>
            <w:r>
              <w:rPr>
                <w:b/>
                <w:sz w:val="18"/>
              </w:rPr>
              <w:t>Informe final con rendición de cuentas; envío del manuscrito a revista Q1</w:t>
            </w:r>
          </w:p>
        </w:tc>
        <w:tc>
          <w:tcPr>
            <w:tcW w:type="dxa" w:w="3024"/>
          </w:tcPr>
          <w:p>
            <w:pPr>
              <w:spacing w:before="60" w:after="60"/>
            </w:pPr>
            <w:r>
              <w:rPr>
                <w:b/>
                <w:sz w:val="18"/>
              </w:rPr>
              <w:t>Informe final</w:t>
            </w:r>
          </w:p>
        </w:tc>
      </w:tr>
    </w:tbl>
    <w:p>
      <w:pPr>
        <w:spacing w:after="80"/>
      </w:pPr>
    </w:p>
    <w:p>
      <w:pPr>
        <w:spacing w:before="280" w:after="40"/>
        <w:shd w:val="clear" w:color="auto" w:fill="1A3050"/>
      </w:pPr>
      <w:r>
        <w:rPr>
          <w:b/>
          <w:color w:val="FFFFFF"/>
          <w:sz w:val="22"/>
        </w:rPr>
        <w:t>13. PRESUPUESTO ESTIMADO</w:t>
      </w:r>
    </w:p>
    <w:p>
      <w:pPr>
        <w:spacing w:before="0" w:after="80"/>
        <w:pBdr>
          <w:bottom w:val="single" w:sz="12" w:space="1" w:color="1A3050"/>
        </w:pBdr>
      </w:pPr>
    </w:p>
    <w:p>
      <w:pPr>
        <w:jc w:val="both"/>
      </w:pPr>
      <w:r>
        <w:t xml:space="preserve">Monto solicitado: </w:t>
      </w:r>
      <w:r>
        <w:rPr>
          <w:b/>
        </w:rPr>
        <w:t>S/ 47.730,00</w:t>
      </w:r>
      <w:r>
        <w:t xml:space="preserve"> — proyecto de un (1) año.</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1A3050"/>
          </w:tcPr>
          <w:p>
            <w:pPr>
              <w:spacing w:before="60" w:after="60"/>
            </w:pPr>
            <w:r>
              <w:rPr>
                <w:b/>
                <w:color w:val="FFFFFF"/>
                <w:sz w:val="18"/>
              </w:rPr>
              <w:t>Rubro</w:t>
            </w:r>
          </w:p>
        </w:tc>
        <w:tc>
          <w:tcPr>
            <w:tcW w:type="dxa" w:w="3024"/>
            <w:shd w:val="clear" w:color="auto" w:fill="1A3050"/>
          </w:tcPr>
          <w:p>
            <w:pPr>
              <w:spacing w:before="60" w:after="60"/>
            </w:pPr>
            <w:r>
              <w:rPr>
                <w:b/>
                <w:color w:val="FFFFFF"/>
                <w:sz w:val="18"/>
              </w:rPr>
              <w:t>Detalle</w:t>
            </w:r>
          </w:p>
        </w:tc>
        <w:tc>
          <w:tcPr>
            <w:tcW w:type="dxa" w:w="3024"/>
            <w:shd w:val="clear" w:color="auto" w:fill="1A3050"/>
          </w:tcPr>
          <w:p>
            <w:pPr>
              <w:spacing w:before="60" w:after="60"/>
            </w:pPr>
            <w:r>
              <w:rPr>
                <w:b/>
                <w:color w:val="FFFFFF"/>
                <w:sz w:val="18"/>
              </w:rPr>
              <w:t>Monto (S/)</w:t>
            </w:r>
          </w:p>
        </w:tc>
      </w:tr>
      <w:tr>
        <w:tc>
          <w:tcPr>
            <w:tcW w:type="dxa" w:w="3024"/>
          </w:tcPr>
          <w:p>
            <w:pPr>
              <w:spacing w:before="60" w:after="60"/>
            </w:pPr>
            <w:r>
              <w:rPr>
                <w:b/>
                <w:sz w:val="18"/>
              </w:rPr>
              <w:t>Honorarios</w:t>
            </w:r>
          </w:p>
        </w:tc>
        <w:tc>
          <w:tcPr>
            <w:tcW w:type="dxa" w:w="3024"/>
          </w:tcPr>
          <w:p>
            <w:pPr>
              <w:spacing w:before="60" w:after="60"/>
            </w:pPr>
            <w:r>
              <w:rPr>
                <w:sz w:val="18"/>
              </w:rPr>
              <w:t>Asistente de investigación del CIUP (Mg. R. Cuba Alván). Importe pendiente de recalibración — ver nota ↓</w:t>
            </w:r>
          </w:p>
        </w:tc>
        <w:tc>
          <w:tcPr>
            <w:tcW w:type="dxa" w:w="3024"/>
          </w:tcPr>
          <w:p>
            <w:pPr>
              <w:spacing w:before="60" w:after="60"/>
            </w:pPr>
            <w:r>
              <w:rPr>
                <w:sz w:val="18"/>
              </w:rPr>
              <w:t>23.700,00</w:t>
            </w:r>
          </w:p>
        </w:tc>
      </w:tr>
      <w:tr>
        <w:tc>
          <w:tcPr>
            <w:tcW w:type="dxa" w:w="3024"/>
            <w:shd w:val="clear" w:color="auto" w:fill="F4F6FA"/>
          </w:tcPr>
          <w:p>
            <w:pPr>
              <w:spacing w:before="60" w:after="60"/>
            </w:pPr>
            <w:r>
              <w:rPr>
                <w:b/>
                <w:sz w:val="18"/>
              </w:rPr>
              <w:t>Servicios</w:t>
            </w:r>
          </w:p>
        </w:tc>
        <w:tc>
          <w:tcPr>
            <w:tcW w:type="dxa" w:w="3024"/>
            <w:shd w:val="clear" w:color="auto" w:fill="F4F6FA"/>
          </w:tcPr>
          <w:p>
            <w:pPr>
              <w:spacing w:before="60" w:after="60"/>
            </w:pPr>
            <w:r>
              <w:rPr>
                <w:sz w:val="18"/>
              </w:rPr>
              <w:t>Asesoría especializada en estimación de efectos fijos de alta dimensionalidad y PPML. Importe neto S/ 5.000,00 + IGV 18%</w:t>
            </w:r>
          </w:p>
        </w:tc>
        <w:tc>
          <w:tcPr>
            <w:tcW w:type="dxa" w:w="3024"/>
            <w:shd w:val="clear" w:color="auto" w:fill="F4F6FA"/>
          </w:tcPr>
          <w:p>
            <w:pPr>
              <w:spacing w:before="60" w:after="60"/>
            </w:pPr>
            <w:r>
              <w:rPr>
                <w:sz w:val="18"/>
              </w:rPr>
              <w:t>5.900,00</w:t>
            </w:r>
          </w:p>
        </w:tc>
      </w:tr>
      <w:tr>
        <w:tc>
          <w:tcPr>
            <w:tcW w:type="dxa" w:w="3024"/>
          </w:tcPr>
          <w:p>
            <w:pPr>
              <w:spacing w:before="60" w:after="60"/>
            </w:pPr>
            <w:r>
              <w:rPr>
                <w:b/>
                <w:sz w:val="18"/>
              </w:rPr>
              <w:t>Servicios</w:t>
            </w:r>
          </w:p>
        </w:tc>
        <w:tc>
          <w:tcPr>
            <w:tcW w:type="dxa" w:w="3024"/>
          </w:tcPr>
          <w:p>
            <w:pPr>
              <w:spacing w:before="60" w:after="60"/>
            </w:pPr>
            <w:r>
              <w:rPr>
                <w:sz w:val="18"/>
              </w:rPr>
              <w:t>Revisión académica y edición en inglés del manuscrito destinado a revista Q1. Importe neto S/ 3.500,00 + IGV 18%</w:t>
            </w:r>
          </w:p>
        </w:tc>
        <w:tc>
          <w:tcPr>
            <w:tcW w:type="dxa" w:w="3024"/>
          </w:tcPr>
          <w:p>
            <w:pPr>
              <w:spacing w:before="60" w:after="60"/>
            </w:pPr>
            <w:r>
              <w:rPr>
                <w:sz w:val="18"/>
              </w:rPr>
              <w:t>4.130,00</w:t>
            </w:r>
          </w:p>
        </w:tc>
      </w:tr>
      <w:tr>
        <w:tc>
          <w:tcPr>
            <w:tcW w:type="dxa" w:w="3024"/>
            <w:shd w:val="clear" w:color="auto" w:fill="F4F6FA"/>
          </w:tcPr>
          <w:p>
            <w:pPr>
              <w:spacing w:before="60" w:after="60"/>
            </w:pPr>
            <w:r>
              <w:rPr>
                <w:b/>
                <w:sz w:val="18"/>
              </w:rPr>
              <w:t>Materiales e insumos informáticos</w:t>
            </w:r>
          </w:p>
        </w:tc>
        <w:tc>
          <w:tcPr>
            <w:tcW w:type="dxa" w:w="3024"/>
            <w:shd w:val="clear" w:color="auto" w:fill="F4F6FA"/>
          </w:tcPr>
          <w:p>
            <w:pPr>
              <w:spacing w:before="60" w:after="60"/>
            </w:pPr>
            <w:r>
              <w:rPr>
                <w:sz w:val="18"/>
              </w:rPr>
              <w:t>Almacenamiento y cómputo para el panel HS-6 (estimado en 10 GB) y respaldo</w:t>
            </w:r>
          </w:p>
        </w:tc>
        <w:tc>
          <w:tcPr>
            <w:tcW w:type="dxa" w:w="3024"/>
            <w:shd w:val="clear" w:color="auto" w:fill="F4F6FA"/>
          </w:tcPr>
          <w:p>
            <w:pPr>
              <w:spacing w:before="60" w:after="60"/>
            </w:pPr>
            <w:r>
              <w:rPr>
                <w:sz w:val="18"/>
              </w:rPr>
              <w:t>4.000,00</w:t>
            </w:r>
          </w:p>
        </w:tc>
      </w:tr>
      <w:tr>
        <w:tc>
          <w:tcPr>
            <w:tcW w:type="dxa" w:w="3024"/>
          </w:tcPr>
          <w:p>
            <w:pPr>
              <w:spacing w:before="60" w:after="60"/>
            </w:pPr>
            <w:r>
              <w:rPr>
                <w:b/>
                <w:sz w:val="18"/>
              </w:rPr>
              <w:t>Viajes, alojamiento y viáticos</w:t>
            </w:r>
          </w:p>
        </w:tc>
        <w:tc>
          <w:tcPr>
            <w:tcW w:type="dxa" w:w="3024"/>
          </w:tcPr>
          <w:p>
            <w:pPr>
              <w:spacing w:before="60" w:after="60"/>
            </w:pPr>
            <w:r>
              <w:rPr>
                <w:sz w:val="18"/>
              </w:rPr>
              <w:t>Asistencia a seminario académico nacional para difusión de resultados</w:t>
            </w:r>
          </w:p>
        </w:tc>
        <w:tc>
          <w:tcPr>
            <w:tcW w:type="dxa" w:w="3024"/>
          </w:tcPr>
          <w:p>
            <w:pPr>
              <w:spacing w:before="60" w:after="60"/>
            </w:pPr>
            <w:r>
              <w:rPr>
                <w:sz w:val="18"/>
              </w:rPr>
              <w:t>6.000,00</w:t>
            </w:r>
          </w:p>
        </w:tc>
      </w:tr>
      <w:tr>
        <w:tc>
          <w:tcPr>
            <w:tcW w:type="dxa" w:w="3024"/>
            <w:shd w:val="clear" w:color="auto" w:fill="F4F6FA"/>
          </w:tcPr>
          <w:p>
            <w:pPr>
              <w:spacing w:before="60" w:after="60"/>
            </w:pPr>
            <w:r>
              <w:rPr>
                <w:b/>
                <w:sz w:val="18"/>
              </w:rPr>
              <w:t>Movilidad o transporte</w:t>
            </w:r>
          </w:p>
        </w:tc>
        <w:tc>
          <w:tcPr>
            <w:tcW w:type="dxa" w:w="3024"/>
            <w:shd w:val="clear" w:color="auto" w:fill="F4F6FA"/>
          </w:tcPr>
          <w:p>
            <w:pPr>
              <w:spacing w:before="60" w:after="60"/>
            </w:pPr>
            <w:r>
              <w:rPr>
                <w:sz w:val="18"/>
              </w:rPr>
              <w:t>Traslados inherentes a la ejecución del proyecto</w:t>
            </w:r>
          </w:p>
        </w:tc>
        <w:tc>
          <w:tcPr>
            <w:tcW w:type="dxa" w:w="3024"/>
            <w:shd w:val="clear" w:color="auto" w:fill="F4F6FA"/>
          </w:tcPr>
          <w:p>
            <w:pPr>
              <w:spacing w:before="60" w:after="60"/>
            </w:pPr>
            <w:r>
              <w:rPr>
                <w:sz w:val="18"/>
              </w:rPr>
              <w:t>2.000,00</w:t>
            </w:r>
          </w:p>
        </w:tc>
      </w:tr>
      <w:tr>
        <w:tc>
          <w:tcPr>
            <w:tcW w:type="dxa" w:w="3024"/>
          </w:tcPr>
          <w:p>
            <w:pPr>
              <w:spacing w:before="60" w:after="60"/>
            </w:pPr>
            <w:r>
              <w:rPr>
                <w:b/>
                <w:sz w:val="18"/>
              </w:rPr>
              <w:t>Imprevistos</w:t>
            </w:r>
          </w:p>
        </w:tc>
        <w:tc>
          <w:tcPr>
            <w:tcW w:type="dxa" w:w="3024"/>
          </w:tcPr>
          <w:p>
            <w:pPr>
              <w:spacing w:before="60" w:after="60"/>
            </w:pPr>
            <w:r>
              <w:rPr>
                <w:sz w:val="18"/>
              </w:rPr>
              <w:t>4,2% del total</w:t>
            </w:r>
          </w:p>
        </w:tc>
        <w:tc>
          <w:tcPr>
            <w:tcW w:type="dxa" w:w="3024"/>
          </w:tcPr>
          <w:p>
            <w:pPr>
              <w:spacing w:before="60" w:after="60"/>
            </w:pPr>
            <w:r>
              <w:rPr>
                <w:sz w:val="18"/>
              </w:rPr>
              <w:t>2.000,00</w:t>
            </w:r>
          </w:p>
        </w:tc>
      </w:tr>
    </w:tbl>
    <w:p>
      <w:pPr>
        <w:spacing w:after="80"/>
      </w:pPr>
    </w:p>
    <w:p>
      <w:pPr>
        <w:jc w:val="both"/>
      </w:pPr>
      <w:r>
        <w:rPr>
          <w:b/>
        </w:rPr>
        <w:t>Verificación de cumplimiento presupuestario:</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A3050"/>
          </w:tcPr>
          <w:p>
            <w:pPr>
              <w:spacing w:before="60" w:after="60"/>
            </w:pPr>
            <w:r>
              <w:rPr>
                <w:b/>
                <w:color w:val="FFFFFF"/>
                <w:sz w:val="18"/>
              </w:rPr>
              <w:t>Requisito del MPP</w:t>
            </w:r>
          </w:p>
        </w:tc>
        <w:tc>
          <w:tcPr>
            <w:tcW w:type="dxa" w:w="2268"/>
            <w:shd w:val="clear" w:color="auto" w:fill="1A3050"/>
          </w:tcPr>
          <w:p>
            <w:pPr>
              <w:spacing w:before="60" w:after="60"/>
            </w:pPr>
            <w:r>
              <w:rPr>
                <w:b/>
                <w:color w:val="FFFFFF"/>
                <w:sz w:val="18"/>
              </w:rPr>
              <w:t>Límite</w:t>
            </w:r>
          </w:p>
        </w:tc>
        <w:tc>
          <w:tcPr>
            <w:tcW w:type="dxa" w:w="2268"/>
            <w:shd w:val="clear" w:color="auto" w:fill="1A3050"/>
          </w:tcPr>
          <w:p>
            <w:pPr>
              <w:spacing w:before="60" w:after="60"/>
            </w:pPr>
            <w:r>
              <w:rPr>
                <w:b/>
                <w:color w:val="FFFFFF"/>
                <w:sz w:val="18"/>
              </w:rPr>
              <w:t>Propuesta</w:t>
            </w:r>
          </w:p>
        </w:tc>
        <w:tc>
          <w:tcPr>
            <w:tcW w:type="dxa" w:w="2268"/>
            <w:shd w:val="clear" w:color="auto" w:fill="1A3050"/>
          </w:tcPr>
          <w:p>
            <w:pPr>
              <w:spacing w:before="60" w:after="60"/>
            </w:pPr>
            <w:r>
              <w:rPr>
                <w:b/>
                <w:color w:val="FFFFFF"/>
                <w:sz w:val="18"/>
              </w:rPr>
              <w:t>Cumple</w:t>
            </w:r>
          </w:p>
        </w:tc>
      </w:tr>
      <w:tr>
        <w:tc>
          <w:tcPr>
            <w:tcW w:type="dxa" w:w="2268"/>
          </w:tcPr>
          <w:p>
            <w:pPr>
              <w:spacing w:before="60" w:after="60"/>
            </w:pPr>
            <w:r>
              <w:rPr>
                <w:sz w:val="18"/>
              </w:rPr>
              <w:t>Rubro honorarios</w:t>
            </w:r>
          </w:p>
        </w:tc>
        <w:tc>
          <w:tcPr>
            <w:tcW w:type="dxa" w:w="2268"/>
          </w:tcPr>
          <w:p>
            <w:pPr>
              <w:spacing w:before="60" w:after="60"/>
            </w:pPr>
            <w:r>
              <w:rPr>
                <w:sz w:val="18"/>
              </w:rPr>
              <w:t>≤ 50% del total</w:t>
            </w:r>
          </w:p>
        </w:tc>
        <w:tc>
          <w:tcPr>
            <w:tcW w:type="dxa" w:w="2268"/>
          </w:tcPr>
          <w:p>
            <w:pPr>
              <w:spacing w:before="60" w:after="60"/>
            </w:pPr>
            <w:r>
              <w:rPr>
                <w:sz w:val="18"/>
              </w:rPr>
              <w:t>49,7%</w:t>
            </w:r>
          </w:p>
        </w:tc>
        <w:tc>
          <w:tcPr>
            <w:tcW w:type="dxa" w:w="2268"/>
          </w:tcPr>
          <w:p>
            <w:pPr>
              <w:spacing w:before="60" w:after="60"/>
            </w:pPr>
            <w:r>
              <w:rPr>
                <w:sz w:val="18"/>
              </w:rPr>
              <w:t>✅</w:t>
            </w:r>
          </w:p>
        </w:tc>
      </w:tr>
      <w:tr>
        <w:tc>
          <w:tcPr>
            <w:tcW w:type="dxa" w:w="2268"/>
            <w:shd w:val="clear" w:color="auto" w:fill="F4F6FA"/>
          </w:tcPr>
          <w:p>
            <w:pPr>
              <w:spacing w:before="60" w:after="60"/>
            </w:pPr>
            <w:r>
              <w:rPr>
                <w:sz w:val="18"/>
              </w:rPr>
              <w:t>Imprevistos</w:t>
            </w:r>
          </w:p>
        </w:tc>
        <w:tc>
          <w:tcPr>
            <w:tcW w:type="dxa" w:w="2268"/>
            <w:shd w:val="clear" w:color="auto" w:fill="F4F6FA"/>
          </w:tcPr>
          <w:p>
            <w:pPr>
              <w:spacing w:before="60" w:after="60"/>
            </w:pPr>
            <w:r>
              <w:rPr>
                <w:sz w:val="18"/>
              </w:rPr>
              <w:t>≤ 5% del total</w:t>
            </w:r>
          </w:p>
        </w:tc>
        <w:tc>
          <w:tcPr>
            <w:tcW w:type="dxa" w:w="2268"/>
            <w:shd w:val="clear" w:color="auto" w:fill="F4F6FA"/>
          </w:tcPr>
          <w:p>
            <w:pPr>
              <w:spacing w:before="60" w:after="60"/>
            </w:pPr>
            <w:r>
              <w:rPr>
                <w:sz w:val="18"/>
              </w:rPr>
              <w:t>4,2%</w:t>
            </w:r>
          </w:p>
        </w:tc>
        <w:tc>
          <w:tcPr>
            <w:tcW w:type="dxa" w:w="2268"/>
            <w:shd w:val="clear" w:color="auto" w:fill="F4F6FA"/>
          </w:tcPr>
          <w:p>
            <w:pPr>
              <w:spacing w:before="60" w:after="60"/>
            </w:pPr>
            <w:r>
              <w:rPr>
                <w:sz w:val="18"/>
              </w:rPr>
              <w:t>✅</w:t>
            </w:r>
          </w:p>
        </w:tc>
      </w:tr>
      <w:tr>
        <w:tc>
          <w:tcPr>
            <w:tcW w:type="dxa" w:w="2268"/>
          </w:tcPr>
          <w:p>
            <w:pPr>
              <w:spacing w:before="60" w:after="60"/>
            </w:pPr>
            <w:r>
              <w:rPr>
                <w:sz w:val="18"/>
              </w:rPr>
              <w:t>IGV sobre servicios y equipamiento</w:t>
            </w:r>
          </w:p>
        </w:tc>
        <w:tc>
          <w:tcPr>
            <w:tcW w:type="dxa" w:w="2268"/>
          </w:tcPr>
          <w:p>
            <w:pPr>
              <w:spacing w:before="60" w:after="60"/>
            </w:pPr>
            <w:r>
              <w:rPr>
                <w:sz w:val="18"/>
              </w:rPr>
              <w:t>18% incluido</w:t>
            </w:r>
          </w:p>
        </w:tc>
        <w:tc>
          <w:tcPr>
            <w:tcW w:type="dxa" w:w="2268"/>
          </w:tcPr>
          <w:p>
            <w:pPr>
              <w:spacing w:before="60" w:after="60"/>
            </w:pPr>
            <w:r>
              <w:rPr>
                <w:sz w:val="18"/>
              </w:rPr>
              <w:t>Incluido en ambos rubros de servicios</w:t>
            </w:r>
          </w:p>
        </w:tc>
        <w:tc>
          <w:tcPr>
            <w:tcW w:type="dxa" w:w="2268"/>
          </w:tcPr>
          <w:p>
            <w:pPr>
              <w:spacing w:before="60" w:after="60"/>
            </w:pPr>
            <w:r>
              <w:rPr>
                <w:sz w:val="18"/>
              </w:rPr>
              <w:t>✅</w:t>
            </w:r>
          </w:p>
        </w:tc>
      </w:tr>
      <w:tr>
        <w:tc>
          <w:tcPr>
            <w:tcW w:type="dxa" w:w="2268"/>
            <w:shd w:val="clear" w:color="auto" w:fill="F4F6FA"/>
          </w:tcPr>
          <w:p>
            <w:pPr>
              <w:spacing w:before="60" w:after="60"/>
            </w:pPr>
            <w:r>
              <w:rPr>
                <w:sz w:val="18"/>
              </w:rPr>
              <w:t>Tasas de envío y APC</w:t>
            </w:r>
          </w:p>
        </w:tc>
        <w:tc>
          <w:tcPr>
            <w:tcW w:type="dxa" w:w="2268"/>
            <w:shd w:val="clear" w:color="auto" w:fill="F4F6FA"/>
          </w:tcPr>
          <w:p>
            <w:pPr>
              <w:spacing w:before="60" w:after="60"/>
            </w:pPr>
            <w:r>
              <w:rPr>
                <w:sz w:val="18"/>
              </w:rPr>
              <w:t>No cubiertos</w:t>
            </w:r>
          </w:p>
        </w:tc>
        <w:tc>
          <w:tcPr>
            <w:tcW w:type="dxa" w:w="2268"/>
            <w:shd w:val="clear" w:color="auto" w:fill="F4F6FA"/>
          </w:tcPr>
          <w:p>
            <w:pPr>
              <w:spacing w:before="60" w:after="60"/>
            </w:pPr>
            <w:r>
              <w:rPr>
                <w:sz w:val="18"/>
              </w:rPr>
              <w:t>No solicitados</w:t>
            </w:r>
          </w:p>
        </w:tc>
        <w:tc>
          <w:tcPr>
            <w:tcW w:type="dxa" w:w="2268"/>
            <w:shd w:val="clear" w:color="auto" w:fill="F4F6FA"/>
          </w:tcPr>
          <w:p>
            <w:pPr>
              <w:spacing w:before="60" w:after="60"/>
            </w:pPr>
            <w:r>
              <w:rPr>
                <w:sz w:val="18"/>
              </w:rPr>
              <w:t>✅</w:t>
            </w:r>
          </w:p>
        </w:tc>
      </w:tr>
      <w:tr>
        <w:tc>
          <w:tcPr>
            <w:tcW w:type="dxa" w:w="2268"/>
          </w:tcPr>
          <w:p>
            <w:pPr>
              <w:spacing w:before="60" w:after="60"/>
            </w:pPr>
            <w:r>
              <w:rPr>
                <w:sz w:val="18"/>
              </w:rPr>
              <w:t>Honorarios de docente a tiempo completo</w:t>
            </w:r>
          </w:p>
        </w:tc>
        <w:tc>
          <w:tcPr>
            <w:tcW w:type="dxa" w:w="2268"/>
          </w:tcPr>
          <w:p>
            <w:pPr>
              <w:spacing w:before="60" w:after="60"/>
            </w:pPr>
            <w:r>
              <w:rPr>
                <w:sz w:val="18"/>
              </w:rPr>
              <w:t>No permitidos</w:t>
            </w:r>
          </w:p>
        </w:tc>
        <w:tc>
          <w:tcPr>
            <w:tcW w:type="dxa" w:w="2268"/>
          </w:tcPr>
          <w:p>
            <w:pPr>
              <w:spacing w:before="60" w:after="60"/>
            </w:pPr>
            <w:r>
              <w:rPr>
                <w:sz w:val="18"/>
              </w:rPr>
              <w:t>La coordinadora no recibe honorarios</w:t>
            </w:r>
          </w:p>
        </w:tc>
        <w:tc>
          <w:tcPr>
            <w:tcW w:type="dxa" w:w="2268"/>
          </w:tcPr>
          <w:p>
            <w:pPr>
              <w:spacing w:before="60" w:after="60"/>
            </w:pPr>
            <w:r>
              <w:rPr>
                <w:sz w:val="18"/>
              </w:rPr>
              <w:t>✅</w:t>
            </w:r>
          </w:p>
        </w:tc>
      </w:tr>
    </w:tbl>
    <w:p>
      <w:pPr>
        <w:spacing w:after="80"/>
      </w:pPr>
    </w:p>
    <w:p>
      <w:pPr>
        <w:jc w:val="both"/>
      </w:pPr>
      <w:r>
        <w:t>El monto solicitado se mantiene por debajo del tope de S/ 50.000,00 del proyecto de un año.</w:t>
      </w:r>
    </w:p>
    <w:p>
      <w:pPr>
        <w:ind w:left="400"/>
      </w:pPr>
      <w:r>
        <w:rPr>
          <w:i/>
        </w:rPr>
        <w:t>[PENDIENTE — estructura de la remuneración del asistente de investigación]</w:t>
      </w:r>
    </w:p>
    <w:p>
      <w:pPr>
        <w:ind w:left="400"/>
      </w:pPr>
      <w:r>
        <w:rPr>
          <w:i/>
        </w:rPr>
      </w:r>
    </w:p>
    <w:p>
      <w:pPr>
        <w:ind w:left="400"/>
      </w:pPr>
      <w:r>
        <w:rPr>
          <w:i/>
        </w:rPr>
        <w:t>La cifra de honorarios usa un importe de referencia y debe recalibrarse contra el monto real, confirmado con la Administración del CIUP. Con la tarifa declarada por el asistente —S/ 3.000 brutos mensuales— el costo total al proyecto bajo el régimen de planilla asciende a:</w:t>
      </w:r>
    </w:p>
    <w:p>
      <w:pPr>
        <w:ind w:left="400"/>
      </w:pPr>
      <w:r>
        <w:rPr>
          <w:i/>
        </w:rPr>
      </w:r>
    </w:p>
    <w:p>
      <w:pPr>
        <w:ind w:left="400"/>
      </w:pPr>
      <w:r>
        <w:rPr>
          <w:i/>
        </w:rPr>
        <w:t>| Concepto | Cálculo | Monto |</w:t>
      </w:r>
    </w:p>
    <w:p>
      <w:pPr>
        <w:ind w:left="400"/>
      </w:pPr>
      <w:r>
        <w:rPr>
          <w:i/>
        </w:rPr>
        <w:t>|---|---|---|</w:t>
      </w:r>
    </w:p>
    <w:p>
      <w:pPr>
        <w:ind w:left="400"/>
      </w:pPr>
      <w:r>
        <w:rPr>
          <w:i/>
        </w:rPr>
        <w:t>| Costo mensual (sueldo + 58% de impuestos y beneficios de ley) | 3.000 × 1,58 | S/ 4.740 |</w:t>
      </w:r>
    </w:p>
    <w:p>
      <w:pPr>
        <w:ind w:left="400"/>
      </w:pPr>
      <w:r>
        <w:rPr>
          <w:i/>
        </w:rPr>
        <w:t>| Costo de 12 meses a tiempo completo | 4.740 × 12 | S/ 56.880 |</w:t>
      </w:r>
    </w:p>
    <w:p>
      <w:pPr>
        <w:ind w:left="400"/>
      </w:pPr>
      <w:r>
        <w:rPr>
          <w:i/>
        </w:rPr>
        <w:t>| Tope total de un proyecto de un año (art. 2.2) | — | S/ 50.000 |</w:t>
      </w:r>
    </w:p>
    <w:p>
      <w:pPr>
        <w:ind w:left="400"/>
      </w:pPr>
      <w:r>
        <w:rPr>
          <w:i/>
        </w:rPr>
        <w:t>| Techo del rubro honorarios (50% del presupuesto de S/ 47.730) | — | S/ 23.865 |</w:t>
      </w:r>
    </w:p>
    <w:p>
      <w:pPr>
        <w:ind w:left="400"/>
      </w:pPr>
      <w:r>
        <w:rPr>
          <w:i/>
        </w:rPr>
      </w:r>
    </w:p>
    <w:p>
      <w:pPr>
        <w:ind w:left="400"/>
      </w:pPr>
      <w:r>
        <w:rPr>
          <w:i/>
        </w:rPr>
        <w:t>S/ 56.880 supera el monto total máximo del proyecto, no solo el techo de honorarios. En consecuencia, la planilla a tiempo completo durante los doce meses no puede financiarse íntegramente con este proyecto.</w:t>
      </w:r>
    </w:p>
    <w:p>
      <w:pPr>
        <w:ind w:left="400"/>
      </w:pPr>
      <w:r>
        <w:rPr>
          <w:i/>
        </w:rPr>
      </w:r>
    </w:p>
    <w:p>
      <w:pPr>
        <w:ind w:left="400"/>
      </w:pPr>
      <w:r>
        <w:rPr>
          <w:i/>
        </w:rPr>
        <w:t>Restricción de calendario. El contrato del asistente vence el 14 de diciembre de 2026; los resultados del Concurso se anuncian en diciembre y el proyecto inicia el 1 de marzo de 2027. Entre ambos hay un hueco de tres meses sin vinculación con la Universidad, y la declaración de *«Relación con la Universidad»* que exige el formato de presupuesto cambia entre la presentación y el inicio. El proyecto no puede presupuestar trabajo anterior al 1 de marzo de 2027: ese hueco se resuelve con la renovación del contrato en el CIUP, no con esta propuesta.</w:t>
      </w:r>
    </w:p>
    <w:p>
      <w:pPr>
        <w:ind w:left="400"/>
      </w:pPr>
      <w:r>
        <w:rPr>
          <w:i/>
        </w:rPr>
      </w:r>
    </w:p>
    <w:p>
      <w:pPr>
        <w:ind w:left="400"/>
      </w:pPr>
      <w:r>
        <w:rPr>
          <w:i/>
        </w:rPr>
        <w:t>Cuatro vías admite el MPP para estructurar la remuneración:</w:t>
      </w:r>
    </w:p>
    <w:p>
      <w:pPr>
        <w:ind w:left="400"/>
      </w:pPr>
      <w:r>
        <w:rPr>
          <w:i/>
        </w:rPr>
      </w:r>
    </w:p>
    <w:p>
      <w:pPr>
        <w:ind w:left="400"/>
      </w:pPr>
      <w:r>
        <w:rPr>
          <w:i/>
        </w:rPr>
        <w:t>1. Fondos de contraparte. El numeral 5.2 exige adjuntar «confirmación de fondos de contraparte, si correspondiera»: la Universidad mantiene la planilla y el proyecto cubre únicamente costos directos. Es la vía conforme sin excepción.</w:t>
      </w:r>
    </w:p>
    <w:p>
      <w:pPr>
        <w:ind w:left="400"/>
      </w:pPr>
      <w:r>
        <w:rPr>
          <w:i/>
        </w:rPr>
        <w:t>2. Financiamiento parcial. El proyecto cubre una fracción del año —S/ 23.865 ÷ 4.740 ≈ 5 meses— y la Universidad asume el resto como contraparte.</w:t>
      </w:r>
    </w:p>
    <w:p>
      <w:pPr>
        <w:ind w:left="400"/>
      </w:pPr>
      <w:r>
        <w:rPr>
          <w:i/>
        </w:rPr>
        <w:t>3. Excepción al 50% (art. 5.4). Permite superar la proporción «de manera excepcional y justificada» cuando los recursos se destinen a asistentes de investigación, con aprobación del Comité de Evaluación. Aun así, el tope de S/ 50.000 sigue ligando.</w:t>
      </w:r>
    </w:p>
    <w:p>
      <w:pPr>
        <w:ind w:left="400"/>
      </w:pPr>
      <w:r>
        <w:rPr>
          <w:i/>
        </w:rPr>
        <w:t>4. Contratación como consultor por honorarios, sin planilla. Al prescindir del 58% de impuestos y beneficios de ley, el costo baja de S/ 4.740 a S/ 3.000 al mes; con el mismo techo de honorarios cabrían S/ 23.865 ÷ 3.000 ≈ 8 meses en vez de 5. Como el asistente no mantendría relación de dependencia con la Universidad a partir del 14 de diciembre, el ingreso calificaría como renta de cuarta categoría. Dos objeciones sin resolver: (a) el art. 5.3 establece que contratar asistentes de investigación cuesta «el sueldo estipulado por el CIUP» más el 58%, formulación que apunta a un vínculo de planilla; y (b) una dedicación prolongada con cuota mensual fija y exclusividad puede calificarse como relación laboral encubierta. Su admisibilidad debe confirmarse con Administración antes de utilizarla.</w:t>
      </w:r>
    </w:p>
    <w:p>
      <w:pPr>
        <w:ind w:left="400"/>
      </w:pPr>
      <w:r>
        <w:rPr>
          <w:i/>
        </w:rPr>
      </w:r>
    </w:p>
    <w:p>
      <w:pPr>
        <w:ind w:left="400"/>
      </w:pPr>
      <w:r>
        <w:rPr>
          <w:i/>
        </w:rPr>
        <w:t>Cualquiera de las cuatro requiere confirmación previa con el Jefe de Administración del CIUP, a quien remite el propio MPP ante dudas de presupuesto. No debe pagarse al asistente dos veces por las mismas horas —la planilla habitual y los honorarios del proyecto son fuentes excluyentes para un mismo tiempo de trabajo.</w:t>
      </w:r>
    </w:p>
    <w:p>
      <w:pPr>
        <w:spacing w:before="280" w:after="40"/>
        <w:shd w:val="clear" w:color="auto" w:fill="1A3050"/>
      </w:pPr>
      <w:r>
        <w:rPr>
          <w:b/>
          <w:color w:val="FFFFFF"/>
          <w:sz w:val="22"/>
        </w:rPr>
        <w:t>14. BIBLIOGRAFÍA</w:t>
      </w:r>
    </w:p>
    <w:p>
      <w:pPr>
        <w:spacing w:before="0" w:after="80"/>
        <w:pBdr>
          <w:bottom w:val="single" w:sz="12" w:space="1" w:color="1A3050"/>
        </w:pBdr>
      </w:pPr>
    </w:p>
    <w:p>
      <w:pPr>
        <w:jc w:val="both"/>
      </w:pPr>
      <w:r>
        <w:t xml:space="preserve">Anderson, J. E., y Van Wincoop, E. (2003). Gravity with Gravitas. </w:t>
      </w:r>
      <w:r>
        <w:rPr>
          <w:i/>
        </w:rPr>
        <w:t>American Economic Review</w:t>
      </w:r>
      <w:r>
        <w:t>, 93(1), 170–192.</w:t>
      </w:r>
    </w:p>
    <w:p>
      <w:pPr>
        <w:jc w:val="both"/>
      </w:pPr>
      <w:r>
        <w:t xml:space="preserve">Abreo Villamizar, M. C., Bustillo, R. E., y Rodríguez González, C. M. (2021). Institutional Quality and Export Performance. </w:t>
      </w:r>
      <w:r>
        <w:rPr>
          <w:i/>
        </w:rPr>
        <w:t>Journal of Economic Structures</w:t>
      </w:r>
      <w:r>
        <w:t>, 10:28.</w:t>
      </w:r>
    </w:p>
    <w:p>
      <w:pPr>
        <w:jc w:val="both"/>
      </w:pPr>
      <w:r>
        <w:t xml:space="preserve">De Groot, H. L. F., et al. (2004). The Institutional Determinants of Bilateral Trade Flows. </w:t>
      </w:r>
      <w:r>
        <w:rPr>
          <w:i/>
        </w:rPr>
        <w:t>International Review of Economics &amp; Finance</w:t>
      </w:r>
      <w:r>
        <w:t>, 13(3), 217–232.</w:t>
      </w:r>
    </w:p>
    <w:p>
      <w:pPr>
        <w:jc w:val="both"/>
      </w:pPr>
      <w:r>
        <w:t xml:space="preserve">Gaulier, G., y Zignago, S. (2010). BACI: International Trade Database at the Product-Level. </w:t>
      </w:r>
      <w:r>
        <w:rPr>
          <w:i/>
        </w:rPr>
        <w:t>CEPII Working Paper</w:t>
      </w:r>
      <w:r>
        <w:t xml:space="preserve"> N°2010-23.</w:t>
      </w:r>
    </w:p>
    <w:p>
      <w:pPr>
        <w:jc w:val="both"/>
      </w:pPr>
      <w:r>
        <w:t>Hasnain, Z., Manning, N., y Andrango, G. (2022). Governance and Trade. Banco Mundial.</w:t>
      </w:r>
    </w:p>
    <w:p>
      <w:pPr>
        <w:jc w:val="both"/>
      </w:pPr>
      <w:r>
        <w:t xml:space="preserve">Levchenko, A. A. (2007). Institutional Quality and International Trade. </w:t>
      </w:r>
      <w:r>
        <w:rPr>
          <w:i/>
        </w:rPr>
        <w:t>Review of Economic Studies</w:t>
      </w:r>
      <w:r>
        <w:t>, 74(3), 791–819.</w:t>
      </w:r>
    </w:p>
    <w:p>
      <w:pPr>
        <w:jc w:val="both"/>
      </w:pPr>
      <w:r>
        <w:t xml:space="preserve">Méon, P.-G., y Sekkat, K. (2004). Does the Quality of Institutions Affect the Accumulation of Foreign Direct Investment? </w:t>
      </w:r>
      <w:r>
        <w:rPr>
          <w:i/>
        </w:rPr>
        <w:t>International Economic Journal</w:t>
      </w:r>
      <w:r>
        <w:t>, 18(3), 389–416.</w:t>
      </w:r>
    </w:p>
    <w:p>
      <w:pPr>
        <w:jc w:val="both"/>
      </w:pPr>
      <w:r>
        <w:t xml:space="preserve">Nunn, N. (2007). Relationship-Specificity, Incomplete Contracts, and the Pattern of Trade. </w:t>
      </w:r>
      <w:r>
        <w:rPr>
          <w:i/>
        </w:rPr>
        <w:t>Quarterly Journal of Economics</w:t>
      </w:r>
      <w:r>
        <w:t>, 122(4), 1415–1478.</w:t>
      </w:r>
    </w:p>
    <w:p>
      <w:pPr>
        <w:jc w:val="both"/>
      </w:pPr>
      <w:r>
        <w:t xml:space="preserve">Rauch, J. E. (1999). Networks versus Markets in International Trade. </w:t>
      </w:r>
      <w:r>
        <w:rPr>
          <w:i/>
        </w:rPr>
        <w:t>Journal of International Economics</w:t>
      </w:r>
      <w:r>
        <w:t>, 48(1), 7–35.</w:t>
      </w:r>
    </w:p>
    <w:p>
      <w:pPr>
        <w:jc w:val="both"/>
      </w:pPr>
      <w:r>
        <w:t xml:space="preserve">Riker, D. H. (2022). Institutional Quality and Bilateral Trade. </w:t>
      </w:r>
      <w:r>
        <w:rPr>
          <w:i/>
        </w:rPr>
        <w:t>USITC Working Paper</w:t>
      </w:r>
      <w:r>
        <w:t xml:space="preserve"> 2022-10-A.</w:t>
      </w:r>
    </w:p>
    <w:p>
      <w:pPr>
        <w:jc w:val="both"/>
      </w:pPr>
      <w:r>
        <w:t xml:space="preserve">Santos Silva, J., y Tenreyro, S. (2006). The Log of Gravity. </w:t>
      </w:r>
      <w:r>
        <w:rPr>
          <w:i/>
        </w:rPr>
        <w:t>Review of Economics and Statistics</w:t>
      </w:r>
      <w:r>
        <w:t>, 88(4), 641–658.</w:t>
      </w:r>
    </w:p>
    <w:p>
      <w:pPr>
        <w:jc w:val="both"/>
      </w:pPr>
      <w:r>
        <w:t xml:space="preserve">Tinbergen, J. (1962). </w:t>
      </w:r>
      <w:r>
        <w:rPr>
          <w:i/>
        </w:rPr>
        <w:t>Shaping the World Economy: Suggestions for an International Economic Policy</w:t>
      </w:r>
      <w:r>
        <w:t>. Twentieth Century Fund.</w:t>
      </w:r>
    </w:p>
    <w:p>
      <w:pPr>
        <w:jc w:val="both"/>
      </w:pPr>
      <w:r>
        <w:t xml:space="preserve">Wei, S. J. (2000). How Taxing Is Corruption on International Investors? </w:t>
      </w:r>
      <w:r>
        <w:rPr>
          <w:i/>
        </w:rPr>
        <w:t>Review of Economics and Statistics</w:t>
      </w:r>
      <w:r>
        <w:t>, 82(1), 1–11.</w:t>
      </w:r>
    </w:p>
    <w:p>
      <w:pPr>
        <w:spacing w:before="280" w:after="40"/>
        <w:shd w:val="clear" w:color="auto" w:fill="1A3050"/>
      </w:pPr>
      <w:r>
        <w:rPr>
          <w:b/>
          <w:color w:val="FFFFFF"/>
          <w:sz w:val="22"/>
        </w:rPr>
        <w:t>15. ANEXOS</w:t>
      </w:r>
    </w:p>
    <w:p>
      <w:pPr>
        <w:spacing w:before="0" w:after="80"/>
        <w:pBdr>
          <w:bottom w:val="single" w:sz="12" w:space="1" w:color="1A3050"/>
        </w:pBdr>
      </w:pPr>
    </w:p>
    <w:p>
      <w:pPr>
        <w:pStyle w:val="ListBullet"/>
      </w:pPr>
      <w:r>
        <w:rPr>
          <w:b/>
        </w:rPr>
        <w:t>Anexo 1.</w:t>
      </w:r>
      <w:r>
        <w:t xml:space="preserve"> Diccionario de variables del panel HS-6. </w:t>
      </w:r>
      <w:r>
        <w:rPr>
          <w:i/>
        </w:rPr>
        <w:t>(por adjuntar)</w:t>
      </w:r>
    </w:p>
    <w:p>
      <w:pPr>
        <w:pStyle w:val="ListBullet"/>
      </w:pPr>
      <w:r>
        <w:rPr>
          <w:b/>
        </w:rPr>
        <w:t>Anexo 2.</w:t>
      </w:r>
      <w:r>
        <w:t xml:space="preserve"> Concordancia entre clasificación Nunn (2007) y código HS-6. </w:t>
      </w:r>
      <w:r>
        <w:rPr>
          <w:i/>
        </w:rPr>
        <w:t>(por adjuntar)</w:t>
      </w:r>
    </w:p>
    <w:p>
      <w:pPr>
        <w:pStyle w:val="ListBullet"/>
      </w:pPr>
      <w:r>
        <w:rPr>
          <w:b/>
        </w:rPr>
        <w:t>Anexo 3.</w:t>
      </w:r>
      <w:r>
        <w:t xml:space="preserve"> Formato de datos personales firmado por cada integrante. </w:t>
      </w:r>
      <w:r>
        <w:rPr>
          <w:i/>
        </w:rPr>
        <w:t>(por completar y firmar)</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