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960"/>
      </w:pPr>
      <w:r>
        <w:t>Por qué la distancia explica lo que Perú exporta pero no lo que importa: el espejismo del oro, el cobre y el peso de la manufactura asiática</w:t>
      </w:r>
    </w:p>
    <w:p>
      <w:pPr>
        <w:pStyle w:val="PaperAuthor"/>
      </w:pPr>
      <w:r>
        <w:t>Ricardo Cuba · appsperu / Rastro · Octubre 2026</w:t>
      </w:r>
    </w:p>
    <w:p>
      <w:r>
        <w:br w:type="page"/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Resumen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1. Introducción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spacing w:after="40"/>
      </w:pP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2. Datos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BACI HS92 (vintage 202601)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baci_flujos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BACI, catálogo de países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baci_paises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Nombre y código ISO3 de cada código numérico CEPII.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Banco Mundial, World Development Indicators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wdi_indicadores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PBI corriente en USD (NY.GDP.MKTP.CD), 202 países, 2015-2024.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GeoDist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geodist_diadas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Gravity V202211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gravity_acuerdos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3. Método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spacing w:after="40"/>
      </w:pPr>
    </w:p>
    <w:p>
      <w:r>
        <w:rPr>
          <w:rFonts w:ascii="Consolas" w:hAnsi="Consolas"/>
          <w:sz w:val="18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spacing w:after="40"/>
      </w:pP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4. Resultados — exportaciones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4.1 Especificación cruda: el signo equivocado</w:t>
      </w:r>
    </w:p>
    <w:p>
      <w:pPr>
        <w:spacing w:after="40"/>
      </w:pP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+1.10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+0.64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+1.73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+1.67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−0.59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0.19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+0.71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0.013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0.87.</w:t>
      </w:r>
    </w:p>
    <w:p>
      <w:pPr>
        <w:spacing w:after="40"/>
      </w:pP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4.2 Diagnóstico: no es multicolinealidad</w:t>
      </w:r>
    </w:p>
    <w:p>
      <w:pPr>
        <w:spacing w:after="40"/>
      </w:pP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Suiza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710812 — oro semi-manufacturado, no monetario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23,072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Namibia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260300 — concentrados de cobre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1,586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4.3 Filtro por producto: excluir minerales, oro/plata y combustibles</w:t>
      </w:r>
    </w:p>
    <w:p>
      <w:pPr>
        <w:spacing w:after="40"/>
      </w:pP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+0.87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0.020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+0.26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+0.11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0.58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0.90.</w:t>
      </w:r>
    </w:p>
    <w:p>
      <w:pPr>
        <w:spacing w:after="40"/>
      </w:pP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4.4 Segundo diagnóstico: hubs de reexportación</w:t>
      </w:r>
    </w:p>
    <w:p>
      <w:pPr>
        <w:spacing w:after="40"/>
      </w:pP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spacing w:after="40"/>
      </w:pP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4.5 Especificación final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Error estándar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1.042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0.321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1.023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0.388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1.117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0.469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0.235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0.454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0.607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−0.048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0.169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0.776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spacing w:after="40"/>
      </w:pP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4.6 Trayectoria del coeficiente de distancia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 Cruda (todas las exportaciones)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+0.639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2. Sin oro/minerales/combustibles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−0.600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3. + sin hubs de reexportación (final)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1,847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5. Resultados — importaciones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5.1 Especificación cruda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0.209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0.967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5.2 Diagnóstico: ¿commodities otra vez?</w:t>
      </w:r>
    </w:p>
    <w:p>
      <w:pPr>
        <w:spacing w:after="40"/>
      </w:pP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Nigeria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2,193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Trinidad y Tobago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2,077 millones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Congo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228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5.3 Resultado tras el filtro: la distancia empeora, no mejora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Cruda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Sin HS26/71/27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Final (sin hubs)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 (p=0.21)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+0.88 (p=0.001)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+2.16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5.4 Por qué esto no es el mismo artefacto: verificación</w:t>
      </w:r>
    </w:p>
    <w:p>
      <w:pPr>
        <w:spacing w:after="40"/>
      </w:pP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spacing w:after="40"/>
      </w:pPr>
    </w:p>
    <w:p>
      <w:pPr>
        <w:pStyle w:val="Bullet"/>
        <w:ind w:left="400" w:hanging="280"/>
      </w:pPr>
      <w:r>
        <w:t>•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00" w:hanging="280"/>
      </w:pPr>
      <w:r>
        <w:t>•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spacing w:after="40"/>
      </w:pP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 (sobre todo China), un patrón documentado en la literatura reciente</w:t>
      </w:r>
    </w:p>
    <w:p>
      <w:pPr>
        <w:pStyle w:val="Body"/>
      </w:pPr>
      <w:r>
        <w:t>de comercio de América Latina con Asia, y que domina sobre cualquier</w:t>
      </w:r>
    </w:p>
    <w:p>
      <w:pPr>
        <w:pStyle w:val="Body"/>
      </w:pPr>
      <w:r>
        <w:t>preferencia por proximidad geográfica.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5.5 La asimetría exportación-importación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Exportaciones (sec. 4.5)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Importaciones (sec. 5.3)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 (p=0.071)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+1.02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+1.12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+0.23 (ns)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−1.71 (p&lt;0.001)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6. Discusión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spacing w:after="40"/>
      </w:pP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spacing w:after="40"/>
      </w:pP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7. Limitaciones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00" w:hanging="280"/>
      </w:pPr>
      <w:r>
        <w:t>•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00" w:hanging="280"/>
      </w:pPr>
      <w:r>
        <w:t>•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00" w:hanging="280"/>
      </w:pPr>
      <w:r>
        <w:t>•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00" w:hanging="280"/>
      </w:pPr>
      <w:r>
        <w:t>•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Referencias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[10.1257/000282803321455214](https://doi.org/10.1257/000282803321455214)</w:t>
      </w:r>
    </w:p>
    <w:p>
      <w:pPr>
        <w:pStyle w:val="Bullet"/>
        <w:ind w:left="400" w:hanging="280"/>
      </w:pPr>
      <w:r>
        <w:t>•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[10.1162/rest.88.4.641](https://doi.org/10.1162/rest.88.4.641)</w:t>
      </w:r>
    </w:p>
    <w:p>
      <w:pPr>
        <w:pStyle w:val="Bullet"/>
        <w:ind w:left="400" w:hanging="280"/>
      </w:pPr>
      <w:r>
        <w:t>•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00" w:hanging="280"/>
      </w:pPr>
      <w:r>
        <w:t>•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[10.1016/B978-0-444-54314-1.00003-3](https://doi.org/10.1016/B978-0-444-54314-1.00003-3)</w:t>
      </w:r>
    </w:p>
    <w:p>
      <w:pPr>
        <w:pStyle w:val="Bullet"/>
        <w:ind w:left="400" w:hanging="280"/>
      </w:pPr>
      <w:r>
        <w:t>•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[cepii.fr](https://www.cepii.fr/)</w:t>
      </w:r>
    </w:p>
    <w:p>
      <w:pPr>
        <w:pStyle w:val="Bullet"/>
        <w:ind w:left="400" w:hanging="280"/>
      </w:pPr>
      <w:r>
        <w:t>•  World Bank, World Development Indicators, NY.GDP.MKTP.CD (PBI corriente,</w:t>
      </w:r>
    </w:p>
    <w:p>
      <w:pPr>
        <w:pStyle w:val="Body"/>
      </w:pPr>
      <w:r>
        <w:t>US$). [databank.worldbank.org/source/world-development-indicators](https://databank.worldbank.org/source/world-development-indicators)</w:t>
      </w:r>
    </w:p>
    <w:p>
      <w:pPr>
        <w:spacing w:after="40"/>
      </w:pP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Anexo — Reproducibilidad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spacing w:after="40"/>
      </w:pPr>
    </w:p>
    <w:p>
      <w:pPr>
        <w:pStyle w:val="Bullet"/>
        <w:ind w:left="400" w:hanging="280"/>
      </w:pPr>
      <w:r>
        <w:t>•  data/raw/panel_bilateral_peru_2015_2024.json — extracción cruda de</w:t>
      </w:r>
    </w:p>
    <w:p>
      <w:pPr>
        <w:pStyle w:val="Body"/>
      </w:pPr>
      <w:r>
        <w:t>exportaciones, desde Neon.</w:t>
      </w:r>
    </w:p>
    <w:p>
      <w:pPr>
        <w:pStyle w:val="Bullet"/>
        <w:ind w:left="400" w:hanging="280"/>
      </w:pPr>
      <w:r>
        <w:t>•  data/raw/panel_bilateral_peru_importaciones_2015_2024.json — extracción</w:t>
      </w:r>
    </w:p>
    <w:p>
      <w:pPr>
        <w:pStyle w:val="Body"/>
      </w:pPr>
      <w:r>
        <w:t>cruda de importaciones.</w:t>
      </w:r>
    </w:p>
    <w:p>
      <w:pPr>
        <w:pStyle w:val="Bullet"/>
        <w:ind w:left="400" w:hanging="280"/>
      </w:pPr>
      <w:r>
        <w:t>•  data/procesado/panel_final_estimacion_exportaciones.csv y</w:t>
      </w:r>
    </w:p>
    <w:p>
      <w:pPr>
        <w:pStyle w:val="Body"/>
      </w:pPr>
      <w:r>
        <w:t>_importaciones.csv — paneles finales de cada especificación 3 (1,847</w:t>
      </w:r>
    </w:p>
    <w:p>
      <w:pPr>
        <w:pStyle w:val="Body"/>
      </w:pPr>
      <w:r>
        <w:t>filas cada uno).</w:t>
      </w:r>
    </w:p>
    <w:p>
      <w:pPr>
        <w:pStyle w:val="Bullet"/>
        <w:ind w:left="400" w:hanging="280"/>
      </w:pPr>
      <w:r>
        <w:t>•  data/procesado/tabla_comparativa_especificaciones.csv — las seis</w:t>
      </w:r>
    </w:p>
    <w:p>
      <w:pPr>
        <w:pStyle w:val="Body"/>
      </w:pPr>
      <w:r>
        <w:t>especificaciones (3 exporta + 3 importa) con todos los coeficientes.</w:t>
      </w:r>
    </w:p>
    <w:p>
      <w:pPr>
        <w:pStyle w:val="Bullet"/>
        <w:ind w:left="400" w:hanging="280"/>
      </w:pPr>
      <w:r>
        <w:t>•  scripts/estimar_gravedad.py — script que reproduce las seis</w:t>
      </w:r>
    </w:p>
    <w:p>
      <w:pPr>
        <w:pStyle w:val="Body"/>
      </w:pPr>
      <w:r>
        <w:t>especificaciones de punta a punta.</w:t>
      </w:r>
    </w:p>
    <w:p>
      <w:pPr>
        <w:pStyle w:val="Bullet"/>
        <w:ind w:left="400" w:hanging="280"/>
      </w:pPr>
      <w:r>
        <w:t>•  notebook/gravedad_comercio_peru.ipynb — notebook narrado con el mismo</w:t>
      </w:r>
    </w:p>
    <w:p>
      <w:pPr>
        <w:pStyle w:val="Body"/>
      </w:pPr>
      <w:r>
        <w:t>recorrido para ambos lados (Parte 1: exportaciones, Parte 2: importaciones),</w:t>
      </w:r>
    </w:p>
    <w:p>
      <w:pPr>
        <w:pStyle w:val="Body"/>
      </w:pPr>
      <w:r>
        <w:t>ejecutado con outputs reales.</w:t>
      </w:r>
    </w:p>
    <w:p>
      <w:pPr>
        <w:spacing w:after="40"/>
      </w:pP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00"/>
      <w:jc w:val="center"/>
    </w:pPr>
    <w:rPr>
      <w:b/>
      <w:i w:val="0"/>
      <w:color w:val="1A3050"/>
      <w:sz w:val="34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b w:val="0"/>
      <w:i w:val="0"/>
      <w:color w:val="555555"/>
      <w:sz w:val="22"/>
    </w:rPr>
  </w:style>
  <w:style w:type="paragraph" w:customStyle="1" w:styleId="SectionHdr">
    <w:name w:val="SectionHdr"/>
    <w:basedOn w:val="Normal"/>
    <w:pPr>
      <w:spacing w:before="240" w:after="80"/>
      <w:jc w:val="left"/>
    </w:pPr>
    <w:rPr>
      <w:b/>
      <w:i w:val="0"/>
      <w:color w:val="FFFFFF"/>
      <w:sz w:val="22"/>
    </w:rPr>
  </w:style>
  <w:style w:type="paragraph" w:customStyle="1" w:styleId="SubSecHdr">
    <w:name w:val="SubSecHdr"/>
    <w:basedOn w:val="Normal"/>
    <w:pPr>
      <w:spacing w:before="160" w:after="60"/>
      <w:jc w:val="left"/>
    </w:pPr>
    <w:rPr>
      <w:b/>
      <w:i w:val="0"/>
      <w:color w:val="1A3050"/>
      <w:sz w:val="20"/>
    </w:rPr>
  </w:style>
  <w:style w:type="paragraph" w:customStyle="1" w:styleId="Body">
    <w:name w:val="Body"/>
    <w:basedOn w:val="Normal"/>
    <w:pPr>
      <w:spacing w:before="0" w:after="100"/>
      <w:jc w:val="both"/>
    </w:pPr>
    <w:rPr>
      <w:b w:val="0"/>
      <w:i w:val="0"/>
      <w:color w:val="000000"/>
      <w:sz w:val="20"/>
    </w:rPr>
  </w:style>
  <w:style w:type="paragraph" w:customStyle="1" w:styleId="Bullet">
    <w:name w:val="Bullet"/>
    <w:basedOn w:val="Normal"/>
    <w:pPr>
      <w:spacing w:before="0" w:after="60"/>
      <w:jc w:val="both"/>
    </w:pPr>
    <w:rPr>
      <w:b w:val="0"/>
      <w:i w:val="0"/>
      <w:color w:val="000000"/>
      <w:sz w:val="20"/>
    </w:rPr>
  </w:style>
  <w:style w:type="paragraph" w:customStyle="1" w:styleId="Abstract">
    <w:name w:val="Abstract"/>
    <w:basedOn w:val="Normal"/>
    <w:pPr>
      <w:spacing w:before="0" w:after="100"/>
      <w:jc w:val="both"/>
    </w:pPr>
    <w:rPr>
      <w:b w:val="0"/>
      <w:i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