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ulo"/>
      </w:pPr>
      <w:r>
        <w:t xml:space="preserve">Nota ejecutiva — Generación de residuos sólidos per cápita en el Perú (corte 2024)</w:t>
      </w:r>
    </w:p>
    <w:p>
      <w:pPr>
        <w:spacing w:after="40"/>
        <w:jc w:val="both"/>
      </w:pPr>
      <w:r>
        <w:rPr>
          <w:b/>
          <w:bCs/>
        </w:rPr>
        <w:t xml:space="preserve">Corte:</w:t>
      </w:r>
      <w:r>
        <w:t xml:space="preserve"> 2024 · </w:t>
      </w:r>
      <w:r>
        <w:rPr>
          <w:b/>
          <w:bCs/>
        </w:rPr>
        <w:t xml:space="preserve">Universo:</w:t>
      </w:r>
      <w:r>
        <w:t xml:space="preserve"> 1.891 distritos (padrón MINAM) · </w:t>
      </w:r>
      <w:r>
        <w:rPr>
          <w:b/>
          <w:bCs/>
        </w:rPr>
        <w:t xml:space="preserve">Unidad:</w:t>
      </w:r>
      <w:r>
        <w:t xml:space="preserve"> kg/hab/día sobre población urbana</w:t>
      </w:r>
    </w:p>
    <w:p>
      <w:pPr>
        <w:spacing w:after="40"/>
        <w:jc w:val="both"/>
      </w:pPr>
      <w:r>
        <w:rPr>
          <w:b/>
          <w:bCs/>
        </w:rPr>
        <w:t xml:space="preserve">Fuentes:</w:t>
      </w:r>
      <w:r>
        <w:t xml:space="preserve"> MINAM/SIGERSOL (residuos), MTPE (empresas formales, 2025), Invierte.pe (inversión acumulada a 2024), INEI (población), MEF (clasificación municipal del Programa de Incentivos)</w:t>
      </w:r>
    </w:p>
    <w:p>
      <w:pPr>
        <w:spacing w:after="120"/>
        <w:jc w:val="both"/>
      </w:pPr>
      <w:r>
        <w:rPr>
          <w:b/>
          <w:bCs/>
        </w:rPr>
        <w:t xml:space="preserve">Diseño:</w:t>
      </w:r>
      <w:r>
        <w:t xml:space="preserve"> corte transversal; regresiones con errores estándar robustos clusterizados por departamento (n = 1.508 casos completos). Versión técnica: </w:t>
      </w:r>
      <w:r>
        <w:rPr>
          <w:rFonts w:ascii="Consolas" w:cs="Consolas" w:eastAsia="Consolas" w:hAnsi="Consolas"/>
          <w:sz w:val="20"/>
          <w:szCs w:val="20"/>
        </w:rPr>
        <w:t xml:space="preserve">resumen_ejecutivo.md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Seccion"/>
        <w:keepNext/>
      </w:pPr>
      <w:r>
        <w:t xml:space="preserve">Qué muestra este corte</w:t>
      </w:r>
    </w:p>
    <w:p>
      <w:pPr>
        <w:spacing w:after="120"/>
        <w:jc w:val="both"/>
      </w:pPr>
      <w:r>
        <w:t xml:space="preserve">La generación de residuos domiciliarios per cápita —uno de los pocos proxies de consumo material disponibles a nivel distrital en el país— promedia </w:t>
      </w:r>
      <w:r>
        <w:rPr>
          <w:b/>
          <w:bCs/>
        </w:rPr>
        <w:t xml:space="preserve">0,48 kg/hab/día</w:t>
      </w:r>
      <w:r>
        <w:t xml:space="preserve"> en 2024 y exhibe una desigualdad territorial moderada pero sistemática: el distrito del percentil 90 genera </w:t>
      </w:r>
      <w:r>
        <w:rPr>
          <w:b/>
          <w:bCs/>
        </w:rPr>
        <w:t xml:space="preserve">1,97 veces</w:t>
      </w:r>
      <w:r>
        <w:t xml:space="preserve"> el del percentil 10 (0,65 frente a 0,33). Esa variación se asocia con la actividad económica formal del distrito y con su tamaño y grado de urbanización, pero </w:t>
      </w:r>
      <w:r>
        <w:rPr>
          <w:b/>
          <w:bCs/>
        </w:rPr>
        <w:t xml:space="preserve">no</w:t>
      </w:r>
      <w:r>
        <w:t xml:space="preserve"> con la inversión pública acumulada.</w:t>
      </w:r>
    </w:p>
    <w:p>
      <w:pPr>
        <w:pStyle w:val="Seccion"/>
        <w:keepNext/>
      </w:pPr>
      <w:r>
        <w:t xml:space="preserve">Hallazgos</w:t>
      </w:r>
    </w:p>
    <w:p>
      <w:pPr>
        <w:spacing w:after="120"/>
        <w:jc w:val="both"/>
      </w:pPr>
      <w:r>
        <w:rPr>
          <w:b/>
          <w:bCs/>
        </w:rPr>
        <w:t xml:space="preserve">1. La brecha entre departamentos es pequeña; la que importa es la interna, entre distritos.</w:t>
      </w:r>
      <w:r>
        <w:t xml:space="preserve"> La media nacional es 0,48 kg/hab/día (mediana 0,45; rango 0,20–0,80). De los 25 departamentos, Callao encabeza (0,69) y Tacna cierra (0,43): los extremos difieren solo 1,6 veces, mientras que dentro de un mismo departamento la dispersión distrital es mucho mayor. El pico exacto en 0,45 kg/hab/día refleja que la cifra proviene de estudios de caracterización, no de medición continua.</w:t>
      </w:r>
    </w:p>
    <w:p>
      <w:pPr>
        <w:spacing w:after="120"/>
        <w:jc w:val="both"/>
      </w:pPr>
      <w:r>
        <w:rPr>
          <w:b/>
          <w:bCs/>
        </w:rPr>
        <w:t xml:space="preserve">2. La actividad formal explica parte de la variación; la inversión pública, no.</w:t>
      </w:r>
      <w:r>
        <w:t xml:space="preserve"> En la especificación principal (R² = 0,198), un 1% más de empresas formales por distrito se asocia con </w:t>
      </w:r>
      <w:r>
        <w:rPr>
          <w:b/>
          <w:bCs/>
        </w:rPr>
        <w:t xml:space="preserve">+0,018% de residuos per cápita</w:t>
      </w:r>
      <w:r>
        <w:t xml:space="preserve"> (EE 0,009; significativo al 5%). El coeficiente es estable: entre +0,017 y +0,025, siempre significativo, en las 8 especificaciones (efectos fijos de departamento, winsorización 1%, variable dependiente municipal, año 2023 y sin el control de urbanización). La inversión pública acumulada (mediana S/ 167 millones por distrito) </w:t>
      </w:r>
      <w:r>
        <w:rPr>
          <w:b/>
          <w:bCs/>
        </w:rPr>
        <w:t xml:space="preserve">no es significativa en ninguna de ellas</w:t>
      </w:r>
      <w:r>
        <w:t xml:space="preserve">: un null honesto que conviene declarar.</w:t>
      </w:r>
    </w:p>
    <w:p>
      <w:pPr>
        <w:spacing w:after="120"/>
        <w:jc w:val="both"/>
      </w:pPr>
      <w:r>
        <w:rPr>
          <w:b/>
          <w:bCs/>
        </w:rPr>
        <w:t xml:space="preserve">3. La clasificación MEF A–G mide urbanización, no capacidad fiscal.</w:t>
      </w:r>
      <w:r>
        <w:t xml:space="preserve"> Las medias de generación caen desde A (ciudades principales) 0,60 y C (Lima Metropolitana) 0,66 hasta F 0,46 y G 0,45. Frente a la clase A, F es −0,134 y G −0,121 (significativos), y el contraste se sostiene al retirar el control de urbanización (F = −0,141). C es la única clase superior (+0,050), y es la que más empresas concentra (4.201 formales/mes frente a 1.592 en A). Como E/F/G se definen por el porcentaje de población urbana, estos contrastes recogen </w:t>
      </w:r>
      <w:r>
        <w:rPr>
          <w:b/>
          <w:bCs/>
        </w:rPr>
        <w:t xml:space="preserve">tamaño y urbanización del municipio, no presupuesto</w:t>
      </w:r>
      <w:r>
        <w:t xml:space="preserve">: leerlos como “menor capacidad fiscal” sería incorrecto.</w:t>
      </w:r>
    </w:p>
    <w:p>
      <w:pPr>
        <w:spacing w:after="120"/>
        <w:jc w:val="both"/>
      </w:pPr>
      <w:r>
        <w:rPr>
          <w:b/>
          <w:bCs/>
        </w:rPr>
        <w:t xml:space="preserve">4. La priorización identifica alta generación en municipios pequeños y dispersos.</w:t>
      </w:r>
      <w:r>
        <w:t xml:space="preserve"> El índice de presión (50% posición en generación + 50% posición inversa en la escala MEF A→G) selecciona 30 distritos, </w:t>
      </w:r>
      <w:r>
        <w:rPr>
          <w:b/>
          <w:bCs/>
        </w:rPr>
        <w:t xml:space="preserve">todos de clase G</w:t>
      </w:r>
      <w:r>
        <w:t xml:space="preserve">. Seis empatan en el valor máximo (0,80 kg/hab/día + clase G): MOLLEPAMPA (Huancavelica), CONDURIRI (Puno), PUÑOS (Huánuco), YAUYUCAN (Cajamarca), LIMATAMBO y OCORURO (Cusco) — el orden dentro del empate es arbitrario y el patrón es lo que importa: generación alta reportada donde hay menor densidad y, por tanto, mayor costo unitario de recolección. En total, 37 distritos tocan el techo de 0,80.</w:t>
      </w:r>
    </w:p>
    <w:p>
      <w:pPr>
        <w:pStyle w:val="Seccion"/>
        <w:keepNext/>
      </w:pPr>
      <w:r>
        <w:t xml:space="preserve">Tres implicancias de política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Focalizar por costo unitario de servicio, no por la escala A–G.</w:t>
      </w:r>
      <w:r>
        <w:t xml:space="preserve"> El índice de presión funciona como pantalla inicial para dirigir acompañamiento técnico o transferencias condicionadas a municipios donde la recolección por tonelada es más cara por dispersión. Como la prioridad se define con generación y no con capacidad de gasto, debe complementarse con datos de cobertura de servicio antes de condicionar recursos.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generación per cápita es una señal rápida de actividad local.</w:t>
      </w:r>
      <w:r>
        <w:t xml:space="preserve"> Su asociación estable con las empresas formales la vuelve un indicador de contraste para distritos donde la estadística económica llega con demora. El corolario del null de inversión pública: la inversión acumulada no debe usarse como proxy del consumo domiciliario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Mejorar la medición antes de condicionar recursos.</w:t>
      </w:r>
      <w:r>
        <w:t xml:space="preserve"> Con 37 distritos en el techo exacto de 0,80 y una GPC derivada de estudios de caracterización municipales, la comparabilidad es limitada: conviene actualizar las caracterizaciones en SIGERSOL y sumar, en un siguiente producto, la cobertura de recolección y tratamiento (SINAN). En paralelo, dejar claro que esa escala no mide capacidad fiscal evitará lecturas erróneas en documentos de política.</w:t>
      </w:r>
    </w:p>
    <w:p>
      <w:pPr>
        <w:pStyle w:val="Seccion"/>
        <w:keepNext/>
      </w:pPr>
      <w:r>
        <w:t xml:space="preserve">Advertencias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Asociación, no causalidad:</w:t>
      </w:r>
      <w:r>
        <w:t xml:space="preserve"> el diseño es transversal por definición.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Cortes distintos:</w:t>
      </w:r>
      <w:r>
        <w:t xml:space="preserve"> residuos 2024 · empresas 2025 · programas sociales 2026-04-30.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383 distritos sin dato MTPE</w:t>
      </w:r>
      <w:r>
        <w:t xml:space="preserve"> se excluyen de los modelos (n = 1.508/1.891), sin imputar ceros.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 mide generación, no cobertura de servicio:</w:t>
      </w:r>
      <w:r>
        <w:t xml:space="preserve"> no se afirman brechas de recolección.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Unidades y diccionario MEF confirmados con el diccionario oficial MINAM (2026-10-19); base re-ingestada el mismo día con 0 registros dañados.</w:t>
      </w:r>
    </w:p>
    <w:p>
      <w:pPr>
        <w:pStyle w:val="Seccion"/>
        <w:keepNext/>
      </w:pPr>
      <w:r>
        <w:t xml:space="preserve">Reproducibilidad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scripts/extraer_datos.py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data/raw/</w:t>
      </w:r>
      <w:r>
        <w:t xml:space="preserve"> (16.739 filas en 4 CSV) → </w:t>
      </w:r>
      <w:r>
        <w:rPr>
          <w:rFonts w:ascii="Consolas" w:cs="Consolas" w:eastAsia="Consolas" w:hAnsi="Consolas"/>
          <w:sz w:val="20"/>
          <w:szCs w:val="20"/>
        </w:rPr>
        <w:t xml:space="preserve">scripts/analisar.py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results/</w:t>
      </w:r>
      <w:r>
        <w:t xml:space="preserve"> (4 tablas, 4 figuras, </w:t>
      </w:r>
      <w:r>
        <w:rPr>
          <w:rFonts w:ascii="Consolas" w:cs="Consolas" w:eastAsia="Consolas" w:hAnsi="Consolas"/>
          <w:sz w:val="20"/>
          <w:szCs w:val="20"/>
        </w:rPr>
        <w:t xml:space="preserve">resumen_ejecutivo.md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top30_priorizacion.csv</w:t>
      </w:r>
      <w:r>
        <w:t xml:space="preserve">). Todo el proceso es de solo lectura sobre Neon y corre de punta a punta en menos de un minuto.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ulo">
    <w:name w:val="Titulo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Seccion">
    <w:name w:val="Seccion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ejecutiva — Residuos sólidos per cápita 2024</dc:title>
  <dc:creator>Rastro</dc:creator>
  <dc:description>Versión pulida de la nota ejecutiva del corte transversal 2024 de generación de residuos per cápita</dc:description>
  <cp:lastModifiedBy>Un-named</cp:lastModifiedBy>
  <cp:revision>1</cp:revision>
  <dcterms:created xsi:type="dcterms:W3CDTF">2026-10-19T17:19:44.358Z</dcterms:created>
  <dcterms:modified xsi:type="dcterms:W3CDTF">2026-10-19T17:19:44.359Z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