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960"/>
      </w:pPr>
      <w:r>
        <w:t>Por qué la distancia explica lo que Perú exporta pero no lo que importa: el espejismo del oro, el cobre y el peso de la manufactura asiática</w:t>
      </w:r>
    </w:p>
    <w:p>
      <w:pPr>
        <w:pStyle w:val="PaperAuthor"/>
      </w:pPr>
      <w:r>
        <w:t>Ricardo Cuba · appsperu · Octubre 2026</w:t>
      </w:r>
    </w:p>
    <w:p>
      <w:r>
        <w:br w:type="page"/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Resumen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la asociación aparente de los acuerdos comerciales con el comercio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una relación propia</w:t>
      </w:r>
    </w:p>
    <w:p>
      <w:pPr>
        <w:pStyle w:val="Body"/>
      </w:pPr>
      <w:r>
        <w:t>de los acuerdos con el comercio no-commodity. Al repetir el ejercicio del</w:t>
      </w:r>
    </w:p>
    <w:p>
      <w:pPr>
        <w:pStyle w:val="Body"/>
      </w:pPr>
      <w:r>
        <w:t>lado importador, la asimetría es reveladora: el mismo filtro de commodities y</w:t>
      </w:r>
    </w:p>
    <w:p>
      <w:pPr>
        <w:pStyle w:val="Body"/>
      </w:pPr>
      <w:r>
        <w:t>hubs que corrige la distancia en las exportaciones no corrige el signo en</w:t>
      </w:r>
    </w:p>
    <w:p>
      <w:pPr>
        <w:pStyle w:val="Body"/>
      </w:pPr>
      <w:r>
        <w:t>las importaciones (+0.90, p&lt;0.001) — porque ahí no hay artefacto de medición</w:t>
      </w:r>
    </w:p>
    <w:p>
      <w:pPr>
        <w:pStyle w:val="Body"/>
      </w:pPr>
      <w:r>
        <w:t>que corregir: China, Alemania, Japón y Corea, todas economías manufactureras</w:t>
      </w:r>
    </w:p>
    <w:p>
      <w:pPr>
        <w:pStyle w:val="Body"/>
      </w:pPr>
      <w:r>
        <w:t>lejanas, dominan genuinamente la canasta importadora peruana.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1. Introducción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Los modelos de gravedad son el instrumento estándar en economía del comercio</w:t>
      </w:r>
    </w:p>
    <w:p>
      <w:pPr>
        <w:pStyle w:val="Body"/>
      </w:pPr>
      <w:r>
        <w:t>internacional para explicar el volumen de comercio bilateral a partir del</w:t>
      </w:r>
    </w:p>
    <w:p>
      <w:pPr>
        <w:pStyle w:val="Body"/>
      </w:pPr>
      <w:r>
        <w:t>tamaño de las economías y la distancia (física, cultural, institucional)</w:t>
      </w:r>
    </w:p>
    <w:p>
      <w:pPr>
        <w:pStyle w:val="Body"/>
      </w:pPr>
      <w:r>
        <w:t>entre ellas (Tinbergen, 1962; Anderson y van Wincoop, 2003). Santos Silva y</w:t>
      </w:r>
    </w:p>
    <w:p>
      <w:pPr>
        <w:pStyle w:val="Body"/>
      </w:pPr>
      <w:r>
        <w:t>Tenreyro (2006) mostraron que la estimación log-lineal por MCO está sesgada</w:t>
      </w:r>
    </w:p>
    <w:p>
      <w:pPr>
        <w:pStyle w:val="Body"/>
      </w:pPr>
      <w:r>
        <w:t>bajo heterocedasticidad y subestima sistemáticamente el comercio entre países</w:t>
      </w:r>
    </w:p>
    <w:p>
      <w:pPr>
        <w:pStyle w:val="Body"/>
      </w:pPr>
      <w:r>
        <w:t>distantes, y propusieron PPML (Poisson pseudo-maximum likelihood) como</w:t>
      </w:r>
    </w:p>
    <w:p>
      <w:pPr>
        <w:pStyle w:val="Body"/>
      </w:pPr>
      <w:r>
        <w:t>alternativa consistente que además no requiere descartar observaciones de</w:t>
      </w:r>
    </w:p>
    <w:p>
      <w:pPr>
        <w:pStyle w:val="Body"/>
      </w:pPr>
      <w:r>
        <w:t>comercio cero.</w:t>
      </w:r>
    </w:p>
    <w:p>
      <w:pPr>
        <w:spacing w:after="40"/>
      </w:pPr>
    </w:p>
    <w:p>
      <w:pPr>
        <w:pStyle w:val="Body"/>
      </w:pPr>
      <w:r>
        <w:t>Perú es un caso particularmente informativo para poner a prueba estas</w:t>
      </w:r>
    </w:p>
    <w:p>
      <w:pPr>
        <w:pStyle w:val="Body"/>
      </w:pPr>
      <w:r>
        <w:t>herramientas: es una economía exportadora de commodities (cobre, oro, gas</w:t>
      </w:r>
    </w:p>
    <w:p>
      <w:pPr>
        <w:pStyle w:val="Body"/>
      </w:pPr>
      <w:r>
        <w:t>natural licuado) cuya estructura comercial está fuertemente determinada por</w:t>
      </w:r>
    </w:p>
    <w:p>
      <w:pPr>
        <w:pStyle w:val="Body"/>
      </w:pPr>
      <w:r>
        <w:t>cadenas de procesamiento y logística global, no solo por demanda final</w:t>
      </w:r>
    </w:p>
    <w:p>
      <w:pPr>
        <w:pStyle w:val="Body"/>
      </w:pPr>
      <w:r>
        <w:t>bilateral. Este trabajo documenta, paso a paso, cómo esa estructura</w:t>
      </w:r>
    </w:p>
    <w:p>
      <w:pPr>
        <w:pStyle w:val="Body"/>
      </w:pPr>
      <w:r>
        <w:t>contamina una estimación de gravedad "de manual" y cómo corregirla sin caer</w:t>
      </w:r>
    </w:p>
    <w:p>
      <w:pPr>
        <w:pStyle w:val="Body"/>
      </w:pPr>
      <w:r>
        <w:t>en data dredging (ajustar el filtro de datos hasta obtener el resultado</w:t>
      </w:r>
    </w:p>
    <w:p>
      <w:pPr>
        <w:pStyle w:val="Body"/>
      </w:pPr>
      <w:r>
        <w:t>deseado).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2. Datos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construyeron dos paneles espejo de 224 socios comerciales × 10 años</w:t>
      </w:r>
    </w:p>
    <w:p>
      <w:pPr>
        <w:pStyle w:val="Body"/>
      </w:pPr>
      <w:r>
        <w:t>(2015-2024) — uno con las exportaciones de Perú hacia cada socio, otro con</w:t>
      </w:r>
    </w:p>
    <w:p>
      <w:pPr>
        <w:pStyle w:val="Body"/>
      </w:pPr>
      <w:r>
        <w:t>las importaciones de Perú desde cada socio — a partir de las siguientes</w:t>
      </w:r>
    </w:p>
    <w:p>
      <w:pPr>
        <w:pStyle w:val="Body"/>
      </w:pPr>
      <w:r>
        <w:t>fuentes, cargadas en una base Neon/PostgreSQL (bcrp_comercio_exterior):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BACI HS92 (vintage 202601)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baci_flujos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BACI, catálogo de países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baci_paises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Nombre y código ISO3 de cada código numérico CEPII.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Banco Mundial, World Development Indicators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wdi_indicadores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PBI corriente en USD (NY.GDP.MKTP.CD), 202 países, 2015-2024.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GeoDist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geodist_diadas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Gravity V202211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gravity_acuerdos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La variable dependiente es el valor exportado (sección 4) o importado</w:t>
      </w:r>
    </w:p>
    <w:p>
      <w:pPr>
        <w:pStyle w:val="Body"/>
      </w:pPr>
      <w:r>
        <w:t>(sección 5) por Perú con cada socio en cada año, en millones de USD. A</w:t>
      </w:r>
    </w:p>
    <w:p>
      <w:pPr>
        <w:pStyle w:val="Body"/>
      </w:pPr>
      <w:r>
        <w:t>diferencia de una extracción típica que trabaja solo con los años en que</w:t>
      </w:r>
    </w:p>
    <w:p>
      <w:pPr>
        <w:pStyle w:val="Body"/>
      </w:pPr>
      <w:r>
        <w:t>hubo comercio registrado, ambos paneles incluyen los ceros reales: la</w:t>
      </w:r>
    </w:p>
    <w:p>
      <w:pPr>
        <w:pStyle w:val="Body"/>
      </w:pPr>
      <w:r>
        <w:t>ausencia de una fila en BACI para un par país-año se interpreta como cero</w:t>
      </w:r>
    </w:p>
    <w:p>
      <w:pPr>
        <w:pStyle w:val="Body"/>
      </w:pPr>
      <w:r>
        <w:t>comercio ese año, no como dato faltante — PPML explota precisamente esta</w:t>
      </w:r>
    </w:p>
    <w:p>
      <w:pPr>
        <w:pStyle w:val="Body"/>
      </w:pPr>
      <w:r>
        <w:t>información, que un modelo log-lineal por MCO tendría que descartar.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3. Método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estima, por año, dirección del flujo (exporta/importa) y variantes de la</w:t>
      </w:r>
    </w:p>
    <w:p>
      <w:pPr>
        <w:pStyle w:val="Body"/>
      </w:pPr>
      <w:r>
        <w:t>variable dependiente:</w:t>
      </w:r>
    </w:p>
    <w:p>
      <w:pPr>
        <w:spacing w:after="40"/>
      </w:pPr>
    </w:p>
    <w:p>
      <w:r>
        <w:rPr>
          <w:rFonts w:ascii="Consolas" w:hAnsi="Consolas"/>
          <w:sz w:val="18"/>
        </w:rPr>
        <w:t>flujo_ij,t = exp(β₁·log(PBI_j,t) + β₂·log(dist_ij) + β₃·frontera_ij</w:t>
        <w:br/>
        <w:t xml:space="preserve">                  + β₄·idioma_ij + β₅·colonia_ij + β₆·acuerdo_ij,t + γ_t) + ε_ij,t</w:t>
      </w:r>
    </w:p>
    <w:p>
      <w:pPr>
        <w:spacing w:after="40"/>
      </w:pP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peruano (PBI o población de Perú) no se incluye como regresor explícito en</w:t>
      </w:r>
    </w:p>
    <w:p>
      <w:pPr>
        <w:pStyle w:val="Body"/>
      </w:pPr>
      <w:r>
        <w:t>ninguna de las dos direcciones: como Perú es el único reportador del panel</w:t>
      </w:r>
    </w:p>
    <w:p>
      <w:pPr>
        <w:pStyle w:val="Body"/>
      </w:pPr>
      <w:r>
        <w:t>(exportador en la sección 4, importador en la sección 5), esas variables no</w:t>
      </w:r>
    </w:p>
    <w:p>
      <w:pPr>
        <w:pStyle w:val="Body"/>
      </w:pPr>
      <w:r>
        <w:t>varían entre socios dentro de un mismo año y son perfectamente colineales con</w:t>
      </w:r>
    </w:p>
    <w:p>
      <w:pPr>
        <w:pStyle w:val="Body"/>
      </w:pPr>
      <w:r>
        <w:t>los efectos fijos de año, que ya las absorben — es la forma estándar de</w:t>
      </w:r>
    </w:p>
    <w:p>
      <w:pPr>
        <w:pStyle w:val="Body"/>
      </w:pPr>
      <w:r>
        <w:t>controlar por "resistencia multilateral" del lado peruano en un panel de un</w:t>
      </w:r>
    </w:p>
    <w:p>
      <w:pPr>
        <w:pStyle w:val="Body"/>
      </w:pPr>
      <w:r>
        <w:t>solo reportador.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4. Resultados — exportaciones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4.1 Especificación cruda: el signo equivocado</w:t>
      </w:r>
    </w:p>
    <w:p>
      <w:pPr>
        <w:spacing w:after="40"/>
      </w:pP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+1.10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+0.64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+1.73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+1.67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−0.59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0.19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+0.71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0.013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0.87.</w:t>
      </w:r>
    </w:p>
    <w:p>
      <w:pPr>
        <w:spacing w:after="40"/>
      </w:pP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4.2 Diagnóstico: no es multicolinealidad</w:t>
      </w:r>
    </w:p>
    <w:p>
      <w:pPr>
        <w:spacing w:after="40"/>
      </w:pPr>
    </w:p>
    <w:p>
      <w:pPr>
        <w:pStyle w:val="Body"/>
      </w:pPr>
      <w:r>
        <w:t>Se descartó la hipótesis de colinealidad entre PBI y distancia (los países</w:t>
      </w:r>
    </w:p>
    <w:p>
      <w:pPr>
        <w:pStyle w:val="Body"/>
      </w:pPr>
      <w:r>
        <w:t>grandes y lejanos, como China, podrían estar confundiendo ambos</w:t>
      </w:r>
    </w:p>
    <w:p>
      <w:pPr>
        <w:pStyle w:val="Body"/>
      </w:pPr>
      <w:r>
        <w:t>coeficientes): el factor de inflación de varianza de log_dist es 2.08, y la</w:t>
      </w:r>
    </w:p>
    <w:p>
      <w:pPr>
        <w:pStyle w:val="Body"/>
      </w:pPr>
      <w:r>
        <w:t>correlación simple entre log(PBI) y log(distancia) es de solo 0.17. El</w:t>
      </w:r>
    </w:p>
    <w:p>
      <w:pPr>
        <w:pStyle w:val="Body"/>
      </w:pPr>
      <w:r>
        <w:t>diagnóstico correcto es el análisis de residuos de Pearson: dos observaciones</w:t>
      </w:r>
    </w:p>
    <w:p>
      <w:pPr>
        <w:pStyle w:val="Body"/>
      </w:pPr>
      <w:r>
        <w:t>dominan por completo el ajuste de la verosimilitud de Poisson, que pondera</w:t>
      </w:r>
    </w:p>
    <w:p>
      <w:pPr>
        <w:pStyle w:val="Body"/>
      </w:pPr>
      <w:r>
        <w:t>fuertemente los valores grandes.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Suiza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710812 — oro semi-manufacturado, no monetario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23,072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Namibia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260300 — concentrados de cobre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1,586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Suiza es uno de los principales centros mundiales de refinación de oro; el</w:t>
      </w:r>
    </w:p>
    <w:p>
      <w:pPr>
        <w:pStyle w:val="Body"/>
      </w:pPr>
      <w:r>
        <w:t>oro peruano se envía allí para refinarse, no por el tamaño de la economía</w:t>
      </w:r>
    </w:p>
    <w:p>
      <w:pPr>
        <w:pStyle w:val="Body"/>
      </w:pPr>
      <w:r>
        <w:t>suiza como mercado de consumo. Namibia alberga la fundición Tsumeb (Dundee</w:t>
      </w:r>
    </w:p>
    <w:p>
      <w:pPr>
        <w:pStyle w:val="Body"/>
      </w:pPr>
      <w:r>
        <w:t>Precious Metals), especializada en procesar concentrados de cobre con alto</w:t>
      </w:r>
    </w:p>
    <w:p>
      <w:pPr>
        <w:pStyle w:val="Body"/>
      </w:pPr>
      <w:r>
        <w:t>contenido de arsénico — como los de minas peruanas difíciles de procesar en</w:t>
      </w:r>
    </w:p>
    <w:p>
      <w:pPr>
        <w:pStyle w:val="Body"/>
      </w:pPr>
      <w:r>
        <w:t>otra parte. Ambos son flujos reales, pero reflejan logística de</w:t>
      </w:r>
    </w:p>
    <w:p>
      <w:pPr>
        <w:pStyle w:val="Body"/>
      </w:pPr>
      <w:r>
        <w:t>procesamiento de materias primas, no demanda final del país de destino: el</w:t>
      </w:r>
    </w:p>
    <w:p>
      <w:pPr>
        <w:pStyle w:val="Body"/>
      </w:pPr>
      <w:r>
        <w:t>supuesto implícito del modelo de gravedad.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4.3 Filtro por producto: excluir minerales, oro/plata y combustibles</w:t>
      </w:r>
    </w:p>
    <w:p>
      <w:pPr>
        <w:spacing w:after="40"/>
      </w:pP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+0.87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0.020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+0.26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0.54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+0.11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0.58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0.90.</w:t>
      </w:r>
    </w:p>
    <w:p>
      <w:pPr>
        <w:spacing w:after="40"/>
      </w:pP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4.4 Segundo diagnóstico: hubs de reexportación</w:t>
      </w:r>
    </w:p>
    <w:p>
      <w:pPr>
        <w:spacing w:after="40"/>
      </w:pP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 — el clásico</w:t>
      </w:r>
    </w:p>
    <w:p>
      <w:pPr>
        <w:pStyle w:val="Body"/>
      </w:pPr>
      <w:r>
        <w:t>"efecto Róterdam": mercancía declarada hacia un puerto-hub europeo para</w:t>
      </w:r>
    </w:p>
    <w:p>
      <w:pPr>
        <w:pStyle w:val="Body"/>
      </w:pPr>
      <w:r>
        <w:t>redistribuirse dentro de la Unión Europea, no para consumo neerlandés real.</w:t>
      </w:r>
    </w:p>
    <w:p>
      <w:pPr>
        <w:pStyle w:val="Body"/>
      </w:pPr>
      <w:r>
        <w:t>Reino Unido y Panamá (zona del Canal) aparecen también entre los residuos más</w:t>
      </w:r>
    </w:p>
    <w:p>
      <w:pPr>
        <w:pStyle w:val="Body"/>
      </w:pPr>
      <w:r>
        <w:t>altos.</w:t>
      </w:r>
    </w:p>
    <w:p>
      <w:pPr>
        <w:spacing w:after="40"/>
      </w:pP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estándar de la literatura</w:t>
      </w:r>
    </w:p>
    <w:p>
      <w:pPr>
        <w:pStyle w:val="Body"/>
      </w:pPr>
      <w:r>
        <w:t>de hubs de reexportación: Países Bajos, Bélgica, Singapur, Hong Kong, Panamá</w:t>
      </w:r>
    </w:p>
    <w:p>
      <w:pPr>
        <w:pStyle w:val="Body"/>
      </w:pPr>
      <w:r>
        <w:t>y Emiratos Árabes Unidos (el eje Róterdam-Amberes-Singapur-Hong</w:t>
      </w:r>
    </w:p>
    <w:p>
      <w:pPr>
        <w:pStyle w:val="Body"/>
      </w:pPr>
      <w:r>
        <w:t>Kong-Panamá-Dubái). Esta lista se fija a priori, por la clasificación</w:t>
      </w:r>
    </w:p>
    <w:p>
      <w:pPr>
        <w:pStyle w:val="Body"/>
      </w:pPr>
      <w:r>
        <w:t>habitual en estudios de comercio, no por los residuos de este dataset</w:t>
      </w:r>
    </w:p>
    <w:p>
      <w:pPr>
        <w:pStyle w:val="Body"/>
      </w:pPr>
      <w:r>
        <w:t>específico.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4.5 Especificación final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Error estándar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1.042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0.321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1.023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0.388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1.117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0.469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0.017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0.235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0.454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0.607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−0.048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0.169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0.776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spacing w:after="40"/>
      </w:pP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4.6 Trayectoria del coeficiente de distancia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Especificación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 Cruda (todas las exportaciones)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+0.639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2. Sin oro/minerales/combustibles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−0.600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3. + sin hubs de reexportación (final)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1,847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5. Resultados — importaciones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¿El mismo tratamiento (filtro de commodities + hubs de reexportación)</w:t>
      </w:r>
    </w:p>
    <w:p>
      <w:pPr>
        <w:pStyle w:val="Body"/>
      </w:pPr>
      <w:r>
        <w:t>produce el mismo efecto del lado importador? Se repitió exactamente el</w:t>
      </w:r>
    </w:p>
    <w:p>
      <w:pPr>
        <w:pStyle w:val="Body"/>
      </w:pPr>
      <w:r>
        <w:t>procedimiento de la sección 4, con Perú como importador en vez de</w:t>
      </w:r>
    </w:p>
    <w:p>
      <w:pPr>
        <w:pStyle w:val="Body"/>
      </w:pPr>
      <w:r>
        <w:t>exportador: baci_flujos filtrado por importador = 604, mismo panel de</w:t>
      </w:r>
    </w:p>
    <w:p>
      <w:pPr>
        <w:pStyle w:val="Body"/>
      </w:pPr>
      <w:r>
        <w:t>224 socios, mismos controles.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5.1 Especificación cruda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+1.18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+0.35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0.209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+2.09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−1.38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+0.01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0.967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0.93. A diferencia de las exportaciones, la</w:t>
      </w:r>
    </w:p>
    <w:p>
      <w:pPr>
        <w:pStyle w:val="Body"/>
      </w:pPr>
      <w:r>
        <w:t>distancia ya nace con el signo "equivocado" (positivo) aunque no</w:t>
      </w:r>
    </w:p>
    <w:p>
      <w:pPr>
        <w:pStyle w:val="Body"/>
      </w:pPr>
      <w:r>
        <w:t>significativo — una primera señal de que la historia del lado importador</w:t>
      </w:r>
    </w:p>
    <w:p>
      <w:pPr>
        <w:pStyle w:val="Body"/>
      </w:pPr>
      <w:r>
        <w:t>podría ser distinta.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5.2 Diagnóstico: ¿commodities otra vez?</w:t>
      </w:r>
    </w:p>
    <w:p>
      <w:pPr>
        <w:spacing w:after="40"/>
      </w:pPr>
    </w:p>
    <w:p>
      <w:pPr>
        <w:pStyle w:val="Body"/>
      </w:pPr>
      <w:r>
        <w:t>Antes de aplicar el mismo filtro de forma automática, se repitió el</w:t>
      </w:r>
    </w:p>
    <w:p>
      <w:pPr>
        <w:pStyle w:val="Body"/>
      </w:pPr>
      <w:r>
        <w:t>diagnóstico de residuos de Pearson sobre el total importado. El resultado</w:t>
      </w:r>
    </w:p>
    <w:p>
      <w:pPr>
        <w:pStyle w:val="Body"/>
      </w:pPr>
      <w:r>
        <w:t>confirma que sí hay un commodity dominante — pero no el mismo: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Nigeria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2,193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Trinidad y Tobago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2,077 millones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Congo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228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HS27 (combustibles minerales) es, de hecho, el capítulo arancelario más</w:t>
      </w:r>
    </w:p>
    <w:p>
      <w:pPr>
        <w:pStyle w:val="Body"/>
      </w:pPr>
      <w:r>
        <w:t>grande de toda la canasta importadora peruana (USD 64,900 millones en la</w:t>
      </w:r>
    </w:p>
    <w:p>
      <w:pPr>
        <w:pStyle w:val="Body"/>
      </w:pPr>
      <w:r>
        <w:t>década, más que maquinaria o vehículos) — Perú importa crudo para sus</w:t>
      </w:r>
    </w:p>
    <w:p>
      <w:pPr>
        <w:pStyle w:val="Body"/>
      </w:pPr>
      <w:r>
        <w:t>refinerías pese a exportar su propio gas natural licuado. Por consistencia</w:t>
      </w:r>
    </w:p>
    <w:p>
      <w:pPr>
        <w:pStyle w:val="Body"/>
      </w:pPr>
      <w:r>
        <w:t>metodológica se aplicó el mismo filtro HS26/HS71/HS27 usado en</w:t>
      </w:r>
    </w:p>
    <w:p>
      <w:pPr>
        <w:pStyle w:val="Body"/>
      </w:pPr>
      <w:r>
        <w:t>exportaciones (HS26 y HS71 no son relevantes en volumen para las</w:t>
      </w:r>
    </w:p>
    <w:p>
      <w:pPr>
        <w:pStyle w:val="Body"/>
      </w:pPr>
      <w:r>
        <w:t>importaciones, pero excluirlos no cambia nada y mantiene el filtro idéntico</w:t>
      </w:r>
    </w:p>
    <w:p>
      <w:pPr>
        <w:pStyle w:val="Body"/>
      </w:pPr>
      <w:r>
        <w:t>en ambas direcciones).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5.3 Resultado tras el filtro: la distancia empeora, no mejora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Cruda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Sin HS26/71/27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Final (sin hubs)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+0.35 (p=0.21)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+0.88 (p=0.001)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 (p&lt;0.001)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+2.16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+2.19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+2.09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−1.38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−1.71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+0.01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−0.06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final = 1,847; pseudo-R² = 0.92. A diferencia de las exportaciones, quitar</w:t>
      </w:r>
    </w:p>
    <w:p>
      <w:pPr>
        <w:pStyle w:val="Body"/>
      </w:pPr>
      <w:r>
        <w:t>los commodities no corrige el signo de la distancia — lo empeora y lo</w:t>
      </w:r>
    </w:p>
    <w:p>
      <w:pPr>
        <w:pStyle w:val="Body"/>
      </w:pPr>
      <w:r>
        <w:t>vuelve fuertemente significativo en la dirección "incorrecta".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5.4 Por qué esto no es el mismo artefacto: verificación</w:t>
      </w:r>
    </w:p>
    <w:p>
      <w:pPr>
        <w:spacing w:after="40"/>
      </w:pPr>
    </w:p>
    <w:p>
      <w:pPr>
        <w:pStyle w:val="Body"/>
      </w:pPr>
      <w:r>
        <w:t>Antes de aceptar este resultado como genuino (y no como otro artefacto sin</w:t>
      </w:r>
    </w:p>
    <w:p>
      <w:pPr>
        <w:pStyle w:val="Body"/>
      </w:pPr>
      <w:r>
        <w:t>detectar), se repitió la misma verificación que en la sección 4: ¿quién</w:t>
      </w:r>
    </w:p>
    <w:p>
      <w:pPr>
        <w:pStyle w:val="Body"/>
      </w:pPr>
      <w:r>
        <w:t>domina los residuos de Pearson de la especificación final, y qué compra</w:t>
      </w:r>
    </w:p>
    <w:p>
      <w:pPr>
        <w:pStyle w:val="Body"/>
      </w:pPr>
      <w:r>
        <w:t>Perú de los mayores socios importadores?</w:t>
      </w:r>
    </w:p>
    <w:p>
      <w:pPr>
        <w:spacing w:after="40"/>
      </w:pPr>
    </w:p>
    <w:p>
      <w:pPr>
        <w:pStyle w:val="Bullet"/>
        <w:ind w:left="400" w:hanging="280"/>
      </w:pPr>
      <w:r>
        <w:t>•  Los mayores residuos son Argentina (hasta USD 2,779 millones/año) y</w:t>
      </w:r>
    </w:p>
    <w:p>
      <w:pPr>
        <w:pStyle w:val="Body"/>
      </w:pPr>
      <w:r>
        <w:t>Bolivia — vecinos con una relación comercial real y grande (trigo,</w:t>
      </w:r>
    </w:p>
    <w:p>
      <w:pPr>
        <w:pStyle w:val="Body"/>
      </w:pPr>
      <w:r>
        <w:t>soya, gas por ducto, insumos agropecuarios), no hubs de tránsito.</w:t>
      </w:r>
    </w:p>
    <w:p>
      <w:pPr>
        <w:pStyle w:val="Bullet"/>
        <w:ind w:left="400" w:hanging="280"/>
      </w:pPr>
      <w:r>
        <w:t>•  Los mayores orígenes de importación en valor absoluto son China (USD</w:t>
      </w:r>
    </w:p>
    <w:p>
      <w:pPr>
        <w:pStyle w:val="Body"/>
      </w:pPr>
      <w:r>
        <w:t>119,739 millones en la década — más del doble que EE.UU.), Alemania,</w:t>
      </w:r>
    </w:p>
    <w:p>
      <w:pPr>
        <w:pStyle w:val="Body"/>
      </w:pPr>
      <w:r>
        <w:t>Japón e India: las grandes potencias manufactureras globales, todas muy</w:t>
      </w:r>
    </w:p>
    <w:p>
      <w:pPr>
        <w:pStyle w:val="Body"/>
      </w:pPr>
      <w:r>
        <w:t>lejanas de Perú.</w:t>
      </w:r>
    </w:p>
    <w:p>
      <w:pPr>
        <w:spacing w:after="40"/>
      </w:pPr>
    </w:p>
    <w:p>
      <w:pPr>
        <w:pStyle w:val="Body"/>
      </w:pPr>
      <w:r>
        <w:t>No hay ningún país de tránsito conocido (Róterdam, Singapur, etc.)</w:t>
      </w:r>
    </w:p>
    <w:p>
      <w:pPr>
        <w:pStyle w:val="Body"/>
      </w:pPr>
      <w:r>
        <w:t>dominando los residuos del lado importador, como sí ocurría en</w:t>
      </w:r>
    </w:p>
    <w:p>
      <w:pPr>
        <w:pStyle w:val="Body"/>
      </w:pPr>
      <w:r>
        <w:t>exportaciones. La lectura más simple y consistente con la evidencia es que</w:t>
      </w:r>
    </w:p>
    <w:p>
      <w:pPr>
        <w:pStyle w:val="Body"/>
      </w:pPr>
      <w:r>
        <w:t>el signo positivo de la distancia en importaciones **no es un artefacto de</w:t>
      </w:r>
    </w:p>
    <w:p>
      <w:pPr>
        <w:pStyle w:val="Body"/>
      </w:pPr>
      <w:r>
        <w:t>medición que corregir**: refleja que la canasta importadora peruana</w:t>
      </w:r>
    </w:p>
    <w:p>
      <w:pPr>
        <w:pStyle w:val="Body"/>
      </w:pPr>
      <w:r>
        <w:t>—maquinaria, electrónica, vehículos, insumos industriales— está</w:t>
      </w:r>
    </w:p>
    <w:p>
      <w:pPr>
        <w:pStyle w:val="Body"/>
      </w:pPr>
      <w:r>
        <w:t>estructuralmente concentrada en un puñado de potencias manufactureras</w:t>
      </w:r>
    </w:p>
    <w:p>
      <w:pPr>
        <w:pStyle w:val="Body"/>
      </w:pPr>
      <w:r>
        <w:t>lejanas (sobre todo China), un patrón documentado en la literatura reciente</w:t>
      </w:r>
    </w:p>
    <w:p>
      <w:pPr>
        <w:pStyle w:val="Body"/>
      </w:pPr>
      <w:r>
        <w:t>de comercio de América Latina con Asia, y que domina sobre cualquier</w:t>
      </w:r>
    </w:p>
    <w:p>
      <w:pPr>
        <w:pStyle w:val="Body"/>
      </w:pPr>
      <w:r>
        <w:t>preferencia por proximidad geográfica.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5.5 La asimetría exportación-importación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Exportaciones (sec. 4.5)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Importaciones (sec. 5.3)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 (p=0.071)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+0.90 (p&lt;0.001)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+1.02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+2.19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+1.12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+0.23 (ns)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−1.71 (p&lt;0.001)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Perú exporta siguiendo el patrón de gravedad clásico una vez limpia la</w:t>
      </w:r>
    </w:p>
    <w:p>
      <w:pPr>
        <w:pStyle w:val="Body"/>
      </w:pPr>
      <w:r>
        <w:t>distorsión de commodities (más a lo cercano), pero importa en contra del</w:t>
      </w:r>
    </w:p>
    <w:p>
      <w:pPr>
        <w:pStyle w:val="Body"/>
      </w:pPr>
      <w:r>
        <w:t>patrón de gravedad (más de lo lejano) — un reflejo fiel de ser, a la vez,</w:t>
      </w:r>
    </w:p>
    <w:p>
      <w:pPr>
        <w:pStyle w:val="Body"/>
      </w:pPr>
      <w:r>
        <w:t>un exportador de materias primas regionales y un importador de manufactura</w:t>
      </w:r>
    </w:p>
    <w:p>
      <w:pPr>
        <w:pStyle w:val="Body"/>
      </w:pPr>
      <w:r>
        <w:t>global concentrada en Asia. Ninguna de las dos direcciones es "la correcta";</w:t>
      </w:r>
    </w:p>
    <w:p>
      <w:pPr>
        <w:pStyle w:val="Body"/>
      </w:pPr>
      <w:r>
        <w:t>son dos estructuras económicas distintas que un solo coeficiente de</w:t>
      </w:r>
    </w:p>
    <w:p>
      <w:pPr>
        <w:pStyle w:val="Body"/>
      </w:pPr>
      <w:r>
        <w:t>distancia, mal especificado, podría haber ocultado.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6. Discusión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El hallazgo metodológico central es que, para una economía exportadora de</w:t>
      </w:r>
    </w:p>
    <w:p>
      <w:pPr>
        <w:pStyle w:val="Body"/>
      </w:pPr>
      <w:r>
        <w:t>commodities como Perú, un modelo de gravedad "de manual" sobre el valor</w:t>
      </w:r>
    </w:p>
    <w:p>
      <w:pPr>
        <w:pStyle w:val="Body"/>
      </w:pPr>
      <w:r>
        <w:t>total exportado no mide lo que se cree que mide: una fracción sustancial del</w:t>
      </w:r>
    </w:p>
    <w:p>
      <w:pPr>
        <w:pStyle w:val="Body"/>
      </w:pPr>
      <w:r>
        <w:t>flujo refleja la geografía de la refinación y el tránsito global de</w:t>
      </w:r>
    </w:p>
    <w:p>
      <w:pPr>
        <w:pStyle w:val="Body"/>
      </w:pPr>
      <w:r>
        <w:t>materias primas (Suiza para oro, Namibia para concentrados de cobre, Países</w:t>
      </w:r>
    </w:p>
    <w:p>
      <w:pPr>
        <w:pStyle w:val="Body"/>
      </w:pPr>
      <w:r>
        <w:t>Bajos/Panamá como puertos de redistribución), no la relación bilateral</w:t>
      </w:r>
    </w:p>
    <w:p>
      <w:pPr>
        <w:pStyle w:val="Body"/>
      </w:pPr>
      <w:r>
        <w:t>económica entre Perú y el país de destino final. Ignorar esto no solo</w:t>
      </w:r>
    </w:p>
    <w:p>
      <w:pPr>
        <w:pStyle w:val="Body"/>
      </w:pPr>
      <w:r>
        <w:t>distorsiona el coeficiente de distancia: también infla artificialmente el</w:t>
      </w:r>
    </w:p>
    <w:p>
      <w:pPr>
        <w:pStyle w:val="Body"/>
      </w:pPr>
      <w:r>
        <w:t>coeficiente de "tiene acuerdo comercial" (de +0.71 significativo a −0.05</w:t>
      </w:r>
    </w:p>
    <w:p>
      <w:pPr>
        <w:pStyle w:val="Body"/>
      </w:pPr>
      <w:r>
        <w:t>estadísticamente nulo), porque los países con acuerdos comerciales vigentes</w:t>
      </w:r>
    </w:p>
    <w:p>
      <w:pPr>
        <w:pStyle w:val="Body"/>
      </w:pPr>
      <w:r>
        <w:t>con Perú tienden a coincidir con los grandes compradores de oro y gas.</w:t>
      </w:r>
    </w:p>
    <w:p>
      <w:pPr>
        <w:spacing w:after="40"/>
      </w:pPr>
    </w:p>
    <w:p>
      <w:pPr>
        <w:pStyle w:val="Body"/>
      </w:pPr>
      <w:r>
        <w:t>La sección 5 muestra, además, que el mismo diagnóstico aplicado con el mismo</w:t>
      </w:r>
    </w:p>
    <w:p>
      <w:pPr>
        <w:pStyle w:val="Body"/>
      </w:pPr>
      <w:r>
        <w:t>rigor a las importaciones no produce el mismo resultado — y eso es, en sí</w:t>
      </w:r>
    </w:p>
    <w:p>
      <w:pPr>
        <w:pStyle w:val="Body"/>
      </w:pPr>
      <w:r>
        <w:t>mismo, la evidencia de que el procedimiento no está sesgado hacia "encontrar"</w:t>
      </w:r>
    </w:p>
    <w:p>
      <w:pPr>
        <w:pStyle w:val="Body"/>
      </w:pPr>
      <w:r>
        <w:t>el signo esperado: si lo estuviera, se habría seguido ajustando el filtro de</w:t>
      </w:r>
    </w:p>
    <w:p>
      <w:pPr>
        <w:pStyle w:val="Body"/>
      </w:pPr>
      <w:r>
        <w:t>importaciones hasta forzar un coeficiente de distancia negativo. No se hizo,</w:t>
      </w:r>
    </w:p>
    <w:p>
      <w:pPr>
        <w:pStyle w:val="Body"/>
      </w:pPr>
      <w:r>
        <w:t>porque los residuos no señalan a ningún hub de tránsito, y la explicación</w:t>
      </w:r>
    </w:p>
    <w:p>
      <w:pPr>
        <w:pStyle w:val="Body"/>
      </w:pPr>
      <w:r>
        <w:t>alternativa (concentración real en manufactura asiática) es más simple y</w:t>
      </w:r>
    </w:p>
    <w:p>
      <w:pPr>
        <w:pStyle w:val="Body"/>
      </w:pPr>
      <w:r>
        <w:t>mejor documentada que inventar una corrección adicional.</w:t>
      </w:r>
    </w:p>
    <w:p>
      <w:pPr>
        <w:spacing w:after="40"/>
      </w:pPr>
    </w:p>
    <w:p>
      <w:pPr>
        <w:pStyle w:val="Body"/>
      </w:pPr>
      <w:r>
        <w:t>Este patrón no es exclusivo de Perú: es un problema conocido en la</w:t>
      </w:r>
    </w:p>
    <w:p>
      <w:pPr>
        <w:pStyle w:val="Body"/>
      </w:pPr>
      <w:r>
        <w:t>literatura de gravedad para economías exportadoras de recursos naturales</w:t>
      </w:r>
    </w:p>
    <w:p>
      <w:pPr>
        <w:pStyle w:val="Body"/>
      </w:pPr>
      <w:r>
        <w:t>(Chile con cobre, los países del Golfo con petróleo, la República Democrática</w:t>
      </w:r>
    </w:p>
    <w:p>
      <w:pPr>
        <w:pStyle w:val="Body"/>
      </w:pPr>
      <w:r>
        <w:t>del Congo con cobalto). El aporte de este ejercicio es documentar el</w:t>
      </w:r>
    </w:p>
    <w:p>
      <w:pPr>
        <w:pStyle w:val="Body"/>
      </w:pPr>
      <w:r>
        <w:t>procedimiento completo y reproducible —diagnóstico de residuos, filtro por</w:t>
      </w:r>
    </w:p>
    <w:p>
      <w:pPr>
        <w:pStyle w:val="Body"/>
      </w:pPr>
      <w:r>
        <w:t>producto declarado a priori, filtro por país con lista estándar de la</w:t>
      </w:r>
    </w:p>
    <w:p>
      <w:pPr>
        <w:pStyle w:val="Body"/>
      </w:pPr>
      <w:r>
        <w:t>literatura, el punto explícito en el que se decide dejar de excluir</w:t>
      </w:r>
    </w:p>
    <w:p>
      <w:pPr>
        <w:pStyle w:val="Body"/>
      </w:pPr>
      <w:r>
        <w:t>observaciones, y la verificación simétrica del lado importador— en un caso</w:t>
      </w:r>
    </w:p>
    <w:p>
      <w:pPr>
        <w:pStyle w:val="Body"/>
      </w:pPr>
      <w:r>
        <w:t>real con datos públicos verificables.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7. Limitaciones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00" w:hanging="280"/>
      </w:pPr>
      <w:r>
        <w:t>•  El panel cubre exportaciones e importaciones por separado (2015-2024); no</w:t>
      </w:r>
    </w:p>
    <w:p>
      <w:pPr>
        <w:pStyle w:val="Body"/>
      </w:pPr>
      <w:r>
        <w:t>se estimó un modelo conjunto del comercio bilateral neto (exporta menos</w:t>
      </w:r>
    </w:p>
    <w:p>
      <w:pPr>
        <w:pStyle w:val="Body"/>
      </w:pPr>
      <w:r>
        <w:t>importa), que requeriría una especificación distinta (la variable</w:t>
      </w:r>
    </w:p>
    <w:p>
      <w:pPr>
        <w:pStyle w:val="Body"/>
      </w:pPr>
      <w:r>
        <w:t>dependiente podría ser negativa, incompatible con PPML tal como se usó</w:t>
      </w:r>
    </w:p>
    <w:p>
      <w:pPr>
        <w:pStyle w:val="Body"/>
      </w:pPr>
      <w:r>
        <w:t>aquí).</w:t>
      </w:r>
    </w:p>
    <w:p>
      <w:pPr>
        <w:pStyle w:val="Bullet"/>
        <w:ind w:left="400" w:hanging="280"/>
      </w:pPr>
      <w:r>
        <w:t>•  La explicación de la sección 5 para el signo de la distancia en</w:t>
      </w:r>
    </w:p>
    <w:p>
      <w:pPr>
        <w:pStyle w:val="Body"/>
      </w:pPr>
      <w:r>
        <w:t>importaciones (concentración real en manufactura asiática) es la lectura</w:t>
      </w:r>
    </w:p>
    <w:p>
      <w:pPr>
        <w:pStyle w:val="Body"/>
      </w:pPr>
      <w:r>
        <w:t>más simple consistente con los residuos observados, pero no se contrastó</w:t>
      </w:r>
    </w:p>
    <w:p>
      <w:pPr>
        <w:pStyle w:val="Body"/>
      </w:pPr>
      <w:r>
        <w:t>contra una hipótesis alternativa formal (ej. un modelo de cadenas de valor</w:t>
      </w:r>
    </w:p>
    <w:p>
      <w:pPr>
        <w:pStyle w:val="Body"/>
      </w:pPr>
      <w:r>
        <w:t>globales) — queda como lectura cualitativa, no como resultado probado.</w:t>
      </w:r>
    </w:p>
    <w:p>
      <w:pPr>
        <w:pStyle w:val="Bullet"/>
        <w:ind w:left="400" w:hanging="280"/>
      </w:pPr>
      <w:r>
        <w:t>•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00" w:hanging="280"/>
      </w:pPr>
      <w:r>
        <w:t>•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Referencias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ody"/>
      </w:pPr>
      <w:r>
        <w:t>DOI: [10.1257/000282803321455214](https://doi.org/10.1257/000282803321455214)</w:t>
      </w:r>
    </w:p>
    <w:p>
      <w:pPr>
        <w:pStyle w:val="Bullet"/>
        <w:ind w:left="400" w:hanging="280"/>
      </w:pPr>
      <w:r>
        <w:t>•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ody"/>
      </w:pPr>
      <w:r>
        <w:t>DOI: [10.1162/rest.88.4.641](https://doi.org/10.1162/rest.88.4.641)</w:t>
      </w:r>
    </w:p>
    <w:p>
      <w:pPr>
        <w:pStyle w:val="Bullet"/>
        <w:ind w:left="400" w:hanging="280"/>
      </w:pPr>
      <w:r>
        <w:t>•  Tinbergen, J. (1962). *Shaping the World Economy: Suggestions for an</w:t>
      </w:r>
    </w:p>
    <w:p>
      <w:pPr>
        <w:pStyle w:val="Body"/>
      </w:pPr>
      <w:r>
        <w:t>International Economic Policy*. Twentieth Century Fund, Nueva York, 330 pp.</w:t>
      </w:r>
    </w:p>
    <w:p>
      <w:pPr>
        <w:pStyle w:val="Bullet"/>
        <w:ind w:left="400" w:hanging="280"/>
      </w:pPr>
      <w:r>
        <w:t>•  Head, K., &amp; Mayer, T. (2014). Gravity Equations: Workhorse, Toolkit, and</w:t>
      </w:r>
    </w:p>
    <w:p>
      <w:pPr>
        <w:pStyle w:val="Body"/>
      </w:pPr>
      <w:r>
        <w:t>Cookbook. En Handbook of International Economics, Vol. 4, pp. 131-195.</w:t>
      </w:r>
    </w:p>
    <w:p>
      <w:pPr>
        <w:pStyle w:val="Body"/>
      </w:pPr>
      <w:r>
        <w:t>Elsevier. DOI: [10.1016/B978-0-444-54314-1.00003-3](https://doi.org/10.1016/B978-0-444-54314-1.00003-3)</w:t>
      </w:r>
    </w:p>
    <w:p>
      <w:pPr>
        <w:pStyle w:val="Bullet"/>
        <w:ind w:left="400" w:hanging="280"/>
      </w:pPr>
      <w:r>
        <w:t>•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ody"/>
      </w:pPr>
      <w:r>
        <w:t>[cepii.fr](https://www.cepii.fr/)</w:t>
      </w:r>
    </w:p>
    <w:p>
      <w:pPr>
        <w:pStyle w:val="Bullet"/>
        <w:ind w:left="400" w:hanging="280"/>
      </w:pPr>
      <w:r>
        <w:t>•  World Bank, World Development Indicators, NY.GDP.MKTP.CD (PBI corriente,</w:t>
      </w:r>
    </w:p>
    <w:p>
      <w:pPr>
        <w:pStyle w:val="Body"/>
      </w:pPr>
      <w:r>
        <w:t>US$). [databank.worldbank.org/source/world-development-indicators](https://databank.worldbank.org/source/world-development-indicators)</w:t>
      </w:r>
    </w:p>
    <w:p>
      <w:pPr>
        <w:spacing w:after="40"/>
      </w:pPr>
    </w:p>
    <w:p>
      <w:pPr>
        <w:pStyle w:val="Body"/>
      </w:pPr>
      <w:r>
        <w:t>Las 4 referencias académicas fueron verificadas en vivo contra fuentes</w:t>
      </w:r>
    </w:p>
    <w:p>
      <w:pPr>
        <w:pStyle w:val="Body"/>
      </w:pPr>
      <w:r>
        <w:t>primarias el 2026-10-18 (ver referencias_verificadas.md en la raíz de este</w:t>
      </w:r>
    </w:p>
    <w:p>
      <w:pPr>
        <w:pStyle w:val="Body"/>
      </w:pPr>
      <w:r>
        <w:t>proyecto para el detalle de la verificación).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Anexo — Reproducibilidad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Todo el código, los datos extraídos y el notebook ejecutado están en</w:t>
      </w:r>
    </w:p>
    <w:p>
      <w:pPr>
        <w:pStyle w:val="Body"/>
      </w:pPr>
      <w:r>
        <w:t>investigaciones/gravedad-comercio-bilateral-peru/ del repositorio:</w:t>
      </w:r>
    </w:p>
    <w:p>
      <w:pPr>
        <w:spacing w:after="40"/>
      </w:pPr>
    </w:p>
    <w:p>
      <w:pPr>
        <w:pStyle w:val="Bullet"/>
        <w:ind w:left="400" w:hanging="280"/>
      </w:pPr>
      <w:r>
        <w:t>•  data/raw/panel_bilateral_peru_2015_2024.json — extracción cruda de</w:t>
      </w:r>
    </w:p>
    <w:p>
      <w:pPr>
        <w:pStyle w:val="Body"/>
      </w:pPr>
      <w:r>
        <w:t>exportaciones, desde Neon.</w:t>
      </w:r>
    </w:p>
    <w:p>
      <w:pPr>
        <w:pStyle w:val="Bullet"/>
        <w:ind w:left="400" w:hanging="280"/>
      </w:pPr>
      <w:r>
        <w:t>•  data/raw/panel_bilateral_peru_importaciones_2015_2024.json — extracción</w:t>
      </w:r>
    </w:p>
    <w:p>
      <w:pPr>
        <w:pStyle w:val="Body"/>
      </w:pPr>
      <w:r>
        <w:t>cruda de importaciones.</w:t>
      </w:r>
    </w:p>
    <w:p>
      <w:pPr>
        <w:pStyle w:val="Bullet"/>
        <w:ind w:left="400" w:hanging="280"/>
      </w:pPr>
      <w:r>
        <w:t>•  data/procesado/panel_final_estimacion_exportaciones.csv y</w:t>
      </w:r>
    </w:p>
    <w:p>
      <w:pPr>
        <w:pStyle w:val="Body"/>
      </w:pPr>
      <w:r>
        <w:t>_importaciones.csv — paneles finales de cada especificación 3 (1,847</w:t>
      </w:r>
    </w:p>
    <w:p>
      <w:pPr>
        <w:pStyle w:val="Body"/>
      </w:pPr>
      <w:r>
        <w:t>filas cada uno).</w:t>
      </w:r>
    </w:p>
    <w:p>
      <w:pPr>
        <w:pStyle w:val="Bullet"/>
        <w:ind w:left="400" w:hanging="280"/>
      </w:pPr>
      <w:r>
        <w:t>•  data/procesado/tabla_comparativa_especificaciones.csv — las seis</w:t>
      </w:r>
    </w:p>
    <w:p>
      <w:pPr>
        <w:pStyle w:val="Body"/>
      </w:pPr>
      <w:r>
        <w:t>especificaciones (3 exporta + 3 importa) con todos los coeficientes.</w:t>
      </w:r>
    </w:p>
    <w:p>
      <w:pPr>
        <w:pStyle w:val="Bullet"/>
        <w:ind w:left="400" w:hanging="280"/>
      </w:pPr>
      <w:r>
        <w:t>•  scripts/estimar_gravedad.py — script que reproduce las seis</w:t>
      </w:r>
    </w:p>
    <w:p>
      <w:pPr>
        <w:pStyle w:val="Body"/>
      </w:pPr>
      <w:r>
        <w:t>especificaciones de punta a punta.</w:t>
      </w:r>
    </w:p>
    <w:p>
      <w:pPr>
        <w:pStyle w:val="Bullet"/>
        <w:ind w:left="400" w:hanging="280"/>
      </w:pPr>
      <w:r>
        <w:t>•  notebook/gravedad_comercio_peru.ipynb — notebook narrado con el mismo</w:t>
      </w:r>
    </w:p>
    <w:p>
      <w:pPr>
        <w:pStyle w:val="Body"/>
      </w:pPr>
      <w:r>
        <w:t>recorrido para ambos lados (Parte 1: exportaciones, Parte 2: importaciones),</w:t>
      </w:r>
    </w:p>
    <w:p>
      <w:pPr>
        <w:pStyle w:val="Body"/>
      </w:pPr>
      <w:r>
        <w:t>ejecutado con outputs reales.</w:t>
      </w:r>
    </w:p>
    <w:p>
      <w:pPr>
        <w:spacing w:after="40"/>
      </w:pP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00"/>
      <w:jc w:val="center"/>
    </w:pPr>
    <w:rPr>
      <w:b/>
      <w:i w:val="0"/>
      <w:color w:val="1A3050"/>
      <w:sz w:val="34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b w:val="0"/>
      <w:i w:val="0"/>
      <w:color w:val="555555"/>
      <w:sz w:val="22"/>
    </w:rPr>
  </w:style>
  <w:style w:type="paragraph" w:customStyle="1" w:styleId="SectionHdr">
    <w:name w:val="SectionHdr"/>
    <w:basedOn w:val="Normal"/>
    <w:pPr>
      <w:spacing w:before="240" w:after="80"/>
      <w:jc w:val="left"/>
    </w:pPr>
    <w:rPr>
      <w:b/>
      <w:i w:val="0"/>
      <w:color w:val="FFFFFF"/>
      <w:sz w:val="22"/>
    </w:rPr>
  </w:style>
  <w:style w:type="paragraph" w:customStyle="1" w:styleId="SubSecHdr">
    <w:name w:val="SubSecHdr"/>
    <w:basedOn w:val="Normal"/>
    <w:pPr>
      <w:spacing w:before="160" w:after="60"/>
      <w:jc w:val="left"/>
    </w:pPr>
    <w:rPr>
      <w:b/>
      <w:i w:val="0"/>
      <w:color w:val="1A3050"/>
      <w:sz w:val="20"/>
    </w:rPr>
  </w:style>
  <w:style w:type="paragraph" w:customStyle="1" w:styleId="Body">
    <w:name w:val="Body"/>
    <w:basedOn w:val="Normal"/>
    <w:pPr>
      <w:spacing w:before="0" w:after="100"/>
      <w:jc w:val="both"/>
    </w:pPr>
    <w:rPr>
      <w:b w:val="0"/>
      <w:i w:val="0"/>
      <w:color w:val="000000"/>
      <w:sz w:val="20"/>
    </w:rPr>
  </w:style>
  <w:style w:type="paragraph" w:customStyle="1" w:styleId="Bullet">
    <w:name w:val="Bullet"/>
    <w:basedOn w:val="Normal"/>
    <w:pPr>
      <w:spacing w:before="0" w:after="60"/>
      <w:jc w:val="both"/>
    </w:pPr>
    <w:rPr>
      <w:b w:val="0"/>
      <w:i w:val="0"/>
      <w:color w:val="000000"/>
      <w:sz w:val="20"/>
    </w:rPr>
  </w:style>
  <w:style w:type="paragraph" w:customStyle="1" w:styleId="Abstract">
    <w:name w:val="Abstract"/>
    <w:basedOn w:val="Normal"/>
    <w:pPr>
      <w:spacing w:before="0" w:after="100"/>
      <w:jc w:val="both"/>
    </w:pPr>
    <w:rPr>
      <w:b w:val="0"/>
      <w:i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