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64" w:lineRule="auto"/>
      </w:pPr>
    </w:p>
    <w:p>
      <w:pPr>
        <w:keepNext w:val="0"/>
        <w:spacing w:before="0" w:after="0" w:line="264" w:lineRule="auto"/>
      </w:pPr>
    </w:p>
    <w:p>
      <w:pPr>
        <w:keepNext w:val="0"/>
        <w:spacing w:before="0" w:after="0" w:line="264" w:lineRule="auto"/>
      </w:pPr>
    </w:p>
    <w:p>
      <w:pPr>
        <w:keepNext w:val="0"/>
        <w:spacing w:before="0" w:after="0" w:line="264" w:lineRule="auto"/>
      </w:pPr>
    </w:p>
    <w:p>
      <w:pPr>
        <w:keepNext w:val="0"/>
        <w:spacing w:before="0" w:after="0" w:line="264" w:lineRule="auto"/>
      </w:pPr>
    </w:p>
    <w:p>
      <w:pPr>
        <w:keepNext w:val="0"/>
        <w:spacing w:before="0" w:after="240" w:line="240" w:lineRule="auto"/>
        <w:jc w:val="center"/>
      </w:pPr>
      <w:r>
        <w:rPr>
          <w:rFonts w:ascii="Calibri" w:hAnsi="Calibri"/>
          <w:b/>
          <w:color w:val="7A5A00"/>
          <w:sz w:val="22"/>
        </w:rPr>
        <w:t>DOCUMENTO DE ESTRATEGIA Y EJECUCIÓN</w:t>
      </w:r>
    </w:p>
    <w:p>
      <w:pPr>
        <w:keepNext w:val="0"/>
        <w:spacing w:before="0" w:after="200" w:line="240" w:lineRule="auto"/>
        <w:jc w:val="center"/>
      </w:pPr>
      <w:r>
        <w:rPr>
          <w:rFonts w:ascii="Calibri" w:hAnsi="Calibri"/>
          <w:b/>
          <w:color w:val="0B2545"/>
          <w:sz w:val="60"/>
        </w:rPr>
        <w:t>Follow the Sol</w:t>
      </w:r>
    </w:p>
    <w:p>
      <w:pPr>
        <w:keepNext w:val="0"/>
        <w:spacing w:before="0" w:after="480" w:line="240" w:lineRule="auto"/>
        <w:jc w:val="center"/>
      </w:pPr>
      <w:r>
        <w:rPr>
          <w:rFonts w:ascii="Calibri" w:hAnsi="Calibri"/>
          <w:color w:val="1F4D78"/>
          <w:sz w:val="38"/>
        </w:rPr>
        <w:t>Perú Public Spending Graph</w:t>
      </w:r>
    </w:p>
    <w:p>
      <w:pPr>
        <w:keepNext w:val="0"/>
        <w:spacing w:before="0" w:after="240" w:line="276" w:lineRule="auto"/>
        <w:jc w:val="center"/>
      </w:pPr>
      <w:r>
        <w:rPr>
          <w:rFonts w:ascii="Calibri" w:hAnsi="Calibri"/>
          <w:i/>
          <w:color w:val="5B6573"/>
          <w:sz w:val="25"/>
        </w:rPr>
        <w:t>Cómo convertir APIs y datos públicos del Estado peruano en transparencia activa sobre gasto, inversión y contratación pública.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Propósito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0"/>
              </w:rPr>
              <w:t>Proponer una plataforma pública, trazable y prudente para seguir el uso de recursos públicos desde el presupuesto hasta la inversión, la compra, el proveedor y la obra; priorizando evidencia, comparables y revisión humana.</w:t>
            </w:r>
          </w:p>
        </w:tc>
      </w:tr>
    </w:tbl>
    <w:p>
      <w:pPr>
        <w:spacing w:after="60"/>
      </w:pPr>
    </w:p>
    <w:p>
      <w:pPr>
        <w:keepNext w:val="0"/>
        <w:spacing w:before="360" w:after="0" w:line="240" w:lineRule="auto"/>
        <w:jc w:val="center"/>
      </w:pPr>
      <w:r>
        <w:rPr>
          <w:rFonts w:ascii="Calibri" w:hAnsi="Calibri"/>
          <w:color w:val="5B6573"/>
          <w:sz w:val="19"/>
        </w:rPr>
        <w:t>Versión 1.0 | Agosto de 2026 | Documento editable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Resumen ejecutivo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oportunidad no es crear otro portal de transparencia. Es construir una capa independiente de interoperabilidad e inteligencia que haga navegable y comparable la información pública ya disponible sobre presupuesto, inversiones, contrataciones, órdenes de compra y obras.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Tesis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0"/>
              </w:rPr>
              <w:t>“Follow the Sol” debe permitir seguir cada sol público: entidad → presupuesto → inversión/proyecto → proceso/contrato u orden → proveedor → producto/servicio → obra → territorio. El activo diferencial no es el dashboard: es el modelo de datos, las identidades resueltas, los comparables, la trazabilidad y las reglas de señal.</w:t>
            </w:r>
          </w:p>
        </w:tc>
      </w:tr>
    </w:tbl>
    <w:p>
      <w:pPr>
        <w:spacing w:after="60"/>
      </w:pP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recomendación de producto es deliberadamente secuencial. Primero se debe probar utilidad pública y calidad de datos con ejecución presupuestal, radar de inversiones y benchmark territorial. Después se añaden inteligencia de proveedores y contratación, referencias de precio, relaciones de grafo y scoring de anomalías. Esta secuencia reduce el riesgo de prometer enlaces que aún no son verificables entre sistemas.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Decisión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Recomendación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MVP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Ejecución presupuestal + inversiones + territorio; consultas trazables y rankings comparables.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Unidad de verdad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Registro fuente, fecha de extracción, versión/dataset y transformaciones visibles por resultado.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Lenguaje de riesgo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Señales, atipicidad y “requiere revisión”; nunca acusaciones o conclusiones legales automatizadas.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Horizonte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8"/>
              </w:rPr>
              <w:t>12 semanas para un MVP de evidencia; 6–9 meses para procurement, precios, grafo y scoring inicial.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Tesis y oportunidad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transparencia pasiva publica documentos o tablas. La transparencia activa responde preguntas concretas, explica qué datos sustentan la respuesta y destaca diferencias que ameritan revisión. En Perú, el ecosistema de datos permite construir esa segunda capa, aunque requiere normalización cuidadosa y control de calidad antes de cruzar dominios.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La propuesta de valor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Para ciudadanía y periodismo: consultas en lenguaje simple con evidencia navegable y fecha de corte.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Para gobiernos y órganos de control: comparables territoriales, señales tempranas y priorización de revisión.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Para academia y sociedad civil: datasets normalizados, definiciones reproducibles y metodología abierta.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Para desarrolladores: una API pública o capa MCP de solo lectura que devuelva resultados, fuentes y límites de cobertura.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Principio rector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plataforma no determina ilegalidad ni calidad jurídica de una contratación. Expone hechos publicados y calcula indicadores explícitos. Una desviación de precio, una alta concentración o un atraso relativo son disparadores de análisis, no pruebas de corrupción.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Mapa de fuentes oficiales y rol en el producto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disponibilidad y la modalidad de acceso varían: algunas fuentes ofrecen API CKAN o descargas estructuradas; otras son plataformas de consulta o publicaciones. El backlog empieza por las fuentes con estructura, cobertura y actualización verificables, y deja como “integración condicionada” cualquier fuente cuyo acceso automatizado, licencia o estabilidad deba confirmarse durante discovery.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350"/>
        <w:gridCol w:w="1850"/>
        <w:gridCol w:w="3300"/>
        <w:gridCol w:w="286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Dominio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Fuente oficial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Campos/uso relevante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Modo y cautela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Presupuesto y ejecución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MEF / Datos Abiertos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PIA, PIM y fases de gasto; dimensión institucional, funcional y territorial según recurso.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API CKAN: datastore_search y datastore_search_sql. Base del radar de gasto y comparables.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Inversiones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MEF / Invierte.pe / Banco de Inversiones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CUI, costos, estado, ubicación, responsabilidad funcional; detalle, estado situacional y Formato 12B según dataset.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Datos abiertos y consulta pública. Base del radar de inversión; validar periodicidad y claves antes de enlaces.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Contrataciones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OECE/OSCE / Contrataciones Abiertas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Proceso, partes, adjudicación, contrato y publicación bajo OCDS.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Descargas masivas OCDS en JSON/CSV/Excel. Base de supplier/procurement intelligence.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Órdenes de Acuerdos Marco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Perú Compras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Entidad, proveedor, orden, ítems y montos/precios publicados para Catálogos Electrónicos.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Consulta y formatos estructurados/OCDS. Base de price intelligence, con homologación obligatoria.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Obras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Contraloría / INFOBRAS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Ubicación y estado de obras públicas; información de seguimiento ciudadana.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Plataforma de consulta. Integración condicionada a acceso, documentación y calidad disponibles.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Territorio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INEI / UBIGEO + catálogos oficiales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Departamentos, provincias, distritos y claves territoriales.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Dimensión maestra para comparables; conservar vigencia y fuente de cada código.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Catálogo nacional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Plataforma Nacional de Datos Abiertos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Datasets sectoriales, incluido detalle de inversiones y diccionarios.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5"/>
              </w:rPr>
              <w:t>Descargas y metadatos; útil para discovery, alternativas y verificación de cobertura.</w:t>
            </w:r>
          </w:p>
        </w:tc>
      </w:tr>
    </w:tbl>
    <w:p>
      <w:pPr>
        <w:spacing w:after="40"/>
      </w:pPr>
    </w:p>
    <w:p>
      <w:pPr>
        <w:keepNext w:val="0"/>
        <w:spacing w:before="40" w:after="160" w:line="264" w:lineRule="auto"/>
      </w:pPr>
      <w:r>
        <w:rPr>
          <w:rFonts w:ascii="Calibri" w:hAnsi="Calibri"/>
          <w:b w:val="0"/>
          <w:i/>
          <w:color w:val="5B6573"/>
          <w:sz w:val="18"/>
        </w:rPr>
        <w:t>Nota de implementación: “API” no significa necesariamente acceso estable, completo o idóneo para producción. Cada conector debe registrar términos de uso, frecuencia, esquema, cobertura histórica, tasa de fallas y si el método es API, descarga o consulta web.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Arquitectura propuesta: Follow the Sol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arquitectura se organiza como una cadena de evidencia. Cada capa conserva los datos crudos, produce una versión normalizada y publica indicadores solo cuando hay suficiente cobertura y una relación comprobable entre registros.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350"/>
        <w:gridCol w:w="2350"/>
        <w:gridCol w:w="566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Capa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Componente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Responsabilidad y control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1. Ingesta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Conectores por fuente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Descargas/API/consulta permitida; metadatos de extracción, checksum, fecha y respuesta original.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2. Lake de evidencia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Raw + snapshots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Datos no transformados, retención y trazabilidad por lote. Nunca sobrescribir el hecho fuente.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3. Normalización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Entidades y catálogos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RUC/identificador, entidad, CUI, OCID, orden, clasificador, moneda, fecha y UBIGEO.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4. Resolución de identidad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Linking con confianza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Enlaces deterministas primero; enlaces probabilísticos con score, razón y revisión humana.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5. Modelo analítico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Spending Graph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Nodos: entidad, presupuesto, inversión, proceso, contrato, orden, proveedor, ítem, obra y territorio.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6. Indicadores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Comparables y señales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Ejecución, percentiles, ritmo, concentración, precio comparable, fragmentación y calidad de cobertura.</w:t>
            </w:r>
          </w:p>
        </w:tc>
      </w:tr>
      <w:tr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7. Producto/API/MCP</w:t>
            </w:r>
          </w:p>
        </w:tc>
        <w:tc>
          <w:tcPr>
            <w:tcW w:type="dxa" w:w="2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Consulta trazable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Respuesta legible + dataset, registro, fecha de corte, filtros, transformaciones y limitaciones.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Regla de enlace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0"/>
              </w:rPr>
              <w:t>No se debe asumir que un proyecto, contrato u orden pertenece a otro registro solo por coincidir en nombre. El grafo debe distinguir “relación confirmada”, “relación candidata” y “sin relación disponible”, con una puntuación de confianza y la evidencia de enlace.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Modelo conceptual mínimo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Entidad pública → presupuesto → inversión (CUI) → proceso de contratación (OCID) → adjudicación/contrato u orden → proveedor → ítem/producto o servicio → obra → territorio. Los enlaces pueden ser uno-a-muchos y no todos estarán presentes en todas las fuentes; por eso la API debe expresar cobertura, no completar vacíos por inferencia.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Casos de uso priorizados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800"/>
        <w:gridCol w:w="2800"/>
        <w:gridCol w:w="2400"/>
        <w:gridCol w:w="2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Caso de uso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Pregunta que responde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Valor público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Condición de calidad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Radar de ejecución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¿Quién ejecuta cuánto y cómo cambia frente a comparables?</w:t>
            </w:r>
          </w:p>
        </w:tc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Hace visible la ejecución con contexto, no solo porcentajes aislados.</w:t>
            </w:r>
          </w:p>
        </w:tc>
        <w:tc>
          <w:tcPr>
            <w:tcW w:type="dxa" w:w="23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Misma fecha de corte, universo comparable y denominador declarado.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Radar de inversiones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¿Qué inversiones muestran ritmo menor al esperado?</w:t>
            </w:r>
          </w:p>
        </w:tc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Prioriza seguimiento de CUI con costo, avance, estado y territorio.</w:t>
            </w:r>
          </w:p>
        </w:tc>
        <w:tc>
          <w:tcPr>
            <w:tcW w:type="dxa" w:w="23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Separar avance financiero, físico y calendario; no imputar datos faltantes.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Benchmark territorial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¿Cómo se ubica una entidad frente a pares?</w:t>
            </w:r>
          </w:p>
        </w:tc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Reduce rankings engañosos por tamaño, nivel de gobierno o función.</w:t>
            </w:r>
          </w:p>
        </w:tc>
        <w:tc>
          <w:tcPr>
            <w:tcW w:type="dxa" w:w="23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Grupos comparables versionados y muestra suficiente.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Supplier intelligence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¿Qué proveedores concentran adjudicaciones en una categoría?</w:t>
            </w:r>
          </w:p>
        </w:tc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Visibiliza concentración, dependencia y recurrencia.</w:t>
            </w:r>
          </w:p>
        </w:tc>
        <w:tc>
          <w:tcPr>
            <w:tcW w:type="dxa" w:w="23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Identidad de proveedor y categoría normalizadas; cobertura OCDS declarada.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Price intelligence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¿Una compra difiere de comparables homogéneos?</w:t>
            </w:r>
          </w:p>
        </w:tc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Genera una alerta de revisión, no una conclusión de sobrevaloración.</w:t>
            </w:r>
          </w:p>
        </w:tc>
        <w:tc>
          <w:tcPr>
            <w:tcW w:type="dxa" w:w="23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Mismo bien/servicio, unidad, fecha, cantidad, configuración y condiciones.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Señales de anomalía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¿Qué registros merecen priorización humana?</w:t>
            </w:r>
          </w:p>
        </w:tc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Ordena revisión con factores explicables.</w:t>
            </w:r>
          </w:p>
        </w:tc>
        <w:tc>
          <w:tcPr>
            <w:tcW w:type="dxa" w:w="23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Variables auditables, umbrales versionados y revisión de falsos positivos.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Evaluación esfuerzo-impacto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Las estimaciones suponen un equipo pequeño de 2–3 personas con capacidades de datos, producto y frontend. Son rangos de planificación; no compromisos de fuente ni estimaciones oficiales.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250"/>
        <w:gridCol w:w="1050"/>
        <w:gridCol w:w="1200"/>
        <w:gridCol w:w="1800"/>
        <w:gridCol w:w="2060"/>
      </w:tblGrid>
      <w:tr>
        <w:trPr>
          <w:tblHeader w:val="true"/>
        </w:trP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Producto/capacidad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Impacto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Esfuerzo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Rango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Decisión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Ranking y buscador de ejecución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1–2/5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1–2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Quick win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Benchmark territorial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2–3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Quick win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Radar de inversiones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3–5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Quick win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Señales simples de atraso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3/5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4–6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Fase 1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Supplier/procurement intelligence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3/5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5–8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Fase 2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Benchmark de precios públicos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6–10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Fase 2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Grafo transdominio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8–12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Fase 3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Anomaly score compuesto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4–5/5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8–14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Fase 3–4</w:t>
            </w:r>
          </w:p>
        </w:tc>
      </w:tr>
      <w:tr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Predicción de paralización</w:t>
            </w:r>
          </w:p>
        </w:tc>
        <w:tc>
          <w:tcPr>
            <w:tcW w:type="dxa" w:w="1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4/5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5/5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12–20 semanas</w:t>
            </w:r>
          </w:p>
        </w:tc>
        <w:tc>
          <w:tcPr>
            <w:tcW w:type="dxa" w:w="20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Investigación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spacing w:before="0" w:after="60" w:line="264" w:lineRule="auto"/>
            </w:pPr>
            <w:r>
              <w:rPr>
                <w:rFonts w:ascii="Calibri" w:hAnsi="Calibri"/>
                <w:b/>
                <w:color w:val="7A5A00"/>
                <w:sz w:val="21"/>
              </w:rPr>
              <w:t>Orden recomendado de inversión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0"/>
              </w:rPr>
              <w:t>1) ejecución presupuestal, 2) radar de inversiones, 3) benchmark territorial, 4) supplier/procurement intelligence, 5) price intelligence, 6) grafo, 7) anomaly scoring. La interfaz debe avanzar al ritmo de la calidad de evidencia, no al revés.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Fases, MVP y métricas de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900"/>
        <w:gridCol w:w="1350"/>
        <w:gridCol w:w="3250"/>
        <w:gridCol w:w="2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Fase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Horizonte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Alcance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Gate de salida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Fase 0: discovery y contrato de datos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Semanas 1–2</w:t>
            </w:r>
          </w:p>
        </w:tc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Inventario, esquema, licencia/uso, prueba de conector y matriz de cobertura.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Un dataset piloto reproducible y un data contract por fuente.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Fase 1: MVP de evidencia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Semanas 3–8</w:t>
            </w:r>
          </w:p>
        </w:tc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Ejecución, inversiones, territorio, metodología y resultados trazables.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10 preguntas ciudadanas respondibles con fuente, corte y limitación.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Fase 1.5: señales de inversión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Semanas 9–12</w:t>
            </w:r>
          </w:p>
        </w:tc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Ritmo, percentiles y cola de revisión para inversiones.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Señales explicables validadas contra muestra manual.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Fase 2: contratación y proveedores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Meses 4–5</w:t>
            </w:r>
          </w:p>
        </w:tc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OCDS, entidades, proveedores, categorías y concentración.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Cobertura declarada por periodo y filtros; proveedor verificable.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Fase 2.5: inteligencia de precios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Meses 5–6</w:t>
            </w:r>
          </w:p>
        </w:tc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Catálogos/órdenes, unidades, comparables y alertas prudentes.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Comparabilidad cuantificada; no hay alerta si faltan atributos críticos.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Fase 3: grafo y señales compuestas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Meses 7–9</w:t>
            </w:r>
          </w:p>
        </w:tc>
        <w:tc>
          <w:tcPr>
            <w:tcW w:type="dxa" w:w="32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Relaciones cruzadas con confianza y score explicable.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Cada enlace muestra tipo, evidencia y nivel de confianza.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MVP propuesto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Vista nacional y territorial de ejecución: PIA/PIM, devengado y avance, con fecha de corte y filtros explícitos.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Ficha de inversión: CUI, entidad, ubicación, costo, ejecución/estado publicados y evolución disponible.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Benchmark territorial: pares por nivel de gobierno, tamaño presupuestal, función y/o geografía; metodología visible.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Rastro de evidencia: fuente, recurso, fecha, filtros, versión del indicador y exportación de los registros usados.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Panel de calidad: fecha de extracción, cobertura, campos faltantes y últimas fallas de conector.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Metodología: señales, no acusaciones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 herramienta debe ser rigurosa porque trabaja con reputación, gasto público y decisiones de supervisión. Su rol es reducir el costo de encontrar registros que merecen revisión, no sustituir una investigación administrativa, técnica o penal.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650"/>
        <w:gridCol w:w="3850"/>
        <w:gridCol w:w="38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Nivel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Lenguaje permitido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Control obligatorio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Hecho fuente</w:t>
            </w:r>
          </w:p>
        </w:tc>
        <w:tc>
          <w:tcPr>
            <w:tcW w:type="dxa" w:w="3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“El dataset reporta PIM de S/ X y devengado de S/ Y para una entidad a una fecha de corte.”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Registrar fuente, recurso, fila/clave, fecha de extracción y transformación.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Indicador derivado</w:t>
            </w:r>
          </w:p>
        </w:tc>
        <w:tc>
          <w:tcPr>
            <w:tcW w:type="dxa" w:w="3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“La ejecución es 43%.”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Publicar fórmula, denominador, redondeo, universo y regla para divisiones por cero.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Comparable</w:t>
            </w:r>
          </w:p>
        </w:tc>
        <w:tc>
          <w:tcPr>
            <w:tcW w:type="dxa" w:w="3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“Está 18 pp bajo la mediana de sus pares.”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Definir grupo, exclusiones, tamaño de muestra y corte temporal homogéneo.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Señal</w:t>
            </w:r>
          </w:p>
        </w:tc>
        <w:tc>
          <w:tcPr>
            <w:tcW w:type="dxa" w:w="3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“Ritmo de ejecución atípicamente bajo; requiere revisión.”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Mostrar factores, umbral, cobertura y alternativas razonables.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Conclusión prohibida</w:t>
            </w:r>
          </w:p>
        </w:tc>
        <w:tc>
          <w:tcPr>
            <w:tcW w:type="dxa" w:w="38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“Existe corrupción/sobrevaloración/fraccionamiento ilegal.”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No inferir. Enlazar a mecanismos de revisión y dejar la determinación a autoridad competente.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Reglas de publicación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No publicar ranking si la cobertura del universo o el periodo de corte no es comparable.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No publicar benchmark de precio si no se confirma unidad, especificación/categoría y cantidad/condiciones suficientes.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No relacionar dos identidades por similitud de texto sin mostrar que es una relación candidata y su confianza.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Incluir botón de “ver registros fuente”, versión del cálculo, fecha de actualización y mecanismo de rectificación.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Versionar cada regla de señal y registrar revisión humana, falsos positivos y cambios de umbral.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Ejemplos de señales defendibles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Ejecución por debajo del percentil 10 de un grupo comparable, con n suficiente y fecha de corte común.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Costo actualizado superior al costo inicial publicado, presentado como variación de registro, no como irregularidad.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Concentración CR3/HHI elevada en una categoría, una entidad y un periodo declarados.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Compras similares cercanas en el tiempo: “patrón compatible con fragmentación de demanda; requiere análisis”.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Backlog ejecutable de issues / tickets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Backlog priorizado para un equipo de producto y datos. Esfuerzo se expresa en puntos (1 bajo, 3 medio, 5 alto, 8 muy alto) y presupone que la aprobación de acceso/uso de fuentes se resuelve dentro del sprint de discovery. Si un conector no cumple su data contract, el ticket no se cierra por “ingesta parcial” sin una cobertura explícita.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Definición de Done transversal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0"/>
              </w:rPr>
              <w:t>Todo ticket de datos debe incluir: prueba reproducible, esquema versionado, muestra de registros, fecha de corte, log de fallas, dueño del conector y documentación de cobertura. Todo ticket de señal debe incluir: fórmula, hipótesis, falsos positivos esperados, visualización de factores y lenguaje no acusatorio.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Épica A — Fundaciones y data contracts (Fase 0)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FTS-001 | Definir modelo canónico y diccionario de entidades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A. Fundaciones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Diseñar IDs, claves y relaciones para entidad, territorio, presupuesto, inversión, proceso, contrato, orden, proveedor, ítem y fuente.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Esquema versionado v0.1; diccionario de campos; tipos de relación “confirmada/candidata/no disponible”; ADR aprobado.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Ninguna.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1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FTS-002 | Inventario y contrato de datos por fuente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A. Fundaciones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Documentar para MEF, Invierte.pe, OCDS, Perú Compras, INFOBRAS y UBIGEO: acceso, licencia/uso, frecuencia, campos, claves y riesgo.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Seis data contracts con owner, método de acceso, SLA observada, cobertura y decisión API/descarga/condicionada.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3 pts | Sprint 1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FTS-003 | Crear lake de evidencia y linaje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A. Fundaciones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Implementar almacenamiento raw, manifest de lote, checksums, fecha de extracción y esquema de versiones.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Un lote piloto puede reconstruirse desde raw hasta tabla normalizada; manifest y checksum verificados.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1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FTS-004 | Catálogo maestro territorial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A. Fundaciones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Construir tabla de departamentos, provincias y distritos con UBIGEO, vigencia, fuente y reglas de correspondencia.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100% de registros piloto tienen territorio o estado “sin ubicación”; pruebas de claves y duplicados.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Data contract territorial.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3 pts | Sprint 1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Épica B — Quick wins: ejecución y territorio (Fase 1)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FTS-010 | Conector MEF de presupuesto y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B.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Extraer un recurso de gasto mediante API CKAN/descarga permitida y conservar consulta, recurso y lote.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Carga incremental reproducible; columnas, fecha de corte, duplicados y tasa de nulos reportados; alertas de fallo.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FTS-002, FTS-003.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2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FTS-011 | Normalizar PIA, PIM y devengado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B.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Transformar medidas y dimensiones de gasto a modelo canónico con controles de unidades y periodos.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Pruebas de reconciliación contra muestra fuente; fórmula de avance documentada; filas inválidas aisladas.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FTS-010, FTS-001.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2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FTS-012 | Definir cohortes territoriales comparables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B.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Implementar reglas versionadas de pares por nivel de gobierno, función, presupuesto y territorio.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Cada benchmark devuelve n, criterios, exclusiones y fecha de corte; no hay resultado bajo mínimo n acordado.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FTS-004, FTS-011.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3 pts | Sprint 3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FTS-013 | Publicar radar de ejecución y ranking contextual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B.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Crear vista y API que expliquen monto, avance, percentil y comparación sin rankings engañosos.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Tres consultas ciudadanas funcionan; cada resultado enlaza a fuente/fecha/metodología; pruebas de filtro.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FTS-011, FTS-012.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3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FTS-014 | Panel de calidad y frescura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B.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Exponer estado de cada lote, último éxito, fecha fuente, cobertura y campos faltantes.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Dashboard operativo muestra seis métricas por conector y genera alerta ante atraso/fallo.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FTS-003, FTS-010.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3 pts | Sprint 3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Épica C — Radar de inversiones (Fase 1 y 1.5)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FTS-020 | Conectores de detalle, estado y Formato 12B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C. Inversiones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Ingerir datasets de inversión elegidos tras discovery; mantener sus diferencias semánticas.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Conectores reproducibles; campos de CUI, estado, monto y fecha perfilados; cobertura por dataset visible.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FTS-002, FTS-003.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3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FTS-021 | Modelo de ficha CUI y línea de tiempo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C. Inversiones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Unificar atributos de una inversión sin forzar campos ausentes ni mezclar avance físico con financiero.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Ficha muestra dato, fuente y fecha por atributo; conflictos entre fuentes quedan señalados, no sobrescritos.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FTS-020, FTS-001.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4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FTS-022 | Radar de inversiones y filtros territoriales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C. Inversiones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Publicar búsqueda por CUI, entidad, territorio, sector, estado y rango de monto.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Diez CUI de muestra son trazables end-to-end; filtros preservan corte y fuente; exportación documentada.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FTS-021, FTS-004.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4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FTS-023 | Señal de ritmo de ejecución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C. Inversiones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Calcular desviación entre ritmo observado y referencia comparable cuando los campos son suficientes.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Fórmula y umbral versionados; factores visibles; estado “datos insuficientes” cuando corresponde; revisión manual de muestra.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FTS-021, FTS-012.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5 pts | Sprint 5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FTS-024 | Cola de revisión y feedback experto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C. Inversiones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Permitir marcar señales como útil, falso positivo, incompleta o requiere dato adicional.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Cada señal tiene estado y comentario auditables; reporte quincenal de precisión cualitativa.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3 pts | Sprint 5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Épica D — Supplier y procurement intelligence (Fase 2)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FTS-030 | Ingesta OCDS de Contrataciones Abiertas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D. Procurement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Descargar y cargar releases/records OCDS en formato relacional manteniendo OCID y release date.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Pipeline idempotente con deduplicación por OCID/release; cobertura mensual y errores de esquema reportados.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FTS-002, FTS-003.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8 pts | Sprint 6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FTS-031 | Normalización de entidades y proveedores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D. Procurement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Resolver identificadores publicados de compradores/proveedores; separar matches deterministas de candidatos.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Registro de confianza, evidencia y regla por match; tasa de no-resueltos reportada; revisión de muestra.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FTS-030, FTS-001.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5 pts | Sprint 6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FTS-032 | Ficha de proveedor y concentración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D. Procurement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Calcular adjudicaciones, recurrencia, CR1/CR3/CR5 y HHI por entidad/categoría/periodo.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Cada métrica declara universo y cobertura; no hay etiqueta de irregularidad; proveedor conserva identificador fuente.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FTS-030, FTS-031.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5 pts | Sprint 7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FTS-033 | Explorador de procesos, adjudicaciones y contratos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D. Procurement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Publicar filtros y navegación desde entidad a OCID, partes, adjudicación y contrato cuando exista.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Resultado enlaza a OCID/release fuente; estados faltantes explícitos; respuestas bajo latencia objetivo.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FTS-030, FTS-031.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5 pts | Sprint 7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FTS-034 | Señal de recurrencia y competencia publicada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D. Procurement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Crear indicadores descriptivos de recurrencia y número de participantes solo si el dataset los soporta.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Metodología por indicador; suppress por baja cobertura; revisión de sesgo por tipo de procedimiento.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FTS-032, FTS-033.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P2 | 3 pts | Sprint 8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Épica E — Price intelligence (Fase 2.5)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FTS-040 | Conector de órdenes de Perú Compras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E. Precios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Ingerir órdenes de Catálogos Electrónicos según el acceso validado y registrar entidad, proveedor, ítem, unidad y fecha.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Lote reproducible con cobertura declarada; campos críticos perfilados; fuente de cada orden preservada.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FTS-002, FTS-003.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5 pts | Sprint 8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FTS-041 | Taxonomía de ítems y unidad de medida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E. Precios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Crear homologación por categorías y atributos, sin equiparar ítems de distintas especificaciones.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Diccionario versionado; reglas por categoría; estado “no comparable” para ítems con atributos críticos ausentes.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FTS-040, FTS-001.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8 pts | Sprint 8–9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FTS-042 | Benchmark interno de precios públicos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E. Precios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Calcular mediana, IQR y percentiles para grupos realmente comparables.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Cada benchmark muestra n, periodo, unidad, filtros y exclusiones; bloqueo automático si n/calidad insuficientes.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FTS-041.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P1 | 5 pts | Sprint 9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FTS-043 | Alerta de desviación de precio explicable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E. Precios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Presentar desviación como señal de revisión y descomponer la comparación.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Texto no acusatorio; fórmula, comparables y atributos a la vista; no afirma “sobrevaloración”.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FTS-042.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P2 | 3 pts | Sprint 9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Épica F — Grafo, obras y anomaly scoring (Fase 3)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FTS-050 | Modelo de relaciones y confianza de enlace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F. Grafo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Materializar nodos/aristas con procedencia, tipo de evidencia, score y vigencia.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Consulta muestra aristas confirmadas y candidatas por separado; auditoría de toda ruta devuelta.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FTS-021, FTS-031, FTS-041.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P2 | 8 pts | Sprint 10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FTS-051 | Discovery e integración condicionada de INFOBRAS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F. Obras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Validar disponibilidad, términos, campos, claves y cobertura de obras antes de construir conector productivo.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Informe go/no-go; si procede, conector piloto y data contract; si no, backlog replanificado sin scraping no autorizado.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FTS-002.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P2 | 5 pts | Sprint 10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FTS-052 | Vista “seguir el sol” por entidad/inversión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F. Grafo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Permitir navegar relaciones publicadas, sin inventar vínculos entre presupuesto, CUI, contrato u obra.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Cada arista indica fuente, confianza y ausencia; visual/tabla exportable con filtros y corte.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FTS-050, FTS-051.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P2 | 5 pts | Sprint 11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FTS-053 | Score compuesto de priorización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F. Señales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Combinar señales de ejecución, concentración, recurrencia y precio solo cuando cada factor cumpla calidad.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Score explica factores, pesos y datos faltantes; validación de falsos positivos; versionado de modelo.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FTS-023, FTS-034, FTS-043, FTS-050.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P2 | 8 pts | Sprint 11–12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FTS-054 | Revisión humana, rectificación y release policy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Épica: </w:t>
      </w:r>
      <w:r>
        <w:rPr>
          <w:rFonts w:ascii="Calibri" w:hAnsi="Calibri"/>
          <w:color w:val="0B2545"/>
          <w:sz w:val="20"/>
        </w:rPr>
        <w:t>F. Gobernanza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Objetivo / descripción: </w:t>
      </w:r>
      <w:r>
        <w:rPr>
          <w:rFonts w:ascii="Calibri" w:hAnsi="Calibri"/>
          <w:color w:val="0B2545"/>
          <w:sz w:val="20"/>
        </w:rPr>
        <w:t>Definir proceso de apelación/corrección, políticas de publicación y aprobación de nuevos indicadores.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Entregable / criterios de aceptación: </w:t>
      </w:r>
      <w:r>
        <w:rPr>
          <w:rFonts w:ascii="Calibri" w:hAnsi="Calibri"/>
          <w:color w:val="0B2545"/>
          <w:sz w:val="20"/>
        </w:rPr>
        <w:t>SLA de corrección, registro de decisiones y checklist legal/editorial antes de cada lanzamiento.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Dependencias: </w:t>
      </w:r>
      <w:r>
        <w:rPr>
          <w:rFonts w:ascii="Calibri" w:hAnsi="Calibri"/>
          <w:color w:val="0B2545"/>
          <w:sz w:val="20"/>
        </w:rPr>
        <w:t>FTS-024, FTS-053.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color w:val="1F4D78"/>
          <w:sz w:val="20"/>
        </w:rPr>
        <w:t xml:space="preserve">Prioridad / esfuerzo / fase: </w:t>
      </w:r>
      <w:r>
        <w:rPr>
          <w:rFonts w:ascii="Calibri" w:hAnsi="Calibri"/>
          <w:color w:val="0B2545"/>
          <w:sz w:val="20"/>
        </w:rPr>
        <w:t>P0 | 5 pts | Sprint 12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Riesgos y decisiones que deben tomarse antes de producción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000"/>
        <w:gridCol w:w="900"/>
        <w:gridCol w:w="54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Riesgo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Nivel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Mitigación de producto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Acceso no estable o cambios de esquema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Alta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Data contracts, pruebas diarias, snapshots, versionado y degradación elegante de la interfaz.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Enlaces débiles entre sistemas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Alta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No forzar joins; tipo de relación/confianza; priorizar claves oficiales y revisión humana.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Rankings o precios engañosos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Alta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Gates de comparabilidad, n mínimo, fecha de corte común y “datos insuficientes”.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Daño reputacional por lenguaje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Alta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Política editorial, terminología de señales, revisión humana y corrección visible.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Cobertura histórica o territorial incompleta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Media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Mostrar cobertura por filtro, no generalizar, y excluir de ranking cuando sea necesario.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Coste de operar conectores y calidad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Media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Observabilidad, propietarios, runbooks y backlog permanente de calidad.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Decisiones de producto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Lanzar el MVP como herramienta de evidencia y comparación, no como “detector de corrupción”.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Declarar cobertura y fecha de corte en cada resultado; no esconder vacíos de datos.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Usar conectores oficiales y descargas autorizadas; no asumir que la consulta web equivale a una API pública para automatización.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0B2545"/>
          <w:sz w:val="21"/>
        </w:rPr>
        <w:t>Reservar la integración de precio comercial externo para una fase posterior, con metodología independiente, identidad de producto y condiciones de uso validadas.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Métricas de éxito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600"/>
        <w:gridCol w:w="4150"/>
        <w:gridCol w:w="36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Dimensión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Métrica inicial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Meta sugerida para piloto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Trazabilidad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% de respuestas con fuente, fecha de corte y filtros visibles.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100% de respuestas publicadas.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Calidad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% de lotes con esquema y controles aprobados.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&gt;= 95% en conectores del MVP.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Cobertura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% de universo declarado incluido por indicador.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Mostrar siempre; meta definida por dominio antes de ranking.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Utilidad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Preguntas prioritarias respondibles de extremo a extremo.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10 consultas MVP y 3 perfiles de usuario validados.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Prudencia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% de señales con explicación y revisión de muestra.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100%; ninguna etiqueta acusatoria.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Operación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Tiempo desde actualización fuente a disponibilidad.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SLA distinto por fuente, publicado en UI.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Fuentes oficiales consultadas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Estas fuentes sostienen el diseño y deben revalidarse al implementar cada conector. Los recursos, esquemas y condiciones de acceso pueden cambiar; el ticket FTS-002 establece esa verificación como requisito de ejecución.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[1] Portal de Datos Abiertos del MEF. </w:t>
      </w:r>
      <w:r>
        <w:rPr>
          <w:rFonts w:ascii="Calibri" w:hAnsi="Calibri"/>
          <w:color w:val="2E74B5"/>
          <w:sz w:val="18"/>
        </w:rPr>
        <w:t xml:space="preserve">https://datosabiertos.mef.gob.pe/ </w:t>
      </w:r>
      <w:r>
        <w:rPr>
          <w:rFonts w:ascii="Calibri" w:hAnsi="Calibri"/>
          <w:color w:val="5B6573"/>
          <w:sz w:val="18"/>
        </w:rPr>
        <w:t>— Portal oficial con categorías de presupuesto, inversión, abastecimiento, recursos humanos, endeudamiento y tesoro; declara datos abiertos reutilizables.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[2] MEF — Presupuesto y ejecución de gasto (recurso API). </w:t>
      </w:r>
      <w:r>
        <w:rPr>
          <w:rFonts w:ascii="Calibri" w:hAnsi="Calibri"/>
          <w:color w:val="2E74B5"/>
          <w:sz w:val="18"/>
        </w:rPr>
        <w:t xml:space="preserve">https://datosabiertos.mef.gob.pe/dataset/presupuesto-y-ejecucion-de-gasto/resource/0b938fa8-f18c-4685-88ae-a9d7e392cafa </w:t>
      </w:r>
      <w:r>
        <w:rPr>
          <w:rFonts w:ascii="Calibri" w:hAnsi="Calibri"/>
          <w:color w:val="5B6573"/>
          <w:sz w:val="18"/>
        </w:rPr>
        <w:t>— Ejemplo oficial de acceso CKAN mediante datastore_search y datastore_search_sql.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[3] Plataforma Nacional de Datos Abiertos — Detalle de inversiones. </w:t>
      </w:r>
      <w:r>
        <w:rPr>
          <w:rFonts w:ascii="Calibri" w:hAnsi="Calibri"/>
          <w:color w:val="2E74B5"/>
          <w:sz w:val="18"/>
        </w:rPr>
        <w:t xml:space="preserve">https://www.datosabiertos.gob.pe/dataset/detalle-de-inversiones </w:t>
      </w:r>
      <w:r>
        <w:rPr>
          <w:rFonts w:ascii="Calibri" w:hAnsi="Calibri"/>
          <w:color w:val="5B6573"/>
          <w:sz w:val="18"/>
        </w:rPr>
        <w:t>— Dataset MEF de inversiones; el catálogo describe información desde 2001 hasta 2026 y ofrece diccionario.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[4] MEF — Consultar inversiones registradas. </w:t>
      </w:r>
      <w:r>
        <w:rPr>
          <w:rFonts w:ascii="Calibri" w:hAnsi="Calibri"/>
          <w:color w:val="2E74B5"/>
          <w:sz w:val="18"/>
        </w:rPr>
        <w:t xml:space="preserve">https://www.gob.pe/institucion/mef/pages/917-consultar-las-inversiones-registradas-por-entidades-publicas </w:t>
      </w:r>
      <w:r>
        <w:rPr>
          <w:rFonts w:ascii="Calibri" w:hAnsi="Calibri"/>
          <w:color w:val="5B6573"/>
          <w:sz w:val="18"/>
        </w:rPr>
        <w:t>— Consulta pública por código, ubicación, nivel de gobierno, fechas y montos.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[5] MEF — Invierte.pe. </w:t>
      </w:r>
      <w:r>
        <w:rPr>
          <w:rFonts w:ascii="Calibri" w:hAnsi="Calibri"/>
          <w:color w:val="2E74B5"/>
          <w:sz w:val="18"/>
        </w:rPr>
        <w:t xml:space="preserve">https://www.gob.pe/852-sistema-nacional-de-programacion-multianual-y-gestion-de-inversiones-invierte-pe </w:t>
      </w:r>
      <w:r>
        <w:rPr>
          <w:rFonts w:ascii="Calibri" w:hAnsi="Calibri"/>
          <w:color w:val="5B6573"/>
          <w:sz w:val="18"/>
        </w:rPr>
        <w:t>— Marco del sistema de programación y gestión de inversiones públicas.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[6] OECE/OSCE — Guía de datos OCDS. </w:t>
      </w:r>
      <w:r>
        <w:rPr>
          <w:rFonts w:ascii="Calibri" w:hAnsi="Calibri"/>
          <w:color w:val="2E74B5"/>
          <w:sz w:val="18"/>
        </w:rPr>
        <w:t xml:space="preserve">https://contratacionesabiertas.osce.gob.pe/downloads/politica_publicacion.pdf </w:t>
      </w:r>
      <w:r>
        <w:rPr>
          <w:rFonts w:ascii="Calibri" w:hAnsi="Calibri"/>
          <w:color w:val="5B6573"/>
          <w:sz w:val="18"/>
        </w:rPr>
        <w:t>— Guía oficial de descargas OCDS en JSON, CSV y Excel por procesos de contratación.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[7] OECE/OSCE — Diccionario de datos OCDS. </w:t>
      </w:r>
      <w:r>
        <w:rPr>
          <w:rFonts w:ascii="Calibri" w:hAnsi="Calibri"/>
          <w:color w:val="2E74B5"/>
          <w:sz w:val="18"/>
        </w:rPr>
        <w:t xml:space="preserve">https://contratacionesabiertas.osce.gob.pe/downloads/Diccionario%20de%20datos%20OCDS.pdf </w:t>
      </w:r>
      <w:r>
        <w:rPr>
          <w:rFonts w:ascii="Calibri" w:hAnsi="Calibri"/>
          <w:color w:val="5B6573"/>
          <w:sz w:val="18"/>
        </w:rPr>
        <w:t>— Definiciones oficiales de releases, records, OCID y partes involucradas.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[8] Perú Compras — Consulta de órdenes públicas. </w:t>
      </w:r>
      <w:r>
        <w:rPr>
          <w:rFonts w:ascii="Calibri" w:hAnsi="Calibri"/>
          <w:color w:val="2E74B5"/>
          <w:sz w:val="18"/>
        </w:rPr>
        <w:t xml:space="preserve">https://www.catalogos.perucompras.gob.pe/ConsultaOrdenesPub </w:t>
      </w:r>
      <w:r>
        <w:rPr>
          <w:rFonts w:ascii="Calibri" w:hAnsi="Calibri"/>
          <w:color w:val="5B6573"/>
          <w:sz w:val="18"/>
        </w:rPr>
        <w:t>— Información y alcance de órdenes formalizadas mediante Acuerdos Marco y datos OCDS.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[9] Contraloría — INFOBRAS. </w:t>
      </w:r>
      <w:r>
        <w:rPr>
          <w:rFonts w:ascii="Calibri" w:hAnsi="Calibri"/>
          <w:color w:val="2E74B5"/>
          <w:sz w:val="18"/>
        </w:rPr>
        <w:t xml:space="preserve">https://apps.contraloria.gob.pe/ciudadano/wfm_obras_mostrar_1.aspx?ID=Weifi </w:t>
      </w:r>
      <w:r>
        <w:rPr>
          <w:rFonts w:ascii="Calibri" w:hAnsi="Calibri"/>
          <w:color w:val="5B6573"/>
          <w:sz w:val="18"/>
        </w:rPr>
        <w:t>— Sistema Nacional de Información de Obras Públicas para ubicar y consultar obras.</w:t>
      </w:r>
    </w:p>
    <w:p>
      <w:pPr>
        <w:keepNext w:val="0"/>
        <w:spacing w:before="0" w:after="60" w:line="252" w:lineRule="auto"/>
      </w:pPr>
      <w:r>
        <w:rPr>
          <w:rFonts w:ascii="Calibri" w:hAnsi="Calibri"/>
          <w:b/>
          <w:color w:val="0B2545"/>
          <w:sz w:val="18"/>
        </w:rPr>
        <w:t xml:space="preserve">[10] Contraloría — Manual ciudadano INFOBRAS. </w:t>
      </w:r>
      <w:r>
        <w:rPr>
          <w:rFonts w:ascii="Calibri" w:hAnsi="Calibri"/>
          <w:color w:val="2E74B5"/>
          <w:sz w:val="18"/>
        </w:rPr>
        <w:t xml:space="preserve">https://apps.contraloria.gob.pe/ciudadano/archivos/manuales/manual-ciudadano.pdf </w:t>
      </w:r>
      <w:r>
        <w:rPr>
          <w:rFonts w:ascii="Calibri" w:hAnsi="Calibri"/>
          <w:color w:val="5B6573"/>
          <w:sz w:val="18"/>
        </w:rPr>
        <w:t>— Manual sobre consulta, seguimiento ciudadano y participación respecto de obras públicas.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Cierre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El producto defendible es una infraestructura de evidencia: datos oficiales preservados, conceptos normalizados, comparables justos y señales explicables. Si se ejecuta en el orden propuesto, “Follow the Sol” puede transformar datos publicados en transparencia realmente usable sin cruzar la línea entre priorizar revisión y formular acusaciones.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B6573"/>
        <w:sz w:val="17"/>
      </w:rPr>
      <w:t>Documento de trabajo |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573"/>
        <w:sz w:val="17"/>
      </w:rPr>
      <w:t>FOLLOW THE SOL | PERÚ PUBLIC SPENDING GRAPH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the Sol — Perú Public Spending Graph</dc:title>
  <dc:subject>Estrategia, arquitectura, roadmap y backlog para transparencia del gasto e inversión pública</dc:subject>
  <dc:creator>Codex</dc:creator>
  <cp:keywords/>
  <dc:description>Documento elaborado a partir de fuentes oficiales consultadas en agosto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