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720"/>
      </w:pPr>
      <w:r>
        <w:t>Distancia, commodities y hubs de reexportación: un modelo de gravedad del comercio bilateral peruano, 2015-2024</w:t>
      </w:r>
    </w:p>
    <w:p>
      <w:pPr>
        <w:pStyle w:val="PaperAuthor"/>
      </w:pPr>
      <w:r>
        <w:t>Ricardo Cuba¹</w:t>
      </w:r>
    </w:p>
    <w:p>
      <w:pPr>
        <w:pStyle w:val="PaperAffil"/>
      </w:pPr>
      <w:r>
        <w:t>¹ Octubre 2026.</w:t>
      </w:r>
    </w:p>
    <w:p/>
    <w:p>
      <w:pPr>
        <w:pStyle w:val="SectionHdr"/>
      </w:pPr>
      <w:r>
        <w:t>Resumen</w:t>
      </w: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pStyle w:val="Body"/>
      </w:pPr>
      <w:r>
        <w:t>Palabras clave: modelo de gravedad; comercio bilateral; PPML; Perú;</w:t>
      </w:r>
    </w:p>
    <w:p>
      <w:pPr>
        <w:pStyle w:val="Body"/>
      </w:pPr>
      <w:r>
        <w:t>materias primas; hubs de reexportación.</w:t>
      </w:r>
    </w:p>
    <w:p>
      <w:pPr>
        <w:pStyle w:val="Body"/>
      </w:pPr>
      <w:r>
        <w:t>Códigos JEL: F14, F10, F15, C21.</w:t>
      </w:r>
    </w:p>
    <w:p>
      <w:pPr>
        <w:pStyle w:val="SectionHdr"/>
      </w:pPr>
      <w:r>
        <w:t>1. Introducción</w:t>
      </w: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pStyle w:val="SectionHdr"/>
      </w:pPr>
      <w:r>
        <w:t>2. Datos</w:t>
      </w: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pStyle w:val="Caption"/>
      </w:pPr>
      <w:r>
        <w:t>Cuadro 1. Fuentes de datos del panel de gravedad.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Fuente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Tabla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Contenido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 HS92 (vintage 202601)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baci_flujos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BACI, catálogo de países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baci_paises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Nombre y código ISO3 de cada código numérico CEPII.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Banco Mundial, World Development Indicators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wdi_indicadores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PBI corriente en USD (NY.GDP.MKTP.CD), 202 países, 2015-2024.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GeoDist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geodist_diadas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CEPII Gravity V202211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gravity_acuerdos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12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pStyle w:val="SectionHdr"/>
      </w:pPr>
      <w:r>
        <w:t>3. Método</w:t>
      </w: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jc w:val="center"/>
      </w:pPr>
      <w:r>
        <w:rPr>
          <w:rFonts w:ascii="Cambria Math" w:hAnsi="Cambria Math"/>
          <w:i/>
          <w:sz w:val="22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pStyle w:val="SectionHdr"/>
      </w:pPr>
      <w:r>
        <w:t>4. Resultados — exportaciones</w:t>
      </w:r>
    </w:p>
    <w:p>
      <w:pPr>
        <w:pStyle w:val="SubSecHdr"/>
      </w:pPr>
      <w:r>
        <w:t>4.1 Especificación cruda: el signo equivocado</w:t>
      </w: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pStyle w:val="Caption"/>
      </w:pPr>
      <w:r>
        <w:t>Cuadro 2. Especificación cruda de exportaciones (sin filtro de commodities).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+0.64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+1.73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+1.67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+0.71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0.87.</w:t>
      </w: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pStyle w:val="SubSecHdr"/>
      </w:pPr>
      <w:r>
        <w:t>4.2 Diagnóstico: no es multicolinealidad</w:t>
      </w: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pStyle w:val="Caption"/>
      </w:pPr>
      <w:r>
        <w:t>Cuadro 3. Principales exportaciones a Suiza y Namibia por partida HS6.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Suiza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710812 — oro semi-manufacturado, no monetario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23,072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Namibia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260300 — concentrados de cobre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1,586 millones</w:t>
            </w:r>
          </w:p>
        </w:tc>
      </w:tr>
    </w:tbl>
    <w:p>
      <w:pPr>
        <w:spacing w:after="12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pStyle w:val="SubSecHdr"/>
      </w:pPr>
      <w:r>
        <w:t>4.3 Filtro por producto: excluir minerales, oro/plata y combustibles</w:t>
      </w: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pStyle w:val="Caption"/>
      </w:pPr>
      <w:r>
        <w:t>Cuadro 4. Exportaciones sin oro, minerales ni combustibles (HS26/HS71/HS27).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0.020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+0.26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+0.11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0.58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0.90.</w:t>
      </w: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pStyle w:val="SubSecHdr"/>
      </w:pPr>
      <w:r>
        <w:t>4.4 Segundo diagnóstico: hubs de reexportación</w:t>
      </w: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pStyle w:val="SubSecHdr"/>
      </w:pPr>
      <w:r>
        <w:t>4.5 Especificación final</w:t>
      </w:r>
    </w:p>
    <w:p>
      <w:pPr>
        <w:pStyle w:val="Caption"/>
      </w:pPr>
      <w:r>
        <w:t>Cuadro 5. Especificación final de exportaciones (sin commodities, sin hubs de reexportación).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Error estándar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1.042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0.321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1.023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0.388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1.117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0.017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0.235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0.607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−0.048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0.169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0.776</w:t>
            </w:r>
          </w:p>
        </w:tc>
      </w:tr>
    </w:tbl>
    <w:p>
      <w:pPr>
        <w:spacing w:after="12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pStyle w:val="SubSecHdr"/>
      </w:pPr>
      <w:r>
        <w:t>4.6 Trayectoria del coeficiente de distancia</w:t>
      </w:r>
    </w:p>
    <w:p>
      <w:pPr>
        <w:pStyle w:val="Caption"/>
      </w:pPr>
      <w:r>
        <w:t>Cuadro 6. Trayectoria del coeficiente de distancia en exportaciones, por especificación.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Especificación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log(distancia)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1. Cruda (todas las exportaciones)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+0.639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0.059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2. Sin oro/minerales/combustibles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1,907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−0.600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0.032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3. + sin hubs de reexportación (final)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1,847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−0.583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0.071</w:t>
            </w:r>
          </w:p>
        </w:tc>
      </w:tr>
    </w:tbl>
    <w:p>
      <w:pPr>
        <w:spacing w:after="12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pStyle w:val="SectionHdr"/>
      </w:pPr>
      <w:r>
        <w:t>5. Resultados — importaciones</w:t>
      </w: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pStyle w:val="SubSecHdr"/>
      </w:pPr>
      <w:r>
        <w:t>5.1 Especificación cruda</w:t>
      </w:r>
    </w:p>
    <w:p>
      <w:pPr>
        <w:pStyle w:val="Caption"/>
      </w:pPr>
      <w:r>
        <w:t>Cuadro 7. Especificación cruda de importaciones.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Coeficiente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p-valor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0.209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&lt;0.001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0.967</w:t>
            </w:r>
          </w:p>
        </w:tc>
      </w:tr>
    </w:tbl>
    <w:p>
      <w:pPr>
        <w:spacing w:after="12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pStyle w:val="SubSecHdr"/>
      </w:pPr>
      <w:r>
        <w:t>5.2 Diagnóstico: ¿commodities otra vez?</w:t>
      </w: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pStyle w:val="Caption"/>
      </w:pPr>
      <w:r>
        <w:t>Cuadro 8. Principales importaciones desde Nigeria, Trinidad y Tobago y Congo.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País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Producto (HS6)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Valor en la década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Nigeria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2,193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Trinidad y Tobago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2,077 millones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Congo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270900 — petróleo crudo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USD 228 millones</w:t>
            </w:r>
          </w:p>
        </w:tc>
      </w:tr>
    </w:tbl>
    <w:p>
      <w:pPr>
        <w:spacing w:after="12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pStyle w:val="SubSecHdr"/>
      </w:pPr>
      <w:r>
        <w:t>5.3 Resultado tras el filtro: la distancia empeora, no mejora</w:t>
      </w:r>
    </w:p>
    <w:p>
      <w:pPr>
        <w:pStyle w:val="Caption"/>
      </w:pPr>
      <w:r>
        <w:t>Cuadro 9. Especificación de importaciones (cruda, sin commodities, final), por filtro.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Cruda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Sin HS26/71/27</w:t>
            </w:r>
          </w:p>
        </w:tc>
        <w:tc>
          <w:tcPr>
            <w:tcW w:type="dxa" w:w="2126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Final (sin hubs)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log(PBI del socio)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+0.35 (p=0.21)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+0.88 (p=0.001)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+1.77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+2.09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−1.38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−1.70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</w:t>
            </w:r>
          </w:p>
        </w:tc>
      </w:tr>
      <w:tr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Tiene acuerdo comercial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+0.01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  <w:tc>
          <w:tcPr>
            <w:tcW w:type="dxa" w:w="2126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−0.06</w:t>
            </w:r>
          </w:p>
        </w:tc>
      </w:tr>
    </w:tbl>
    <w:p>
      <w:pPr>
        <w:spacing w:after="12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pStyle w:val="SubSecHdr"/>
      </w:pPr>
      <w:r>
        <w:t>5.4 Por qué esto no es el mismo artefacto: verificación</w:t>
      </w: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pStyle w:val="Bullet"/>
        <w:ind w:left="480" w:hanging="280"/>
      </w:pPr>
      <w:r>
        <w:t>-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80" w:hanging="280"/>
      </w:pPr>
      <w:r>
        <w:t>-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 (sobre todo China), un patrón documentado en la literatura reciente</w:t>
      </w:r>
    </w:p>
    <w:p>
      <w:pPr>
        <w:pStyle w:val="Body"/>
      </w:pPr>
      <w:r>
        <w:t>de comercio de América Latina con Asia, y que domina sobre cualquier</w:t>
      </w:r>
    </w:p>
    <w:p>
      <w:pPr>
        <w:pStyle w:val="Body"/>
      </w:pPr>
      <w:r>
        <w:t>preferencia por proximidad geográfica.</w:t>
      </w:r>
    </w:p>
    <w:p>
      <w:pPr>
        <w:pStyle w:val="SubSecHdr"/>
      </w:pPr>
      <w:r>
        <w:t>5.5 La asimetría exportación-importación</w:t>
      </w:r>
    </w:p>
    <w:p>
      <w:pPr>
        <w:pStyle w:val="Caption"/>
      </w:pPr>
      <w:r>
        <w:t>Cuadro 10. Asimetría exportación-importación en la especificación final.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Exportaciones (sec. 4.5)</w:t>
            </w:r>
          </w:p>
        </w:tc>
        <w:tc>
          <w:tcPr>
            <w:tcW w:type="dxa" w:w="2835"/>
            <w:tcBorders>
              <w:bottom w:val="single" w:sz="8" w:color="000000"/>
            </w:tcBorders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Importaciones (sec. 5.3)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log(distancia)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−0.58 (p=0.071)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+0.90 (p&lt;0.001)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Frontera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+1.02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+2.19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Idioma oficial común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+1.12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+2.64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Ex-colonia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+0.23 (ns)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−1.71 (p&lt;0.001)</w:t>
            </w:r>
          </w:p>
        </w:tc>
      </w:tr>
    </w:tbl>
    <w:p>
      <w:pPr>
        <w:spacing w:after="12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pStyle w:val="SectionHdr"/>
      </w:pPr>
      <w:r>
        <w:t>6. Discusión</w:t>
      </w: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pStyle w:val="SectionHdr"/>
      </w:pPr>
      <w:r>
        <w:t>7. Limitaciones</w:t>
      </w:r>
    </w:p>
    <w:p>
      <w:pPr>
        <w:pStyle w:val="Bullet"/>
        <w:ind w:left="480" w:hanging="280"/>
      </w:pPr>
      <w:r>
        <w:t>-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80" w:hanging="280"/>
      </w:pPr>
      <w:r>
        <w:t>-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80" w:hanging="280"/>
      </w:pPr>
      <w:r>
        <w:t>-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80" w:hanging="280"/>
      </w:pPr>
      <w:r>
        <w:t>-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80" w:hanging="280"/>
      </w:pPr>
      <w:r>
        <w:t>-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pStyle w:val="SectionHdr"/>
      </w:pPr>
      <w:r>
        <w:t>Referencias</w:t>
      </w:r>
    </w:p>
    <w:p>
      <w:pPr>
        <w:pStyle w:val="Bullet"/>
        <w:ind w:left="480" w:hanging="280"/>
      </w:pPr>
      <w:r>
        <w:t>-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10.1257/000282803321455214</w:t>
      </w:r>
    </w:p>
    <w:p>
      <w:pPr>
        <w:pStyle w:val="Bullet"/>
        <w:ind w:left="480" w:hanging="280"/>
      </w:pPr>
      <w:r>
        <w:t>-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10.1162/rest.88.4.641</w:t>
      </w:r>
    </w:p>
    <w:p>
      <w:pPr>
        <w:pStyle w:val="Bullet"/>
        <w:ind w:left="480" w:hanging="280"/>
      </w:pPr>
      <w:r>
        <w:t>-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80" w:hanging="280"/>
      </w:pPr>
      <w:r>
        <w:t>-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10.1016/B978-0-444-54314-1.00003-3</w:t>
      </w:r>
    </w:p>
    <w:p>
      <w:pPr>
        <w:pStyle w:val="Bullet"/>
        <w:ind w:left="480" w:hanging="280"/>
      </w:pPr>
      <w:r>
        <w:t>-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cepii.fr</w:t>
      </w:r>
    </w:p>
    <w:p>
      <w:pPr>
        <w:pStyle w:val="Bullet"/>
        <w:ind w:left="480" w:hanging="280"/>
      </w:pPr>
      <w:r>
        <w:t>-  World Bank, World Development Indicators, NY.GDP.MKTP.CD (PBI corriente,</w:t>
      </w:r>
    </w:p>
    <w:p>
      <w:pPr>
        <w:pStyle w:val="Body"/>
      </w:pPr>
      <w:r>
        <w:t>US$). databank.worldbank.org/source/world-development-indicators</w:t>
      </w: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pStyle w:val="SectionHdr"/>
      </w:pPr>
      <w:r>
        <w:t>Anexo — Reproducibilidad</w:t>
      </w:r>
    </w:p>
    <w:p>
      <w:pPr>
        <w:pStyle w:val="Body"/>
      </w:pPr>
      <w:r>
        <w:t>El código de extracción, los paneles de datos (crudos y procesados), el</w:t>
      </w:r>
    </w:p>
    <w:p>
      <w:pPr>
        <w:pStyle w:val="Body"/>
      </w:pPr>
      <w:r>
        <w:t>script de estimación y el notebook ejecutado con los seis resultados</w:t>
      </w:r>
    </w:p>
    <w:p>
      <w:pPr>
        <w:pStyle w:val="Body"/>
      </w:pPr>
      <w:r>
        <w:t>completos (tres especificaciones para exportaciones, tres para</w:t>
      </w:r>
    </w:p>
    <w:p>
      <w:pPr>
        <w:pStyle w:val="Body"/>
      </w:pPr>
      <w:r>
        <w:t>importaciones) están disponibles previa solicitud a los autores.</w:t>
      </w:r>
    </w:p>
    <w:sectPr w:rsidR="00FC693F" w:rsidRPr="0006063C" w:rsidSect="00034616"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200" w:after="80"/>
      <w:jc w:val="left"/>
    </w:pPr>
    <w:rPr>
      <w:rFonts w:ascii="Times New Roman" w:hAnsi="Times New Roman"/>
      <w:b/>
      <w:bCs/>
      <w:i w:val="0"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40"/>
      <w:jc w:val="center"/>
    </w:pPr>
    <w:rPr>
      <w:rFonts w:ascii="Times New Roman" w:hAnsi="Times New Roman"/>
      <w:b/>
      <w:i w:val="0"/>
      <w:color w:val="000000"/>
      <w:sz w:val="28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rFonts w:ascii="Times New Roman" w:hAnsi="Times New Roman"/>
      <w:b w:val="0"/>
      <w:i w:val="0"/>
      <w:color w:val="000000"/>
      <w:sz w:val="22"/>
    </w:rPr>
  </w:style>
  <w:style w:type="paragraph" w:customStyle="1" w:styleId="PaperAffil">
    <w:name w:val="PaperAffil"/>
    <w:basedOn w:val="Normal"/>
    <w:pPr>
      <w:spacing w:before="0" w:after="80"/>
      <w:jc w:val="center"/>
    </w:pPr>
    <w:rPr>
      <w:rFonts w:ascii="Times New Roman" w:hAnsi="Times New Roman"/>
      <w:b w:val="0"/>
      <w:i/>
      <w:color w:val="404040"/>
      <w:sz w:val="20"/>
    </w:rPr>
  </w:style>
  <w:style w:type="paragraph" w:customStyle="1" w:styleId="SectionHdr">
    <w:name w:val="SectionHdr"/>
    <w:basedOn w:val="Normal"/>
    <w:pPr>
      <w:spacing w:before="280" w:after="120"/>
      <w:jc w:val="left"/>
    </w:pPr>
    <w:rPr>
      <w:rFonts w:ascii="Times New Roman" w:hAnsi="Times New Roman"/>
      <w:b/>
      <w:i w:val="0"/>
      <w:color w:val="000000"/>
      <w:sz w:val="24"/>
    </w:rPr>
  </w:style>
  <w:style w:type="paragraph" w:customStyle="1" w:styleId="SubSecHdr">
    <w:name w:val="SubSecHdr"/>
    <w:basedOn w:val="Normal"/>
    <w:pPr>
      <w:spacing w:before="200" w:after="80"/>
      <w:jc w:val="left"/>
    </w:pPr>
    <w:rPr>
      <w:rFonts w:ascii="Times New Roman" w:hAnsi="Times New Roman"/>
      <w:b/>
      <w:i/>
      <w:color w:val="000000"/>
      <w:sz w:val="24"/>
    </w:rPr>
  </w:style>
  <w:style w:type="paragraph" w:customStyle="1" w:styleId="Body">
    <w:name w:val="Body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  <w:style w:type="paragraph" w:customStyle="1" w:styleId="Bullet">
    <w:name w:val="Bullet"/>
    <w:basedOn w:val="Normal"/>
    <w:pPr>
      <w:spacing w:before="0" w:after="0" w:line="480" w:lineRule="auto"/>
      <w:jc w:val="both"/>
    </w:pPr>
    <w:rPr>
      <w:rFonts w:ascii="Times New Roman" w:hAnsi="Times New Roman"/>
      <w:b w:val="0"/>
      <w:i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