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  <w:spacing w:before="960"/>
      </w:pPr>
      <w:r>
        <w:t>Por qué la distancia explica lo que Perú exporta pero no lo que importa: el espejismo del oro, el cobre y el peso de la manufactura asiática</w:t>
      </w:r>
    </w:p>
    <w:p>
      <w:pPr>
        <w:pStyle w:val="PaperAuthor"/>
      </w:pPr>
      <w:r>
        <w:t>Ricardo Cuba · Octubre 2026</w:t>
      </w:r>
    </w:p>
    <w:p>
      <w:r>
        <w:br w:type="page"/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Resumen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ody"/>
      </w:pPr>
      <w:r>
        <w:t>Se estima un modelo de gravedad PPML (Poisson pseudo-maximum likelihood) sobre</w:t>
      </w:r>
    </w:p>
    <w:p>
      <w:pPr>
        <w:pStyle w:val="Body"/>
      </w:pPr>
      <w:r>
        <w:t>las exportaciones bilaterales de Perú hacia 224 socios comerciales,</w:t>
      </w:r>
    </w:p>
    <w:p>
      <w:pPr>
        <w:pStyle w:val="Body"/>
      </w:pPr>
      <w:r>
        <w:t>2015-2024, cruzando datos de CEPII BACI, GeoDist y Gravity con el PBI del</w:t>
      </w:r>
    </w:p>
    <w:p>
      <w:pPr>
        <w:pStyle w:val="Body"/>
      </w:pPr>
      <w:r>
        <w:t>Banco Mundial (WDI). La especificación ingenua —sobre el total exportado—</w:t>
      </w:r>
    </w:p>
    <w:p>
      <w:pPr>
        <w:pStyle w:val="Body"/>
      </w:pPr>
      <w:r>
        <w:t>produce un coeficiente de distancia con signo positivo, contrario a la teoría</w:t>
      </w:r>
    </w:p>
    <w:p>
      <w:pPr>
        <w:pStyle w:val="Body"/>
      </w:pPr>
      <w:r>
        <w:t>de gravedad. Se muestra que el problema no es multicolinealidad (todos los</w:t>
      </w:r>
    </w:p>
    <w:p>
      <w:pPr>
        <w:pStyle w:val="Body"/>
      </w:pPr>
      <w:r>
        <w:t>VIF &lt; 2.1) sino un pequeño número de observaciones de altísimo valor que</w:t>
      </w:r>
    </w:p>
    <w:p>
      <w:pPr>
        <w:pStyle w:val="Body"/>
      </w:pPr>
      <w:r>
        <w:t>reflejan logística de procesamiento de commodities (oro refinado en Suiza,</w:t>
      </w:r>
    </w:p>
    <w:p>
      <w:pPr>
        <w:pStyle w:val="Body"/>
      </w:pPr>
      <w:r>
        <w:t>concentrado de cobre fundido en Namibia) y reexportación (Países Bajos,</w:t>
      </w:r>
    </w:p>
    <w:p>
      <w:pPr>
        <w:pStyle w:val="Body"/>
      </w:pPr>
      <w:r>
        <w:t>Panamá) en vez de demanda final del país socio. Al excluir, de forma</w:t>
      </w:r>
    </w:p>
    <w:p>
      <w:pPr>
        <w:pStyle w:val="Body"/>
      </w:pPr>
      <w:r>
        <w:t>principista y declarada a priori, los capítulos arancelarios de minerales</w:t>
      </w:r>
    </w:p>
    <w:p>
      <w:pPr>
        <w:pStyle w:val="Body"/>
      </w:pPr>
      <w:r>
        <w:t>(HS26), metales preciosos (HS71) y combustibles (HS27), y la lista estándar</w:t>
      </w:r>
    </w:p>
    <w:p>
      <w:pPr>
        <w:pStyle w:val="Body"/>
      </w:pPr>
      <w:r>
        <w:t>de hubs de reexportación de la literatura (Países Bajos, Bélgica, Singapur,</w:t>
      </w:r>
    </w:p>
    <w:p>
      <w:pPr>
        <w:pStyle w:val="Body"/>
      </w:pPr>
      <w:r>
        <w:t>Hong Kong, Panamá, Emiratos Árabes Unidos), el coeficiente de distancia</w:t>
      </w:r>
    </w:p>
    <w:p>
      <w:pPr>
        <w:pStyle w:val="Body"/>
      </w:pPr>
      <w:r>
        <w:t>recupera el signo negativo esperado (−0.58) y el modelo alcanza un</w:t>
      </w:r>
    </w:p>
    <w:p>
      <w:pPr>
        <w:pStyle w:val="Body"/>
      </w:pPr>
      <w:r>
        <w:t>pseudo-R² de 0.93. El trabajo documenta también un hallazgo negativo</w:t>
      </w:r>
    </w:p>
    <w:p>
      <w:pPr>
        <w:pStyle w:val="Body"/>
      </w:pPr>
      <w:r>
        <w:t>relevante: la asociación aparente de los acuerdos comerciales con el comercio</w:t>
      </w:r>
    </w:p>
    <w:p>
      <w:pPr>
        <w:pStyle w:val="Body"/>
      </w:pPr>
      <w:r>
        <w:t>en la especificación cruda (+0.71, p=0.01) se disuelve por completo (−0.05,</w:t>
      </w:r>
    </w:p>
    <w:p>
      <w:pPr>
        <w:pStyle w:val="Body"/>
      </w:pPr>
      <w:r>
        <w:t>p=0.78) una vez removidos los commodities, sugiriendo que era una correlación</w:t>
      </w:r>
    </w:p>
    <w:p>
      <w:pPr>
        <w:pStyle w:val="Body"/>
      </w:pPr>
      <w:r>
        <w:t>espuria con los grandes compradores de metales y gas, no una relación propia</w:t>
      </w:r>
    </w:p>
    <w:p>
      <w:pPr>
        <w:pStyle w:val="Body"/>
      </w:pPr>
      <w:r>
        <w:t>de los acuerdos con el comercio no-commodity. Al repetir el ejercicio del</w:t>
      </w:r>
    </w:p>
    <w:p>
      <w:pPr>
        <w:pStyle w:val="Body"/>
      </w:pPr>
      <w:r>
        <w:t>lado importador, la asimetría es reveladora: el mismo filtro de commodities y</w:t>
      </w:r>
    </w:p>
    <w:p>
      <w:pPr>
        <w:pStyle w:val="Body"/>
      </w:pPr>
      <w:r>
        <w:t>hubs que corrige la distancia en las exportaciones no corrige el signo en</w:t>
      </w:r>
    </w:p>
    <w:p>
      <w:pPr>
        <w:pStyle w:val="Body"/>
      </w:pPr>
      <w:r>
        <w:t>las importaciones (+0.90, p&lt;0.001) — porque ahí no hay artefacto de medición</w:t>
      </w:r>
    </w:p>
    <w:p>
      <w:pPr>
        <w:pStyle w:val="Body"/>
      </w:pPr>
      <w:r>
        <w:t>que corregir: China, Alemania, Japón y Corea, todas economías manufactureras</w:t>
      </w:r>
    </w:p>
    <w:p>
      <w:pPr>
        <w:pStyle w:val="Body"/>
      </w:pPr>
      <w:r>
        <w:t>lejanas, dominan genuinamente la canasta importadora peruana.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1. Introducción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ody"/>
      </w:pPr>
      <w:r>
        <w:t>Los modelos de gravedad son el instrumento estándar en economía del comercio</w:t>
      </w:r>
    </w:p>
    <w:p>
      <w:pPr>
        <w:pStyle w:val="Body"/>
      </w:pPr>
      <w:r>
        <w:t>internacional para explicar el volumen de comercio bilateral a partir del</w:t>
      </w:r>
    </w:p>
    <w:p>
      <w:pPr>
        <w:pStyle w:val="Body"/>
      </w:pPr>
      <w:r>
        <w:t>tamaño de las economías y la distancia (física, cultural, institucional)</w:t>
      </w:r>
    </w:p>
    <w:p>
      <w:pPr>
        <w:pStyle w:val="Body"/>
      </w:pPr>
      <w:r>
        <w:t>entre ellas (Tinbergen, 1962; Anderson y van Wincoop, 2003). Santos Silva y</w:t>
      </w:r>
    </w:p>
    <w:p>
      <w:pPr>
        <w:pStyle w:val="Body"/>
      </w:pPr>
      <w:r>
        <w:t>Tenreyro (2006) mostraron que la estimación log-lineal por MCO está sesgada</w:t>
      </w:r>
    </w:p>
    <w:p>
      <w:pPr>
        <w:pStyle w:val="Body"/>
      </w:pPr>
      <w:r>
        <w:t>bajo heterocedasticidad y subestima sistemáticamente el comercio entre países</w:t>
      </w:r>
    </w:p>
    <w:p>
      <w:pPr>
        <w:pStyle w:val="Body"/>
      </w:pPr>
      <w:r>
        <w:t>distantes, y propusieron PPML (Poisson pseudo-maximum likelihood) como</w:t>
      </w:r>
    </w:p>
    <w:p>
      <w:pPr>
        <w:pStyle w:val="Body"/>
      </w:pPr>
      <w:r>
        <w:t>alternativa consistente que además no requiere descartar observaciones de</w:t>
      </w:r>
    </w:p>
    <w:p>
      <w:pPr>
        <w:pStyle w:val="Body"/>
      </w:pPr>
      <w:r>
        <w:t>comercio cero.</w:t>
      </w:r>
    </w:p>
    <w:p>
      <w:pPr>
        <w:spacing w:after="40"/>
      </w:pPr>
    </w:p>
    <w:p>
      <w:pPr>
        <w:pStyle w:val="Body"/>
      </w:pPr>
      <w:r>
        <w:t>Perú es un caso particularmente informativo para poner a prueba estas</w:t>
      </w:r>
    </w:p>
    <w:p>
      <w:pPr>
        <w:pStyle w:val="Body"/>
      </w:pPr>
      <w:r>
        <w:t>herramientas: es una economía exportadora de commodities (cobre, oro, gas</w:t>
      </w:r>
    </w:p>
    <w:p>
      <w:pPr>
        <w:pStyle w:val="Body"/>
      </w:pPr>
      <w:r>
        <w:t>natural licuado) cuya estructura comercial está fuertemente determinada por</w:t>
      </w:r>
    </w:p>
    <w:p>
      <w:pPr>
        <w:pStyle w:val="Body"/>
      </w:pPr>
      <w:r>
        <w:t>cadenas de procesamiento y logística global, no solo por demanda final</w:t>
      </w:r>
    </w:p>
    <w:p>
      <w:pPr>
        <w:pStyle w:val="Body"/>
      </w:pPr>
      <w:r>
        <w:t>bilateral. Este trabajo documenta, paso a paso, cómo esa estructura</w:t>
      </w:r>
    </w:p>
    <w:p>
      <w:pPr>
        <w:pStyle w:val="Body"/>
      </w:pPr>
      <w:r>
        <w:t>contamina una estimación de gravedad "de manual" y cómo corregirla sin caer</w:t>
      </w:r>
    </w:p>
    <w:p>
      <w:pPr>
        <w:pStyle w:val="Body"/>
      </w:pPr>
      <w:r>
        <w:t>en data dredging (ajustar el filtro de datos hasta obtener el resultado</w:t>
      </w:r>
    </w:p>
    <w:p>
      <w:pPr>
        <w:pStyle w:val="Body"/>
      </w:pPr>
      <w:r>
        <w:t>deseado).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2. Datos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ody"/>
      </w:pPr>
      <w:r>
        <w:t>Se construyeron dos paneles espejo de 224 socios comerciales × 10 años</w:t>
      </w:r>
    </w:p>
    <w:p>
      <w:pPr>
        <w:pStyle w:val="Body"/>
      </w:pPr>
      <w:r>
        <w:t>(2015-2024) — uno con las exportaciones de Perú hacia cada socio, otro con</w:t>
      </w:r>
    </w:p>
    <w:p>
      <w:pPr>
        <w:pStyle w:val="Body"/>
      </w:pPr>
      <w:r>
        <w:t>las importaciones de Perú desde cada socio — a partir de las siguientes</w:t>
      </w:r>
    </w:p>
    <w:p>
      <w:pPr>
        <w:pStyle w:val="Body"/>
      </w:pPr>
      <w:r>
        <w:t>fuentes, cargadas en una base Neon/PostgreSQL (bcrp_comercio_exterior):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CEPII BACI HS92 (vintage 202601)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baci_flujos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Exportaciones de Perú (código CEPII 604) a cada socio, por partida HS6, en miles de USD. Perú es el único exportador cargado; el panel mundial (10.58 millones de filas por año) no se descarga.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CEPII BACI, catálogo de países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baci_paises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Nombre y código ISO3 de cada código numérico CEPII.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Banco Mundial, World Development Indicators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wdi_indicadores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PBI corriente en USD (NY.GDP.MKTP.CD), 202 países, 2015-2024.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CEPII GeoDist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geodist_diadas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Distancia ponderada por población, frontera común, idioma oficial común, relación colonial — 224 díadas con origen en Perú.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CEPII Gravity V202211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gravity_acuerdos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Indicador de acuerdo comercial (FTA de la OMC o cobertura RTA) vigente por año y par de países.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La variable dependiente es el valor exportado (sección 4) o importado</w:t>
      </w:r>
    </w:p>
    <w:p>
      <w:pPr>
        <w:pStyle w:val="Body"/>
      </w:pPr>
      <w:r>
        <w:t>(sección 5) por Perú con cada socio en cada año, en millones de USD. A</w:t>
      </w:r>
    </w:p>
    <w:p>
      <w:pPr>
        <w:pStyle w:val="Body"/>
      </w:pPr>
      <w:r>
        <w:t>diferencia de una extracción típica que trabaja solo con los años en que</w:t>
      </w:r>
    </w:p>
    <w:p>
      <w:pPr>
        <w:pStyle w:val="Body"/>
      </w:pPr>
      <w:r>
        <w:t>hubo comercio registrado, ambos paneles incluyen los ceros reales: la</w:t>
      </w:r>
    </w:p>
    <w:p>
      <w:pPr>
        <w:pStyle w:val="Body"/>
      </w:pPr>
      <w:r>
        <w:t>ausencia de una fila en BACI para un par país-año se interpreta como cero</w:t>
      </w:r>
    </w:p>
    <w:p>
      <w:pPr>
        <w:pStyle w:val="Body"/>
      </w:pPr>
      <w:r>
        <w:t>comercio ese año, no como dato faltante — PPML explota precisamente esta</w:t>
      </w:r>
    </w:p>
    <w:p>
      <w:pPr>
        <w:pStyle w:val="Body"/>
      </w:pPr>
      <w:r>
        <w:t>información, que un modelo log-lineal por MCO tendría que descartar.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3. Método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ody"/>
      </w:pPr>
      <w:r>
        <w:t>Se estima, por año, dirección del flujo (exporta/importa) y variantes de la</w:t>
      </w:r>
    </w:p>
    <w:p>
      <w:pPr>
        <w:pStyle w:val="Body"/>
      </w:pPr>
      <w:r>
        <w:t>variable dependiente:</w:t>
      </w:r>
    </w:p>
    <w:p>
      <w:pPr>
        <w:spacing w:after="40"/>
      </w:pPr>
    </w:p>
    <w:p>
      <w:r>
        <w:rPr>
          <w:rFonts w:ascii="Consolas" w:hAnsi="Consolas"/>
          <w:sz w:val="18"/>
        </w:rPr>
        <w:t>flujo_ij,t = exp(β₁·log(PBI_j,t) + β₂·log(dist_ij) + β₃·frontera_ij</w:t>
        <w:br/>
        <w:t xml:space="preserve">                  + β₄·idioma_ij + β₅·colonia_ij + β₆·acuerdo_ij,t + γ_t) + ε_ij,t</w:t>
      </w:r>
    </w:p>
    <w:p>
      <w:pPr>
        <w:spacing w:after="40"/>
      </w:pPr>
    </w:p>
    <w:p>
      <w:pPr>
        <w:pStyle w:val="Body"/>
      </w:pPr>
      <w:r>
        <w:t>estimado por PPML (GLM Poisson, función de enlace logarítmica), con errores</w:t>
      </w:r>
    </w:p>
    <w:p>
      <w:pPr>
        <w:pStyle w:val="Body"/>
      </w:pPr>
      <w:r>
        <w:t>estándar agrupados (cluster) por socio y efectos fijos de año (γₜ). El lado</w:t>
      </w:r>
    </w:p>
    <w:p>
      <w:pPr>
        <w:pStyle w:val="Body"/>
      </w:pPr>
      <w:r>
        <w:t>peruano (PBI o población de Perú) no se incluye como regresor explícito en</w:t>
      </w:r>
    </w:p>
    <w:p>
      <w:pPr>
        <w:pStyle w:val="Body"/>
      </w:pPr>
      <w:r>
        <w:t>ninguna de las dos direcciones: como Perú es el único reportador del panel</w:t>
      </w:r>
    </w:p>
    <w:p>
      <w:pPr>
        <w:pStyle w:val="Body"/>
      </w:pPr>
      <w:r>
        <w:t>(exportador en la sección 4, importador en la sección 5), esas variables no</w:t>
      </w:r>
    </w:p>
    <w:p>
      <w:pPr>
        <w:pStyle w:val="Body"/>
      </w:pPr>
      <w:r>
        <w:t>varían entre socios dentro de un mismo año y son perfectamente colineales con</w:t>
      </w:r>
    </w:p>
    <w:p>
      <w:pPr>
        <w:pStyle w:val="Body"/>
      </w:pPr>
      <w:r>
        <w:t>los efectos fijos de año, que ya las absorben — es la forma estándar de</w:t>
      </w:r>
    </w:p>
    <w:p>
      <w:pPr>
        <w:pStyle w:val="Body"/>
      </w:pPr>
      <w:r>
        <w:t>controlar por "resistencia multilateral" del lado peruano en un panel de un</w:t>
      </w:r>
    </w:p>
    <w:p>
      <w:pPr>
        <w:pStyle w:val="Body"/>
      </w:pPr>
      <w:r>
        <w:t>solo reportador.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4. Resultados — exportaciones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4.1 Especificación cruda: el signo equivocado</w:t>
      </w:r>
    </w:p>
    <w:p>
      <w:pPr>
        <w:spacing w:after="40"/>
      </w:pPr>
    </w:p>
    <w:p>
      <w:pPr>
        <w:pStyle w:val="Body"/>
      </w:pPr>
      <w:r>
        <w:t>La primera estimación, sobre el total exportado sin ningún filtro de</w:t>
      </w:r>
    </w:p>
    <w:p>
      <w:pPr>
        <w:pStyle w:val="Body"/>
      </w:pPr>
      <w:r>
        <w:t>producto, da: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Coeficiente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p-valor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log(PBI del socio)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+1.10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log(distancia)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+0.64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0.059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Frontera común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+1.73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Idioma oficial común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+1.67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Ex-colonia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−0.59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0.19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Tiene acuerdo comercial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+0.71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0.013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n = 1,907; pseudo-R² = 0.87.</w:t>
      </w:r>
    </w:p>
    <w:p>
      <w:pPr>
        <w:spacing w:after="40"/>
      </w:pPr>
    </w:p>
    <w:p>
      <w:pPr>
        <w:pStyle w:val="Body"/>
      </w:pPr>
      <w:r>
        <w:t>El coeficiente de distancia es positivo: el modelo "predice" que Perú exporta</w:t>
      </w:r>
    </w:p>
    <w:p>
      <w:pPr>
        <w:pStyle w:val="Body"/>
      </w:pPr>
      <w:r>
        <w:t>más a medida que un socio está más lejos, lo contrario de lo que cualquier</w:t>
      </w:r>
    </w:p>
    <w:p>
      <w:pPr>
        <w:pStyle w:val="Body"/>
      </w:pPr>
      <w:r>
        <w:t>fricción de transporte o información predeciría.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4.2 Diagnóstico: no es multicolinealidad</w:t>
      </w:r>
    </w:p>
    <w:p>
      <w:pPr>
        <w:spacing w:after="40"/>
      </w:pPr>
    </w:p>
    <w:p>
      <w:pPr>
        <w:pStyle w:val="Body"/>
      </w:pPr>
      <w:r>
        <w:t>Se descartó la hipótesis de colinealidad entre PBI y distancia (los países</w:t>
      </w:r>
    </w:p>
    <w:p>
      <w:pPr>
        <w:pStyle w:val="Body"/>
      </w:pPr>
      <w:r>
        <w:t>grandes y lejanos, como China, podrían estar confundiendo ambos</w:t>
      </w:r>
    </w:p>
    <w:p>
      <w:pPr>
        <w:pStyle w:val="Body"/>
      </w:pPr>
      <w:r>
        <w:t>coeficientes): el factor de inflación de varianza de log_dist es 2.08, y la</w:t>
      </w:r>
    </w:p>
    <w:p>
      <w:pPr>
        <w:pStyle w:val="Body"/>
      </w:pPr>
      <w:r>
        <w:t>correlación simple entre log(PBI) y log(distancia) es de solo 0.17. El</w:t>
      </w:r>
    </w:p>
    <w:p>
      <w:pPr>
        <w:pStyle w:val="Body"/>
      </w:pPr>
      <w:r>
        <w:t>diagnóstico correcto es el análisis de residuos de Pearson: dos observaciones</w:t>
      </w:r>
    </w:p>
    <w:p>
      <w:pPr>
        <w:pStyle w:val="Body"/>
      </w:pPr>
      <w:r>
        <w:t>dominan por completo el ajuste de la verosimilitud de Poisson, que pondera</w:t>
      </w:r>
    </w:p>
    <w:p>
      <w:pPr>
        <w:pStyle w:val="Body"/>
      </w:pPr>
      <w:r>
        <w:t>fuertemente los valores grandes.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País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Producto (HS6)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 en la década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Suiza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710812 — oro semi-manufacturado, no monetario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USD 23,072 millones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Namibia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260300 — concentrados de cobre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USD 1,586 millones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Suiza es uno de los principales centros mundiales de refinación de oro; el</w:t>
      </w:r>
    </w:p>
    <w:p>
      <w:pPr>
        <w:pStyle w:val="Body"/>
      </w:pPr>
      <w:r>
        <w:t>oro peruano se envía allí para refinarse, no por el tamaño de la economía</w:t>
      </w:r>
    </w:p>
    <w:p>
      <w:pPr>
        <w:pStyle w:val="Body"/>
      </w:pPr>
      <w:r>
        <w:t>suiza como mercado de consumo. Namibia alberga la fundición Tsumeb (Dundee</w:t>
      </w:r>
    </w:p>
    <w:p>
      <w:pPr>
        <w:pStyle w:val="Body"/>
      </w:pPr>
      <w:r>
        <w:t>Precious Metals), especializada en procesar concentrados de cobre con alto</w:t>
      </w:r>
    </w:p>
    <w:p>
      <w:pPr>
        <w:pStyle w:val="Body"/>
      </w:pPr>
      <w:r>
        <w:t>contenido de arsénico — como los de minas peruanas difíciles de procesar en</w:t>
      </w:r>
    </w:p>
    <w:p>
      <w:pPr>
        <w:pStyle w:val="Body"/>
      </w:pPr>
      <w:r>
        <w:t>otra parte. Ambos son flujos reales, pero reflejan logística de</w:t>
      </w:r>
    </w:p>
    <w:p>
      <w:pPr>
        <w:pStyle w:val="Body"/>
      </w:pPr>
      <w:r>
        <w:t>procesamiento de materias primas, no demanda final del país de destino: el</w:t>
      </w:r>
    </w:p>
    <w:p>
      <w:pPr>
        <w:pStyle w:val="Body"/>
      </w:pPr>
      <w:r>
        <w:t>supuesto implícito del modelo de gravedad.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4.3 Filtro por producto: excluir minerales, oro/plata y combustibles</w:t>
      </w:r>
    </w:p>
    <w:p>
      <w:pPr>
        <w:spacing w:after="40"/>
      </w:pPr>
    </w:p>
    <w:p>
      <w:pPr>
        <w:pStyle w:val="Body"/>
      </w:pPr>
      <w:r>
        <w:t>Siguiendo la práctica estándar para economías mineras, se excluyen los</w:t>
      </w:r>
    </w:p>
    <w:p>
      <w:pPr>
        <w:pStyle w:val="Body"/>
      </w:pPr>
      <w:r>
        <w:t>capítulos arancelarios HS26 (minerales y concentrados), HS71 (oro, plata,</w:t>
      </w:r>
    </w:p>
    <w:p>
      <w:pPr>
        <w:pStyle w:val="Body"/>
      </w:pPr>
      <w:r>
        <w:t>piedras preciosas) y HS27 (combustibles minerales: petróleo, gas natural,</w:t>
      </w:r>
    </w:p>
    <w:p>
      <w:pPr>
        <w:pStyle w:val="Body"/>
      </w:pPr>
      <w:r>
        <w:t>carbón) de todas las exportaciones — no solo de los socios anómalos. Es</w:t>
      </w:r>
    </w:p>
    <w:p>
      <w:pPr>
        <w:pStyle w:val="Body"/>
      </w:pPr>
      <w:r>
        <w:t>un filtro por categoría de producto aplicado a todo el panel, para no caer en</w:t>
      </w:r>
    </w:p>
    <w:p>
      <w:pPr>
        <w:pStyle w:val="Body"/>
      </w:pPr>
      <w:r>
        <w:t>la trampa metodológica de excluir países específicos ad hoc. Juntos, estos</w:t>
      </w:r>
    </w:p>
    <w:p>
      <w:pPr>
        <w:pStyle w:val="Body"/>
      </w:pPr>
      <w:r>
        <w:t>tres capítulos representan el 56% del valor exportado total en la década</w:t>
      </w:r>
    </w:p>
    <w:p>
      <w:pPr>
        <w:pStyle w:val="Body"/>
      </w:pPr>
      <w:r>
        <w:t>(oro+minerales 51%, combustibles 7%, con solapamiento menor).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Coeficiente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p-valor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log(PBI del socio)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+0.97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log(distancia)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−0.60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Frontera común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+0.87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0.020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Idioma oficial común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+0.90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Ex-colonia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+0.26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0.54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Tiene acuerdo comercial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+0.11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0.58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n = 1,907; pseudo-R² = 0.90.</w:t>
      </w:r>
    </w:p>
    <w:p>
      <w:pPr>
        <w:spacing w:after="40"/>
      </w:pPr>
    </w:p>
    <w:p>
      <w:pPr>
        <w:pStyle w:val="Body"/>
      </w:pPr>
      <w:r>
        <w:t>El coeficiente de distancia recupera el signo correcto y es estadísticamente</w:t>
      </w:r>
    </w:p>
    <w:p>
      <w:pPr>
        <w:pStyle w:val="Body"/>
      </w:pPr>
      <w:r>
        <w:t>significativo. El filtro por producto resuelve el problema.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4.4 Segundo diagnóstico: hubs de reexportación</w:t>
      </w:r>
    </w:p>
    <w:p>
      <w:pPr>
        <w:spacing w:after="40"/>
      </w:pPr>
    </w:p>
    <w:p>
      <w:pPr>
        <w:pStyle w:val="Body"/>
      </w:pPr>
      <w:r>
        <w:t>Al revisar nuevamente los residuos de Pearson tras remover los commodities,</w:t>
      </w:r>
    </w:p>
    <w:p>
      <w:pPr>
        <w:pStyle w:val="Body"/>
      </w:pPr>
      <w:r>
        <w:t>el país que más domina el ajuste pasa a ser Países Bajos — el clásico</w:t>
      </w:r>
    </w:p>
    <w:p>
      <w:pPr>
        <w:pStyle w:val="Body"/>
      </w:pPr>
      <w:r>
        <w:t>"efecto Róterdam": mercancía declarada hacia un puerto-hub europeo para</w:t>
      </w:r>
    </w:p>
    <w:p>
      <w:pPr>
        <w:pStyle w:val="Body"/>
      </w:pPr>
      <w:r>
        <w:t>redistribuirse dentro de la Unión Europea, no para consumo neerlandés real.</w:t>
      </w:r>
    </w:p>
    <w:p>
      <w:pPr>
        <w:pStyle w:val="Body"/>
      </w:pPr>
      <w:r>
        <w:t>Reino Unido y Panamá (zona del Canal) aparecen también entre los residuos más</w:t>
      </w:r>
    </w:p>
    <w:p>
      <w:pPr>
        <w:pStyle w:val="Body"/>
      </w:pPr>
      <w:r>
        <w:t>altos.</w:t>
      </w:r>
    </w:p>
    <w:p>
      <w:pPr>
        <w:spacing w:after="40"/>
      </w:pPr>
    </w:p>
    <w:p>
      <w:pPr>
        <w:pStyle w:val="Body"/>
      </w:pPr>
      <w:r>
        <w:t>En vez de excluir estos países uno por uno a medida que aparecen como</w:t>
      </w:r>
    </w:p>
    <w:p>
      <w:pPr>
        <w:pStyle w:val="Body"/>
      </w:pPr>
      <w:r>
        <w:t>residuo —lo cual degenera en data dredging, ajustando el filtro hasta</w:t>
      </w:r>
    </w:p>
    <w:p>
      <w:pPr>
        <w:pStyle w:val="Body"/>
      </w:pPr>
      <w:r>
        <w:t>lograr el resultado deseado—, se adoptó la lista estándar de la literatura</w:t>
      </w:r>
    </w:p>
    <w:p>
      <w:pPr>
        <w:pStyle w:val="Body"/>
      </w:pPr>
      <w:r>
        <w:t>de hubs de reexportación: Países Bajos, Bélgica, Singapur, Hong Kong, Panamá</w:t>
      </w:r>
    </w:p>
    <w:p>
      <w:pPr>
        <w:pStyle w:val="Body"/>
      </w:pPr>
      <w:r>
        <w:t>y Emiratos Árabes Unidos (el eje Róterdam-Amberes-Singapur-Hong</w:t>
      </w:r>
    </w:p>
    <w:p>
      <w:pPr>
        <w:pStyle w:val="Body"/>
      </w:pPr>
      <w:r>
        <w:t>Kong-Panamá-Dubái). Esta lista se fija a priori, por la clasificación</w:t>
      </w:r>
    </w:p>
    <w:p>
      <w:pPr>
        <w:pStyle w:val="Body"/>
      </w:pPr>
      <w:r>
        <w:t>habitual en estudios de comercio, no por los residuos de este dataset</w:t>
      </w:r>
    </w:p>
    <w:p>
      <w:pPr>
        <w:pStyle w:val="Body"/>
      </w:pPr>
      <w:r>
        <w:t>específico.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4.5 Especificación final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Coeficiente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Error estándar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p-valor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log(PBI del socio)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1.042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0.070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log(distancia)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−0.583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0.321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0.071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Frontera común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1.023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0.388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Idioma oficial común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1.117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0.469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Ex-colonia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0.235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0.454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0.607</w:t>
            </w:r>
          </w:p>
        </w:tc>
      </w:tr>
      <w:tr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Tiene acuerdo comercial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−0.048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0.169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0.776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n = 1,847 observaciones (181 socios con cobertura completa de PBI y</w:t>
      </w:r>
    </w:p>
    <w:p>
      <w:pPr>
        <w:pStyle w:val="Body"/>
      </w:pPr>
      <w:r>
        <w:t>distancia); pseudo-R² = 0.93. Errores estándar agrupados por socio, efectos</w:t>
      </w:r>
    </w:p>
    <w:p>
      <w:pPr>
        <w:pStyle w:val="Body"/>
      </w:pPr>
      <w:r>
        <w:t>fijos de año incluidos.</w:t>
      </w:r>
    </w:p>
    <w:p>
      <w:pPr>
        <w:spacing w:after="40"/>
      </w:pPr>
    </w:p>
    <w:p>
      <w:pPr>
        <w:pStyle w:val="Body"/>
      </w:pPr>
      <w:r>
        <w:t>Tras esta especificación, los residuos de Pearson más altos pasan a Bolivia y</w:t>
      </w:r>
    </w:p>
    <w:p>
      <w:pPr>
        <w:pStyle w:val="Body"/>
      </w:pPr>
      <w:r>
        <w:t>Ecuador (vecinos con relación comercial real y grande), China (una economía</w:t>
      </w:r>
    </w:p>
    <w:p>
      <w:pPr>
        <w:pStyle w:val="Body"/>
      </w:pPr>
      <w:r>
        <w:t>genuinamente enorme) y Haití (ruido de Poisson en un país pequeño con valores</w:t>
      </w:r>
    </w:p>
    <w:p>
      <w:pPr>
        <w:pStyle w:val="Body"/>
      </w:pPr>
      <w:r>
        <w:t>predichos muy bajos) — ninguno sugiere un hub de reexportación adicional. Ahí</w:t>
      </w:r>
    </w:p>
    <w:p>
      <w:pPr>
        <w:pStyle w:val="Body"/>
      </w:pPr>
      <w:r>
        <w:t>se detuvo la búsqueda.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4.6 Trayectoria del coeficiente de distancia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Especificación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log(distancia)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p-valor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1. Cruda (todas las exportaciones)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1,907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+0.639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0.059</w:t>
            </w:r>
          </w:p>
        </w:tc>
      </w:tr>
      <w:tr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2. Sin oro/minerales/combustibles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1,907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−0.600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3. + sin hubs de reexportación (final)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1,847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−0.583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0.071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El signo se corrige en el paso 2 (filtro por producto) y la magnitud se</w:t>
      </w:r>
    </w:p>
    <w:p>
      <w:pPr>
        <w:pStyle w:val="Body"/>
      </w:pPr>
      <w:r>
        <w:t>mantiene estable en el paso 3 (filtro por país); lo que cambia entre 2 y 3 es</w:t>
      </w:r>
    </w:p>
    <w:p>
      <w:pPr>
        <w:pStyle w:val="Body"/>
      </w:pPr>
      <w:r>
        <w:t>principalmente la significancia estadística, que se mueve justo alrededor</w:t>
      </w:r>
    </w:p>
    <w:p>
      <w:pPr>
        <w:pStyle w:val="Body"/>
      </w:pPr>
      <w:r>
        <w:t>del umbral convencional de 5%.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5. Resultados — importaciones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ody"/>
      </w:pPr>
      <w:r>
        <w:t>¿El mismo tratamiento (filtro de commodities + hubs de reexportación)</w:t>
      </w:r>
    </w:p>
    <w:p>
      <w:pPr>
        <w:pStyle w:val="Body"/>
      </w:pPr>
      <w:r>
        <w:t>produce el mismo efecto del lado importador? Se repitió exactamente el</w:t>
      </w:r>
    </w:p>
    <w:p>
      <w:pPr>
        <w:pStyle w:val="Body"/>
      </w:pPr>
      <w:r>
        <w:t>procedimiento de la sección 4, con Perú como importador en vez de</w:t>
      </w:r>
    </w:p>
    <w:p>
      <w:pPr>
        <w:pStyle w:val="Body"/>
      </w:pPr>
      <w:r>
        <w:t>exportador: baci_flujos filtrado por importador = 604, mismo panel de</w:t>
      </w:r>
    </w:p>
    <w:p>
      <w:pPr>
        <w:pStyle w:val="Body"/>
      </w:pPr>
      <w:r>
        <w:t>224 socios, mismos controles.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5.1 Especificación cruda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Coeficiente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p-valor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log(PBI del socio)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+1.18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log(distancia)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+0.35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Frontera común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+1.77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Idioma oficial común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+2.09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Ex-colonia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−1.38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Tiene acuerdo comercial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+0.01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0.967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n = 1,907; pseudo-R² = 0.93. A diferencia de las exportaciones, la</w:t>
      </w:r>
    </w:p>
    <w:p>
      <w:pPr>
        <w:pStyle w:val="Body"/>
      </w:pPr>
      <w:r>
        <w:t>distancia ya nace con el signo "equivocado" (positivo) aunque no</w:t>
      </w:r>
    </w:p>
    <w:p>
      <w:pPr>
        <w:pStyle w:val="Body"/>
      </w:pPr>
      <w:r>
        <w:t>significativo — una primera señal de que la historia del lado importador</w:t>
      </w:r>
    </w:p>
    <w:p>
      <w:pPr>
        <w:pStyle w:val="Body"/>
      </w:pPr>
      <w:r>
        <w:t>podría ser distinta.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5.2 Diagnóstico: ¿commodities otra vez?</w:t>
      </w:r>
    </w:p>
    <w:p>
      <w:pPr>
        <w:spacing w:after="40"/>
      </w:pPr>
    </w:p>
    <w:p>
      <w:pPr>
        <w:pStyle w:val="Body"/>
      </w:pPr>
      <w:r>
        <w:t>Antes de aplicar el mismo filtro de forma automática, se repitió el</w:t>
      </w:r>
    </w:p>
    <w:p>
      <w:pPr>
        <w:pStyle w:val="Body"/>
      </w:pPr>
      <w:r>
        <w:t>diagnóstico de residuos de Pearson sobre el total importado. El resultado</w:t>
      </w:r>
    </w:p>
    <w:p>
      <w:pPr>
        <w:pStyle w:val="Body"/>
      </w:pPr>
      <w:r>
        <w:t>confirma que sí hay un commodity dominante — pero no el mismo: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País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Producto (HS6)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 en la década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Nigeria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270900 — petróleo crudo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USD 2,193 millones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Trinidad y Tobago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270900 — petróleo crudo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USD 2,077 millones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Congo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270900 — petróleo crudo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USD 228 millones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HS27 (combustibles minerales) es, de hecho, el capítulo arancelario más</w:t>
      </w:r>
    </w:p>
    <w:p>
      <w:pPr>
        <w:pStyle w:val="Body"/>
      </w:pPr>
      <w:r>
        <w:t>grande de toda la canasta importadora peruana (USD 64,900 millones en la</w:t>
      </w:r>
    </w:p>
    <w:p>
      <w:pPr>
        <w:pStyle w:val="Body"/>
      </w:pPr>
      <w:r>
        <w:t>década, más que maquinaria o vehículos) — Perú importa crudo para sus</w:t>
      </w:r>
    </w:p>
    <w:p>
      <w:pPr>
        <w:pStyle w:val="Body"/>
      </w:pPr>
      <w:r>
        <w:t>refinerías pese a exportar su propio gas natural licuado. Por consistencia</w:t>
      </w:r>
    </w:p>
    <w:p>
      <w:pPr>
        <w:pStyle w:val="Body"/>
      </w:pPr>
      <w:r>
        <w:t>metodológica se aplicó el mismo filtro HS26/HS71/HS27 usado en</w:t>
      </w:r>
    </w:p>
    <w:p>
      <w:pPr>
        <w:pStyle w:val="Body"/>
      </w:pPr>
      <w:r>
        <w:t>exportaciones (HS26 y HS71 no son relevantes en volumen para las</w:t>
      </w:r>
    </w:p>
    <w:p>
      <w:pPr>
        <w:pStyle w:val="Body"/>
      </w:pPr>
      <w:r>
        <w:t>importaciones, pero excluirlos no cambia nada y mantiene el filtro idéntico</w:t>
      </w:r>
    </w:p>
    <w:p>
      <w:pPr>
        <w:pStyle w:val="Body"/>
      </w:pPr>
      <w:r>
        <w:t>en ambas direcciones).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5.3 Resultado tras el filtro: la distancia empeora, no mejora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Cruda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Sin HS26/71/27</w:t>
            </w:r>
          </w:p>
        </w:tc>
        <w:tc>
          <w:tcPr>
            <w:tcW w:type="dxa" w:w="2183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Final (sin hubs)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log(PBI del socio)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+1.18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+1.19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+1.19</w:t>
            </w:r>
          </w:p>
        </w:tc>
      </w:tr>
      <w:tr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log(distancia)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+0.35 (p=0.21)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+0.88 (p=0.001)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+0.90 (p&lt;0.001)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Frontera común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+1.77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+2.16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+2.19</w:t>
            </w:r>
          </w:p>
        </w:tc>
      </w:tr>
      <w:tr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Idioma oficial común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+2.09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+2.64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+2.64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Ex-colonia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−1.38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−1.70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−1.71</w:t>
            </w:r>
          </w:p>
        </w:tc>
      </w:tr>
      <w:tr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Tiene acuerdo comercial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+0.01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−0.06</w:t>
            </w:r>
          </w:p>
        </w:tc>
        <w:tc>
          <w:tcPr>
            <w:tcW w:type="dxa" w:w="2183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−0.06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n final = 1,847; pseudo-R² = 0.92. A diferencia de las exportaciones, quitar</w:t>
      </w:r>
    </w:p>
    <w:p>
      <w:pPr>
        <w:pStyle w:val="Body"/>
      </w:pPr>
      <w:r>
        <w:t>los commodities no corrige el signo de la distancia — lo empeora y lo</w:t>
      </w:r>
    </w:p>
    <w:p>
      <w:pPr>
        <w:pStyle w:val="Body"/>
      </w:pPr>
      <w:r>
        <w:t>vuelve fuertemente significativo en la dirección "incorrecta".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5.4 Por qué esto no es el mismo artefacto: verificación</w:t>
      </w:r>
    </w:p>
    <w:p>
      <w:pPr>
        <w:spacing w:after="40"/>
      </w:pPr>
    </w:p>
    <w:p>
      <w:pPr>
        <w:pStyle w:val="Body"/>
      </w:pPr>
      <w:r>
        <w:t>Antes de aceptar este resultado como genuino (y no como otro artefacto sin</w:t>
      </w:r>
    </w:p>
    <w:p>
      <w:pPr>
        <w:pStyle w:val="Body"/>
      </w:pPr>
      <w:r>
        <w:t>detectar), se repitió la misma verificación que en la sección 4: ¿quién</w:t>
      </w:r>
    </w:p>
    <w:p>
      <w:pPr>
        <w:pStyle w:val="Body"/>
      </w:pPr>
      <w:r>
        <w:t>domina los residuos de Pearson de la especificación final, y qué compra</w:t>
      </w:r>
    </w:p>
    <w:p>
      <w:pPr>
        <w:pStyle w:val="Body"/>
      </w:pPr>
      <w:r>
        <w:t>Perú de los mayores socios importadores?</w:t>
      </w:r>
    </w:p>
    <w:p>
      <w:pPr>
        <w:spacing w:after="40"/>
      </w:pPr>
    </w:p>
    <w:p>
      <w:pPr>
        <w:pStyle w:val="Bullet"/>
        <w:ind w:left="400" w:hanging="280"/>
      </w:pPr>
      <w:r>
        <w:t>•  Los mayores residuos son Argentina (hasta USD 2,779 millones/año) y</w:t>
      </w:r>
    </w:p>
    <w:p>
      <w:pPr>
        <w:pStyle w:val="Body"/>
      </w:pPr>
      <w:r>
        <w:t>Bolivia — vecinos con una relación comercial real y grande (trigo,</w:t>
      </w:r>
    </w:p>
    <w:p>
      <w:pPr>
        <w:pStyle w:val="Body"/>
      </w:pPr>
      <w:r>
        <w:t>soya, gas por ducto, insumos agropecuarios), no hubs de tránsito.</w:t>
      </w:r>
    </w:p>
    <w:p>
      <w:pPr>
        <w:pStyle w:val="Bullet"/>
        <w:ind w:left="400" w:hanging="280"/>
      </w:pPr>
      <w:r>
        <w:t>•  Los mayores orígenes de importación en valor absoluto son China (USD</w:t>
      </w:r>
    </w:p>
    <w:p>
      <w:pPr>
        <w:pStyle w:val="Body"/>
      </w:pPr>
      <w:r>
        <w:t>119,739 millones en la década — más del doble que EE.UU.), Alemania,</w:t>
      </w:r>
    </w:p>
    <w:p>
      <w:pPr>
        <w:pStyle w:val="Body"/>
      </w:pPr>
      <w:r>
        <w:t>Japón e India: las grandes potencias manufactureras globales, todas muy</w:t>
      </w:r>
    </w:p>
    <w:p>
      <w:pPr>
        <w:pStyle w:val="Body"/>
      </w:pPr>
      <w:r>
        <w:t>lejanas de Perú.</w:t>
      </w:r>
    </w:p>
    <w:p>
      <w:pPr>
        <w:spacing w:after="40"/>
      </w:pPr>
    </w:p>
    <w:p>
      <w:pPr>
        <w:pStyle w:val="Body"/>
      </w:pPr>
      <w:r>
        <w:t>No hay ningún país de tránsito conocido (Róterdam, Singapur, etc.)</w:t>
      </w:r>
    </w:p>
    <w:p>
      <w:pPr>
        <w:pStyle w:val="Body"/>
      </w:pPr>
      <w:r>
        <w:t>dominando los residuos del lado importador, como sí ocurría en</w:t>
      </w:r>
    </w:p>
    <w:p>
      <w:pPr>
        <w:pStyle w:val="Body"/>
      </w:pPr>
      <w:r>
        <w:t>exportaciones. La lectura más simple y consistente con la evidencia es que</w:t>
      </w:r>
    </w:p>
    <w:p>
      <w:pPr>
        <w:pStyle w:val="Body"/>
      </w:pPr>
      <w:r>
        <w:t>el signo positivo de la distancia en importaciones **no es un artefacto de</w:t>
      </w:r>
    </w:p>
    <w:p>
      <w:pPr>
        <w:pStyle w:val="Body"/>
      </w:pPr>
      <w:r>
        <w:t>medición que corregir**: refleja que la canasta importadora peruana</w:t>
      </w:r>
    </w:p>
    <w:p>
      <w:pPr>
        <w:pStyle w:val="Body"/>
      </w:pPr>
      <w:r>
        <w:t>—maquinaria, electrónica, vehículos, insumos industriales— está</w:t>
      </w:r>
    </w:p>
    <w:p>
      <w:pPr>
        <w:pStyle w:val="Body"/>
      </w:pPr>
      <w:r>
        <w:t>estructuralmente concentrada en un puñado de potencias manufactureras</w:t>
      </w:r>
    </w:p>
    <w:p>
      <w:pPr>
        <w:pStyle w:val="Body"/>
      </w:pPr>
      <w:r>
        <w:t>lejanas (sobre todo China), un patrón documentado en la literatura reciente</w:t>
      </w:r>
    </w:p>
    <w:p>
      <w:pPr>
        <w:pStyle w:val="Body"/>
      </w:pPr>
      <w:r>
        <w:t>de comercio de América Latina con Asia, y que domina sobre cualquier</w:t>
      </w:r>
    </w:p>
    <w:p>
      <w:pPr>
        <w:pStyle w:val="Body"/>
      </w:pPr>
      <w:r>
        <w:t>preferencia por proximidad geográfica.</w:t>
      </w:r>
    </w:p>
    <w:p>
      <w:pPr>
        <w:spacing w:after="40"/>
      </w:pPr>
    </w:p>
    <w:p>
      <w:pPr>
        <w:pStyle w:val="SubSecHdr"/>
      </w:pPr>
      <w:r>
        <w:rPr>
          <w:b/>
          <w:color w:val="1A3050"/>
          <w:sz w:val="21"/>
        </w:rPr>
        <w:t>5.5 La asimetría exportación-importación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Exportaciones (sec. 4.5)</w:t>
            </w:r>
          </w:p>
        </w:tc>
        <w:tc>
          <w:tcPr>
            <w:tcW w:type="dxa" w:w="2910"/>
            <w:shd w:val="clear" w:color="auto" w:fill="1A305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Importaciones (sec. 5.3)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log(distancia)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−0.58 (p=0.071)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+0.90 (p&lt;0.001)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Frontera común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+1.02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+2.19</w:t>
            </w:r>
          </w:p>
        </w:tc>
      </w:tr>
      <w:tr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Idioma oficial común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+1.12</w:t>
            </w:r>
          </w:p>
        </w:tc>
        <w:tc>
          <w:tcPr>
            <w:tcW w:type="dxa" w:w="291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+2.64</w:t>
            </w:r>
          </w:p>
        </w:tc>
      </w:tr>
      <w:tr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Ex-colonia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+0.23 (ns)</w:t>
            </w:r>
          </w:p>
        </w:tc>
        <w:tc>
          <w:tcPr>
            <w:tcW w:type="dxa" w:w="2910"/>
            <w:shd w:val="clear" w:color="auto" w:fill="F4F6FA"/>
          </w:tcPr>
          <w:p>
            <w:pPr>
              <w:spacing w:before="60" w:after="60"/>
            </w:pPr>
            <w:r>
              <w:rPr>
                <w:sz w:val="18"/>
              </w:rPr>
              <w:t>−1.71 (p&lt;0.001)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Body"/>
      </w:pPr>
      <w:r>
        <w:t>Perú exporta siguiendo el patrón de gravedad clásico una vez limpia la</w:t>
      </w:r>
    </w:p>
    <w:p>
      <w:pPr>
        <w:pStyle w:val="Body"/>
      </w:pPr>
      <w:r>
        <w:t>distorsión de commodities (más a lo cercano), pero importa en contra del</w:t>
      </w:r>
    </w:p>
    <w:p>
      <w:pPr>
        <w:pStyle w:val="Body"/>
      </w:pPr>
      <w:r>
        <w:t>patrón de gravedad (más de lo lejano) — un reflejo fiel de ser, a la vez,</w:t>
      </w:r>
    </w:p>
    <w:p>
      <w:pPr>
        <w:pStyle w:val="Body"/>
      </w:pPr>
      <w:r>
        <w:t>un exportador de materias primas regionales y un importador de manufactura</w:t>
      </w:r>
    </w:p>
    <w:p>
      <w:pPr>
        <w:pStyle w:val="Body"/>
      </w:pPr>
      <w:r>
        <w:t>global concentrada en Asia. Ninguna de las dos direcciones es "la correcta";</w:t>
      </w:r>
    </w:p>
    <w:p>
      <w:pPr>
        <w:pStyle w:val="Body"/>
      </w:pPr>
      <w:r>
        <w:t>son dos estructuras económicas distintas que un solo coeficiente de</w:t>
      </w:r>
    </w:p>
    <w:p>
      <w:pPr>
        <w:pStyle w:val="Body"/>
      </w:pPr>
      <w:r>
        <w:t>distancia, mal especificado, podría haber ocultado.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6. Discusión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ody"/>
      </w:pPr>
      <w:r>
        <w:t>El hallazgo metodológico central es que, para una economía exportadora de</w:t>
      </w:r>
    </w:p>
    <w:p>
      <w:pPr>
        <w:pStyle w:val="Body"/>
      </w:pPr>
      <w:r>
        <w:t>commodities como Perú, un modelo de gravedad "de manual" sobre el valor</w:t>
      </w:r>
    </w:p>
    <w:p>
      <w:pPr>
        <w:pStyle w:val="Body"/>
      </w:pPr>
      <w:r>
        <w:t>total exportado no mide lo que se cree que mide: una fracción sustancial del</w:t>
      </w:r>
    </w:p>
    <w:p>
      <w:pPr>
        <w:pStyle w:val="Body"/>
      </w:pPr>
      <w:r>
        <w:t>flujo refleja la geografía de la refinación y el tránsito global de</w:t>
      </w:r>
    </w:p>
    <w:p>
      <w:pPr>
        <w:pStyle w:val="Body"/>
      </w:pPr>
      <w:r>
        <w:t>materias primas (Suiza para oro, Namibia para concentrados de cobre, Países</w:t>
      </w:r>
    </w:p>
    <w:p>
      <w:pPr>
        <w:pStyle w:val="Body"/>
      </w:pPr>
      <w:r>
        <w:t>Bajos/Panamá como puertos de redistribución), no la relación bilateral</w:t>
      </w:r>
    </w:p>
    <w:p>
      <w:pPr>
        <w:pStyle w:val="Body"/>
      </w:pPr>
      <w:r>
        <w:t>económica entre Perú y el país de destino final. Ignorar esto no solo</w:t>
      </w:r>
    </w:p>
    <w:p>
      <w:pPr>
        <w:pStyle w:val="Body"/>
      </w:pPr>
      <w:r>
        <w:t>distorsiona el coeficiente de distancia: también infla artificialmente el</w:t>
      </w:r>
    </w:p>
    <w:p>
      <w:pPr>
        <w:pStyle w:val="Body"/>
      </w:pPr>
      <w:r>
        <w:t>coeficiente de "tiene acuerdo comercial" (de +0.71 significativo a −0.05</w:t>
      </w:r>
    </w:p>
    <w:p>
      <w:pPr>
        <w:pStyle w:val="Body"/>
      </w:pPr>
      <w:r>
        <w:t>estadísticamente nulo), porque los países con acuerdos comerciales vigentes</w:t>
      </w:r>
    </w:p>
    <w:p>
      <w:pPr>
        <w:pStyle w:val="Body"/>
      </w:pPr>
      <w:r>
        <w:t>con Perú tienden a coincidir con los grandes compradores de oro y gas.</w:t>
      </w:r>
    </w:p>
    <w:p>
      <w:pPr>
        <w:spacing w:after="40"/>
      </w:pPr>
    </w:p>
    <w:p>
      <w:pPr>
        <w:pStyle w:val="Body"/>
      </w:pPr>
      <w:r>
        <w:t>La sección 5 muestra, además, que el mismo diagnóstico aplicado con el mismo</w:t>
      </w:r>
    </w:p>
    <w:p>
      <w:pPr>
        <w:pStyle w:val="Body"/>
      </w:pPr>
      <w:r>
        <w:t>rigor a las importaciones no produce el mismo resultado — y eso es, en sí</w:t>
      </w:r>
    </w:p>
    <w:p>
      <w:pPr>
        <w:pStyle w:val="Body"/>
      </w:pPr>
      <w:r>
        <w:t>mismo, la evidencia de que el procedimiento no está sesgado hacia "encontrar"</w:t>
      </w:r>
    </w:p>
    <w:p>
      <w:pPr>
        <w:pStyle w:val="Body"/>
      </w:pPr>
      <w:r>
        <w:t>el signo esperado: si lo estuviera, se habría seguido ajustando el filtro de</w:t>
      </w:r>
    </w:p>
    <w:p>
      <w:pPr>
        <w:pStyle w:val="Body"/>
      </w:pPr>
      <w:r>
        <w:t>importaciones hasta forzar un coeficiente de distancia negativo. No se hizo,</w:t>
      </w:r>
    </w:p>
    <w:p>
      <w:pPr>
        <w:pStyle w:val="Body"/>
      </w:pPr>
      <w:r>
        <w:t>porque los residuos no señalan a ningún hub de tránsito, y la explicación</w:t>
      </w:r>
    </w:p>
    <w:p>
      <w:pPr>
        <w:pStyle w:val="Body"/>
      </w:pPr>
      <w:r>
        <w:t>alternativa (concentración real en manufactura asiática) es más simple y</w:t>
      </w:r>
    </w:p>
    <w:p>
      <w:pPr>
        <w:pStyle w:val="Body"/>
      </w:pPr>
      <w:r>
        <w:t>mejor documentada que inventar una corrección adicional.</w:t>
      </w:r>
    </w:p>
    <w:p>
      <w:pPr>
        <w:spacing w:after="40"/>
      </w:pPr>
    </w:p>
    <w:p>
      <w:pPr>
        <w:pStyle w:val="Body"/>
      </w:pPr>
      <w:r>
        <w:t>Este patrón no es exclusivo de Perú: es un problema conocido en la</w:t>
      </w:r>
    </w:p>
    <w:p>
      <w:pPr>
        <w:pStyle w:val="Body"/>
      </w:pPr>
      <w:r>
        <w:t>literatura de gravedad para economías exportadoras de recursos naturales</w:t>
      </w:r>
    </w:p>
    <w:p>
      <w:pPr>
        <w:pStyle w:val="Body"/>
      </w:pPr>
      <w:r>
        <w:t>(Chile con cobre, los países del Golfo con petróleo, la República Democrática</w:t>
      </w:r>
    </w:p>
    <w:p>
      <w:pPr>
        <w:pStyle w:val="Body"/>
      </w:pPr>
      <w:r>
        <w:t>del Congo con cobalto). El aporte de este ejercicio es documentar el</w:t>
      </w:r>
    </w:p>
    <w:p>
      <w:pPr>
        <w:pStyle w:val="Body"/>
      </w:pPr>
      <w:r>
        <w:t>procedimiento completo y reproducible —diagnóstico de residuos, filtro por</w:t>
      </w:r>
    </w:p>
    <w:p>
      <w:pPr>
        <w:pStyle w:val="Body"/>
      </w:pPr>
      <w:r>
        <w:t>producto declarado a priori, filtro por país con lista estándar de la</w:t>
      </w:r>
    </w:p>
    <w:p>
      <w:pPr>
        <w:pStyle w:val="Body"/>
      </w:pPr>
      <w:r>
        <w:t>literatura, el punto explícito en el que se decide dejar de excluir</w:t>
      </w:r>
    </w:p>
    <w:p>
      <w:pPr>
        <w:pStyle w:val="Body"/>
      </w:pPr>
      <w:r>
        <w:t>observaciones, y la verificación simétrica del lado importador— en un caso</w:t>
      </w:r>
    </w:p>
    <w:p>
      <w:pPr>
        <w:pStyle w:val="Body"/>
      </w:pPr>
      <w:r>
        <w:t>real con datos públicos verificables.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7. Limitaciones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ullet"/>
        <w:ind w:left="400" w:hanging="280"/>
      </w:pPr>
      <w:r>
        <w:t>•  El coeficiente de distancia, incluso en la especificación final, no</w:t>
      </w:r>
    </w:p>
    <w:p>
      <w:pPr>
        <w:pStyle w:val="Body"/>
      </w:pPr>
      <w:r>
        <w:t>alcanza significancia convencional al 5% (p=0.071). El signo y la</w:t>
      </w:r>
    </w:p>
    <w:p>
      <w:pPr>
        <w:pStyle w:val="Body"/>
      </w:pPr>
      <w:r>
        <w:t>magnitud son estables en todas las especificaciones limpias (entre −0.48 y</w:t>
      </w:r>
    </w:p>
    <w:p>
      <w:pPr>
        <w:pStyle w:val="Body"/>
      </w:pPr>
      <w:r>
        <w:t>−0.60 según la muestra exacta), por lo que se reporta como un efecto</w:t>
      </w:r>
    </w:p>
    <w:p>
      <w:pPr>
        <w:pStyle w:val="Body"/>
      </w:pPr>
      <w:r>
        <w:t>económicamente plausible y robusto en dirección, pero no como un hallazgo</w:t>
      </w:r>
    </w:p>
    <w:p>
      <w:pPr>
        <w:pStyle w:val="Body"/>
      </w:pPr>
      <w:r>
        <w:t>estadísticamente "duro" al estándar convencional.</w:t>
      </w:r>
    </w:p>
    <w:p>
      <w:pPr>
        <w:pStyle w:val="Bullet"/>
        <w:ind w:left="400" w:hanging="280"/>
      </w:pPr>
      <w:r>
        <w:t>•  El panel cubre exportaciones e importaciones por separado (2015-2024); no</w:t>
      </w:r>
    </w:p>
    <w:p>
      <w:pPr>
        <w:pStyle w:val="Body"/>
      </w:pPr>
      <w:r>
        <w:t>se estimó un modelo conjunto del comercio bilateral neto (exporta menos</w:t>
      </w:r>
    </w:p>
    <w:p>
      <w:pPr>
        <w:pStyle w:val="Body"/>
      </w:pPr>
      <w:r>
        <w:t>importa), que requeriría una especificación distinta (la variable</w:t>
      </w:r>
    </w:p>
    <w:p>
      <w:pPr>
        <w:pStyle w:val="Body"/>
      </w:pPr>
      <w:r>
        <w:t>dependiente podría ser negativa, incompatible con PPML tal como se usó</w:t>
      </w:r>
    </w:p>
    <w:p>
      <w:pPr>
        <w:pStyle w:val="Body"/>
      </w:pPr>
      <w:r>
        <w:t>aquí).</w:t>
      </w:r>
    </w:p>
    <w:p>
      <w:pPr>
        <w:pStyle w:val="Bullet"/>
        <w:ind w:left="400" w:hanging="280"/>
      </w:pPr>
      <w:r>
        <w:t>•  La explicación de la sección 5 para el signo de la distancia en</w:t>
      </w:r>
    </w:p>
    <w:p>
      <w:pPr>
        <w:pStyle w:val="Body"/>
      </w:pPr>
      <w:r>
        <w:t>importaciones (concentración real en manufactura asiática) es la lectura</w:t>
      </w:r>
    </w:p>
    <w:p>
      <w:pPr>
        <w:pStyle w:val="Body"/>
      </w:pPr>
      <w:r>
        <w:t>más simple consistente con los residuos observados, pero no se contrastó</w:t>
      </w:r>
    </w:p>
    <w:p>
      <w:pPr>
        <w:pStyle w:val="Body"/>
      </w:pPr>
      <w:r>
        <w:t>contra una hipótesis alternativa formal (ej. un modelo de cadenas de valor</w:t>
      </w:r>
    </w:p>
    <w:p>
      <w:pPr>
        <w:pStyle w:val="Body"/>
      </w:pPr>
      <w:r>
        <w:t>globales) — queda como lectura cualitativa, no como resultado probado.</w:t>
      </w:r>
    </w:p>
    <w:p>
      <w:pPr>
        <w:pStyle w:val="Bullet"/>
        <w:ind w:left="400" w:hanging="280"/>
      </w:pPr>
      <w:r>
        <w:t>•  La lista de hubs de reexportación es una convención de la literatura, no</w:t>
      </w:r>
    </w:p>
    <w:p>
      <w:pPr>
        <w:pStyle w:val="Body"/>
      </w:pPr>
      <w:r>
        <w:t>una verificación caso por caso de que cada flujo hacia esos seis países sea</w:t>
      </w:r>
    </w:p>
    <w:p>
      <w:pPr>
        <w:pStyle w:val="Body"/>
      </w:pPr>
      <w:r>
        <w:t>efectivamente tránsito — es una simplificación razonable, no una prueba</w:t>
      </w:r>
    </w:p>
    <w:p>
      <w:pPr>
        <w:pStyle w:val="Body"/>
      </w:pPr>
      <w:r>
        <w:t>definitiva.</w:t>
      </w:r>
    </w:p>
    <w:p>
      <w:pPr>
        <w:pStyle w:val="Bullet"/>
        <w:ind w:left="400" w:hanging="280"/>
      </w:pPr>
      <w:r>
        <w:t>•  El indicador de acuerdo comercial (tiene_acuerdo) es una variable binaria</w:t>
      </w:r>
    </w:p>
    <w:p>
      <w:pPr>
        <w:pStyle w:val="Body"/>
      </w:pPr>
      <w:r>
        <w:t>simple (CEPII Gravity, cualquier FTA de la OMC o cobertura RTA registrada);</w:t>
      </w:r>
    </w:p>
    <w:p>
      <w:pPr>
        <w:pStyle w:val="Body"/>
      </w:pPr>
      <w:r>
        <w:t>no distingue profundidad, cobertura sectorial, ni año de entrada en</w:t>
      </w:r>
    </w:p>
    <w:p>
      <w:pPr>
        <w:pStyle w:val="Body"/>
      </w:pPr>
      <w:r>
        <w:t>vigencia dentro del período.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Referencias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ullet"/>
        <w:ind w:left="400" w:hanging="280"/>
      </w:pPr>
      <w:r>
        <w:t>•  Anderson, J. E., &amp; van Wincoop, E. (2003). Gravity with Gravitas: A</w:t>
      </w:r>
    </w:p>
    <w:p>
      <w:pPr>
        <w:pStyle w:val="Body"/>
      </w:pPr>
      <w:r>
        <w:t>Solution to the Border Puzzle. American Economic Review, 93(1), 170-192.</w:t>
      </w:r>
    </w:p>
    <w:p>
      <w:pPr>
        <w:pStyle w:val="Body"/>
      </w:pPr>
      <w:r>
        <w:t>DOI: [10.1257/000282803321455214](https://doi.org/10.1257/000282803321455214)</w:t>
      </w:r>
    </w:p>
    <w:p>
      <w:pPr>
        <w:pStyle w:val="Bullet"/>
        <w:ind w:left="400" w:hanging="280"/>
      </w:pPr>
      <w:r>
        <w:t>•  Santos Silva, J. M. C., &amp; Tenreyro, S. (2006). The Log of Gravity. *Review</w:t>
      </w:r>
    </w:p>
    <w:p>
      <w:pPr>
        <w:pStyle w:val="Body"/>
      </w:pPr>
      <w:r>
        <w:t>of Economics and Statistics*, 88(4), 641-658.</w:t>
      </w:r>
    </w:p>
    <w:p>
      <w:pPr>
        <w:pStyle w:val="Body"/>
      </w:pPr>
      <w:r>
        <w:t>DOI: [10.1162/rest.88.4.641](https://doi.org/10.1162/rest.88.4.641)</w:t>
      </w:r>
    </w:p>
    <w:p>
      <w:pPr>
        <w:pStyle w:val="Bullet"/>
        <w:ind w:left="400" w:hanging="280"/>
      </w:pPr>
      <w:r>
        <w:t>•  Tinbergen, J. (1962). *Shaping the World Economy: Suggestions for an</w:t>
      </w:r>
    </w:p>
    <w:p>
      <w:pPr>
        <w:pStyle w:val="Body"/>
      </w:pPr>
      <w:r>
        <w:t>International Economic Policy*. Twentieth Century Fund, Nueva York, 330 pp.</w:t>
      </w:r>
    </w:p>
    <w:p>
      <w:pPr>
        <w:pStyle w:val="Bullet"/>
        <w:ind w:left="400" w:hanging="280"/>
      </w:pPr>
      <w:r>
        <w:t>•  Head, K., &amp; Mayer, T. (2014). Gravity Equations: Workhorse, Toolkit, and</w:t>
      </w:r>
    </w:p>
    <w:p>
      <w:pPr>
        <w:pStyle w:val="Body"/>
      </w:pPr>
      <w:r>
        <w:t>Cookbook. En Handbook of International Economics, Vol. 4, pp. 131-195.</w:t>
      </w:r>
    </w:p>
    <w:p>
      <w:pPr>
        <w:pStyle w:val="Body"/>
      </w:pPr>
      <w:r>
        <w:t>Elsevier. DOI: [10.1016/B978-0-444-54314-1.00003-3](https://doi.org/10.1016/B978-0-444-54314-1.00003-3)</w:t>
      </w:r>
    </w:p>
    <w:p>
      <w:pPr>
        <w:pStyle w:val="Bullet"/>
        <w:ind w:left="400" w:hanging="280"/>
      </w:pPr>
      <w:r>
        <w:t>•  CEPII BACI (vintage 202601), CEPII GeoDist, CEPII Gravity V202211 — centre</w:t>
      </w:r>
    </w:p>
    <w:p>
      <w:pPr>
        <w:pStyle w:val="Body"/>
      </w:pPr>
      <w:r>
        <w:t>d'Études Prospectives et d'Informations Internationales.</w:t>
      </w:r>
    </w:p>
    <w:p>
      <w:pPr>
        <w:pStyle w:val="Body"/>
      </w:pPr>
      <w:r>
        <w:t>[cepii.fr](https://www.cepii.fr/)</w:t>
      </w:r>
    </w:p>
    <w:p>
      <w:pPr>
        <w:pStyle w:val="Bullet"/>
        <w:ind w:left="400" w:hanging="280"/>
      </w:pPr>
      <w:r>
        <w:t>•  World Bank, World Development Indicators, NY.GDP.MKTP.CD (PBI corriente,</w:t>
      </w:r>
    </w:p>
    <w:p>
      <w:pPr>
        <w:pStyle w:val="Body"/>
      </w:pPr>
      <w:r>
        <w:t>US$). [databank.worldbank.org/source/world-development-indicators](https://databank.worldbank.org/source/world-development-indicators)</w:t>
      </w:r>
    </w:p>
    <w:p>
      <w:pPr>
        <w:spacing w:after="40"/>
      </w:pPr>
    </w:p>
    <w:p>
      <w:pPr>
        <w:pStyle w:val="Body"/>
      </w:pPr>
      <w:r>
        <w:t>Las 4 referencias académicas fueron verificadas en vivo contra fuentes</w:t>
      </w:r>
    </w:p>
    <w:p>
      <w:pPr>
        <w:pStyle w:val="Body"/>
      </w:pPr>
      <w:r>
        <w:t>primarias el 2026-10-18 (ver referencias_verificadas.md en la raíz de este</w:t>
      </w:r>
    </w:p>
    <w:p>
      <w:pPr>
        <w:pStyle w:val="Body"/>
      </w:pPr>
      <w:r>
        <w:t>proyecto para el detalle de la verificación).</w:t>
      </w:r>
    </w:p>
    <w:p>
      <w:pPr>
        <w:spacing w:after="40"/>
      </w:pPr>
    </w:p>
    <w:p>
      <w:pPr>
        <w:pStyle w:val="SectionHdr"/>
        <w:spacing w:before="280" w:after="40"/>
        <w:shd w:val="clear" w:color="auto" w:fill="1A3050"/>
      </w:pPr>
      <w:r>
        <w:rPr>
          <w:b/>
          <w:color w:val="FFFFFF"/>
          <w:sz w:val="22"/>
        </w:rPr>
        <w:t>Anexo — Reproducibilidad</w:t>
      </w:r>
    </w:p>
    <w:p>
      <w:pPr>
        <w:spacing w:before="0" w:after="80"/>
        <w:pBdr>
          <w:bottom w:val="single" w:sz="12" w:space="1" w:color="1A3050"/>
        </w:pBdr>
      </w:pPr>
    </w:p>
    <w:p>
      <w:pPr>
        <w:spacing w:after="40"/>
      </w:pPr>
    </w:p>
    <w:p>
      <w:pPr>
        <w:pStyle w:val="Body"/>
      </w:pPr>
      <w:r>
        <w:t>Todo el código, los datos extraídos y el notebook ejecutado están en</w:t>
      </w:r>
    </w:p>
    <w:p>
      <w:pPr>
        <w:pStyle w:val="Body"/>
      </w:pPr>
      <w:r>
        <w:t>investigaciones/gravedad-comercio-bilateral-peru/ del repositorio:</w:t>
      </w:r>
    </w:p>
    <w:p>
      <w:pPr>
        <w:spacing w:after="40"/>
      </w:pPr>
    </w:p>
    <w:p>
      <w:pPr>
        <w:pStyle w:val="Bullet"/>
        <w:ind w:left="400" w:hanging="280"/>
      </w:pPr>
      <w:r>
        <w:t>•  data/raw/panel_bilateral_peru_2015_2024.json — extracción cruda de</w:t>
      </w:r>
    </w:p>
    <w:p>
      <w:pPr>
        <w:pStyle w:val="Body"/>
      </w:pPr>
      <w:r>
        <w:t>exportaciones, desde Neon.</w:t>
      </w:r>
    </w:p>
    <w:p>
      <w:pPr>
        <w:pStyle w:val="Bullet"/>
        <w:ind w:left="400" w:hanging="280"/>
      </w:pPr>
      <w:r>
        <w:t>•  data/raw/panel_bilateral_peru_importaciones_2015_2024.json — extracción</w:t>
      </w:r>
    </w:p>
    <w:p>
      <w:pPr>
        <w:pStyle w:val="Body"/>
      </w:pPr>
      <w:r>
        <w:t>cruda de importaciones.</w:t>
      </w:r>
    </w:p>
    <w:p>
      <w:pPr>
        <w:pStyle w:val="Bullet"/>
        <w:ind w:left="400" w:hanging="280"/>
      </w:pPr>
      <w:r>
        <w:t>•  data/procesado/panel_final_estimacion_exportaciones.csv y</w:t>
      </w:r>
    </w:p>
    <w:p>
      <w:pPr>
        <w:pStyle w:val="Body"/>
      </w:pPr>
      <w:r>
        <w:t>_importaciones.csv — paneles finales de cada especificación 3 (1,847</w:t>
      </w:r>
    </w:p>
    <w:p>
      <w:pPr>
        <w:pStyle w:val="Body"/>
      </w:pPr>
      <w:r>
        <w:t>filas cada uno).</w:t>
      </w:r>
    </w:p>
    <w:p>
      <w:pPr>
        <w:pStyle w:val="Bullet"/>
        <w:ind w:left="400" w:hanging="280"/>
      </w:pPr>
      <w:r>
        <w:t>•  data/procesado/tabla_comparativa_especificaciones.csv — las seis</w:t>
      </w:r>
    </w:p>
    <w:p>
      <w:pPr>
        <w:pStyle w:val="Body"/>
      </w:pPr>
      <w:r>
        <w:t>especificaciones (3 exporta + 3 importa) con todos los coeficientes.</w:t>
      </w:r>
    </w:p>
    <w:p>
      <w:pPr>
        <w:pStyle w:val="Bullet"/>
        <w:ind w:left="400" w:hanging="280"/>
      </w:pPr>
      <w:r>
        <w:t>•  scripts/estimar_gravedad.py — script que reproduce las seis</w:t>
      </w:r>
    </w:p>
    <w:p>
      <w:pPr>
        <w:pStyle w:val="Body"/>
      </w:pPr>
      <w:r>
        <w:t>especificaciones de punta a punta.</w:t>
      </w:r>
    </w:p>
    <w:p>
      <w:pPr>
        <w:pStyle w:val="Bullet"/>
        <w:ind w:left="400" w:hanging="280"/>
      </w:pPr>
      <w:r>
        <w:t>•  notebook/gravedad_comercio_peru.ipynb — notebook narrado con el mismo</w:t>
      </w:r>
    </w:p>
    <w:p>
      <w:pPr>
        <w:pStyle w:val="Body"/>
      </w:pPr>
      <w:r>
        <w:t>recorrido para ambos lados (Parte 1: exportaciones, Parte 2: importaciones),</w:t>
      </w:r>
    </w:p>
    <w:p>
      <w:pPr>
        <w:pStyle w:val="Body"/>
      </w:pPr>
      <w:r>
        <w:t>ejecutado con outputs reales.</w:t>
      </w:r>
    </w:p>
    <w:p>
      <w:pPr>
        <w:spacing w:after="40"/>
      </w:pP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Title"/>
    <w:basedOn w:val="Normal"/>
    <w:pPr>
      <w:spacing w:before="0" w:after="200"/>
      <w:jc w:val="center"/>
    </w:pPr>
    <w:rPr>
      <w:b/>
      <w:i w:val="0"/>
      <w:color w:val="1A3050"/>
      <w:sz w:val="34"/>
    </w:rPr>
  </w:style>
  <w:style w:type="paragraph" w:customStyle="1" w:styleId="PaperAuthor">
    <w:name w:val="PaperAuthor"/>
    <w:basedOn w:val="Normal"/>
    <w:pPr>
      <w:spacing w:before="0" w:after="80"/>
      <w:jc w:val="center"/>
    </w:pPr>
    <w:rPr>
      <w:b w:val="0"/>
      <w:i w:val="0"/>
      <w:color w:val="555555"/>
      <w:sz w:val="22"/>
    </w:rPr>
  </w:style>
  <w:style w:type="paragraph" w:customStyle="1" w:styleId="SectionHdr">
    <w:name w:val="SectionHdr"/>
    <w:basedOn w:val="Normal"/>
    <w:pPr>
      <w:spacing w:before="240" w:after="80"/>
      <w:jc w:val="left"/>
    </w:pPr>
    <w:rPr>
      <w:b/>
      <w:i w:val="0"/>
      <w:color w:val="FFFFFF"/>
      <w:sz w:val="22"/>
    </w:rPr>
  </w:style>
  <w:style w:type="paragraph" w:customStyle="1" w:styleId="SubSecHdr">
    <w:name w:val="SubSecHdr"/>
    <w:basedOn w:val="Normal"/>
    <w:pPr>
      <w:spacing w:before="160" w:after="60"/>
      <w:jc w:val="left"/>
    </w:pPr>
    <w:rPr>
      <w:b/>
      <w:i w:val="0"/>
      <w:color w:val="1A3050"/>
      <w:sz w:val="20"/>
    </w:rPr>
  </w:style>
  <w:style w:type="paragraph" w:customStyle="1" w:styleId="Body">
    <w:name w:val="Body"/>
    <w:basedOn w:val="Normal"/>
    <w:pPr>
      <w:spacing w:before="0" w:after="100"/>
      <w:jc w:val="both"/>
    </w:pPr>
    <w:rPr>
      <w:b w:val="0"/>
      <w:i w:val="0"/>
      <w:color w:val="000000"/>
      <w:sz w:val="20"/>
    </w:rPr>
  </w:style>
  <w:style w:type="paragraph" w:customStyle="1" w:styleId="Bullet">
    <w:name w:val="Bullet"/>
    <w:basedOn w:val="Normal"/>
    <w:pPr>
      <w:spacing w:before="0" w:after="60"/>
      <w:jc w:val="both"/>
    </w:pPr>
    <w:rPr>
      <w:b w:val="0"/>
      <w:i w:val="0"/>
      <w:color w:val="000000"/>
      <w:sz w:val="20"/>
    </w:rPr>
  </w:style>
  <w:style w:type="paragraph" w:customStyle="1" w:styleId="Abstract">
    <w:name w:val="Abstract"/>
    <w:basedOn w:val="Normal"/>
    <w:pPr>
      <w:spacing w:before="0" w:after="100"/>
      <w:jc w:val="both"/>
    </w:pPr>
    <w:rPr>
      <w:b w:val="0"/>
      <w:i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