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b/>
          <w:color w:val="1A3050"/>
          <w:sz w:val="34"/>
        </w:rPr>
        <w:t>Research Proposal — Hinrich Foundation</w:t>
      </w:r>
    </w:p>
    <w:p>
      <w:pPr>
        <w:jc w:val="both"/>
      </w:pPr>
      <w:r>
        <w:rPr>
          <w:b/>
        </w:rPr>
        <w:t>Trade governance | Call for research proposals — cycle closing 31 October 2026</w:t>
      </w:r>
    </w:p>
    <w:p>
      <w:pPr>
        <w:jc w:val="both"/>
      </w:pPr>
      <w:r>
        <w:rPr>
          <w:i/>
        </w:rPr>
        <w:t xml:space="preserve">Title: </w:t>
      </w:r>
      <w:r>
        <w:rPr>
          <w:i/>
        </w:rPr>
        <w:t>Institutional Governance and Peru's Export Competitiveness: What a World Gravity Model Reveals That Small Panels Miss</w:t>
      </w:r>
      <w:r>
        <w:rPr>
          <w:b/>
        </w:rPr>
      </w:r>
    </w:p>
    <w:p>
      <w:pPr>
        <w:spacing w:before="280" w:after="40"/>
        <w:shd w:val="clear" w:color="auto" w:fill="1A3050"/>
      </w:pPr>
      <w:r>
        <w:rPr>
          <w:b/>
          <w:color w:val="FFFFFF"/>
          <w:sz w:val="22"/>
        </w:rPr>
        <w:t>1. NAME AND CREDENTIALS OF THE RESEARCHER(S)</w:t>
      </w:r>
    </w:p>
    <w:p>
      <w:pPr>
        <w:spacing w:before="0" w:after="80"/>
        <w:pBdr>
          <w:bottom w:val="single" w:sz="12" w:space="1" w:color="1A3050"/>
        </w:pBdr>
      </w:pPr>
    </w:p>
    <w:tbl>
      <w:tblPr>
        <w:tblW w:type="auto" w:w="0"/>
        <w:jc w:val="center"/>
        <w:tblLook w:firstColumn="1" w:firstRow="1" w:lastColumn="0" w:lastRow="0" w:noHBand="0" w:noVBand="1" w:val="04A0"/>
      </w:tblPr>
      <w:tblGrid>
        <w:gridCol w:w="3024"/>
        <w:gridCol w:w="3024"/>
        <w:gridCol w:w="3024"/>
      </w:tblGrid>
      <w:tr>
        <w:tc>
          <w:tcPr>
            <w:tcW w:type="dxa" w:w="3024"/>
            <w:shd w:val="clear" w:color="auto" w:fill="1A3050"/>
          </w:tcPr>
          <w:p>
            <w:pPr>
              <w:spacing w:before="60" w:after="60"/>
            </w:pPr>
            <w:r>
              <w:rPr>
                <w:b/>
                <w:color w:val="FFFFFF"/>
                <w:sz w:val="18"/>
              </w:rPr>
              <w:t>Role</w:t>
            </w:r>
          </w:p>
        </w:tc>
        <w:tc>
          <w:tcPr>
            <w:tcW w:type="dxa" w:w="3024"/>
            <w:shd w:val="clear" w:color="auto" w:fill="1A3050"/>
          </w:tcPr>
          <w:p>
            <w:pPr>
              <w:spacing w:before="60" w:after="60"/>
            </w:pPr>
            <w:r>
              <w:rPr>
                <w:b/>
                <w:color w:val="FFFFFF"/>
                <w:sz w:val="18"/>
              </w:rPr>
              <w:t>Name</w:t>
            </w:r>
          </w:p>
        </w:tc>
        <w:tc>
          <w:tcPr>
            <w:tcW w:type="dxa" w:w="3024"/>
            <w:shd w:val="clear" w:color="auto" w:fill="1A3050"/>
          </w:tcPr>
          <w:p>
            <w:pPr>
              <w:spacing w:before="60" w:after="60"/>
            </w:pPr>
            <w:r>
              <w:rPr>
                <w:b/>
                <w:color w:val="FFFFFF"/>
                <w:sz w:val="18"/>
              </w:rPr>
              <w:t>Credentials</w:t>
            </w:r>
          </w:p>
        </w:tc>
      </w:tr>
      <w:tr>
        <w:tc>
          <w:tcPr>
            <w:tcW w:type="dxa" w:w="3024"/>
          </w:tcPr>
          <w:p>
            <w:pPr>
              <w:spacing w:before="60" w:after="60"/>
            </w:pPr>
            <w:r>
              <w:rPr>
                <w:b/>
                <w:sz w:val="18"/>
              </w:rPr>
              <w:t>Principal researcher</w:t>
            </w:r>
          </w:p>
        </w:tc>
        <w:tc>
          <w:tcPr>
            <w:tcW w:type="dxa" w:w="3024"/>
          </w:tcPr>
          <w:p>
            <w:pPr>
              <w:spacing w:before="60" w:after="60"/>
            </w:pPr>
            <w:r>
              <w:rPr>
                <w:b/>
                <w:sz w:val="18"/>
              </w:rPr>
              <w:t>Mg. Ricardo Antonio Cuba Alván</w:t>
            </w:r>
          </w:p>
        </w:tc>
        <w:tc>
          <w:tcPr>
            <w:tcW w:type="dxa" w:w="3024"/>
          </w:tcPr>
          <w:p>
            <w:pPr>
              <w:spacing w:before="60" w:after="60"/>
            </w:pPr>
            <w:r>
              <w:rPr>
                <w:sz w:val="18"/>
              </w:rPr>
              <w:t>Economist (Universidad del Pacífico); M.A. in Innovation &amp; Strategic Entrepreneurship (Universidad Adolfo Ibáñez); Master in Artificial Intelligence (NEXT MBA). Research Assistant at CIUP — Universidad del Pacífico, in the research group on innovation and sustainability in productive value chains (MIPYMEs and Andean communities — ISCAM). Lead designer of the empirical strategy and author of the data pipeline behind §2. ra.cubaa@up.edu.pe</w:t>
            </w:r>
          </w:p>
        </w:tc>
      </w:tr>
      <w:tr>
        <w:tc>
          <w:tcPr>
            <w:tcW w:type="dxa" w:w="3024"/>
            <w:shd w:val="clear" w:color="auto" w:fill="F4F6FA"/>
          </w:tcPr>
          <w:p>
            <w:pPr>
              <w:spacing w:before="60" w:after="60"/>
            </w:pPr>
            <w:r>
              <w:rPr>
                <w:b/>
                <w:sz w:val="18"/>
              </w:rPr>
              <w:t>Co-researcher</w:t>
            </w:r>
          </w:p>
        </w:tc>
        <w:tc>
          <w:tcPr>
            <w:tcW w:type="dxa" w:w="3024"/>
            <w:shd w:val="clear" w:color="auto" w:fill="F4F6FA"/>
          </w:tcPr>
          <w:p>
            <w:pPr>
              <w:spacing w:before="60" w:after="60"/>
            </w:pPr>
            <w:r>
              <w:rPr>
                <w:b/>
                <w:sz w:val="18"/>
              </w:rPr>
              <w:t>Dra. Rosa Patricia Larios Francia</w:t>
            </w:r>
          </w:p>
        </w:tc>
        <w:tc>
          <w:tcPr>
            <w:tcW w:type="dxa" w:w="3024"/>
            <w:shd w:val="clear" w:color="auto" w:fill="F4F6FA"/>
          </w:tcPr>
          <w:p>
            <w:pPr>
              <w:spacing w:before="60" w:after="60"/>
            </w:pPr>
            <w:r>
              <w:rPr>
                <w:sz w:val="18"/>
              </w:rPr>
              <w:t xml:space="preserve">Industrial Engineer (Universidad de Lima); M.Eng. in Industrial Engineering (Universidad Ricardo Palma); </w:t>
            </w:r>
            <w:r>
              <w:rPr>
                <w:b/>
                <w:sz w:val="18"/>
              </w:rPr>
              <w:t>Ph.D. in Strategic Management, specialisation in Business Management and Sustainability — joint doctoral programme of a consortium of four Peruvian universities (PUCP, Universidad Peruana Cayetano Heredia, Universidad de Lima, Universidad del Pacífico), 2015–2019</w:t>
            </w:r>
            <w:r>
              <w:rPr>
                <w:sz w:val="18"/>
              </w:rPr>
              <w:t>. Professor and researcher at Universidad del Pacífico and other Peruvian institutions. rp.lariosf@up.edu.pe</w:t>
            </w:r>
          </w:p>
        </w:tc>
      </w:tr>
    </w:tbl>
    <w:p>
      <w:pPr>
        <w:spacing w:after="80"/>
      </w:pPr>
    </w:p>
    <w:p>
      <w:pPr>
        <w:jc w:val="both"/>
      </w:pPr>
      <w:r>
        <w:rPr>
          <w:b/>
        </w:rPr>
        <w:t>Public-policy and trade background of the principal researcher.</w:t>
      </w:r>
      <w:r>
        <w:t xml:space="preserve"> Mr. Cuba Alván brings two decades of applied work at the intersection of economics, innovation and public policy in Peru. He served at the </w:t>
      </w:r>
      <w:r>
        <w:rPr>
          <w:b/>
        </w:rPr>
        <w:t>Ministry of Foreign Trade and Tourism (MINCETUR)</w:t>
      </w:r>
      <w:r>
        <w:t xml:space="preserve"> as Director of Artisanal Development, and at the </w:t>
      </w:r>
      <w:r>
        <w:rPr>
          <w:b/>
        </w:rPr>
        <w:t>Ministry of Production (PRODUCE)</w:t>
      </w:r>
      <w:r>
        <w:t xml:space="preserve"> as Director of Cooperatives and Institutional Affairs and in the Directorate of Productive Development and Business Linkage; he began his career as an economist at </w:t>
      </w:r>
      <w:r>
        <w:rPr>
          <w:b/>
        </w:rPr>
        <w:t>INDECOPI</w:t>
      </w:r>
      <w:r>
        <w:t xml:space="preserve"> — Peru's competition and intellectual-property authority — following an internship at the </w:t>
      </w:r>
      <w:r>
        <w:rPr>
          <w:b/>
        </w:rPr>
        <w:t>Central Reserve Bank of Peru (BCRP)</w:t>
      </w:r>
      <w:r>
        <w:t xml:space="preserve">. He has advised multilateral and development organisations — the </w:t>
      </w:r>
      <w:r>
        <w:rPr>
          <w:b/>
        </w:rPr>
        <w:t>World Bank</w:t>
      </w:r>
      <w:r>
        <w:t xml:space="preserve"> (science, technology and innovation policy), the </w:t>
      </w:r>
      <w:r>
        <w:rPr>
          <w:b/>
        </w:rPr>
        <w:t>Inter-American Development Bank</w:t>
      </w:r>
      <w:r>
        <w:t xml:space="preserve"> (regional innovation strategy) and </w:t>
      </w:r>
      <w:r>
        <w:rPr>
          <w:b/>
        </w:rPr>
        <w:t>GIZ</w:t>
      </w:r>
      <w:r>
        <w:t xml:space="preserve"> (innovation and economic development) — and currently leads data-infrastructure and AI ventures, including </w:t>
      </w:r>
      <w:r>
        <w:rPr>
          <w:b/>
        </w:rPr>
        <w:t>Rastro</w:t>
      </w:r>
      <w:r>
        <w:t>, which integrates Peru's principal public-sector data sources into a single reproducible pipeline. That pipeline produced the trade and governance data used in this proposal.</w:t>
      </w:r>
    </w:p>
    <w:p>
      <w:pPr>
        <w:jc w:val="both"/>
      </w:pPr>
      <w:r>
        <w:rPr>
          <w:b/>
        </w:rPr>
        <w:t>Standing and international profile of the co-researcher.</w:t>
      </w:r>
      <w:r>
        <w:t xml:space="preserve"> Dra. Larios Francia is a leading Peruvian industrial engineer, researcher and academic whose work centres on </w:t>
      </w:r>
      <w:r>
        <w:rPr>
          <w:b/>
        </w:rPr>
        <w:t>innovation management, business sustainability, and the development of micro, small and medium enterprises (MSMEs)</w:t>
      </w:r>
      <w:r>
        <w:t xml:space="preserve">. She holds a </w:t>
      </w:r>
      <w:r>
        <w:rPr>
          <w:b/>
        </w:rPr>
        <w:t>Ph.D. in Strategic Management (Business Management and Sustainability)</w:t>
      </w:r>
      <w:r>
        <w:t xml:space="preserve"> awarded by a </w:t>
      </w:r>
      <w:r>
        <w:rPr>
          <w:b/>
        </w:rPr>
        <w:t>consortium of four leading Peruvian universities — PUCP, Universidad Peruana Cayetano Heredia, Universidad de Lima and Universidad del Pacífico (2015–2019)</w:t>
      </w:r>
      <w:r>
        <w:t xml:space="preserve"> — and is a </w:t>
      </w:r>
      <w:r>
        <w:rPr>
          <w:b/>
        </w:rPr>
        <w:t>CONCYTEC-qualified researcher at Level VI</w:t>
      </w:r>
      <w:r>
        <w:t xml:space="preserve"> of Peru's National System of Science, Technology and Innovation. She represents Peru on key global standardisation bodies — </w:t>
      </w:r>
      <w:r>
        <w:rPr>
          <w:b/>
        </w:rPr>
        <w:t>ISO/TC 279/WG1</w:t>
      </w:r>
      <w:r>
        <w:t xml:space="preserve"> (innovation management systems), the </w:t>
      </w:r>
      <w:r>
        <w:rPr>
          <w:b/>
        </w:rPr>
        <w:t>ISO/TMB</w:t>
      </w:r>
      <w:r>
        <w:t xml:space="preserve"> committee on Environmental, Social and Governance (</w:t>
      </w:r>
      <w:r>
        <w:rPr>
          <w:b/>
        </w:rPr>
        <w:t>ESG</w:t>
      </w:r>
      <w:r>
        <w:t xml:space="preserve">) criteria, and </w:t>
      </w:r>
      <w:r>
        <w:rPr>
          <w:b/>
        </w:rPr>
        <w:t>ISO/TC 133</w:t>
      </w:r>
      <w:r>
        <w:t xml:space="preserve"> — chairs several technical standardisation committees at Peru's national standards institute (INACAL) on MSME management and innovation, and directs the </w:t>
      </w:r>
      <w:r>
        <w:rPr>
          <w:b/>
        </w:rPr>
        <w:t>Peru chapter of the International Association of Innovation Professionals (IAOIP)</w:t>
      </w:r>
      <w:r>
        <w:t xml:space="preserve">. Her research lines include the resilience of alpaca camelid value chains under climate change, circular economy and sustainable fashion in Andean communities, and the digital transformation of MSMEs; she also writes regularly for the daily </w:t>
      </w:r>
      <w:r>
        <w:rPr>
          <w:i/>
        </w:rPr>
        <w:t>La República</w:t>
      </w:r>
      <w:r>
        <w:t xml:space="preserve"> on climate change and women entrepreneurs.</w:t>
      </w:r>
    </w:p>
    <w:p>
      <w:pPr>
        <w:jc w:val="both"/>
      </w:pPr>
      <w:r>
        <w:rPr>
          <w:b/>
        </w:rPr>
        <w:t>Institutional affiliation.</w:t>
      </w:r>
      <w:r>
        <w:t xml:space="preserve"> Both researchers are affiliated with </w:t>
      </w:r>
      <w:r>
        <w:rPr>
          <w:b/>
        </w:rPr>
        <w:t>Universidad del Pacífico</w:t>
      </w:r>
      <w:r>
        <w:t>, a private university in Lima founded in 1956 and specialised in economics, business, and engineering. Its Faculty of Economics is one of the most established economics faculties in Peru and has a long research tradition in international trade, competitiveness, and macroeconomics — the natural institutional home for a study on trade governance and export performance.</w:t>
      </w:r>
    </w:p>
    <w:p>
      <w:pPr>
        <w:jc w:val="both"/>
      </w:pPr>
      <w:r>
        <w:rPr>
          <w:b/>
        </w:rPr>
        <w:t>Why this team is well matched to the project.</w:t>
      </w:r>
      <w:r>
        <w:t xml:space="preserve"> The proposal pairs </w:t>
      </w:r>
      <w:r>
        <w:rPr>
          <w:b/>
        </w:rPr>
        <w:t>economics and trade policy</w:t>
      </w:r>
      <w:r>
        <w:t xml:space="preserve"> (gravity modelling and panel econometrics, backed by senior public-sector experience at Peru's trade ministry MINCETUR, the Ministry of Production and the national competition authority INDECOPI — Cuba Alván) with </w:t>
      </w:r>
      <w:r>
        <w:rPr>
          <w:b/>
        </w:rPr>
        <w:t>industrial engineering and strategic management</w:t>
      </w:r>
      <w:r>
        <w:t xml:space="preserve"> (innovation, sustainability, standards and MSME competitiveness — Larios Francia). This combination is unusually apt for a study on </w:t>
      </w:r>
      <w:r>
        <w:rPr>
          <w:i/>
        </w:rPr>
        <w:t>trade governance</w:t>
      </w:r>
      <w:r>
        <w:t xml:space="preserve">, because governance is not only a macro-level statistical phenomenon — the WGI indicators this project measures — but is also embodied in the </w:t>
      </w:r>
      <w:r>
        <w:rPr>
          <w:b/>
        </w:rPr>
        <w:t>standards, innovation-management systems and ESG criteria</w:t>
      </w:r>
      <w:r>
        <w:t xml:space="preserve"> that determine whether firms, especially MSMEs, can meet the requirements of international value chains. Mr. Cuba Alván's inside experience of trade and industrial policymaking, and Dra. Larios Francia's standardisation work at ISO and INACAL, together give the project both the "governance-as-rules" perspective and the institutional fluency that a purely econometric treatment would miss — and they strengthen the translation of the findings into concrete recommendations on standards, innovation capability and export promotion. For a Peru-focused study, both researchers also bring first-hand familiarity with the institutional context — the governance indicators, the CPTPP commitments, and the export-promotion architecture (PromPerú, Sierra Exportadora) discussed in the policy section.</w:t>
      </w:r>
    </w:p>
    <w:p>
      <w:pPr>
        <w:jc w:val="both"/>
      </w:pPr>
      <w:r>
        <w:rPr>
          <w:i/>
        </w:rPr>
        <w:t>[To confirm before submission: ORCID identifiers for both researchers, if available.]</w:t>
      </w:r>
    </w:p>
    <w:p>
      <w:pPr>
        <w:spacing w:before="280" w:after="40"/>
        <w:shd w:val="clear" w:color="auto" w:fill="1A3050"/>
      </w:pPr>
      <w:r>
        <w:rPr>
          <w:b/>
          <w:color w:val="FFFFFF"/>
          <w:sz w:val="22"/>
        </w:rPr>
        <w:t>2. SYNOPSIS OF THE PROPOSED RESEARCH</w:t>
      </w:r>
    </w:p>
    <w:p>
      <w:pPr>
        <w:spacing w:before="0" w:after="80"/>
        <w:pBdr>
          <w:bottom w:val="single" w:sz="12" w:space="1" w:color="1A3050"/>
        </w:pBdr>
      </w:pPr>
    </w:p>
    <w:p>
      <w:pPr>
        <w:jc w:val="both"/>
      </w:pPr>
      <w:r>
        <w:rPr>
          <w:b/>
        </w:rPr>
        <w:t>Trade-related theme.</w:t>
      </w:r>
      <w:r>
        <w:t xml:space="preserve"> The project sits squarely in </w:t>
      </w:r>
      <w:r>
        <w:rPr>
          <w:b/>
        </w:rPr>
        <w:t>trade governance</w:t>
      </w:r>
      <w:r>
        <w:t xml:space="preserve"> — the Foundation's first priority area. It asks whether the institutional environment of a trading partner is associated with the export performance of Peruvian firms in that market, once the mechanical effects of world demand and product composition are removed. It also connects to </w:t>
      </w:r>
      <w:r>
        <w:rPr>
          <w:b/>
        </w:rPr>
        <w:t>industrial competitiveness and economic development</w:t>
      </w:r>
      <w:r>
        <w:t xml:space="preserve"> (Peru's concentration in primary commodities) and to the trade-governance agenda of the </w:t>
      </w:r>
      <w:r>
        <w:rPr>
          <w:b/>
        </w:rPr>
        <w:t>CPTPP</w:t>
      </w:r>
      <w:r>
        <w:t>, one of the world's largest trade agreements, of which Peru is a founding signatory alongside ten other economies (the United Kingdom acceded in 2023).</w:t>
      </w:r>
    </w:p>
    <w:p>
      <w:pPr>
        <w:jc w:val="both"/>
      </w:pPr>
      <w:r>
        <w:rPr>
          <w:b/>
        </w:rPr>
        <w:t>Context.</w:t>
      </w:r>
      <w:r>
        <w:t xml:space="preserve"> Peru's exports doubled between 2015 and 2024 (US$37.4bn → US$76.8bn), yet the country's average governance score moved in the opposite direction — from −0.02 in 2019 to −0.29 in 2024 on the WGI scale, placing Peru around the 27th percentile globally on control of corruption and the 36th on rule of law. Export performance and institutional quality have thus been diverging, not converging. Did Peru gain real market share — competitiveness — or did it merely ride world demand and a favourable product mix? And is the "real competitiveness" component associated with the governance of its trading partners? The existing literature produces contradictory results that depend critically on research design: large-sample gravity studies find robust positive effects of institutional quality on trade (De Groot et al. 2004; Abreo Villamizar et al. 2021), while small-panel studies do not (Riker 2022).</w:t>
      </w:r>
    </w:p>
    <w:p>
      <w:pPr>
        <w:jc w:val="both"/>
      </w:pPr>
      <w:r>
        <w:rPr>
          <w:b/>
        </w:rPr>
        <w:t>Key research questions (3):</w:t>
      </w:r>
    </w:p>
    <w:p>
      <w:pPr>
        <w:pStyle w:val="ListNumber"/>
      </w:pPr>
      <w:r>
        <w:t>How much of Peru's 2015–2024 export growth comes from world demand, product-mix structure, and real competitiveness, respectively (shift-share decomposition)?</w:t>
      </w:r>
    </w:p>
    <w:p>
      <w:pPr>
        <w:pStyle w:val="ListNumber"/>
      </w:pPr>
      <w:r>
        <w:t>Is the institutional quality of the destination market (Worldwide Governance Indicators) associated with Peru's real export performance and bilateral export volumes — and does the answer change with the statistical design (12-country CPTPP+China panel vs. a world gravity model with 184 partner countries)?</w:t>
      </w:r>
    </w:p>
    <w:p>
      <w:pPr>
        <w:pStyle w:val="ListNumber"/>
      </w:pPr>
      <w:r>
        <w:t>Which of the six WGI dimensions shows the strongest association, and does the association survive endogeneity checks (longer lags, first differences, reverse precedence)?</w:t>
      </w:r>
    </w:p>
    <w:p>
      <w:pPr>
        <w:jc w:val="both"/>
      </w:pPr>
      <w:r>
        <w:rPr>
          <w:b/>
        </w:rPr>
        <w:t>Method — secondary research.</w:t>
      </w:r>
      <w:r>
        <w:t xml:space="preserve"> This is quantitative analysis of existing datasets; no primary data collection is involved. Sources: </w:t>
      </w:r>
      <w:r>
        <w:rPr>
          <w:b/>
        </w:rPr>
        <w:t>BACI/CEPII</w:t>
      </w:r>
      <w:r>
        <w:t xml:space="preserve"> (bilateral trade, HS2, HS4 and HS6, 2015–2024), </w:t>
      </w:r>
      <w:r>
        <w:rPr>
          <w:b/>
        </w:rPr>
        <w:t>World Bank WGI and WDI</w:t>
      </w:r>
      <w:r>
        <w:t xml:space="preserve"> (governance, GDP), </w:t>
      </w:r>
      <w:r>
        <w:rPr>
          <w:b/>
        </w:rPr>
        <w:t>CEPII GeoDist</w:t>
      </w:r>
      <w:r>
        <w:t xml:space="preserve"> (distance, contiguity, language, colonial ties), </w:t>
      </w:r>
      <w:r>
        <w:rPr>
          <w:b/>
        </w:rPr>
        <w:t>CEPII RTA</w:t>
      </w:r>
      <w:r>
        <w:t xml:space="preserve"> (trade agreements), </w:t>
      </w:r>
      <w:r>
        <w:rPr>
          <w:b/>
        </w:rPr>
        <w:t>World Bank country attributes</w:t>
      </w:r>
      <w:r>
        <w:t xml:space="preserve"> (region, income, latitude), and </w:t>
      </w:r>
      <w:r>
        <w:rPr>
          <w:b/>
        </w:rPr>
        <w:t>Nunn's (2007) contract-intensity measure with the Rauch (1999) classification</w:t>
      </w:r>
      <w:r>
        <w:t xml:space="preserve"> mapped to HS6/HS4. Techniques: Balassa RCA, shift-share decomposition (Tyszynski 1951), gravity models (PPML and OLS) with year effects and country-clustered standard errors (Tinbergen 1962; Santos Silva &amp; Tenreyro 2006), product-level gravity with differential exposure and </w:t>
      </w:r>
      <w:r>
        <w:rPr>
          <w:b/>
        </w:rPr>
        <w:t>product × partner fixed effects</w:t>
      </w:r>
      <w:r>
        <w:t>, instrumental variables, double machine learning, Oster's (2019) omitted-variable test, and economic-complexity indices (ECI/PCI).</w:t>
      </w:r>
    </w:p>
    <w:p>
      <w:pPr>
        <w:jc w:val="both"/>
      </w:pPr>
      <w:r>
        <w:rPr>
          <w:b/>
        </w:rPr>
        <w:t>Preliminary results (already computed on real data, October 2026).</w:t>
      </w:r>
      <w:r>
        <w:t xml:space="preserve"> The data pipeline is operational and the main findings exist:</w:t>
      </w:r>
    </w:p>
    <w:p>
      <w:pPr>
        <w:pStyle w:val="ListBullet"/>
      </w:pPr>
      <w:r>
        <w:rPr>
          <w:b/>
        </w:rPr>
        <w:t>Shift-share decomposition, verified to the dollar:</w:t>
      </w:r>
      <w:r>
        <w:t xml:space="preserve"> of Peru's +US$39.4bn export growth, </w:t>
      </w:r>
      <w:r>
        <w:rPr>
          <w:b/>
        </w:rPr>
        <w:t>40% world demand, 19% product structure, 41% real competitiveness</w:t>
      </w:r>
      <w:r>
        <w:t xml:space="preserve"> (+US$16.1bn) — Peru genuinely gained market share.</w:t>
      </w:r>
    </w:p>
    <w:p>
      <w:pPr>
        <w:pStyle w:val="ListBullet"/>
      </w:pPr>
      <w:r>
        <w:rPr>
          <w:b/>
        </w:rPr>
        <w:t>World gravity model (184 partners, 1,496 observations, R² = 0.72):</w:t>
      </w:r>
      <w:r>
        <w:t xml:space="preserve"> lagged WGI is </w:t>
      </w:r>
      <w:r>
        <w:rPr>
          <w:b/>
        </w:rPr>
        <w:t>positive and strongly significant (β = 0.667, p &lt; 0.001)</w:t>
      </w:r>
      <w:r>
        <w:t xml:space="preserve">; all standard gravity controls behave as theory predicts. A one-standard-deviation governance advantage (0.88 WGI points, the SD in the estimation panel) is associated with </w:t>
      </w:r>
      <w:r>
        <w:rPr>
          <w:b/>
        </w:rPr>
        <w:t>~80% higher bilateral exports</w:t>
      </w:r>
      <w:r>
        <w:t xml:space="preserve"> (correct log-level transformation).</w:t>
      </w:r>
    </w:p>
    <w:p>
      <w:pPr>
        <w:pStyle w:val="ListBullet"/>
      </w:pPr>
      <w:r>
        <w:rPr>
          <w:b/>
        </w:rPr>
        <w:t>Design contrast as a methodological finding:</w:t>
      </w:r>
      <w:r>
        <w:t xml:space="preserve"> the same hypothesis tested on the 12-country CPTPP+China panel (N = 108) yields no significant effect — a power problem, not a data problem. This contrast offers a parsimonious explanation for the contradictory results in the literature.</w:t>
      </w:r>
    </w:p>
    <w:p>
      <w:pPr>
        <w:pStyle w:val="ListBullet"/>
      </w:pPr>
      <w:r>
        <w:rPr>
          <w:b/>
        </w:rPr>
        <w:t>All six WGI dimensions individually positive and significant</w:t>
      </w:r>
      <w:r>
        <w:t xml:space="preserve"> in the gravity model; regulatory quality (β = 0.681) and government effectiveness (β = 0.671) are the strongest — the most policy-actionable dimensions for trade facilitation.</w:t>
      </w:r>
    </w:p>
    <w:p>
      <w:pPr>
        <w:pStyle w:val="ListBullet"/>
      </w:pPr>
      <w:r>
        <w:rPr>
          <w:b/>
        </w:rPr>
        <w:t>Honest endogeneity assessment:</w:t>
      </w:r>
      <w:r>
        <w:t xml:space="preserve"> the association survives a t−2 lag but not first differences, and reverse precedence is significant. The white paper will report the finding as a robust </w:t>
      </w:r>
      <w:r>
        <w:rPr>
          <w:b/>
        </w:rPr>
        <w:t>association</w:t>
      </w:r>
      <w:r>
        <w:t xml:space="preserve">, consistent with the literature, and will </w:t>
      </w:r>
      <w:r>
        <w:rPr>
          <w:b/>
        </w:rPr>
        <w:t>not</w:t>
      </w:r>
      <w:r>
        <w:t xml:space="preserve"> claim causality — an honest reporting standard that most comparable studies omit.</w:t>
      </w:r>
    </w:p>
    <w:p>
      <w:pPr>
        <w:pStyle w:val="ListBullet"/>
      </w:pPr>
      <w:r>
        <w:rPr>
          <w:b/>
        </w:rPr>
        <w:t>Extended robustness battery (already computed).</w:t>
      </w:r>
      <w:r>
        <w:t xml:space="preserve"> In levels the association is very stable: it survives a trade-agreement control; instrumental variables — the partner's latitude and its regional (leave-one-out) governance — give a strong first stage (F = 39–67) and a 2SLS coefficient of 0.70–0.96 (p &lt; 0.01), with over-identification caveats (Sargan p = 0.02–0.08); double machine learning gives θ = 0.705 (p &lt; 0.001); all 32 specifications in a specification curve are positive and significant; and Oster's (2019) test yields δ = 2.58 &gt; 1. By contrast, the coefficient </w:t>
      </w:r>
      <w:r>
        <w:rPr>
          <w:b/>
        </w:rPr>
        <w:t>does not survive</w:t>
      </w:r>
      <w:r>
        <w:t xml:space="preserve"> PPML (0.16–0.38, not significant; Gamma PML retains it at 0.696), within-country dynamic-panel estimation, or a </w:t>
      </w:r>
      <w:r>
        <w:rPr>
          <w:b/>
        </w:rPr>
        <w:t>product-level gravity panel</w:t>
      </w:r>
      <w:r>
        <w:t xml:space="preserve"> (HS4, 198,000 observations) where the governance × complexity interaction is negative. A </w:t>
      </w:r>
      <w:r>
        <w:rPr>
          <w:b/>
        </w:rPr>
        <w:t>definitive test of the central hypothesis</w:t>
      </w:r>
      <w:r>
        <w:t xml:space="preserve"> — Nunn's (2007) contract intensity with </w:t>
      </w:r>
      <w:r>
        <w:rPr>
          <w:b/>
        </w:rPr>
        <w:t>product × partner fixed effects</w:t>
      </w:r>
      <w:r>
        <w:t xml:space="preserve"> (HS6 and HS4 panels, 415,000 Peru–partner–product observations) — confirms the pattern: the differential-exposure term (governance × contract intensity) is </w:t>
      </w:r>
      <w:r>
        <w:rPr>
          <w:b/>
        </w:rPr>
        <w:t>not positive in any specification</w:t>
      </w:r>
      <w:r>
        <w:t xml:space="preserve"> and is negative and weakly significant in the highest contract-intensity tercile, so the positive form of the hypothesis is rejected. The evidence is that the signal lives </w:t>
      </w:r>
      <w:r>
        <w:rPr>
          <w:i/>
        </w:rPr>
        <w:t>between</w:t>
      </w:r>
      <w:r>
        <w:t xml:space="preserve"> countries, not within them.</w:t>
      </w:r>
    </w:p>
    <w:p>
      <w:pPr>
        <w:pStyle w:val="ListBullet"/>
      </w:pPr>
      <w:r>
        <w:rPr>
          <w:b/>
        </w:rPr>
        <w:t>No detectable CPTPP effect.</w:t>
      </w:r>
      <w:r>
        <w:t xml:space="preserve"> An event study around CPTPP entry into force for Peru (September 2021) finds no aggregate effect and no pre-trend (coefficient ≈ 0, p = 0.90).</w:t>
      </w:r>
    </w:p>
    <w:p>
      <w:pPr>
        <w:pStyle w:val="ListBullet"/>
      </w:pPr>
      <w:r>
        <w:rPr>
          <w:b/>
        </w:rPr>
        <w:t>Economic complexity.</w:t>
      </w:r>
      <w:r>
        <w:t xml:space="preserve"> Peru's Economic Complexity Index stands at −0.72 (2024), in the lower part of the distribution, and its diversification opportunities lie adjacent to its current natural-resource basket.</w:t>
      </w:r>
    </w:p>
    <w:p>
      <w:pPr>
        <w:jc w:val="both"/>
      </w:pPr>
      <w:r>
        <w:rPr>
          <w:b/>
        </w:rPr>
        <w:t>Policy relevance.</w:t>
      </w:r>
      <w:r>
        <w:t xml:space="preserve"> Findings speak directly to: (i) whether trade-facilitation programs should prioritise regulatory quality and government effectiveness; (ii) how export-promotion agencies (PromPerú-type) should weight institutional diagnosis in partner-market selection; and (iii) the trade-governance debate in CPTPP accession — with the caveat that the study finds </w:t>
      </w:r>
      <w:r>
        <w:rPr>
          <w:b/>
        </w:rPr>
        <w:t>association, not causation</w:t>
      </w:r>
      <w:r>
        <w:t>, and detects no aggregate export effect for Peru from CPTPP entry, so governance chapters are best framed as complements to, not substitutes for, domestic institutional reform.</w:t>
      </w:r>
    </w:p>
    <w:p>
      <w:pPr>
        <w:spacing w:before="280" w:after="40"/>
        <w:shd w:val="clear" w:color="auto" w:fill="1A3050"/>
      </w:pPr>
      <w:r>
        <w:rPr>
          <w:b/>
          <w:color w:val="FFFFFF"/>
          <w:sz w:val="22"/>
        </w:rPr>
        <w:t>3. FORMAT</w:t>
      </w:r>
    </w:p>
    <w:p>
      <w:pPr>
        <w:spacing w:before="0" w:after="80"/>
        <w:pBdr>
          <w:bottom w:val="single" w:sz="12" w:space="1" w:color="1A3050"/>
        </w:pBdr>
      </w:pPr>
    </w:p>
    <w:p>
      <w:pPr>
        <w:jc w:val="both"/>
      </w:pPr>
      <w:r>
        <w:t>The research will be published as:</w:t>
      </w:r>
    </w:p>
    <w:p>
      <w:pPr>
        <w:pStyle w:val="ListBullet"/>
      </w:pPr>
      <w:r>
        <w:rPr>
          <w:b/>
        </w:rPr>
        <w:t>One white paper (~4,000 words)</w:t>
      </w:r>
      <w:r>
        <w:t xml:space="preserve"> — the main deliverable: full methodology, results, and policy recommendations, subject to the Foundation's editorial review.</w:t>
      </w:r>
    </w:p>
    <w:p>
      <w:pPr>
        <w:pStyle w:val="ListBullet"/>
      </w:pPr>
      <w:r>
        <w:rPr>
          <w:b/>
        </w:rPr>
        <w:t>One or two articles (~1,600 words each)</w:t>
      </w:r>
      <w:r>
        <w:t xml:space="preserve"> — plain-language pieces distilling the findings for a policy audience; one will serve as the </w:t>
      </w:r>
      <w:r>
        <w:rPr>
          <w:b/>
        </w:rPr>
        <w:t>interim deliverable</w:t>
      </w:r>
      <w:r>
        <w:t xml:space="preserve"> (month 2, see §4).</w:t>
      </w:r>
    </w:p>
    <w:p>
      <w:pPr>
        <w:jc w:val="both"/>
      </w:pPr>
      <w:r>
        <w:t xml:space="preserve">This is a </w:t>
      </w:r>
      <w:r>
        <w:rPr>
          <w:b/>
        </w:rPr>
        <w:t>new research project</w:t>
      </w:r>
      <w:r>
        <w:t xml:space="preserve"> whose empirical foundation has already been built; the four months of commission will complete the remaining robustness checks, the writing, and the Foundation's editorial process.</w:t>
      </w:r>
    </w:p>
    <w:p>
      <w:pPr>
        <w:spacing w:before="280" w:after="40"/>
        <w:shd w:val="clear" w:color="auto" w:fill="1A3050"/>
      </w:pPr>
      <w:r>
        <w:rPr>
          <w:b/>
          <w:color w:val="FFFFFF"/>
          <w:sz w:val="22"/>
        </w:rPr>
        <w:t>4. DELIVERABLE TIMETABLE</w:t>
      </w:r>
    </w:p>
    <w:p>
      <w:pPr>
        <w:spacing w:before="0" w:after="80"/>
        <w:pBdr>
          <w:bottom w:val="single" w:sz="12" w:space="1" w:color="1A3050"/>
        </w:pBdr>
      </w:pPr>
    </w:p>
    <w:p>
      <w:pPr>
        <w:jc w:val="both"/>
      </w:pPr>
      <w:r>
        <w:t xml:space="preserve">Total duration: </w:t>
      </w:r>
      <w:r>
        <w:rPr>
          <w:b/>
        </w:rPr>
        <w:t>4 months</w:t>
      </w:r>
      <w:r>
        <w:t xml:space="preserve"> from commission, per the Foundation's guidance.</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A3050"/>
          </w:tcPr>
          <w:p>
            <w:pPr>
              <w:spacing w:before="60" w:after="60"/>
            </w:pPr>
            <w:r>
              <w:rPr>
                <w:b/>
                <w:color w:val="FFFFFF"/>
                <w:sz w:val="18"/>
              </w:rPr>
              <w:t>Month</w:t>
            </w:r>
          </w:p>
        </w:tc>
        <w:tc>
          <w:tcPr>
            <w:tcW w:type="dxa" w:w="3024"/>
            <w:shd w:val="clear" w:color="auto" w:fill="1A3050"/>
          </w:tcPr>
          <w:p>
            <w:pPr>
              <w:spacing w:before="60" w:after="60"/>
            </w:pPr>
            <w:r>
              <w:rPr>
                <w:b/>
                <w:color w:val="FFFFFF"/>
                <w:sz w:val="18"/>
              </w:rPr>
              <w:t>Activities</w:t>
            </w:r>
          </w:p>
        </w:tc>
        <w:tc>
          <w:tcPr>
            <w:tcW w:type="dxa" w:w="3024"/>
            <w:shd w:val="clear" w:color="auto" w:fill="1A3050"/>
          </w:tcPr>
          <w:p>
            <w:pPr>
              <w:spacing w:before="60" w:after="60"/>
            </w:pPr>
            <w:r>
              <w:rPr>
                <w:b/>
                <w:color w:val="FFFFFF"/>
                <w:sz w:val="18"/>
              </w:rPr>
              <w:t>Deliverables</w:t>
            </w:r>
          </w:p>
        </w:tc>
      </w:tr>
      <w:tr>
        <w:tc>
          <w:tcPr>
            <w:tcW w:type="dxa" w:w="3024"/>
          </w:tcPr>
          <w:p>
            <w:pPr>
              <w:spacing w:before="60" w:after="60"/>
            </w:pPr>
            <w:r>
              <w:rPr>
                <w:sz w:val="18"/>
              </w:rPr>
              <w:t>1</w:t>
            </w:r>
          </w:p>
        </w:tc>
        <w:tc>
          <w:tcPr>
            <w:tcW w:type="dxa" w:w="3024"/>
          </w:tcPr>
          <w:p>
            <w:pPr>
              <w:spacing w:before="60" w:after="60"/>
            </w:pPr>
            <w:r>
              <w:rPr>
                <w:sz w:val="18"/>
              </w:rPr>
              <w:t>Remaining robustness checks (contract-intensity concordance; additional subsample splits), literature updates, outline</w:t>
            </w:r>
          </w:p>
        </w:tc>
        <w:tc>
          <w:tcPr>
            <w:tcW w:type="dxa" w:w="3024"/>
          </w:tcPr>
          <w:p>
            <w:pPr>
              <w:spacing w:before="60" w:after="60"/>
            </w:pPr>
            <w:r>
              <w:rPr>
                <w:sz w:val="18"/>
              </w:rPr>
              <w:t>Progress report (agreed interval)</w:t>
            </w:r>
          </w:p>
        </w:tc>
      </w:tr>
      <w:tr>
        <w:tc>
          <w:tcPr>
            <w:tcW w:type="dxa" w:w="3024"/>
            <w:shd w:val="clear" w:color="auto" w:fill="F4F6FA"/>
          </w:tcPr>
          <w:p>
            <w:pPr>
              <w:spacing w:before="60" w:after="60"/>
            </w:pPr>
            <w:r>
              <w:rPr>
                <w:sz w:val="18"/>
              </w:rPr>
              <w:t>2</w:t>
            </w:r>
          </w:p>
        </w:tc>
        <w:tc>
          <w:tcPr>
            <w:tcW w:type="dxa" w:w="3024"/>
            <w:shd w:val="clear" w:color="auto" w:fill="F4F6FA"/>
          </w:tcPr>
          <w:p>
            <w:pPr>
              <w:spacing w:before="60" w:after="60"/>
            </w:pPr>
            <w:r>
              <w:rPr>
                <w:sz w:val="18"/>
              </w:rPr>
              <w:t>Draft white paper; internal review</w:t>
            </w:r>
          </w:p>
        </w:tc>
        <w:tc>
          <w:tcPr>
            <w:tcW w:type="dxa" w:w="3024"/>
            <w:shd w:val="clear" w:color="auto" w:fill="F4F6FA"/>
          </w:tcPr>
          <w:p>
            <w:pPr>
              <w:spacing w:before="60" w:after="60"/>
            </w:pPr>
            <w:r>
              <w:rPr>
                <w:b/>
                <w:sz w:val="18"/>
              </w:rPr>
              <w:t>Interim article #1 (~1,600 words)</w:t>
            </w:r>
            <w:r>
              <w:rPr>
                <w:sz w:val="18"/>
              </w:rPr>
              <w:t xml:space="preserve"> summarising preliminary findings</w:t>
            </w:r>
          </w:p>
        </w:tc>
      </w:tr>
      <w:tr>
        <w:tc>
          <w:tcPr>
            <w:tcW w:type="dxa" w:w="3024"/>
          </w:tcPr>
          <w:p>
            <w:pPr>
              <w:spacing w:before="60" w:after="60"/>
            </w:pPr>
            <w:r>
              <w:rPr>
                <w:sz w:val="18"/>
              </w:rPr>
              <w:t>3</w:t>
            </w:r>
          </w:p>
        </w:tc>
        <w:tc>
          <w:tcPr>
            <w:tcW w:type="dxa" w:w="3024"/>
          </w:tcPr>
          <w:p>
            <w:pPr>
              <w:spacing w:before="60" w:after="60"/>
            </w:pPr>
            <w:r>
              <w:rPr>
                <w:sz w:val="18"/>
              </w:rPr>
              <w:t>Full white paper draft to the Foundation's research team; incorporate feedback</w:t>
            </w:r>
          </w:p>
        </w:tc>
        <w:tc>
          <w:tcPr>
            <w:tcW w:type="dxa" w:w="3024"/>
          </w:tcPr>
          <w:p>
            <w:pPr>
              <w:spacing w:before="60" w:after="60"/>
            </w:pPr>
            <w:r>
              <w:rPr>
                <w:b/>
                <w:sz w:val="18"/>
              </w:rPr>
              <w:t>White paper draft (~4,000 words)</w:t>
            </w:r>
          </w:p>
        </w:tc>
      </w:tr>
      <w:tr>
        <w:tc>
          <w:tcPr>
            <w:tcW w:type="dxa" w:w="3024"/>
            <w:shd w:val="clear" w:color="auto" w:fill="F4F6FA"/>
          </w:tcPr>
          <w:p>
            <w:pPr>
              <w:spacing w:before="60" w:after="60"/>
            </w:pPr>
            <w:r>
              <w:rPr>
                <w:sz w:val="18"/>
              </w:rPr>
              <w:t>4</w:t>
            </w:r>
          </w:p>
        </w:tc>
        <w:tc>
          <w:tcPr>
            <w:tcW w:type="dxa" w:w="3024"/>
            <w:shd w:val="clear" w:color="auto" w:fill="F4F6FA"/>
          </w:tcPr>
          <w:p>
            <w:pPr>
              <w:spacing w:before="60" w:after="60"/>
            </w:pPr>
            <w:r>
              <w:rPr>
                <w:sz w:val="18"/>
              </w:rPr>
              <w:t>Revisions from editorial review; final formatting</w:t>
            </w:r>
          </w:p>
        </w:tc>
        <w:tc>
          <w:tcPr>
            <w:tcW w:type="dxa" w:w="3024"/>
            <w:shd w:val="clear" w:color="auto" w:fill="F4F6FA"/>
          </w:tcPr>
          <w:p>
            <w:pPr>
              <w:spacing w:before="60" w:after="60"/>
            </w:pPr>
            <w:r>
              <w:rPr>
                <w:b/>
                <w:sz w:val="18"/>
              </w:rPr>
              <w:t>Final white paper + article #2 (optional)</w:t>
            </w:r>
          </w:p>
        </w:tc>
      </w:tr>
    </w:tbl>
    <w:p>
      <w:pPr>
        <w:spacing w:after="80"/>
      </w:pPr>
    </w:p>
    <w:p>
      <w:pPr>
        <w:jc w:val="both"/>
      </w:pPr>
      <w:r>
        <w:t>The researcher will update the Foundation at mutually agreed regular intervals and will incorporate feedback from the research programme team on progress and findings, as requested in the call.</w:t>
      </w:r>
    </w:p>
    <w:p>
      <w:pPr>
        <w:spacing w:before="280" w:after="40"/>
        <w:shd w:val="clear" w:color="auto" w:fill="1A3050"/>
      </w:pPr>
      <w:r>
        <w:rPr>
          <w:b/>
          <w:color w:val="FFFFFF"/>
          <w:sz w:val="22"/>
        </w:rPr>
        <w:t>5. FUNDING REQUEST</w:t>
      </w:r>
    </w:p>
    <w:p>
      <w:pPr>
        <w:spacing w:before="0" w:after="80"/>
        <w:pBdr>
          <w:bottom w:val="single" w:sz="12" w:space="1" w:color="1A3050"/>
        </w:pBdr>
      </w:pPr>
    </w:p>
    <w:p>
      <w:pPr>
        <w:jc w:val="both"/>
      </w:pPr>
      <w:r>
        <w:t>Funding is negotiable; the request below covers four months of research time and dissemination.</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A3050"/>
          </w:tcPr>
          <w:p>
            <w:pPr>
              <w:spacing w:before="60" w:after="60"/>
            </w:pPr>
            <w:r>
              <w:rPr>
                <w:b/>
                <w:color w:val="FFFFFF"/>
                <w:sz w:val="18"/>
              </w:rPr>
              <w:t>Item</w:t>
            </w:r>
          </w:p>
        </w:tc>
        <w:tc>
          <w:tcPr>
            <w:tcW w:type="dxa" w:w="3024"/>
            <w:shd w:val="clear" w:color="auto" w:fill="1A3050"/>
          </w:tcPr>
          <w:p>
            <w:pPr>
              <w:spacing w:before="60" w:after="60"/>
            </w:pPr>
            <w:r>
              <w:rPr>
                <w:b/>
                <w:color w:val="FFFFFF"/>
                <w:sz w:val="18"/>
              </w:rPr>
              <w:t>Detail</w:t>
            </w:r>
          </w:p>
        </w:tc>
        <w:tc>
          <w:tcPr>
            <w:tcW w:type="dxa" w:w="3024"/>
            <w:shd w:val="clear" w:color="auto" w:fill="1A3050"/>
          </w:tcPr>
          <w:p>
            <w:pPr>
              <w:spacing w:before="60" w:after="60"/>
            </w:pPr>
            <w:r>
              <w:rPr>
                <w:b/>
                <w:color w:val="FFFFFF"/>
                <w:sz w:val="18"/>
              </w:rPr>
              <w:t>Amount (USD)</w:t>
            </w:r>
          </w:p>
        </w:tc>
      </w:tr>
      <w:tr>
        <w:tc>
          <w:tcPr>
            <w:tcW w:type="dxa" w:w="3024"/>
          </w:tcPr>
          <w:p>
            <w:pPr>
              <w:spacing w:before="60" w:after="60"/>
            </w:pPr>
            <w:r>
              <w:rPr>
                <w:sz w:val="18"/>
              </w:rPr>
              <w:t>Principal researcher</w:t>
            </w:r>
          </w:p>
        </w:tc>
        <w:tc>
          <w:tcPr>
            <w:tcW w:type="dxa" w:w="3024"/>
          </w:tcPr>
          <w:p>
            <w:pPr>
              <w:spacing w:before="60" w:after="60"/>
            </w:pPr>
            <w:r>
              <w:rPr>
                <w:sz w:val="18"/>
              </w:rPr>
              <w:t>Mg. Ricardo Antonio Cuba Alván — 4 months part-time analysis and writing</w:t>
            </w:r>
          </w:p>
        </w:tc>
        <w:tc>
          <w:tcPr>
            <w:tcW w:type="dxa" w:w="3024"/>
          </w:tcPr>
          <w:p>
            <w:pPr>
              <w:spacing w:before="60" w:after="60"/>
            </w:pPr>
            <w:r>
              <w:rPr>
                <w:sz w:val="18"/>
              </w:rPr>
              <w:t>4,800</w:t>
            </w:r>
          </w:p>
        </w:tc>
      </w:tr>
      <w:tr>
        <w:tc>
          <w:tcPr>
            <w:tcW w:type="dxa" w:w="3024"/>
            <w:shd w:val="clear" w:color="auto" w:fill="F4F6FA"/>
          </w:tcPr>
          <w:p>
            <w:pPr>
              <w:spacing w:before="60" w:after="60"/>
            </w:pPr>
            <w:r>
              <w:rPr>
                <w:sz w:val="18"/>
              </w:rPr>
              <w:t>Co-researcher / supervision</w:t>
            </w:r>
          </w:p>
        </w:tc>
        <w:tc>
          <w:tcPr>
            <w:tcW w:type="dxa" w:w="3024"/>
            <w:shd w:val="clear" w:color="auto" w:fill="F4F6FA"/>
          </w:tcPr>
          <w:p>
            <w:pPr>
              <w:spacing w:before="60" w:after="60"/>
            </w:pPr>
            <w:r>
              <w:rPr>
                <w:sz w:val="18"/>
              </w:rPr>
              <w:t>Dra. Rosa Patricia Larios Francia — theoretical supervision, review of findings, editorial guidance, and the standards/innovation/ESG policy lens</w:t>
            </w:r>
          </w:p>
        </w:tc>
        <w:tc>
          <w:tcPr>
            <w:tcW w:type="dxa" w:w="3024"/>
            <w:shd w:val="clear" w:color="auto" w:fill="F4F6FA"/>
          </w:tcPr>
          <w:p>
            <w:pPr>
              <w:spacing w:before="60" w:after="60"/>
            </w:pPr>
            <w:r>
              <w:rPr>
                <w:sz w:val="18"/>
              </w:rPr>
              <w:t>1,200</w:t>
            </w:r>
          </w:p>
        </w:tc>
      </w:tr>
      <w:tr>
        <w:tc>
          <w:tcPr>
            <w:tcW w:type="dxa" w:w="3024"/>
          </w:tcPr>
          <w:p>
            <w:pPr>
              <w:spacing w:before="60" w:after="60"/>
            </w:pPr>
            <w:r>
              <w:rPr>
                <w:sz w:val="18"/>
              </w:rPr>
              <w:t>English copy-editing</w:t>
            </w:r>
          </w:p>
        </w:tc>
        <w:tc>
          <w:tcPr>
            <w:tcW w:type="dxa" w:w="3024"/>
          </w:tcPr>
          <w:p>
            <w:pPr>
              <w:spacing w:before="60" w:after="60"/>
            </w:pPr>
            <w:r>
              <w:rPr>
                <w:sz w:val="18"/>
              </w:rPr>
              <w:t>White paper and articles</w:t>
            </w:r>
          </w:p>
        </w:tc>
        <w:tc>
          <w:tcPr>
            <w:tcW w:type="dxa" w:w="3024"/>
          </w:tcPr>
          <w:p>
            <w:pPr>
              <w:spacing w:before="60" w:after="60"/>
            </w:pPr>
            <w:r>
              <w:rPr>
                <w:sz w:val="18"/>
              </w:rPr>
              <w:t>400</w:t>
            </w:r>
          </w:p>
        </w:tc>
      </w:tr>
      <w:tr>
        <w:tc>
          <w:tcPr>
            <w:tcW w:type="dxa" w:w="3024"/>
            <w:shd w:val="clear" w:color="auto" w:fill="F4F6FA"/>
          </w:tcPr>
          <w:p>
            <w:pPr>
              <w:spacing w:before="60" w:after="60"/>
            </w:pPr>
            <w:r>
              <w:rPr>
                <w:b/>
                <w:sz w:val="18"/>
              </w:rPr>
              <w:t>Total requested</w:t>
            </w:r>
          </w:p>
        </w:tc>
        <w:tc>
          <w:tcPr>
            <w:tcW w:type="dxa" w:w="3024"/>
            <w:shd w:val="clear" w:color="auto" w:fill="F4F6FA"/>
          </w:tcPr>
          <w:p>
            <w:pPr>
              <w:spacing w:before="60" w:after="60"/>
            </w:pPr>
          </w:p>
        </w:tc>
        <w:tc>
          <w:tcPr>
            <w:tcW w:type="dxa" w:w="3024"/>
            <w:shd w:val="clear" w:color="auto" w:fill="F4F6FA"/>
          </w:tcPr>
          <w:p>
            <w:pPr>
              <w:spacing w:before="60" w:after="60"/>
            </w:pPr>
            <w:r>
              <w:rPr>
                <w:b/>
                <w:sz w:val="18"/>
              </w:rPr>
              <w:t>6,400</w:t>
            </w:r>
          </w:p>
        </w:tc>
      </w:tr>
    </w:tbl>
    <w:p>
      <w:pPr>
        <w:spacing w:after="80"/>
      </w:pPr>
    </w:p>
    <w:p>
      <w:pPr>
        <w:jc w:val="both"/>
      </w:pPr>
      <w:r>
        <w:t>Payment schedule per the call: at completion of the project. All datasets used are either open (BACI/CEPII, WGI/WDI, GeoDist) or already secured; no further data purchase is required.</w:t>
      </w:r>
    </w:p>
    <w:p>
      <w:pPr>
        <w:spacing w:before="200" w:after="60"/>
      </w:pPr>
      <w:r>
        <w:rPr>
          <w:b/>
          <w:color w:val="1A3050"/>
          <w:sz w:val="22"/>
        </w:rPr>
        <w:t>References (selected)</w:t>
      </w:r>
    </w:p>
    <w:p>
      <w:pPr>
        <w:jc w:val="both"/>
      </w:pPr>
      <w:r>
        <w:t xml:space="preserve">Abreo Villamizar, M. C., Bustillo, R. E., &amp; Rodríguez González, C. M. (2021). Institutional Quality and Export Performance. </w:t>
      </w:r>
      <w:r>
        <w:rPr>
          <w:i/>
        </w:rPr>
        <w:t>Journal of Economic Structures</w:t>
      </w:r>
      <w:r>
        <w:t>, 10:28.</w:t>
      </w:r>
    </w:p>
    <w:p>
      <w:pPr>
        <w:jc w:val="both"/>
      </w:pPr>
      <w:r>
        <w:t xml:space="preserve">Anderson, J. E., &amp; Van Wincoop, E. (2003). Gravity with Gravitas. </w:t>
      </w:r>
      <w:r>
        <w:rPr>
          <w:i/>
        </w:rPr>
        <w:t>American Economic Review</w:t>
      </w:r>
      <w:r>
        <w:t>, 93(1), 170–192.</w:t>
      </w:r>
    </w:p>
    <w:p>
      <w:pPr>
        <w:jc w:val="both"/>
      </w:pPr>
      <w:r>
        <w:t xml:space="preserve">De Groot, H. L. F., et al. (2004). The Institutional Determinants of Bilateral Trade Flows. </w:t>
      </w:r>
      <w:r>
        <w:rPr>
          <w:i/>
        </w:rPr>
        <w:t>International Review of Economics &amp; Finance</w:t>
      </w:r>
      <w:r>
        <w:t>, 13(3), 217–232.</w:t>
      </w:r>
    </w:p>
    <w:p>
      <w:pPr>
        <w:jc w:val="both"/>
      </w:pPr>
      <w:r>
        <w:t xml:space="preserve">Riker, D. H. (2022). Institutional Quality and Bilateral Trade. </w:t>
      </w:r>
      <w:r>
        <w:rPr>
          <w:i/>
        </w:rPr>
        <w:t>USITC Working Paper</w:t>
      </w:r>
      <w:r>
        <w:t xml:space="preserve"> 2022-10-A.</w:t>
      </w:r>
    </w:p>
    <w:p>
      <w:pPr>
        <w:jc w:val="both"/>
      </w:pPr>
      <w:r>
        <w:t xml:space="preserve">Santos Silva, J., &amp; Tenreyro, S. (2006). The Log of Gravity. </w:t>
      </w:r>
      <w:r>
        <w:rPr>
          <w:i/>
        </w:rPr>
        <w:t>Review of Economics and Statistics</w:t>
      </w:r>
      <w:r>
        <w:t>, 88(4), 641–658.</w:t>
      </w:r>
    </w:p>
    <w:p>
      <w:pPr>
        <w:jc w:val="both"/>
      </w:pPr>
      <w:r>
        <w:t xml:space="preserve">Tinbergen, J. (1962). </w:t>
      </w:r>
      <w:r>
        <w:rPr>
          <w:i/>
        </w:rPr>
        <w:t>Shaping the World Economy</w:t>
      </w:r>
      <w:r>
        <w:t>. Twentieth Century Fund.</w:t>
      </w:r>
    </w:p>
    <w:p>
      <w:pPr>
        <w:jc w:val="both"/>
      </w:pPr>
      <w:r>
        <w:t xml:space="preserve">Tyszynski, H. (1951). World Trade in Manufactured Commodities. </w:t>
      </w:r>
      <w:r>
        <w:rPr>
          <w:i/>
        </w:rPr>
        <w:t>Manchester School</w:t>
      </w:r>
      <w:r>
        <w:t>, 19(3), 271–304.</w:t>
      </w:r>
    </w:p>
    <w:p>
      <w:pPr>
        <w:jc w:val="both"/>
      </w:pPr>
      <w:r>
        <w:rPr>
          <w:i/>
        </w:rPr>
        <w:t>Submitted via the Foundation's research application form. The authors have reviewed the application guidelines and accept the Foundation's editorial review and publication terms.</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