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Propuesta de valor: CLI Market para Caja Municipal Trujillo</w:t>
      </w:r>
    </w:p>
    <w:p>
      <w:pPr>
        <w:jc w:val="center"/>
      </w:pPr>
      <w:r>
        <w:rPr>
          <w:color w:val="555555"/>
          <w:sz w:val="20"/>
        </w:rPr>
        <w:t>SINAPSIS INNOVADORA S.A.C. / CLI Market · julio 2026</w:t>
        <w:br/>
        <w:t>Destinatario: Caja Municipal de Ahorro y Crédito de Trujillo S.A.</w:t>
      </w:r>
    </w:p>
    <w:p>
      <w:pPr>
        <w:pStyle w:val="Heading1"/>
      </w:pPr>
      <w:r>
        <w:t>1. Resumen ejecutivo</w:t>
      </w:r>
    </w:p>
    <w:p>
      <w:r>
        <w:t>CMT expande al norte peruano con dos desafíos: evaluar solvencia en segmentos sin historial crediticio tradicional y anticipar deterioro de capacidad de pago cuando el costo de vida sube más rápido que los ingresos.</w:t>
      </w:r>
    </w:p>
    <w:p>
      <w:r>
        <w:t>CLI Market no es un buró ni reemplaza el motor interno de CMT. Es una capa de señales alternativas de consumo sobre precios reales de góndola, actualizados cada 4 horas, expuestas vía API REST y webhooks en Fly.io (cli-market-api.fly.dev).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Capacidad</w:t>
            </w:r>
          </w:p>
        </w:tc>
        <w:tc>
          <w:tcPr>
            <w:tcW w:type="dxa" w:w="4320"/>
          </w:tcPr>
          <w:p>
            <w:r>
              <w:t>Qué aporta a CMT</w:t>
            </w:r>
          </w:p>
        </w:tc>
      </w:tr>
      <w:tr>
        <w:tc>
          <w:tcPr>
            <w:tcW w:type="dxa" w:w="4320"/>
          </w:tcPr>
          <w:p>
            <w:r>
              <w:t>Scores compuestos</w:t>
            </w:r>
          </w:p>
        </w:tc>
        <w:tc>
          <w:tcPr>
            <w:tcW w:type="dxa" w:w="4320"/>
          </w:tcPr>
          <w:p>
            <w:r>
              <w:t>Variables para scoring alternativo (estrés, fairness, labor_stress…)</w:t>
            </w:r>
          </w:p>
        </w:tc>
      </w:tr>
      <w:tr>
        <w:tc>
          <w:tcPr>
            <w:tcW w:type="dxa" w:w="4320"/>
          </w:tcPr>
          <w:p>
            <w:r>
              <w:t>Índice estrés canasta</w:t>
            </w:r>
          </w:p>
        </w:tc>
        <w:tc>
          <w:tcPr>
            <w:tcW w:type="dxa" w:w="4320"/>
          </w:tcPr>
          <w:p>
            <w:r>
              <w:t>Proxy de capacidad de pago residual por región</w:t>
            </w:r>
          </w:p>
        </w:tc>
      </w:tr>
      <w:tr>
        <w:tc>
          <w:tcPr>
            <w:tcW w:type="dxa" w:w="4320"/>
          </w:tcPr>
          <w:p>
            <w:r>
              <w:t>Motor de alertas + cooldown</w:t>
            </w:r>
          </w:p>
        </w:tc>
        <w:tc>
          <w:tcPr>
            <w:tcW w:type="dxa" w:w="4320"/>
          </w:tcPr>
          <w:p>
            <w:r>
              <w:t>Early warning cuando precios críticos se mueven</w:t>
            </w:r>
          </w:p>
        </w:tc>
      </w:tr>
      <w:tr>
        <w:tc>
          <w:tcPr>
            <w:tcW w:type="dxa" w:w="4320"/>
          </w:tcPr>
          <w:p>
            <w:r>
              <w:t>API + webhooks Enterprise</w:t>
            </w:r>
          </w:p>
        </w:tc>
        <w:tc>
          <w:tcPr>
            <w:tcW w:type="dxa" w:w="4320"/>
          </w:tcPr>
          <w:p>
            <w:r>
              <w:t>Integración al core de riesgo y cobranzas</w:t>
            </w:r>
          </w:p>
        </w:tc>
      </w:tr>
    </w:tbl>
    <w:p>
      <w:r>
        <w:t>Tesis: el scoring tradicional mira el pasado; CLI Market mira el presente económico del deudor — cuánto cuesta vivir y operar hoy en Trujillo, Chiclayo o Piura.</w:t>
      </w:r>
    </w:p>
    <w:p>
      <w:pPr>
        <w:pStyle w:val="Heading1"/>
      </w:pPr>
      <w:r>
        <w:t>2. Scoring crediticio alternativo</w:t>
      </w:r>
    </w:p>
    <w:p>
      <w:r>
        <w:t>Variables candidatas para el motor de CMT (endpoints en producción Fly.io):</w:t>
      </w:r>
    </w:p>
    <w:p>
      <w:pPr>
        <w:pStyle w:val="ListBullet"/>
      </w:pPr>
      <w:r>
        <w:t>basket_stress_index — GET /v1/intel/basket-stress?country=PE (&gt;105 estrés elevado)</w:t>
      </w:r>
    </w:p>
    <w:p>
      <w:pPr>
        <w:pStyle w:val="ListBullet"/>
      </w:pPr>
      <w:r>
        <w:t>Scores compuestos — GET /v1/intel/scores?country=PE (fairness, stress, aggression, labor_stress…)</w:t>
      </w:r>
    </w:p>
    <w:p>
      <w:pPr>
        <w:pStyle w:val="ListBullet"/>
      </w:pPr>
      <w:r>
        <w:t>Momentum subcategorías — GET /v1/intel/enrichment/subcategories?country=PE</w:t>
      </w:r>
    </w:p>
    <w:p>
      <w:pPr>
        <w:pStyle w:val="ListBullet"/>
      </w:pPr>
      <w:r>
        <w:t>Dispersión de precios — GET /v1/dispersion</w:t>
      </w:r>
    </w:p>
    <w:p>
      <w:pPr>
        <w:pStyle w:val="ListBullet"/>
      </w:pPr>
      <w:r>
        <w:t>Canasta comparativa — GET /v1/basket (regla de affordability)</w:t>
      </w:r>
    </w:p>
    <w:p>
      <w:pPr>
        <w:pStyle w:val="ListBullet"/>
      </w:pPr>
      <w:r>
        <w:t>Vista consolidada — GET /v1/intel/brief?country=PE (pre-score &lt;500ms con cache)</w:t>
      </w:r>
    </w:p>
    <w:p>
      <w:r>
        <w:t>Disclaimer: señales de mercado minorista. No sustituyen índices INEI ni modelos SBS. Variables complementarias con definición, timestamp y fuente auditables.</w:t>
      </w:r>
    </w:p>
    <w:p>
      <w:pPr>
        <w:pStyle w:val="Heading1"/>
      </w:pPr>
      <w:r>
        <w:t>3. Motor de alertas con temporizador</w:t>
      </w:r>
    </w:p>
    <w:p>
      <w:r>
        <w:t>Evaluación automática tras cada ciclo del collector (4h). Condiciones: price_jump, price_drop, price_min_30d, dispersion_anomaly. Cooldown configurable 1–720 horas.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Alerta</w:t>
            </w:r>
          </w:p>
        </w:tc>
        <w:tc>
          <w:tcPr>
            <w:tcW w:type="dxa" w:w="2160"/>
          </w:tcPr>
          <w:p>
            <w:r>
              <w:t>Condición</w:t>
            </w:r>
          </w:p>
        </w:tc>
        <w:tc>
          <w:tcPr>
            <w:tcW w:type="dxa" w:w="2160"/>
          </w:tcPr>
          <w:p>
            <w:r>
              <w:t>Cooldown</w:t>
            </w:r>
          </w:p>
        </w:tc>
        <w:tc>
          <w:tcPr>
            <w:tcW w:type="dxa" w:w="2160"/>
          </w:tcPr>
          <w:p>
            <w:r>
              <w:t>Acción CMT</w:t>
            </w:r>
          </w:p>
        </w:tc>
      </w:tr>
      <w:tr>
        <w:tc>
          <w:tcPr>
            <w:tcW w:type="dxa" w:w="2160"/>
          </w:tcPr>
          <w:p>
            <w:r>
              <w:t>Shock canasta</w:t>
            </w:r>
          </w:p>
        </w:tc>
        <w:tc>
          <w:tcPr>
            <w:tcW w:type="dxa" w:w="2160"/>
          </w:tcPr>
          <w:p>
            <w:r>
              <w:t>price_jump staples</w:t>
            </w:r>
          </w:p>
        </w:tc>
        <w:tc>
          <w:tcPr>
            <w:tcW w:type="dxa" w:w="2160"/>
          </w:tcPr>
          <w:p>
            <w:r>
              <w:t>48h</w:t>
            </w:r>
          </w:p>
        </w:tc>
        <w:tc>
          <w:tcPr>
            <w:tcW w:type="dxa" w:w="2160"/>
          </w:tcPr>
          <w:p>
            <w:r>
              <w:t>Comité de riesgo</w:t>
            </w:r>
          </w:p>
        </w:tc>
      </w:tr>
      <w:tr>
        <w:tc>
          <w:tcPr>
            <w:tcW w:type="dxa" w:w="2160"/>
          </w:tcPr>
          <w:p>
            <w:r>
              <w:t>Alivio precios</w:t>
            </w:r>
          </w:p>
        </w:tc>
        <w:tc>
          <w:tcPr>
            <w:tcW w:type="dxa" w:w="2160"/>
          </w:tcPr>
          <w:p>
            <w:r>
              <w:t>price_drop</w:t>
            </w:r>
          </w:p>
        </w:tc>
        <w:tc>
          <w:tcPr>
            <w:tcW w:type="dxa" w:w="2160"/>
          </w:tcPr>
          <w:p>
            <w:r>
              <w:t>72h</w:t>
            </w:r>
          </w:p>
        </w:tc>
        <w:tc>
          <w:tcPr>
            <w:tcW w:type="dxa" w:w="2160"/>
          </w:tcPr>
          <w:p>
            <w:r>
              <w:t>Campaña originación</w:t>
            </w:r>
          </w:p>
        </w:tc>
      </w:tr>
      <w:tr>
        <w:tc>
          <w:tcPr>
            <w:tcW w:type="dxa" w:w="2160"/>
          </w:tcPr>
          <w:p>
            <w:r>
              <w:t>Mínimo 30d</w:t>
            </w:r>
          </w:p>
        </w:tc>
        <w:tc>
          <w:tcPr>
            <w:tcW w:type="dxa" w:w="2160"/>
          </w:tcPr>
          <w:p>
            <w:r>
              <w:t>price_min_30d</w:t>
            </w:r>
          </w:p>
        </w:tc>
        <w:tc>
          <w:tcPr>
            <w:tcW w:type="dxa" w:w="2160"/>
          </w:tcPr>
          <w:p>
            <w:r>
              <w:t>168h</w:t>
            </w:r>
          </w:p>
        </w:tc>
        <w:tc>
          <w:tcPr>
            <w:tcW w:type="dxa" w:w="2160"/>
          </w:tcPr>
          <w:p>
            <w:r>
              <w:t>Comunicación MYPE</w:t>
            </w:r>
          </w:p>
        </w:tc>
      </w:tr>
      <w:tr>
        <w:tc>
          <w:tcPr>
            <w:tcW w:type="dxa" w:w="2160"/>
          </w:tcPr>
          <w:p>
            <w:r>
              <w:t>Anomalía mercado</w:t>
            </w:r>
          </w:p>
        </w:tc>
        <w:tc>
          <w:tcPr>
            <w:tcW w:type="dxa" w:w="2160"/>
          </w:tcPr>
          <w:p>
            <w:r>
              <w:t>dispersion_anomaly</w:t>
            </w:r>
          </w:p>
        </w:tc>
        <w:tc>
          <w:tcPr>
            <w:tcW w:type="dxa" w:w="2160"/>
          </w:tcPr>
          <w:p>
            <w:r>
              <w:t>24h</w:t>
            </w:r>
          </w:p>
        </w:tc>
        <w:tc>
          <w:tcPr>
            <w:tcW w:type="dxa" w:w="2160"/>
          </w:tcPr>
          <w:p>
            <w:r>
              <w:t>Abastecimiento norte</w:t>
            </w:r>
          </w:p>
        </w:tc>
      </w:tr>
      <w:tr>
        <w:tc>
          <w:tcPr>
            <w:tcW w:type="dxa" w:w="2160"/>
          </w:tcPr>
          <w:p>
            <w:r>
              <w:t>Estrés canasta</w:t>
            </w:r>
          </w:p>
        </w:tc>
        <w:tc>
          <w:tcPr>
            <w:tcW w:type="dxa" w:w="2160"/>
          </w:tcPr>
          <w:p>
            <w:r>
              <w:t>basket_stress &gt; 105</w:t>
            </w:r>
          </w:p>
        </w:tc>
        <w:tc>
          <w:tcPr>
            <w:tcW w:type="dxa" w:w="2160"/>
          </w:tcPr>
          <w:p>
            <w:r>
              <w:t>24h</w:t>
            </w:r>
          </w:p>
        </w:tc>
        <w:tc>
          <w:tcPr>
            <w:tcW w:type="dxa" w:w="2160"/>
          </w:tcPr>
          <w:p>
            <w:r>
              <w:t>Ajuste provisiones</w:t>
            </w:r>
          </w:p>
        </w:tc>
      </w:tr>
    </w:tbl>
    <w:p>
      <w:pPr>
        <w:pStyle w:val="Heading1"/>
      </w:pPr>
      <w:r>
        <w:t>4. Piloto 90 días</w:t>
      </w:r>
    </w:p>
    <w:p>
      <w:pPr>
        <w:pStyle w:val="ListNumber"/>
      </w:pPr>
      <w:r>
        <w:t>Fase 1 (sem 1–2): Workshop Riesgo + TI, 5 alertas piloto</w:t>
      </w:r>
    </w:p>
    <w:p>
      <w:pPr>
        <w:pStyle w:val="ListNumber"/>
      </w:pPr>
      <w:r>
        <w:t>Fase 2 (sem 3–6): Webhook UAT + ingestión sandbox scoring</w:t>
      </w:r>
    </w:p>
    <w:p>
      <w:pPr>
        <w:pStyle w:val="ListNumber"/>
      </w:pPr>
      <w:r>
        <w:t>Fase 3 (sem 7–10): Backtest basket_stress vs. mora La Libertad</w:t>
      </w:r>
    </w:p>
    <w:p>
      <w:pPr>
        <w:pStyle w:val="ListNumber"/>
      </w:pPr>
      <w:r>
        <w:t>Fase 4 (sem 11–12): Informe Go/No-Go + roll-out norte</w:t>
      </w:r>
    </w:p>
    <w:p>
      <w:r>
        <w:t>KPIs: +3–5 pts KS · reacción shocks &lt;24h · &gt;70% alertas accionables · SLA 99.5%</w:t>
      </w:r>
    </w:p>
    <w:p>
      <w:pPr>
        <w:pStyle w:val="Heading1"/>
      </w:pPr>
      <w:r>
        <w:t>5. Demo en reunión</w:t>
      </w:r>
    </w:p>
    <w:p>
      <w:r>
        <w:t>Comandos (API base: cli-market-api.fly.dev):</w:t>
      </w:r>
    </w:p>
    <w:p>
      <w:r>
        <w:rPr>
          <w:rFonts w:ascii="Consolas" w:hAnsi="Consolas"/>
        </w:rPr>
        <w:t>market scores -c PE</w:t>
        <w:br/>
        <w:t>market indicators --refresh -c PE</w:t>
        <w:br/>
        <w:t>curl -H "Authorization: Bearer $KEY" "https://cli-market-api.fly.dev/v1/intel/brief?country=PE"</w:t>
      </w:r>
    </w:p>
    <w:p>
      <w:pPr>
        <w:pStyle w:val="Heading1"/>
      </w:pPr>
      <w:r>
        <w:t>6. Próximos pasos</w:t>
      </w:r>
    </w:p>
    <w:p>
      <w:pPr>
        <w:pStyle w:val="ListNumber"/>
      </w:pPr>
      <w:r>
        <w:t>Reunión 45 min — demo scores + alerta + brief</w:t>
      </w:r>
    </w:p>
    <w:p>
      <w:pPr>
        <w:pStyle w:val="ListNumber"/>
      </w:pPr>
      <w:r>
        <w:t>NDA bilateral para backtest con mora anonimizada</w:t>
      </w:r>
    </w:p>
    <w:p>
      <w:pPr>
        <w:pStyle w:val="ListNumber"/>
      </w:pPr>
      <w:r>
        <w:t>POC técnico 2 semanas (plan Pro)</w:t>
      </w:r>
    </w:p>
    <w:p>
      <w:pPr>
        <w:pStyle w:val="ListNumber"/>
      </w:pPr>
      <w:r>
        <w:t>Propuesta Enterprise tras Fase 3</w:t>
      </w:r>
    </w:p>
    <w:p>
      <w:r>
        <w:t>Contacto: cli-market.dev · API docs: https://cli-market-api.fly.dev/docs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SINAPSIS INNOVADORA S.A.C. · https://cli-market-api.fly.dev/docs ·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CLI Market × Caja Municipal Trujillo — Propuesta completa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65A8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65A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65A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