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40"/>
        <w:jc w:val="center"/>
      </w:pPr>
      <w:r>
        <w:rPr>
          <w:rFonts w:ascii="Arial" w:cs="Arial" w:eastAsia="Arial" w:hAnsi="Arial"/>
          <w:b/>
          <w:bCs/>
          <w:caps/>
          <w:color w:val="1B3A5C"/>
          <w:sz w:val="44"/>
          <w:szCs w:val="44"/>
        </w:rPr>
        <w:t xml:space="preserve">INFORME TÉCNICO SITUACIONAL</w:t>
      </w:r>
    </w:p>
    <w:p>
      <w:pPr>
        <w:spacing w:before="0" w:after="40"/>
        <w:jc w:val="center"/>
      </w:pPr>
      <w:r>
        <w:rPr>
          <w:rFonts w:ascii="Arial" w:cs="Arial" w:eastAsia="Arial" w:hAnsi="Arial"/>
          <w:color w:val="1A6B3A"/>
          <w:sz w:val="26"/>
          <w:szCs w:val="26"/>
        </w:rPr>
        <w:t xml:space="preserve">EWA ML Pipeline — Versión 2 · Plan de Acción Integrado</w:t>
      </w:r>
    </w:p>
    <w:p>
      <w:pPr>
        <w:pBdr>
          <w:bottom w:val="single" w:color="1A6B3A" w:sz="6" w:space="8"/>
        </w:pBdr>
        <w:spacing w:before="0" w:after="80"/>
        <w:jc w:val="center"/>
      </w:pPr>
      <w:r>
        <w:rPr>
          <w:rFonts w:ascii="Arial" w:cs="Arial" w:eastAsia="Arial" w:hAnsi="Arial"/>
          <w:i/>
          <w:iCs/>
          <w:color w:val="595959"/>
          <w:sz w:val="22"/>
          <w:szCs w:val="22"/>
        </w:rPr>
        <w:t xml:space="preserve">Análisis de incorporación de recomendaciones técnicas · Sprint 2 actualizado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0" w:sz="1"/>
              <w:left w:val="single" w:color="BBCFE0" w:sz="1"/>
              <w:bottom w:val="single" w:color="BBCFE0" w:sz="1"/>
              <w:right w:val="single" w:color="BBCFE0" w:sz="1"/>
            </w:tcBorders>
            <w:shd w:fill="D5F0DC" w:val="clear"/>
            <w:tcMar>
              <w:top w:type="dxa" w:w="120"/>
              <w:left w:type="dxa" w:w="140"/>
              <w:bottom w:type="dxa" w:w="120"/>
              <w:right w:type="dxa" w:w="80"/>
            </w:tcMar>
          </w:tcPr>
          <w:p>
            <w:r>
              <w:rPr>
                <w:rFonts w:ascii="Arial" w:cs="Arial" w:eastAsia="Arial" w:hAnsi="Arial"/>
                <w:color w:val="595959"/>
                <w:sz w:val="17"/>
                <w:szCs w:val="17"/>
              </w:rPr>
              <w:t xml:space="preserve">Versión</w:t>
            </w:r>
          </w:p>
          <w:p>
            <w:r>
              <w:rPr>
                <w:rFonts w:ascii="Arial" w:cs="Arial" w:eastAsia="Arial" w:hAnsi="Arial"/>
                <w:b/>
                <w:bCs/>
                <w:color w:val="1A1A2E"/>
                <w:sz w:val="20"/>
                <w:szCs w:val="20"/>
              </w:rPr>
              <w:t xml:space="preserve">v2.0 — Notebook actualizado</w:t>
            </w:r>
          </w:p>
        </w:tc>
        <w:tc>
          <w:tcPr>
            <w:tcW w:type="dxa" w:w="2340"/>
            <w:tcBorders>
              <w:top w:val="single" w:color="BBCFE0" w:sz="1"/>
              <w:left w:val="single" w:color="BBCFE0" w:sz="1"/>
              <w:bottom w:val="single" w:color="BBCFE0" w:sz="1"/>
              <w:right w:val="single" w:color="BBCFE0" w:sz="1"/>
            </w:tcBorders>
            <w:shd w:fill="D5F0DC" w:val="clear"/>
            <w:tcMar>
              <w:top w:type="dxa" w:w="120"/>
              <w:left w:type="dxa" w:w="140"/>
              <w:bottom w:type="dxa" w:w="120"/>
              <w:right w:type="dxa" w:w="80"/>
            </w:tcMar>
          </w:tcPr>
          <w:p>
            <w:r>
              <w:rPr>
                <w:rFonts w:ascii="Arial" w:cs="Arial" w:eastAsia="Arial" w:hAnsi="Arial"/>
                <w:color w:val="595959"/>
                <w:sz w:val="17"/>
                <w:szCs w:val="17"/>
              </w:rPr>
              <w:t xml:space="preserve">Base</w:t>
            </w:r>
          </w:p>
          <w:p>
            <w:r>
              <w:rPr>
                <w:rFonts w:ascii="Arial" w:cs="Arial" w:eastAsia="Arial" w:hAnsi="Arial"/>
                <w:b/>
                <w:bCs/>
                <w:color w:val="1A1A2E"/>
                <w:sz w:val="20"/>
                <w:szCs w:val="20"/>
              </w:rPr>
              <w:t xml:space="preserve">5 modelos ML · datos sintéticos</w:t>
            </w:r>
          </w:p>
        </w:tc>
        <w:tc>
          <w:tcPr>
            <w:tcW w:type="dxa" w:w="2340"/>
            <w:tcBorders>
              <w:top w:val="single" w:color="BBCFE0" w:sz="1"/>
              <w:left w:val="single" w:color="BBCFE0" w:sz="1"/>
              <w:bottom w:val="single" w:color="BBCFE0" w:sz="1"/>
              <w:right w:val="single" w:color="BBCFE0" w:sz="1"/>
            </w:tcBorders>
            <w:shd w:fill="D5F0DC" w:val="clear"/>
            <w:tcMar>
              <w:top w:type="dxa" w:w="120"/>
              <w:left w:type="dxa" w:w="140"/>
              <w:bottom w:type="dxa" w:w="120"/>
              <w:right w:type="dxa" w:w="80"/>
            </w:tcMar>
          </w:tcPr>
          <w:p>
            <w:r>
              <w:rPr>
                <w:rFonts w:ascii="Arial" w:cs="Arial" w:eastAsia="Arial" w:hAnsi="Arial"/>
                <w:color w:val="595959"/>
                <w:sz w:val="17"/>
                <w:szCs w:val="17"/>
              </w:rPr>
              <w:t xml:space="preserve">Novedad principal</w:t>
            </w:r>
          </w:p>
          <w:p>
            <w:r>
              <w:rPr>
                <w:rFonts w:ascii="Arial" w:cs="Arial" w:eastAsia="Arial" w:hAnsi="Arial"/>
                <w:b/>
                <w:bCs/>
                <w:color w:val="1A1A2E"/>
                <w:sz w:val="20"/>
                <w:szCs w:val="20"/>
              </w:rPr>
              <w:t xml:space="preserve">Plan de Acción + KPIs ejecutados</w:t>
            </w:r>
          </w:p>
        </w:tc>
        <w:tc>
          <w:tcPr>
            <w:tcW w:type="dxa" w:w="2340"/>
            <w:tcBorders>
              <w:top w:val="single" w:color="BBCFE0" w:sz="1"/>
              <w:left w:val="single" w:color="BBCFE0" w:sz="1"/>
              <w:bottom w:val="single" w:color="BBCFE0" w:sz="1"/>
              <w:right w:val="single" w:color="BBCFE0" w:sz="1"/>
            </w:tcBorders>
            <w:shd w:fill="D5F0DC" w:val="clear"/>
            <w:tcMar>
              <w:top w:type="dxa" w:w="120"/>
              <w:left w:type="dxa" w:w="140"/>
              <w:bottom w:type="dxa" w:w="120"/>
              <w:right w:type="dxa" w:w="80"/>
            </w:tcMar>
          </w:tcPr>
          <w:p>
            <w:r>
              <w:rPr>
                <w:rFonts w:ascii="Arial" w:cs="Arial" w:eastAsia="Arial" w:hAnsi="Arial"/>
                <w:color w:val="595959"/>
                <w:sz w:val="17"/>
                <w:szCs w:val="17"/>
              </w:rPr>
              <w:t xml:space="preserve">Período datos</w:t>
            </w:r>
          </w:p>
          <w:p>
            <w:r>
              <w:rPr>
                <w:rFonts w:ascii="Arial" w:cs="Arial" w:eastAsia="Arial" w:hAnsi="Arial"/>
                <w:b/>
                <w:bCs/>
                <w:color w:val="1A1A2E"/>
                <w:sz w:val="20"/>
                <w:szCs w:val="20"/>
              </w:rPr>
              <w:t xml:space="preserve">2021-2023 · Norte del Perú</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CFE0" w:sz="1"/>
              <w:left w:val="single" w:color="BBCFE0" w:sz="1"/>
              <w:bottom w:val="single" w:color="BBCFE0" w:sz="1"/>
              <w:right w:val="single" w:color="BBCFE0" w:sz="1"/>
            </w:tcBorders>
            <w:shd w:fill="D6E4F0" w:val="clear"/>
            <w:tcMar>
              <w:top w:type="dxa" w:w="120"/>
              <w:left w:type="dxa" w:w="200"/>
              <w:bottom w:type="dxa" w:w="120"/>
              <w:right w:type="dxa" w:w="120"/>
            </w:tcMar>
          </w:tcPr>
          <w:p>
            <w:r>
              <w:rPr>
                <w:rFonts w:ascii="Arial" w:cs="Arial" w:eastAsia="Arial" w:hAnsi="Arial"/>
                <w:color w:val="595959"/>
                <w:sz w:val="18"/>
                <w:szCs w:val="18"/>
              </w:rPr>
              <w:t xml:space="preserve">Preparado por</w:t>
            </w:r>
          </w:p>
          <w:p>
            <w:r>
              <w:rPr>
                <w:rFonts w:ascii="Arial" w:cs="Arial" w:eastAsia="Arial" w:hAnsi="Arial"/>
                <w:b/>
                <w:bCs/>
                <w:color w:val="1A1A2E"/>
                <w:sz w:val="22"/>
                <w:szCs w:val="22"/>
              </w:rPr>
              <w:t xml:space="preserve">Ricardo Cuba Alván</w:t>
            </w:r>
          </w:p>
          <w:p>
            <w:r>
              <w:rPr>
                <w:rFonts w:ascii="Arial" w:cs="Arial" w:eastAsia="Arial" w:hAnsi="Arial"/>
                <w:color w:val="2E75B6"/>
                <w:sz w:val="20"/>
                <w:szCs w:val="20"/>
              </w:rPr>
              <w:t xml:space="preserve">Sinapsis Innovadora · @ricardocubaalvan</w:t>
            </w:r>
          </w:p>
        </w:tc>
        <w:tc>
          <w:tcPr>
            <w:tcW w:type="dxa" w:w="4680"/>
            <w:tcBorders>
              <w:top w:val="single" w:color="BBCFE0" w:sz="1"/>
              <w:left w:val="single" w:color="BBCFE0" w:sz="1"/>
              <w:bottom w:val="single" w:color="BBCFE0" w:sz="1"/>
              <w:right w:val="single" w:color="BBCFE0" w:sz="1"/>
            </w:tcBorders>
            <w:shd w:fill="D6E4F0" w:val="clear"/>
            <w:tcMar>
              <w:top w:type="dxa" w:w="120"/>
              <w:left w:type="dxa" w:w="200"/>
              <w:bottom w:type="dxa" w:w="120"/>
              <w:right w:type="dxa" w:w="120"/>
            </w:tcMar>
          </w:tcPr>
          <w:p>
            <w:r>
              <w:rPr>
                <w:rFonts w:ascii="Arial" w:cs="Arial" w:eastAsia="Arial" w:hAnsi="Arial"/>
                <w:color w:val="595959"/>
                <w:sz w:val="18"/>
                <w:szCs w:val="18"/>
              </w:rPr>
              <w:t xml:space="preserve">Contexto del documento</w:t>
            </w:r>
          </w:p>
          <w:p>
            <w:r>
              <w:rPr>
                <w:rFonts w:ascii="Arial" w:cs="Arial" w:eastAsia="Arial" w:hAnsi="Arial"/>
                <w:b/>
                <w:bCs/>
                <w:color w:val="1A1A2E"/>
                <w:sz w:val="22"/>
                <w:szCs w:val="22"/>
              </w:rPr>
              <w:t xml:space="preserve">Informe delta v1 → v2</w:t>
            </w:r>
          </w:p>
          <w:p>
            <w:r>
              <w:rPr>
                <w:rFonts w:ascii="Arial" w:cs="Arial" w:eastAsia="Arial" w:hAnsi="Arial"/>
                <w:color w:val="2E75B6"/>
                <w:sz w:val="20"/>
                <w:szCs w:val="20"/>
              </w:rPr>
              <w:t xml:space="preserve">Qué se incorporó, qué persiste, próximos pasos</w:t>
            </w:r>
          </w:p>
        </w:tc>
      </w:tr>
    </w:tbl>
    <w:p>
      <w:pPr>
        <w:spacing w:before="240" w:after="0"/>
      </w:pPr>
    </w:p>
    <w:p>
      <w:r>
        <w:br w:type="page"/>
      </w:r>
    </w:p>
    <w:p>
      <w:pPr>
        <w:pStyle w:val="Heading1"/>
        <w:pBdr>
          <w:bottom w:val="single" w:color="1A6B3A" w:sz="8" w:space="4"/>
        </w:pBdr>
        <w:spacing w:before="360" w:after="120"/>
      </w:pPr>
      <w:r>
        <w:rPr>
          <w:rFonts w:ascii="Arial" w:cs="Arial" w:eastAsia="Arial" w:hAnsi="Arial"/>
          <w:b/>
          <w:bCs/>
          <w:color w:val="1B3A5C"/>
          <w:sz w:val="30"/>
          <w:szCs w:val="30"/>
        </w:rPr>
        <w:t xml:space="preserve">1. Propósito de Este Informe</w:t>
      </w:r>
    </w:p>
    <w:p>
      <w:pPr>
        <w:spacing w:before="60" w:after="80"/>
      </w:pPr>
      <w:r>
        <w:rPr>
          <w:rFonts w:ascii="Arial" w:cs="Arial" w:eastAsia="Arial" w:hAnsi="Arial"/>
          <w:color w:val="333333"/>
          <w:sz w:val="22"/>
          <w:szCs w:val="22"/>
        </w:rPr>
        <w:t xml:space="preserve">Este documento es el informe técnico situacional de la versión 2 del pipeline EWA ML, y debe leerse como un informe delta respecto al Informe v1. No repite la documentación base de los 5 modelos; en cambio, se enfoca en tres preguntas:</w:t>
      </w:r>
    </w:p>
    <w:p>
      <w:pPr>
        <w:pStyle w:val="ListParagraph"/>
        <w:numPr>
          <w:ilvl w:val="0"/>
          <w:numId w:val="2"/>
        </w:numPr>
        <w:spacing w:before="40" w:after="40"/>
      </w:pPr>
      <w:r>
        <w:rPr>
          <w:rFonts w:ascii="Arial" w:cs="Arial" w:eastAsia="Arial" w:hAnsi="Arial"/>
          <w:b/>
          <w:bCs/>
          <w:color w:val="1A1A2E"/>
          <w:sz w:val="22"/>
          <w:szCs w:val="22"/>
        </w:rPr>
        <w:t xml:space="preserve">¿Qué recomendaciones del v1 fueron implementadas?</w:t>
      </w:r>
      <w:r>
        <w:rPr>
          <w:rFonts w:ascii="Arial" w:cs="Arial" w:eastAsia="Arial" w:hAnsi="Arial"/>
          <w:color w:val="333333"/>
          <w:sz w:val="22"/>
          <w:szCs w:val="22"/>
        </w:rPr>
        <w:t xml:space="preserve"> Análisis de brecha cerrada.</w:t>
      </w:r>
    </w:p>
    <w:p>
      <w:pPr>
        <w:pStyle w:val="ListParagraph"/>
        <w:numPr>
          <w:ilvl w:val="0"/>
          <w:numId w:val="2"/>
        </w:numPr>
        <w:spacing w:before="40" w:after="40"/>
      </w:pPr>
      <w:r>
        <w:rPr>
          <w:rFonts w:ascii="Arial" w:cs="Arial" w:eastAsia="Arial" w:hAnsi="Arial"/>
          <w:b/>
          <w:bCs/>
          <w:color w:val="1A1A2E"/>
          <w:sz w:val="22"/>
          <w:szCs w:val="22"/>
        </w:rPr>
        <w:t xml:space="preserve">¿Qué hallazgos nuevos emergieron?</w:t>
      </w:r>
      <w:r>
        <w:rPr>
          <w:rFonts w:ascii="Arial" w:cs="Arial" w:eastAsia="Arial" w:hAnsi="Arial"/>
          <w:color w:val="333333"/>
          <w:sz w:val="22"/>
          <w:szCs w:val="22"/>
        </w:rPr>
        <w:t xml:space="preserve"> KPIs ejecutados, plan de acción y métricas agregadas.</w:t>
      </w:r>
    </w:p>
    <w:p>
      <w:pPr>
        <w:pStyle w:val="ListParagraph"/>
        <w:numPr>
          <w:ilvl w:val="0"/>
          <w:numId w:val="2"/>
        </w:numPr>
        <w:spacing w:before="40" w:after="40"/>
      </w:pPr>
      <w:r>
        <w:rPr>
          <w:rFonts w:ascii="Arial" w:cs="Arial" w:eastAsia="Arial" w:hAnsi="Arial"/>
          <w:b/>
          <w:bCs/>
          <w:color w:val="1A1A2E"/>
          <w:sz w:val="22"/>
          <w:szCs w:val="22"/>
        </w:rPr>
        <w:t xml:space="preserve">¿Qué brechas persisten?</w:t>
      </w:r>
      <w:r>
        <w:rPr>
          <w:rFonts w:ascii="Arial" w:cs="Arial" w:eastAsia="Arial" w:hAnsi="Arial"/>
          <w:color w:val="333333"/>
          <w:sz w:val="22"/>
          <w:szCs w:val="22"/>
        </w:rPr>
        <w:t xml:space="preserve"> Estado actualizado de las limitaciones no resueltas.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8"/>
              <w:bottom w:val="none" w:color="FFFFFF" w:sz="0"/>
              <w:right w:val="none" w:color="FFFFFF" w:sz="0"/>
            </w:tcBorders>
            <w:shd w:fill="EAF7ED" w:val="clear"/>
            <w:tcMar>
              <w:top w:type="dxa" w:w="120"/>
              <w:left w:type="dxa" w:w="240"/>
              <w:bottom w:type="dxa" w:w="120"/>
              <w:right w:type="dxa" w:w="120"/>
            </w:tcMar>
          </w:tcPr>
          <w:p>
            <w:pPr>
              <w:spacing w:before="0" w:after="0"/>
            </w:pPr>
            <w:r>
              <w:rPr>
                <w:rFonts w:ascii="Arial" w:cs="Arial" w:eastAsia="Arial" w:hAnsi="Arial"/>
                <w:i/>
                <w:iCs/>
                <w:color w:val="334455"/>
                <w:sz w:val="21"/>
                <w:szCs w:val="21"/>
              </w:rPr>
              <w:t xml:space="preserve">La v2 incorpora un bloque completamente nuevo — el Informe Consolidado del Plan de Acción — que traduce las predicciones de los modelos en decisiones operativas concretas: gestión proactiva de EWA, optimización de capital y planificación de turnover.</w:t>
            </w:r>
          </w:p>
        </w:tc>
      </w:tr>
    </w:tbl>
    <w:p>
      <w:pPr>
        <w:spacing w:before="100" w:after="0"/>
      </w:pPr>
    </w:p>
    <w:p>
      <w:pPr>
        <w:pStyle w:val="Heading1"/>
        <w:pBdr>
          <w:bottom w:val="single" w:color="1A6B3A" w:sz="8" w:space="4"/>
        </w:pBdr>
        <w:spacing w:before="360" w:after="120"/>
      </w:pPr>
      <w:r>
        <w:rPr>
          <w:rFonts w:ascii="Arial" w:cs="Arial" w:eastAsia="Arial" w:hAnsi="Arial"/>
          <w:b/>
          <w:bCs/>
          <w:color w:val="1B3A5C"/>
          <w:sz w:val="30"/>
          <w:szCs w:val="30"/>
        </w:rPr>
        <w:t xml:space="preserve">2. Análisis Delta: Recomendaciones v1 → Estado en v2</w:t>
      </w:r>
    </w:p>
    <w:p>
      <w:pPr>
        <w:spacing w:before="60" w:after="80"/>
      </w:pPr>
      <w:r>
        <w:rPr>
          <w:rFonts w:ascii="Arial" w:cs="Arial" w:eastAsia="Arial" w:hAnsi="Arial"/>
          <w:color w:val="333333"/>
          <w:sz w:val="22"/>
          <w:szCs w:val="22"/>
        </w:rPr>
        <w:t xml:space="preserve">La siguiente tabla mapea cada recomendación técnica del informe v1 con su estado de implementación en el notebook v2: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Recomendación (v1)</w:t>
            </w:r>
          </w:p>
        </w:tc>
        <w:tc>
          <w:tcPr>
            <w:tcW w:type="dxa" w:w="328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Implementación en v2</w:t>
            </w:r>
          </w:p>
        </w:tc>
        <w:tc>
          <w:tcPr>
            <w:tcW w:type="dxa" w:w="328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Estado</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Auditar data leakage en Modelo 2 (AUC-ROC=1.00)</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El notebook v2 NO modifica el código del clasificador. Las métricas perfectas persisten (Accuracy, Precision, Recall, F1, AUC-ROC = 1.00).</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PENDIENTE — Brecha crítica no resuelta</w:t>
            </w:r>
          </w:p>
        </w:tc>
      </w:tr>
      <w:tr>
        <w:tc>
          <w:tcPr>
            <w:tcW w:type="dxa" w:w="2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Optimizar hiperparámetros con GridSearchCV / RandomizedSearchCV</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Sin cambios en la inicialización de modelos. RandomForestRegressor y Classifier siguen con parámetros por defecto (random_state=42 únicamente).</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PENDIENTE — Sin optimización</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Validar K en clustering con silhouette_score</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La línea silhouette_scores.append(...) permanece comentada. K=4 sigue asumido visualmente.</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PENDIENTE — K no validado estadísticamente</w:t>
            </w:r>
          </w:p>
        </w:tc>
      </w:tr>
      <w:tr>
        <w:tc>
          <w:tcPr>
            <w:tcW w:type="dxa" w:w="2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Implementar cross-validation k-fold</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No implementado. Evaluación sobre único split 80/20 sin cambios.</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PENDIENTE</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Definir target_turnover para modelo de rotación</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La v2 discute extensamente la necesidad, pero no genera la variable ni entrena un modelo. Identificado como paso futuro prioritario.</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PLANIFICADO — no implementado aún</w:t>
            </w:r>
          </w:p>
        </w:tc>
      </w:tr>
      <w:tr>
        <w:tc>
          <w:tcPr>
            <w:tcW w:type="dxa" w:w="2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Capa de Plan de Acción ejecutable</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NUEVO en v2: bloque completo con identificación de 250 empleados de alto riesgo, estimación agregada de demanda EWA (S/. 2.39M) y planificación de capital.</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INCORPORADO — mayor novedad de v2</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KPIs de segmentación de alto riesgo</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NUEVO: umbral del cuartil 75 (score ≥ 50.38) aplicado. 250 empleados identificados, con avg_predicted_amount = S/. 3,221 y 98.4% con educación financiera baja.</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INCORPORADO</w:t>
            </w:r>
          </w:p>
        </w:tc>
      </w:tr>
      <w:tr>
        <w:tc>
          <w:tcPr>
            <w:tcW w:type="dxa" w:w="2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Estimación agregada de demanda EWA</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NUEVO: Total predicho = S/. 2,394,989.30 · 967 solicitudes · probabilidad media = 0.9673.</w:t>
            </w:r>
          </w:p>
        </w:tc>
        <w:tc>
          <w:tcPr>
            <w:tcW w:type="dxa" w:w="32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INCORPORADO</w:t>
            </w:r>
          </w:p>
        </w:tc>
      </w:tr>
      <w:tr>
        <w:tc>
          <w:tcPr>
            <w:tcW w:type="dxa" w:w="2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Recomendaciones personalizadas</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La lógica de reglas del v1 es reconfirmada y documentada, sin modificaciones al código. Se agrega discusión sobre canales de entrega (portal, email, alertas).</w:t>
            </w:r>
          </w:p>
        </w:tc>
        <w:tc>
          <w:tcPr>
            <w:tcW w:type="dxa" w:w="32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RECONFIRMADO — mismo código</w:t>
            </w:r>
          </w:p>
        </w:tc>
      </w:tr>
    </w:tbl>
    <w:p>
      <w:pPr>
        <w:spacing w:before="100" w:after="0"/>
      </w:pPr>
    </w:p>
    <w:p>
      <w:pPr>
        <w:pStyle w:val="Heading1"/>
        <w:pBdr>
          <w:bottom w:val="single" w:color="1A6B3A" w:sz="8" w:space="4"/>
        </w:pBdr>
        <w:spacing w:before="360" w:after="120"/>
      </w:pPr>
      <w:r>
        <w:rPr>
          <w:rFonts w:ascii="Arial" w:cs="Arial" w:eastAsia="Arial" w:hAnsi="Arial"/>
          <w:b/>
          <w:bCs/>
          <w:color w:val="1B3A5C"/>
          <w:sz w:val="30"/>
          <w:szCs w:val="30"/>
        </w:rPr>
        <w:t xml:space="preserve">3. Principal Novedad de v2: Informe Consolidado del Plan de Acción</w:t>
      </w:r>
    </w:p>
    <w:p>
      <w:pPr>
        <w:spacing w:before="60" w:after="80"/>
      </w:pPr>
      <w:r>
        <w:rPr>
          <w:rFonts w:ascii="Arial" w:cs="Arial" w:eastAsia="Arial" w:hAnsi="Arial"/>
          <w:color w:val="333333"/>
          <w:sz w:val="22"/>
          <w:szCs w:val="22"/>
        </w:rPr>
        <w:t xml:space="preserve">La incorporación más significativa de la versión 2 es la materialización del pipeline predictivo en un plan de acción operativo. A continuación se documentan sus cuatro pilares con los KPIs obtenidos de las salidas del notebook.</w:t>
      </w:r>
    </w:p>
    <w:p>
      <w:pPr>
        <w:spacing w:before="80" w:after="0"/>
      </w:pPr>
    </w:p>
    <w:p>
      <w:pPr>
        <w:pStyle w:val="Heading2"/>
        <w:spacing w:before="280" w:after="80"/>
      </w:pPr>
      <w:r>
        <w:rPr>
          <w:rFonts w:ascii="Arial" w:cs="Arial" w:eastAsia="Arial" w:hAnsi="Arial"/>
          <w:b/>
          <w:bCs/>
          <w:color w:val="1A6B3A"/>
          <w:sz w:val="26"/>
          <w:szCs w:val="26"/>
        </w:rPr>
        <w:t xml:space="preserve">3.1 Gestión Proactiva de EWA — Segmentación de Alto Riesgo</w:t>
      </w:r>
    </w:p>
    <w:p>
      <w:pPr>
        <w:spacing w:before="60" w:after="80"/>
      </w:pPr>
      <w:r>
        <w:rPr>
          <w:rFonts w:ascii="Arial" w:cs="Arial" w:eastAsia="Arial" w:hAnsi="Arial"/>
          <w:color w:val="333333"/>
          <w:sz w:val="22"/>
          <w:szCs w:val="22"/>
        </w:rPr>
        <w:t xml:space="preserve">Se implementó un umbral dinámico basado en el cuartil 75 del ewa_risk_score para identificar empleados que requieren intervención prioritaria: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0" w:sz="1"/>
              <w:left w:val="single" w:color="BBCFE0" w:sz="1"/>
              <w:bottom w:val="single" w:color="BBCFE0" w:sz="1"/>
              <w:right w:val="single" w:color="BBCFE0" w:sz="1"/>
            </w:tcBorders>
            <w:shd w:fill="D5F0DC"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250</w:t>
            </w:r>
          </w:p>
          <w:p>
            <w:pPr>
              <w:jc w:val="center"/>
            </w:pPr>
            <w:r>
              <w:rPr>
                <w:rFonts w:ascii="Arial" w:cs="Arial" w:eastAsia="Arial" w:hAnsi="Arial"/>
                <w:color w:val="595959"/>
                <w:sz w:val="18"/>
                <w:szCs w:val="18"/>
              </w:rPr>
              <w:t xml:space="preserve">Empleados alto riesgo (25% del total)</w:t>
            </w:r>
          </w:p>
        </w:tc>
        <w:tc>
          <w:tcPr>
            <w:tcW w:type="dxa" w:w="2340"/>
            <w:tcBorders>
              <w:top w:val="single" w:color="BBCFE0" w:sz="1"/>
              <w:left w:val="single" w:color="BBCFE0" w:sz="1"/>
              <w:bottom w:val="single" w:color="BBCFE0" w:sz="1"/>
              <w:right w:val="single" w:color="BBCFE0" w:sz="1"/>
            </w:tcBorders>
            <w:shd w:fill="D5F0DC"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50.38</w:t>
            </w:r>
          </w:p>
          <w:p>
            <w:pPr>
              <w:jc w:val="center"/>
            </w:pPr>
            <w:r>
              <w:rPr>
                <w:rFonts w:ascii="Arial" w:cs="Arial" w:eastAsia="Arial" w:hAnsi="Arial"/>
                <w:color w:val="595959"/>
                <w:sz w:val="18"/>
                <w:szCs w:val="18"/>
              </w:rPr>
              <w:t xml:space="preserve">Umbral EWA Risk Score (Q75)</w:t>
            </w:r>
          </w:p>
        </w:tc>
        <w:tc>
          <w:tcPr>
            <w:tcW w:type="dxa" w:w="2340"/>
            <w:tcBorders>
              <w:top w:val="single" w:color="BBCFE0" w:sz="1"/>
              <w:left w:val="single" w:color="BBCFE0" w:sz="1"/>
              <w:bottom w:val="single" w:color="BBCFE0" w:sz="1"/>
              <w:right w:val="single" w:color="BBCFE0" w:sz="1"/>
            </w:tcBorders>
            <w:shd w:fill="D5F0DC"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99.5%</w:t>
            </w:r>
          </w:p>
          <w:p>
            <w:pPr>
              <w:jc w:val="center"/>
            </w:pPr>
            <w:r>
              <w:rPr>
                <w:rFonts w:ascii="Arial" w:cs="Arial" w:eastAsia="Arial" w:hAnsi="Arial"/>
                <w:color w:val="595959"/>
                <w:sz w:val="18"/>
                <w:szCs w:val="18"/>
              </w:rPr>
              <w:t xml:space="preserve">Prob. EWA promedio en alto riesgo</w:t>
            </w:r>
          </w:p>
        </w:tc>
        <w:tc>
          <w:tcPr>
            <w:tcW w:type="dxa" w:w="2340"/>
            <w:tcBorders>
              <w:top w:val="single" w:color="BBCFE0" w:sz="1"/>
              <w:left w:val="single" w:color="BBCFE0" w:sz="1"/>
              <w:bottom w:val="single" w:color="BBCFE0" w:sz="1"/>
              <w:right w:val="single" w:color="BBCFE0" w:sz="1"/>
            </w:tcBorders>
            <w:shd w:fill="FADBD8"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98.4%</w:t>
            </w:r>
          </w:p>
          <w:p>
            <w:pPr>
              <w:jc w:val="center"/>
            </w:pPr>
            <w:r>
              <w:rPr>
                <w:rFonts w:ascii="Arial" w:cs="Arial" w:eastAsia="Arial" w:hAnsi="Arial"/>
                <w:color w:val="595959"/>
                <w:sz w:val="18"/>
                <w:szCs w:val="18"/>
              </w:rPr>
              <w:t xml:space="preserve">Con educación financiera 'Bajo'</w:t>
            </w:r>
          </w:p>
        </w:tc>
      </w:tr>
    </w:tbl>
    <w:p>
      <w:pPr>
        <w:spacing w:before="80" w:after="0"/>
      </w:pPr>
    </w:p>
    <w:p>
      <w:pPr>
        <w:spacing w:before="60" w:after="80"/>
      </w:pPr>
      <w:r>
        <w:rPr>
          <w:rFonts w:ascii="Arial" w:cs="Arial" w:eastAsia="Arial" w:hAnsi="Arial"/>
          <w:color w:val="333333"/>
          <w:sz w:val="22"/>
          <w:szCs w:val="22"/>
        </w:rPr>
        <w:t xml:space="preserve">El perfil del segmento de alto riesgo revela un patrón preocupante:</w:t>
      </w:r>
    </w:p>
    <w:p>
      <w:pPr>
        <w:pStyle w:val="ListParagraph"/>
        <w:numPr>
          <w:ilvl w:val="0"/>
          <w:numId w:val="2"/>
        </w:numPr>
        <w:spacing w:before="40" w:after="40"/>
      </w:pPr>
      <w:r>
        <w:rPr>
          <w:rFonts w:ascii="Arial" w:cs="Arial" w:eastAsia="Arial" w:hAnsi="Arial"/>
          <w:b/>
          <w:bCs/>
          <w:color w:val="1A1A2E"/>
          <w:sz w:val="22"/>
          <w:szCs w:val="22"/>
        </w:rPr>
        <w:t xml:space="preserve">Monto promedio predicho: </w:t>
      </w:r>
      <w:r>
        <w:rPr>
          <w:rFonts w:ascii="Arial" w:cs="Arial" w:eastAsia="Arial" w:hAnsi="Arial"/>
          <w:color w:val="333333"/>
          <w:sz w:val="22"/>
          <w:szCs w:val="22"/>
        </w:rPr>
        <w:t xml:space="preserve">S/. 3,221.45 por empleado — equivalente al 128% del salario promedio del dataset.</w:t>
      </w:r>
    </w:p>
    <w:p>
      <w:pPr>
        <w:pStyle w:val="ListParagraph"/>
        <w:numPr>
          <w:ilvl w:val="0"/>
          <w:numId w:val="2"/>
        </w:numPr>
        <w:spacing w:before="40" w:after="40"/>
      </w:pPr>
      <w:r>
        <w:rPr>
          <w:rFonts w:ascii="Arial" w:cs="Arial" w:eastAsia="Arial" w:hAnsi="Arial"/>
          <w:b/>
          <w:bCs/>
          <w:color w:val="1A1A2E"/>
          <w:sz w:val="22"/>
          <w:szCs w:val="22"/>
        </w:rPr>
        <w:t xml:space="preserve">Flujo de caja promedio: </w:t>
      </w:r>
      <w:r>
        <w:rPr>
          <w:rFonts w:ascii="Arial" w:cs="Arial" w:eastAsia="Arial" w:hAnsi="Arial"/>
          <w:color w:val="333333"/>
          <w:sz w:val="22"/>
          <w:szCs w:val="22"/>
        </w:rPr>
        <w:t xml:space="preserve">S/. 1,927.67 mensual con valor mínimo de -S/. 53,609.70, evidenciando casos de estrés financiero severo.</w:t>
      </w:r>
    </w:p>
    <w:p>
      <w:pPr>
        <w:pStyle w:val="ListParagraph"/>
        <w:numPr>
          <w:ilvl w:val="0"/>
          <w:numId w:val="2"/>
        </w:numPr>
        <w:spacing w:before="40" w:after="40"/>
      </w:pPr>
      <w:r>
        <w:rPr>
          <w:rFonts w:ascii="Arial" w:cs="Arial" w:eastAsia="Arial" w:hAnsi="Arial"/>
          <w:b/>
          <w:bCs/>
          <w:color w:val="1A1A2E"/>
          <w:sz w:val="22"/>
          <w:szCs w:val="22"/>
        </w:rPr>
        <w:t xml:space="preserve">Historial EWA: </w:t>
      </w:r>
      <w:r>
        <w:rPr>
          <w:rFonts w:ascii="Arial" w:cs="Arial" w:eastAsia="Arial" w:hAnsi="Arial"/>
          <w:color w:val="333333"/>
          <w:sz w:val="22"/>
          <w:szCs w:val="22"/>
        </w:rPr>
        <w:t xml:space="preserve">Promedio de 5.97 solicitudes con ratio de aprobación del 88%.</w:t>
      </w:r>
    </w:p>
    <w:p>
      <w:pPr>
        <w:pStyle w:val="ListParagraph"/>
        <w:numPr>
          <w:ilvl w:val="0"/>
          <w:numId w:val="2"/>
        </w:numPr>
        <w:spacing w:before="40" w:after="40"/>
      </w:pPr>
      <w:r>
        <w:rPr>
          <w:rFonts w:ascii="Arial" w:cs="Arial" w:eastAsia="Arial" w:hAnsi="Arial"/>
          <w:b/>
          <w:bCs/>
          <w:color w:val="1A1A2E"/>
          <w:sz w:val="22"/>
          <w:szCs w:val="22"/>
        </w:rPr>
        <w:t xml:space="preserve">Distribución por cluster: </w:t>
      </w:r>
      <w:r>
        <w:rPr>
          <w:rFonts w:ascii="Arial" w:cs="Arial" w:eastAsia="Arial" w:hAnsi="Arial"/>
          <w:color w:val="333333"/>
          <w:sz w:val="22"/>
          <w:szCs w:val="22"/>
        </w:rPr>
        <w:t xml:space="preserve">Clusters 1 (127 empleados) y 2 (122 empleados) concentran el riesgo. Un outlier en Cluster 3 con flujo extremadamente negativo.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8"/>
              <w:bottom w:val="none" w:color="FFFFFF" w:sz="0"/>
              <w:right w:val="none" w:color="FFFFFF" w:sz="0"/>
            </w:tcBorders>
            <w:shd w:fill="EAF7ED" w:val="clear"/>
            <w:tcMar>
              <w:top w:type="dxa" w:w="120"/>
              <w:left w:type="dxa" w:w="240"/>
              <w:bottom w:type="dxa" w:w="120"/>
              <w:right w:type="dxa" w:w="120"/>
            </w:tcMar>
          </w:tcPr>
          <w:p>
            <w:pPr>
              <w:spacing w:before="0" w:after="0"/>
            </w:pPr>
            <w:r>
              <w:rPr>
                <w:rFonts w:ascii="Arial" w:cs="Arial" w:eastAsia="Arial" w:hAnsi="Arial"/>
                <w:i/>
                <w:iCs/>
                <w:color w:val="334455"/>
                <w:sz w:val="21"/>
                <w:szCs w:val="21"/>
              </w:rPr>
              <w:t xml:space="preserve">Hallazgo crítico: el dato de 98.4% de educación financiera 'Bajo' entre los empleados de alto riesgo no es una correlación — es el principal predictor modificable. Esto valida una estrategia de intervención vía programas de educación financiera como el vector de mayor ROI para reducir la dependencia estructural de EWA.</w:t>
            </w:r>
          </w:p>
        </w:tc>
      </w:tr>
    </w:tbl>
    <w:p>
      <w:pPr>
        <w:spacing w:before="100" w:after="0"/>
      </w:pPr>
    </w:p>
    <w:p>
      <w:pPr>
        <w:pStyle w:val="Heading2"/>
        <w:spacing w:before="280" w:after="80"/>
      </w:pPr>
      <w:r>
        <w:rPr>
          <w:rFonts w:ascii="Arial" w:cs="Arial" w:eastAsia="Arial" w:hAnsi="Arial"/>
          <w:b/>
          <w:bCs/>
          <w:color w:val="1A6B3A"/>
          <w:sz w:val="26"/>
          <w:szCs w:val="26"/>
        </w:rPr>
        <w:t xml:space="preserve">3.2 Optimización de Capital — Estimación Agregada de Demanda EWA</w:t>
      </w:r>
    </w:p>
    <w:p>
      <w:pPr>
        <w:spacing w:before="60" w:after="80"/>
      </w:pPr>
      <w:r>
        <w:rPr>
          <w:rFonts w:ascii="Arial" w:cs="Arial" w:eastAsia="Arial" w:hAnsi="Arial"/>
          <w:color w:val="333333"/>
          <w:sz w:val="22"/>
          <w:szCs w:val="22"/>
        </w:rPr>
        <w:t xml:space="preserve">Se calcularon por primera vez en el pipeline las métricas de demanda a nivel de portafolio, habilitando la planificación financiera de la plataforma EWA: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S/. 2.39M</w:t>
            </w:r>
          </w:p>
          <w:p>
            <w:pPr>
              <w:jc w:val="center"/>
            </w:pPr>
            <w:r>
              <w:rPr>
                <w:rFonts w:ascii="Arial" w:cs="Arial" w:eastAsia="Arial" w:hAnsi="Arial"/>
                <w:color w:val="595959"/>
                <w:sz w:val="18"/>
                <w:szCs w:val="18"/>
              </w:rPr>
              <w:t xml:space="preserve">Demanda EWA total proyectada</w:t>
            </w:r>
          </w:p>
        </w:tc>
        <w:tc>
          <w:tcPr>
            <w:tcW w:type="dxa" w:w="234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967</w:t>
            </w:r>
          </w:p>
          <w:p>
            <w:pPr>
              <w:jc w:val="center"/>
            </w:pPr>
            <w:r>
              <w:rPr>
                <w:rFonts w:ascii="Arial" w:cs="Arial" w:eastAsia="Arial" w:hAnsi="Arial"/>
                <w:color w:val="595959"/>
                <w:sz w:val="18"/>
                <w:szCs w:val="18"/>
              </w:rPr>
              <w:t xml:space="preserve">Solicitudes EWA predichas</w:t>
            </w:r>
          </w:p>
        </w:tc>
        <w:tc>
          <w:tcPr>
            <w:tcW w:type="dxa" w:w="234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96.7%</w:t>
            </w:r>
          </w:p>
          <w:p>
            <w:pPr>
              <w:jc w:val="center"/>
            </w:pPr>
            <w:r>
              <w:rPr>
                <w:rFonts w:ascii="Arial" w:cs="Arial" w:eastAsia="Arial" w:hAnsi="Arial"/>
                <w:color w:val="595959"/>
                <w:sz w:val="18"/>
                <w:szCs w:val="18"/>
              </w:rPr>
              <w:t xml:space="preserve">Probabilidad promedio de solicitud</w:t>
            </w:r>
          </w:p>
        </w:tc>
        <w:tc>
          <w:tcPr>
            <w:tcW w:type="dxa" w:w="2340"/>
            <w:tcBorders>
              <w:top w:val="single" w:color="BBCFE0" w:sz="1"/>
              <w:left w:val="single" w:color="BBCFE0" w:sz="1"/>
              <w:bottom w:val="single" w:color="BBCFE0" w:sz="1"/>
              <w:right w:val="single" w:color="BBCFE0" w:sz="1"/>
            </w:tcBorders>
            <w:shd w:fill="D6E4F0" w:val="clear"/>
            <w:tcMar>
              <w:top w:type="dxa" w:w="120"/>
              <w:left w:type="dxa" w:w="120"/>
              <w:bottom w:type="dxa" w:w="120"/>
              <w:right w:type="dxa" w:w="80"/>
            </w:tcMar>
          </w:tcPr>
          <w:p>
            <w:pPr>
              <w:jc w:val="center"/>
            </w:pPr>
            <w:r>
              <w:rPr>
                <w:rFonts w:ascii="Arial" w:cs="Arial" w:eastAsia="Arial" w:hAnsi="Arial"/>
                <w:b/>
                <w:bCs/>
                <w:color w:val="1A6B3A"/>
                <w:sz w:val="36"/>
                <w:szCs w:val="36"/>
              </w:rPr>
              <w:t xml:space="preserve">S/. 2,477</w:t>
            </w:r>
          </w:p>
          <w:p>
            <w:pPr>
              <w:jc w:val="center"/>
            </w:pPr>
            <w:r>
              <w:rPr>
                <w:rFonts w:ascii="Arial" w:cs="Arial" w:eastAsia="Arial" w:hAnsi="Arial"/>
                <w:color w:val="595959"/>
                <w:sz w:val="18"/>
                <w:szCs w:val="18"/>
              </w:rPr>
              <w:t xml:space="preserve">Monto promedio por solicitud</w:t>
            </w:r>
          </w:p>
        </w:tc>
      </w:tr>
    </w:tbl>
    <w:p>
      <w:pPr>
        <w:spacing w:before="80" w:after="0"/>
      </w:pPr>
    </w:p>
    <w:p>
      <w:pPr>
        <w:spacing w:before="60" w:after="80"/>
      </w:pPr>
      <w:r>
        <w:rPr>
          <w:rFonts w:ascii="Arial" w:cs="Arial" w:eastAsia="Arial" w:hAnsi="Arial"/>
          <w:color w:val="333333"/>
          <w:sz w:val="22"/>
          <w:szCs w:val="22"/>
        </w:rPr>
        <w:t xml:space="preserve">Estas métricas habilitan cuatro capacidades de gestión financiera:</w:t>
      </w:r>
    </w:p>
    <w:p>
      <w:pPr>
        <w:pStyle w:val="ListParagraph"/>
        <w:numPr>
          <w:ilvl w:val="0"/>
          <w:numId w:val="2"/>
        </w:numPr>
        <w:spacing w:before="40" w:after="40"/>
      </w:pPr>
      <w:r>
        <w:rPr>
          <w:rFonts w:ascii="Arial" w:cs="Arial" w:eastAsia="Arial" w:hAnsi="Arial"/>
          <w:b/>
          <w:bCs/>
          <w:color w:val="1A1A2E"/>
          <w:sz w:val="22"/>
          <w:szCs w:val="22"/>
        </w:rPr>
        <w:t xml:space="preserve">Planificación de liquidez: </w:t>
      </w:r>
      <w:r>
        <w:rPr>
          <w:rFonts w:ascii="Arial" w:cs="Arial" w:eastAsia="Arial" w:hAnsi="Arial"/>
          <w:color w:val="333333"/>
          <w:sz w:val="22"/>
          <w:szCs w:val="22"/>
        </w:rPr>
        <w:t xml:space="preserve">Reservas de capital ajustadas al volumen predicho de S/. 2.39M, reduciendo el costo de oportunidad del capital inmovilizado.</w:t>
      </w:r>
    </w:p>
    <w:p>
      <w:pPr>
        <w:pStyle w:val="ListParagraph"/>
        <w:numPr>
          <w:ilvl w:val="0"/>
          <w:numId w:val="2"/>
        </w:numPr>
        <w:spacing w:before="40" w:after="40"/>
      </w:pPr>
      <w:r>
        <w:rPr>
          <w:rFonts w:ascii="Arial" w:cs="Arial" w:eastAsia="Arial" w:hAnsi="Arial"/>
          <w:b/>
          <w:bCs/>
          <w:color w:val="1A1A2E"/>
          <w:sz w:val="22"/>
          <w:szCs w:val="22"/>
        </w:rPr>
        <w:t xml:space="preserve">Buffer de contingencia: </w:t>
      </w:r>
      <w:r>
        <w:rPr>
          <w:rFonts w:ascii="Arial" w:cs="Arial" w:eastAsia="Arial" w:hAnsi="Arial"/>
          <w:color w:val="333333"/>
          <w:sz w:val="22"/>
          <w:szCs w:val="22"/>
        </w:rPr>
        <w:t xml:space="preserve">El outlier de flujo negativo extremo (-S/. 53,609.70) sugiere necesidad de un mecanismo de tope o seguro para solicitudes anómalas.</w:t>
      </w:r>
    </w:p>
    <w:p>
      <w:pPr>
        <w:pStyle w:val="ListParagraph"/>
        <w:numPr>
          <w:ilvl w:val="0"/>
          <w:numId w:val="2"/>
        </w:numPr>
        <w:spacing w:before="40" w:after="40"/>
      </w:pPr>
      <w:r>
        <w:rPr>
          <w:rFonts w:ascii="Arial" w:cs="Arial" w:eastAsia="Arial" w:hAnsi="Arial"/>
          <w:b/>
          <w:bCs/>
          <w:color w:val="1A1A2E"/>
          <w:sz w:val="22"/>
          <w:szCs w:val="22"/>
        </w:rPr>
        <w:t xml:space="preserve">Negociación con proveedores EWA: </w:t>
      </w:r>
      <w:r>
        <w:rPr>
          <w:rFonts w:ascii="Arial" w:cs="Arial" w:eastAsia="Arial" w:hAnsi="Arial"/>
          <w:color w:val="333333"/>
          <w:sz w:val="22"/>
          <w:szCs w:val="22"/>
        </w:rPr>
        <w:t xml:space="preserve">Volúmenes proyectados permiten negociar condiciones más favorables de comisión y plazo.</w:t>
      </w:r>
    </w:p>
    <w:p>
      <w:pPr>
        <w:pStyle w:val="ListParagraph"/>
        <w:numPr>
          <w:ilvl w:val="0"/>
          <w:numId w:val="2"/>
        </w:numPr>
        <w:spacing w:before="40" w:after="40"/>
      </w:pPr>
      <w:r>
        <w:rPr>
          <w:rFonts w:ascii="Arial" w:cs="Arial" w:eastAsia="Arial" w:hAnsi="Arial"/>
          <w:b/>
          <w:bCs/>
          <w:color w:val="1A1A2E"/>
          <w:sz w:val="22"/>
          <w:szCs w:val="22"/>
        </w:rPr>
        <w:t xml:space="preserve">Segmentación del riesgo de crédito: </w:t>
      </w:r>
      <w:r>
        <w:rPr>
          <w:rFonts w:ascii="Arial" w:cs="Arial" w:eastAsia="Arial" w:hAnsi="Arial"/>
          <w:color w:val="333333"/>
          <w:sz w:val="22"/>
          <w:szCs w:val="22"/>
        </w:rPr>
        <w:t xml:space="preserve">Los 967 empleados con alta probabilidad EWA son segmentables por monto y cluster para diseñar límites diferenciados.</w:t>
      </w:r>
    </w:p>
    <w:p>
      <w:pPr>
        <w:spacing w:before="100" w:after="0"/>
      </w:pPr>
    </w:p>
    <w:p>
      <w:pPr>
        <w:pStyle w:val="Heading2"/>
        <w:spacing w:before="280" w:after="80"/>
      </w:pPr>
      <w:r>
        <w:rPr>
          <w:rFonts w:ascii="Arial" w:cs="Arial" w:eastAsia="Arial" w:hAnsi="Arial"/>
          <w:b/>
          <w:bCs/>
          <w:color w:val="1A6B3A"/>
          <w:sz w:val="26"/>
          <w:szCs w:val="26"/>
        </w:rPr>
        <w:t xml:space="preserve">3.3 Planificación del Riesgo de Rotación (target_turnover)</w:t>
      </w:r>
    </w:p>
    <w:p>
      <w:pPr>
        <w:spacing w:before="60" w:after="80"/>
      </w:pPr>
      <w:r>
        <w:rPr>
          <w:rFonts w:ascii="Arial" w:cs="Arial" w:eastAsia="Arial" w:hAnsi="Arial"/>
          <w:color w:val="333333"/>
          <w:sz w:val="22"/>
          <w:szCs w:val="22"/>
        </w:rPr>
        <w:t xml:space="preserve">La v2 documenta formalmente el roadmap para el modelo de rotación, aunque sin implementarlo aún. Los elementos planificados son:</w:t>
      </w:r>
    </w:p>
    <w:p>
      <w:pPr>
        <w:pStyle w:val="ListParagraph"/>
        <w:numPr>
          <w:ilvl w:val="0"/>
          <w:numId w:val="2"/>
        </w:numPr>
        <w:spacing w:before="40" w:after="40"/>
      </w:pPr>
      <w:r>
        <w:rPr>
          <w:rFonts w:ascii="Arial" w:cs="Arial" w:eastAsia="Arial" w:hAnsi="Arial"/>
          <w:b/>
          <w:bCs/>
          <w:color w:val="1A1A2E"/>
          <w:sz w:val="22"/>
          <w:szCs w:val="22"/>
        </w:rPr>
        <w:t xml:space="preserve">Variable objetivo: </w:t>
      </w:r>
      <w:r>
        <w:rPr>
          <w:rFonts w:ascii="Arial" w:cs="Arial" w:eastAsia="Arial" w:hAnsi="Arial"/>
          <w:color w:val="333333"/>
          <w:sz w:val="22"/>
          <w:szCs w:val="22"/>
        </w:rPr>
        <w:t xml:space="preserve">target_turnover binaria (1 = empleado que dejó la empresa en los últimos 12 meses). Requiere datos históricos de RRHH con fecha de egreso.</w:t>
      </w:r>
    </w:p>
    <w:p>
      <w:pPr>
        <w:pStyle w:val="ListParagraph"/>
        <w:numPr>
          <w:ilvl w:val="0"/>
          <w:numId w:val="2"/>
        </w:numPr>
        <w:spacing w:before="40" w:after="40"/>
      </w:pPr>
      <w:r>
        <w:rPr>
          <w:rFonts w:ascii="Arial" w:cs="Arial" w:eastAsia="Arial" w:hAnsi="Arial"/>
          <w:b/>
          <w:bCs/>
          <w:color w:val="1A1A2E"/>
          <w:sz w:val="22"/>
          <w:szCs w:val="22"/>
        </w:rPr>
        <w:t xml:space="preserve">Features ya disponibles: </w:t>
      </w:r>
      <w:r>
        <w:rPr>
          <w:rFonts w:ascii="Arial" w:cs="Arial" w:eastAsia="Arial" w:hAnsi="Arial"/>
          <w:color w:val="333333"/>
          <w:sz w:val="22"/>
          <w:szCs w:val="22"/>
        </w:rPr>
        <w:t xml:space="preserve">employment_duration_days, salary, financial_education_level, avg_monthly_net_cash_flow, ewa_risk_score y predicted_ewa_probability son identificadas como las features más relevantes para el modelo.</w:t>
      </w:r>
    </w:p>
    <w:p>
      <w:pPr>
        <w:pStyle w:val="ListParagraph"/>
        <w:numPr>
          <w:ilvl w:val="0"/>
          <w:numId w:val="2"/>
        </w:numPr>
        <w:spacing w:before="40" w:after="40"/>
      </w:pPr>
      <w:r>
        <w:rPr>
          <w:rFonts w:ascii="Arial" w:cs="Arial" w:eastAsia="Arial" w:hAnsi="Arial"/>
          <w:b/>
          <w:bCs/>
          <w:color w:val="1A1A2E"/>
          <w:sz w:val="22"/>
          <w:szCs w:val="22"/>
        </w:rPr>
        <w:t xml:space="preserve">Algoritmos propuestos: </w:t>
      </w:r>
      <w:r>
        <w:rPr>
          <w:rFonts w:ascii="Arial" w:cs="Arial" w:eastAsia="Arial" w:hAnsi="Arial"/>
          <w:color w:val="333333"/>
          <w:sz w:val="22"/>
          <w:szCs w:val="22"/>
        </w:rPr>
        <w:t xml:space="preserve">RandomForestClassifier o GradientBoostingClassifier con evaluación por Precision, Recall, F1 y AUC-ROC.</w:t>
      </w:r>
    </w:p>
    <w:p>
      <w:pPr>
        <w:pStyle w:val="ListParagraph"/>
        <w:numPr>
          <w:ilvl w:val="0"/>
          <w:numId w:val="2"/>
        </w:numPr>
        <w:spacing w:before="40" w:after="40"/>
      </w:pPr>
      <w:r>
        <w:rPr>
          <w:rFonts w:ascii="Arial" w:cs="Arial" w:eastAsia="Arial" w:hAnsi="Arial"/>
          <w:b/>
          <w:bCs/>
          <w:color w:val="1A1A2E"/>
          <w:sz w:val="22"/>
          <w:szCs w:val="22"/>
        </w:rPr>
        <w:t xml:space="preserve">Gap principal: </w:t>
      </w:r>
      <w:r>
        <w:rPr>
          <w:rFonts w:ascii="Arial" w:cs="Arial" w:eastAsia="Arial" w:hAnsi="Arial"/>
          <w:color w:val="333333"/>
          <w:sz w:val="22"/>
          <w:szCs w:val="22"/>
        </w:rPr>
        <w:t xml:space="preserve">Sin target_turnover, el modelo no puede entrenarse. La v2 documenta el problema pero no lo resuelve — es el trabajo más urgente del Sprint 3.</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8"/>
              <w:bottom w:val="none" w:color="FFFFFF" w:sz="0"/>
              <w:right w:val="none" w:color="FFFFFF" w:sz="0"/>
            </w:tcBorders>
            <w:shd w:fill="EAF7ED" w:val="clear"/>
            <w:tcMar>
              <w:top w:type="dxa" w:w="120"/>
              <w:left w:type="dxa" w:w="240"/>
              <w:bottom w:type="dxa" w:w="120"/>
              <w:right w:type="dxa" w:w="120"/>
            </w:tcMar>
          </w:tcPr>
          <w:p>
            <w:pPr>
              <w:spacing w:before="0" w:after="0"/>
            </w:pPr>
            <w:r>
              <w:rPr>
                <w:rFonts w:ascii="Arial" w:cs="Arial" w:eastAsia="Arial" w:hAnsi="Arial"/>
                <w:i/>
                <w:iCs/>
                <w:color w:val="334455"/>
                <w:sz w:val="21"/>
                <w:szCs w:val="21"/>
              </w:rPr>
              <w:t xml:space="preserve">Nota metodológica: El ewa_risk_score calculado en el pipeline ya encapsula parcialmente el riesgo de rotación (estrés financiero correlaciona con intención de búsqueda activa de empleo). En producción, este score podría usarse como feature de entrada para el modelo de turnover.</w:t>
            </w:r>
          </w:p>
        </w:tc>
      </w:tr>
    </w:tbl>
    <w:p>
      <w:pPr>
        <w:spacing w:before="100" w:after="0"/>
      </w:pPr>
    </w:p>
    <w:p>
      <w:pPr>
        <w:pStyle w:val="Heading2"/>
        <w:spacing w:before="280" w:after="80"/>
      </w:pPr>
      <w:r>
        <w:rPr>
          <w:rFonts w:ascii="Arial" w:cs="Arial" w:eastAsia="Arial" w:hAnsi="Arial"/>
          <w:b/>
          <w:bCs/>
          <w:color w:val="1A6B3A"/>
          <w:sz w:val="26"/>
          <w:szCs w:val="26"/>
        </w:rPr>
        <w:t xml:space="preserve">3.4 Recomendaciones Personalizadas — Estado Reconfirmado</w:t>
      </w:r>
    </w:p>
    <w:p>
      <w:pPr>
        <w:spacing w:before="60" w:after="80"/>
      </w:pPr>
      <w:r>
        <w:rPr>
          <w:rFonts w:ascii="Arial" w:cs="Arial" w:eastAsia="Arial" w:hAnsi="Arial"/>
          <w:color w:val="333333"/>
          <w:sz w:val="22"/>
          <w:szCs w:val="22"/>
        </w:rPr>
        <w:t xml:space="preserve">El sistema de recomendaciones basado en reglas del v1 es reconfirmado en v2 sin modificaciones de código. Se agrega discusión sobre canales de entrega e integración operativa:</w:t>
      </w:r>
    </w:p>
    <w:p>
      <w:pPr>
        <w:pStyle w:val="ListParagraph"/>
        <w:numPr>
          <w:ilvl w:val="0"/>
          <w:numId w:val="2"/>
        </w:numPr>
        <w:spacing w:before="40" w:after="40"/>
      </w:pPr>
      <w:r>
        <w:rPr>
          <w:rFonts w:ascii="Arial" w:cs="Arial" w:eastAsia="Arial" w:hAnsi="Arial"/>
          <w:b/>
          <w:bCs/>
          <w:color w:val="1A1A2E"/>
          <w:sz w:val="22"/>
          <w:szCs w:val="22"/>
        </w:rPr>
        <w:t xml:space="preserve">Canal 1 — Portal del empleado: </w:t>
      </w:r>
      <w:r>
        <w:rPr>
          <w:rFonts w:ascii="Arial" w:cs="Arial" w:eastAsia="Arial" w:hAnsi="Arial"/>
          <w:color w:val="333333"/>
          <w:sz w:val="22"/>
          <w:szCs w:val="22"/>
        </w:rPr>
        <w:t xml:space="preserve">Dashboard personal con score financiero, recomendación activa y acceso a solicitud EWA.</w:t>
      </w:r>
    </w:p>
    <w:p>
      <w:pPr>
        <w:pStyle w:val="ListParagraph"/>
        <w:numPr>
          <w:ilvl w:val="0"/>
          <w:numId w:val="2"/>
        </w:numPr>
        <w:spacing w:before="40" w:after="40"/>
      </w:pPr>
      <w:r>
        <w:rPr>
          <w:rFonts w:ascii="Arial" w:cs="Arial" w:eastAsia="Arial" w:hAnsi="Arial"/>
          <w:b/>
          <w:bCs/>
          <w:color w:val="1A1A2E"/>
          <w:sz w:val="22"/>
          <w:szCs w:val="22"/>
        </w:rPr>
        <w:t xml:space="preserve">Canal 2 — Email/notificación: </w:t>
      </w:r>
      <w:r>
        <w:rPr>
          <w:rFonts w:ascii="Arial" w:cs="Arial" w:eastAsia="Arial" w:hAnsi="Arial"/>
          <w:color w:val="333333"/>
          <w:sz w:val="22"/>
          <w:szCs w:val="22"/>
        </w:rPr>
        <w:t xml:space="preserve">Alertas automáticas para empleados con score que supere el umbral del Q75 o con cambio negativo superior al 20% en su flujo neto.</w:t>
      </w:r>
    </w:p>
    <w:p>
      <w:pPr>
        <w:pStyle w:val="ListParagraph"/>
        <w:numPr>
          <w:ilvl w:val="0"/>
          <w:numId w:val="2"/>
        </w:numPr>
        <w:spacing w:before="40" w:after="40"/>
      </w:pPr>
      <w:r>
        <w:rPr>
          <w:rFonts w:ascii="Arial" w:cs="Arial" w:eastAsia="Arial" w:hAnsi="Arial"/>
          <w:b/>
          <w:bCs/>
          <w:color w:val="1A1A2E"/>
          <w:sz w:val="22"/>
          <w:szCs w:val="22"/>
        </w:rPr>
        <w:t xml:space="preserve">Canal 3 — Alerta RRHH: </w:t>
      </w:r>
      <w:r>
        <w:rPr>
          <w:rFonts w:ascii="Arial" w:cs="Arial" w:eastAsia="Arial" w:hAnsi="Arial"/>
          <w:color w:val="333333"/>
          <w:sz w:val="22"/>
          <w:szCs w:val="22"/>
        </w:rPr>
        <w:t xml:space="preserve">Dashboard para supervisores con vista del ewa_risk_score del equipo y banderas de riesgo individual.</w:t>
      </w:r>
    </w:p>
    <w:p>
      <w:pPr>
        <w:pStyle w:val="ListParagraph"/>
        <w:numPr>
          <w:ilvl w:val="0"/>
          <w:numId w:val="2"/>
        </w:numPr>
        <w:spacing w:before="40" w:after="40"/>
      </w:pPr>
      <w:r>
        <w:rPr>
          <w:rFonts w:ascii="Arial" w:cs="Arial" w:eastAsia="Arial" w:hAnsi="Arial"/>
          <w:b/>
          <w:bCs/>
          <w:color w:val="1A1A2E"/>
          <w:sz w:val="22"/>
          <w:szCs w:val="22"/>
        </w:rPr>
        <w:t xml:space="preserve">Feedback loop: </w:t>
      </w:r>
      <w:r>
        <w:rPr>
          <w:rFonts w:ascii="Arial" w:cs="Arial" w:eastAsia="Arial" w:hAnsi="Arial"/>
          <w:color w:val="333333"/>
          <w:sz w:val="22"/>
          <w:szCs w:val="22"/>
        </w:rPr>
        <w:t xml:space="preserve">Planificado pero no implementado — sistema de seguimiento del impacto de las recomendaciones en el comportamiento EWA posterior.</w:t>
      </w:r>
    </w:p>
    <w:p>
      <w:pPr>
        <w:spacing w:before="100" w:after="0"/>
      </w:pPr>
    </w:p>
    <w:p>
      <w:r>
        <w:br w:type="page"/>
      </w:r>
    </w:p>
    <w:p>
      <w:pPr>
        <w:pStyle w:val="Heading1"/>
        <w:pBdr>
          <w:bottom w:val="single" w:color="1A6B3A" w:sz="8" w:space="4"/>
        </w:pBdr>
        <w:spacing w:before="360" w:after="120"/>
      </w:pPr>
      <w:r>
        <w:rPr>
          <w:rFonts w:ascii="Arial" w:cs="Arial" w:eastAsia="Arial" w:hAnsi="Arial"/>
          <w:b/>
          <w:bCs/>
          <w:color w:val="1B3A5C"/>
          <w:sz w:val="30"/>
          <w:szCs w:val="30"/>
        </w:rPr>
        <w:t xml:space="preserve">4. Estado Actualizado de los 5 Modelos</w:t>
      </w:r>
    </w:p>
    <w:p>
      <w:pPr>
        <w:spacing w:before="60" w:after="80"/>
      </w:pPr>
      <w:r>
        <w:rPr>
          <w:rFonts w:ascii="Arial" w:cs="Arial" w:eastAsia="Arial" w:hAnsi="Arial"/>
          <w:color w:val="333333"/>
          <w:sz w:val="22"/>
          <w:szCs w:val="22"/>
        </w:rPr>
        <w:t xml:space="preserve">Los modelos base (M1–M3) no fueron modificados en v2. Sus métricas son idénticas a v1. Los modelos M4 y M5 fueron reconfirmados y contextualizados dentro del Plan de Acción.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Modelo</w:t>
            </w:r>
          </w:p>
        </w:tc>
        <w:tc>
          <w:tcPr>
            <w:tcW w:type="dxa" w:w="20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Métrica</w:t>
            </w:r>
          </w:p>
        </w:tc>
        <w:tc>
          <w:tcPr>
            <w:tcW w:type="dxa" w:w="18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Valor</w:t>
            </w:r>
          </w:p>
        </w:tc>
        <w:tc>
          <w:tcPr>
            <w:tcW w:type="dxa" w:w="256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Interpretación</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M1 — Regresión (Monto EWA)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R²</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0.95 (sin cambios)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Robusto · hiperparámetros sin optimizar</w:t>
            </w:r>
          </w:p>
        </w:tc>
      </w:tr>
      <w:tr>
        <w:tc>
          <w:tcPr>
            <w:tcW w:type="dxa" w:w="3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M1 — Regresión (Monto EWA)</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MAE</w:t>
            </w:r>
          </w:p>
        </w:tc>
        <w:tc>
          <w:tcPr>
            <w:tcW w:type="dxa" w:w="1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250.37 PEN (sin cambios)</w:t>
            </w:r>
          </w:p>
        </w:tc>
        <w:tc>
          <w:tcPr>
            <w:tcW w:type="dxa" w:w="256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~10% del salario promedio</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M1 — Regresión (Monto EWA)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MSE</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146,340.88 (sin cambios)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Igual que v1</w:t>
            </w:r>
          </w:p>
        </w:tc>
      </w:tr>
      <w:tr>
        <w:tc>
          <w:tcPr>
            <w:tcW w:type="dxa" w:w="3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M2 — Clasificación (Prob. EWA)</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AUC-ROC</w:t>
            </w:r>
          </w:p>
        </w:tc>
        <w:tc>
          <w:tcPr>
            <w:tcW w:type="dxa" w:w="1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1.00 ⚠ (sin cambios)</w:t>
            </w:r>
          </w:p>
        </w:tc>
        <w:tc>
          <w:tcPr>
            <w:tcW w:type="dxa" w:w="256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Auditoría data leakage PENDIENTE</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M2 — Clasificación (Prob. EWA)</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Accuracy/F1</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1.00 / 1.00 ⚠ (sin cambios)</w:t>
            </w:r>
          </w:p>
        </w:tc>
        <w:tc>
          <w:tcPr>
            <w:tcW w:type="dxa" w:w="2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Métricas perfectas no resueltas</w:t>
            </w:r>
          </w:p>
        </w:tc>
      </w:tr>
      <w:tr>
        <w:tc>
          <w:tcPr>
            <w:tcW w:type="dxa" w:w="3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M3 — K-Means Clustering</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K óptimo</w:t>
            </w:r>
          </w:p>
        </w:tc>
        <w:tc>
          <w:tcPr>
            <w:tcW w:type="dxa" w:w="1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4 clusters (sin cambios)</w:t>
            </w:r>
          </w:p>
        </w:tc>
        <w:tc>
          <w:tcPr>
            <w:tcW w:type="dxa" w:w="256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Silhouette aún comentado en código</w:t>
            </w:r>
          </w:p>
        </w:tc>
      </w:tr>
      <w:tr>
        <w:tc>
          <w:tcPr>
            <w:tcW w:type="dxa" w:w="3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M4 — EWA Risk Score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Q75 umbral</w:t>
            </w:r>
          </w:p>
        </w:tc>
        <w:tc>
          <w:tcPr>
            <w:tcW w:type="dxa" w:w="18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50.38 (NEW: aplicado)</w:t>
            </w:r>
          </w:p>
        </w:tc>
        <w:tc>
          <w:tcPr>
            <w:tcW w:type="dxa" w:w="256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250 empleados de alto riesgo</w:t>
            </w:r>
          </w:p>
        </w:tc>
      </w:tr>
      <w:tr>
        <w:tc>
          <w:tcPr>
            <w:tcW w:type="dxa" w:w="3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M5 — Recomendaciones</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Cobertura</w:t>
            </w:r>
          </w:p>
        </w:tc>
        <w:tc>
          <w:tcPr>
            <w:tcW w:type="dxa" w:w="18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1,000 empleados (reconfirmado)</w:t>
            </w:r>
          </w:p>
        </w:tc>
        <w:tc>
          <w:tcPr>
            <w:tcW w:type="dxa" w:w="256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9 tipos de recomendación activos</w:t>
            </w:r>
          </w:p>
        </w:tc>
      </w:tr>
    </w:tbl>
    <w:p>
      <w:pPr>
        <w:spacing w:before="100" w:after="0"/>
      </w:pPr>
    </w:p>
    <w:p>
      <w:pPr>
        <w:pStyle w:val="Heading1"/>
        <w:pBdr>
          <w:bottom w:val="single" w:color="1A6B3A" w:sz="8" w:space="4"/>
        </w:pBdr>
        <w:spacing w:before="360" w:after="120"/>
      </w:pPr>
      <w:r>
        <w:rPr>
          <w:rFonts w:ascii="Arial" w:cs="Arial" w:eastAsia="Arial" w:hAnsi="Arial"/>
          <w:b/>
          <w:bCs/>
          <w:color w:val="1B3A5C"/>
          <w:sz w:val="30"/>
          <w:szCs w:val="30"/>
        </w:rPr>
        <w:t xml:space="preserve">5. Mapa de Brechas Técnicas — Estado v2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480"/>
        <w:gridCol w:w="2480"/>
      </w:tblGrid>
      <w:tr>
        <w:tc>
          <w:tcPr>
            <w:tcW w:type="dxa" w:w="34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Brecha Técnica</w:t>
            </w:r>
          </w:p>
        </w:tc>
        <w:tc>
          <w:tcPr>
            <w:tcW w:type="dxa" w:w="200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Criticidad</w:t>
            </w:r>
          </w:p>
        </w:tc>
        <w:tc>
          <w:tcPr>
            <w:tcW w:type="dxa" w:w="148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v1</w:t>
            </w:r>
          </w:p>
        </w:tc>
        <w:tc>
          <w:tcPr>
            <w:tcW w:type="dxa" w:w="2480"/>
            <w:tcBorders>
              <w:top w:val="single" w:color="BBCFE0" w:sz="1"/>
              <w:left w:val="single" w:color="BBCFE0" w:sz="1"/>
              <w:bottom w:val="single" w:color="BBCFE0" w:sz="1"/>
              <w:right w:val="single" w:color="BBCFE0" w:sz="1"/>
            </w:tcBorders>
            <w:shd w:fill="1B3A5C" w:val="clear"/>
            <w:tcMar>
              <w:top w:type="dxa" w:w="100"/>
              <w:left w:type="dxa" w:w="140"/>
              <w:bottom w:type="dxa" w:w="100"/>
              <w:right w:type="dxa" w:w="80"/>
            </w:tcMar>
          </w:tcPr>
          <w:p>
            <w:pPr>
              <w:jc w:val="center"/>
            </w:pPr>
            <w:r>
              <w:rPr>
                <w:rFonts w:ascii="Arial" w:cs="Arial" w:eastAsia="Arial" w:hAnsi="Arial"/>
                <w:b/>
                <w:bCs/>
                <w:color w:val="FFFFFF"/>
                <w:sz w:val="19"/>
                <w:szCs w:val="19"/>
              </w:rPr>
              <w:t xml:space="preserve">v2</w:t>
            </w:r>
          </w:p>
        </w:tc>
      </w:tr>
      <w:tr>
        <w:tc>
          <w:tcPr>
            <w:tcW w:type="dxa" w:w="3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Data leakage en Modelo de Clasificación</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CRÍTICA</w:t>
            </w:r>
          </w:p>
        </w:tc>
        <w:tc>
          <w:tcPr>
            <w:tcW w:type="dxa" w:w="1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Alertado</w:t>
            </w:r>
          </w:p>
        </w:tc>
        <w:tc>
          <w:tcPr>
            <w:tcW w:type="dxa" w:w="2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Sin resolver</w:t>
            </w:r>
          </w:p>
        </w:tc>
      </w:tr>
      <w:tr>
        <w:tc>
          <w:tcPr>
            <w:tcW w:type="dxa" w:w="34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Sin optimización de hiperparámetros (M1, M2)</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ALTA</w:t>
            </w:r>
          </w:p>
        </w:tc>
        <w:tc>
          <w:tcPr>
            <w:tcW w:type="dxa" w:w="1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Alertado</w:t>
            </w:r>
          </w:p>
        </w:tc>
        <w:tc>
          <w:tcPr>
            <w:tcW w:type="dxa" w:w="2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Sin resolver</w:t>
            </w:r>
          </w:p>
        </w:tc>
      </w:tr>
      <w:tr>
        <w:tc>
          <w:tcPr>
            <w:tcW w:type="dxa" w:w="3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K en clustering no validado estadísticamente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MEDIA</w:t>
            </w:r>
          </w:p>
        </w:tc>
        <w:tc>
          <w:tcPr>
            <w:tcW w:type="dxa" w:w="1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Alertado</w:t>
            </w:r>
          </w:p>
        </w:tc>
        <w:tc>
          <w:tcPr>
            <w:tcW w:type="dxa" w:w="2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Sin resolver</w:t>
            </w:r>
          </w:p>
        </w:tc>
      </w:tr>
      <w:tr>
        <w:tc>
          <w:tcPr>
            <w:tcW w:type="dxa" w:w="34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Sin cross-validation k-fold</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MEDIA</w:t>
            </w:r>
          </w:p>
        </w:tc>
        <w:tc>
          <w:tcPr>
            <w:tcW w:type="dxa" w:w="1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Alertado</w:t>
            </w:r>
          </w:p>
        </w:tc>
        <w:tc>
          <w:tcPr>
            <w:tcW w:type="dxa" w:w="2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Sin resolver</w:t>
            </w:r>
          </w:p>
        </w:tc>
      </w:tr>
      <w:tr>
        <w:tc>
          <w:tcPr>
            <w:tcW w:type="dxa" w:w="3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target_turnover ausente</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ALTA</w:t>
            </w:r>
          </w:p>
        </w:tc>
        <w:tc>
          <w:tcPr>
            <w:tcW w:type="dxa" w:w="1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Identificado</w:t>
            </w:r>
          </w:p>
        </w:tc>
        <w:tc>
          <w:tcPr>
            <w:tcW w:type="dxa" w:w="2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Planificado en v2</w:t>
            </w:r>
          </w:p>
        </w:tc>
      </w:tr>
      <w:tr>
        <w:tc>
          <w:tcPr>
            <w:tcW w:type="dxa" w:w="34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Índice de engagement insuficiente</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MEDIA</w:t>
            </w:r>
          </w:p>
        </w:tc>
        <w:tc>
          <w:tcPr>
            <w:tcW w:type="dxa" w:w="1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Identificado</w:t>
            </w:r>
          </w:p>
        </w:tc>
        <w:tc>
          <w:tcPr>
            <w:tcW w:type="dxa" w:w="2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Planificado en v2</w:t>
            </w:r>
          </w:p>
        </w:tc>
      </w:tr>
      <w:tr>
        <w:tc>
          <w:tcPr>
            <w:tcW w:type="dxa" w:w="3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Recomendaciones estáticas (sin LLM)</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BAJA</w:t>
            </w:r>
          </w:p>
        </w:tc>
        <w:tc>
          <w:tcPr>
            <w:tcW w:type="dxa" w:w="1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Identificado</w:t>
            </w:r>
          </w:p>
        </w:tc>
        <w:tc>
          <w:tcPr>
            <w:tcW w:type="dxa" w:w="2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Planificado en v2</w:t>
            </w:r>
          </w:p>
        </w:tc>
      </w:tr>
      <w:tr>
        <w:tc>
          <w:tcPr>
            <w:tcW w:type="dxa" w:w="34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Sin datos reales de PYMES piloto</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CRÍTICA</w:t>
            </w:r>
          </w:p>
        </w:tc>
        <w:tc>
          <w:tcPr>
            <w:tcW w:type="dxa" w:w="1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Identificado</w:t>
            </w:r>
          </w:p>
        </w:tc>
        <w:tc>
          <w:tcPr>
            <w:tcW w:type="dxa" w:w="2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Sin resolver — prioridad Sprint 3</w:t>
            </w:r>
          </w:p>
        </w:tc>
      </w:tr>
      <w:tr>
        <w:tc>
          <w:tcPr>
            <w:tcW w:type="dxa" w:w="34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Pesos EWA Risk Score heurísticos</w:t>
            </w:r>
          </w:p>
        </w:tc>
        <w:tc>
          <w:tcPr>
            <w:tcW w:type="dxa" w:w="200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MEDIA</w:t>
            </w:r>
          </w:p>
        </w:tc>
        <w:tc>
          <w:tcPr>
            <w:tcW w:type="dxa" w:w="1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Alertado</w:t>
            </w:r>
          </w:p>
        </w:tc>
        <w:tc>
          <w:tcPr>
            <w:tcW w:type="dxa" w:w="2480"/>
            <w:tcBorders>
              <w:top w:val="single" w:color="BBCFE0" w:sz="1"/>
              <w:left w:val="single" w:color="BBCFE0" w:sz="1"/>
              <w:bottom w:val="single" w:color="BBCFE0" w:sz="1"/>
              <w:right w:val="single" w:color="BBCFE0" w:sz="1"/>
            </w:tcBorders>
            <w:shd w:fill="FFFFFF" w:val="clear"/>
            <w:tcMar>
              <w:top w:type="dxa" w:w="80"/>
              <w:left w:type="dxa" w:w="140"/>
              <w:bottom w:type="dxa" w:w="80"/>
              <w:right w:type="dxa" w:w="80"/>
            </w:tcMar>
          </w:tcPr>
          <w:p>
            <w:r>
              <w:rPr>
                <w:rFonts w:ascii="Arial" w:cs="Arial" w:eastAsia="Arial" w:hAnsi="Arial"/>
                <w:color w:val="333333"/>
                <w:sz w:val="19"/>
                <w:szCs w:val="19"/>
              </w:rPr>
              <w:t xml:space="preserve">⚠ Sin resolver</w:t>
            </w:r>
          </w:p>
        </w:tc>
      </w:tr>
      <w:tr>
        <w:tc>
          <w:tcPr>
            <w:tcW w:type="dxa" w:w="34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Estimación agregada de demanda EWA</w:t>
            </w:r>
          </w:p>
        </w:tc>
        <w:tc>
          <w:tcPr>
            <w:tcW w:type="dxa" w:w="200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w:t>
            </w:r>
          </w:p>
        </w:tc>
        <w:tc>
          <w:tcPr>
            <w:tcW w:type="dxa" w:w="1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Ausente</w:t>
            </w:r>
          </w:p>
        </w:tc>
        <w:tc>
          <w:tcPr>
            <w:tcW w:type="dxa" w:w="2480"/>
            <w:tcBorders>
              <w:top w:val="single" w:color="BBCFE0" w:sz="1"/>
              <w:left w:val="single" w:color="BBCFE0" w:sz="1"/>
              <w:bottom w:val="single" w:color="BBCFE0" w:sz="1"/>
              <w:right w:val="single" w:color="BBCFE0" w:sz="1"/>
            </w:tcBorders>
            <w:shd w:fill="EAF7ED" w:val="clear"/>
            <w:tcMar>
              <w:top w:type="dxa" w:w="80"/>
              <w:left w:type="dxa" w:w="140"/>
              <w:bottom w:type="dxa" w:w="80"/>
              <w:right w:type="dxa" w:w="80"/>
            </w:tcMar>
          </w:tcPr>
          <w:p>
            <w:r>
              <w:rPr>
                <w:rFonts w:ascii="Arial" w:cs="Arial" w:eastAsia="Arial" w:hAnsi="Arial"/>
                <w:color w:val="333333"/>
                <w:sz w:val="19"/>
                <w:szCs w:val="19"/>
              </w:rPr>
              <w:t xml:space="preserve">✅ IMPLEMENTADO en v2</w:t>
            </w:r>
          </w:p>
        </w:tc>
      </w:tr>
    </w:tbl>
    <w:p>
      <w:pPr>
        <w:spacing w:before="100" w:after="0"/>
      </w:pPr>
    </w:p>
    <w:p>
      <w:pPr>
        <w:pStyle w:val="Heading1"/>
        <w:pBdr>
          <w:bottom w:val="single" w:color="1A6B3A" w:sz="8" w:space="4"/>
        </w:pBdr>
        <w:spacing w:before="360" w:after="120"/>
      </w:pPr>
      <w:r>
        <w:rPr>
          <w:rFonts w:ascii="Arial" w:cs="Arial" w:eastAsia="Arial" w:hAnsi="Arial"/>
          <w:b/>
          <w:bCs/>
          <w:color w:val="1B3A5C"/>
          <w:sz w:val="30"/>
          <w:szCs w:val="30"/>
        </w:rPr>
        <w:t xml:space="preserve">6. Hoja de Ruta Técnica Revisada — Sprint 3 en adelante</w:t>
      </w:r>
    </w:p>
    <w:p>
      <w:pPr>
        <w:pStyle w:val="Heading2"/>
        <w:spacing w:before="280" w:after="80"/>
      </w:pPr>
      <w:r>
        <w:rPr>
          <w:rFonts w:ascii="Arial" w:cs="Arial" w:eastAsia="Arial" w:hAnsi="Arial"/>
          <w:b/>
          <w:bCs/>
          <w:color w:val="1A6B3A"/>
          <w:sz w:val="26"/>
          <w:szCs w:val="26"/>
        </w:rPr>
        <w:t xml:space="preserve">Sprint 3 — Prioridades Críticas (no movibles)</w:t>
      </w:r>
    </w:p>
    <w:p>
      <w:pPr>
        <w:pStyle w:val="ListParagraph"/>
        <w:numPr>
          <w:ilvl w:val="0"/>
          <w:numId w:val="2"/>
        </w:numPr>
        <w:spacing w:before="40" w:after="40"/>
      </w:pPr>
      <w:r>
        <w:rPr>
          <w:rFonts w:ascii="Arial" w:cs="Arial" w:eastAsia="Arial" w:hAnsi="Arial"/>
          <w:b/>
          <w:bCs/>
          <w:color w:val="1A1A2E"/>
          <w:sz w:val="22"/>
          <w:szCs w:val="22"/>
        </w:rPr>
        <w:t xml:space="preserve">1. Resolver data leakage en M2: </w:t>
      </w:r>
      <w:r>
        <w:rPr>
          <w:rFonts w:ascii="Arial" w:cs="Arial" w:eastAsia="Arial" w:hAnsi="Arial"/>
          <w:color w:val="333333"/>
          <w:sz w:val="22"/>
          <w:szCs w:val="22"/>
        </w:rPr>
        <w:t xml:space="preserve">Rediseñar la construcción del target con ventana temporal (features hasta fecha t-1 → EWA en t). Evaluar si num_ewa_requests debe excluirse del feature set para evitar contaminación.</w:t>
      </w:r>
    </w:p>
    <w:p>
      <w:pPr>
        <w:pStyle w:val="ListParagraph"/>
        <w:numPr>
          <w:ilvl w:val="0"/>
          <w:numId w:val="2"/>
        </w:numPr>
        <w:spacing w:before="40" w:after="40"/>
      </w:pPr>
      <w:r>
        <w:rPr>
          <w:rFonts w:ascii="Arial" w:cs="Arial" w:eastAsia="Arial" w:hAnsi="Arial"/>
          <w:b/>
          <w:bCs/>
          <w:color w:val="1A1A2E"/>
          <w:sz w:val="22"/>
          <w:szCs w:val="22"/>
        </w:rPr>
        <w:t xml:space="preserve">2. Acuerdo piloto con PYME real: </w:t>
      </w:r>
      <w:r>
        <w:rPr>
          <w:rFonts w:ascii="Arial" w:cs="Arial" w:eastAsia="Arial" w:hAnsi="Arial"/>
          <w:color w:val="333333"/>
          <w:sz w:val="22"/>
          <w:szCs w:val="22"/>
        </w:rPr>
        <w:t xml:space="preserve">Establecer convenio con al menos una empresa en Trujillo o Chiclayo para recolectar datos de nómina y solicitudes EWA reales. Sin datos reales, el pipeline opera en vacío.</w:t>
      </w:r>
    </w:p>
    <w:p>
      <w:pPr>
        <w:pStyle w:val="ListParagraph"/>
        <w:numPr>
          <w:ilvl w:val="0"/>
          <w:numId w:val="2"/>
        </w:numPr>
        <w:spacing w:before="40" w:after="40"/>
      </w:pPr>
      <w:r>
        <w:rPr>
          <w:rFonts w:ascii="Arial" w:cs="Arial" w:eastAsia="Arial" w:hAnsi="Arial"/>
          <w:b/>
          <w:bCs/>
          <w:color w:val="1A1A2E"/>
          <w:sz w:val="22"/>
          <w:szCs w:val="22"/>
        </w:rPr>
        <w:t xml:space="preserve">3. Construir target_turnover: </w:t>
      </w:r>
      <w:r>
        <w:rPr>
          <w:rFonts w:ascii="Arial" w:cs="Arial" w:eastAsia="Arial" w:hAnsi="Arial"/>
          <w:color w:val="333333"/>
          <w:sz w:val="22"/>
          <w:szCs w:val="22"/>
        </w:rPr>
        <w:t xml:space="preserve">Obtener del área de RRHH de la PYME piloto el registro histórico de egresos voluntarios (mínimo 12 meses). Binarizar como 1 = egresó en los últimos 6 meses.</w:t>
      </w:r>
    </w:p>
    <w:p>
      <w:pPr>
        <w:spacing w:before="60" w:after="0"/>
      </w:pPr>
    </w:p>
    <w:p>
      <w:pPr>
        <w:pStyle w:val="Heading2"/>
        <w:spacing w:before="280" w:after="80"/>
      </w:pPr>
      <w:r>
        <w:rPr>
          <w:rFonts w:ascii="Arial" w:cs="Arial" w:eastAsia="Arial" w:hAnsi="Arial"/>
          <w:b/>
          <w:bCs/>
          <w:color w:val="1A6B3A"/>
          <w:sz w:val="26"/>
          <w:szCs w:val="26"/>
        </w:rPr>
        <w:t xml:space="preserve">Sprint 4 — Mejoras de Calidad Estadística</w:t>
      </w:r>
    </w:p>
    <w:p>
      <w:pPr>
        <w:pStyle w:val="ListParagraph"/>
        <w:numPr>
          <w:ilvl w:val="0"/>
          <w:numId w:val="2"/>
        </w:numPr>
        <w:spacing w:before="40" w:after="40"/>
      </w:pPr>
      <w:r>
        <w:rPr>
          <w:rFonts w:ascii="Arial" w:cs="Arial" w:eastAsia="Arial" w:hAnsi="Arial"/>
          <w:b/>
          <w:bCs/>
          <w:color w:val="1A1A2E"/>
          <w:sz w:val="22"/>
          <w:szCs w:val="22"/>
        </w:rPr>
        <w:t xml:space="preserve">Optimización de hiperparámetros: </w:t>
      </w:r>
      <w:r>
        <w:rPr>
          <w:rFonts w:ascii="Arial" w:cs="Arial" w:eastAsia="Arial" w:hAnsi="Arial"/>
          <w:color w:val="333333"/>
          <w:sz w:val="22"/>
          <w:szCs w:val="22"/>
        </w:rPr>
        <w:t xml:space="preserve">RandomizedSearchCV para M1 y M2. Comparar RandomForest vs GradientBoosting para ambos modelos.</w:t>
      </w:r>
    </w:p>
    <w:p>
      <w:pPr>
        <w:pStyle w:val="ListParagraph"/>
        <w:numPr>
          <w:ilvl w:val="0"/>
          <w:numId w:val="2"/>
        </w:numPr>
        <w:spacing w:before="40" w:after="40"/>
      </w:pPr>
      <w:r>
        <w:rPr>
          <w:rFonts w:ascii="Arial" w:cs="Arial" w:eastAsia="Arial" w:hAnsi="Arial"/>
          <w:b/>
          <w:bCs/>
          <w:color w:val="1A1A2E"/>
          <w:sz w:val="22"/>
          <w:szCs w:val="22"/>
        </w:rPr>
        <w:t xml:space="preserve">Cross-validation: </w:t>
      </w:r>
      <w:r>
        <w:rPr>
          <w:rFonts w:ascii="Arial" w:cs="Arial" w:eastAsia="Arial" w:hAnsi="Arial"/>
          <w:color w:val="333333"/>
          <w:sz w:val="22"/>
          <w:szCs w:val="22"/>
        </w:rPr>
        <w:t xml:space="preserve">Implementar StratifiedKFold (k=5) para el clasificador. KFold (k=5) para el regresor.</w:t>
      </w:r>
    </w:p>
    <w:p>
      <w:pPr>
        <w:pStyle w:val="ListParagraph"/>
        <w:numPr>
          <w:ilvl w:val="0"/>
          <w:numId w:val="2"/>
        </w:numPr>
        <w:spacing w:before="40" w:after="40"/>
      </w:pPr>
      <w:r>
        <w:rPr>
          <w:rFonts w:ascii="Arial" w:cs="Arial" w:eastAsia="Arial" w:hAnsi="Arial"/>
          <w:b/>
          <w:bCs/>
          <w:color w:val="1A1A2E"/>
          <w:sz w:val="22"/>
          <w:szCs w:val="22"/>
        </w:rPr>
        <w:t xml:space="preserve">Validación de K en clustering: </w:t>
      </w:r>
      <w:r>
        <w:rPr>
          <w:rFonts w:ascii="Arial" w:cs="Arial" w:eastAsia="Arial" w:hAnsi="Arial"/>
          <w:color w:val="333333"/>
          <w:sz w:val="22"/>
          <w:szCs w:val="22"/>
        </w:rPr>
        <w:t xml:space="preserve">Descomentar y ejecutar silhouette_score. Comparar K=3, 4, 5 con ambas métricas y seleccionar con justificación estadística.</w:t>
      </w:r>
    </w:p>
    <w:p>
      <w:pPr>
        <w:pStyle w:val="ListParagraph"/>
        <w:numPr>
          <w:ilvl w:val="0"/>
          <w:numId w:val="2"/>
        </w:numPr>
        <w:spacing w:before="40" w:after="40"/>
      </w:pPr>
      <w:r>
        <w:rPr>
          <w:rFonts w:ascii="Arial" w:cs="Arial" w:eastAsia="Arial" w:hAnsi="Arial"/>
          <w:b/>
          <w:bCs/>
          <w:color w:val="1A1A2E"/>
          <w:sz w:val="22"/>
          <w:szCs w:val="22"/>
        </w:rPr>
        <w:t xml:space="preserve">Calibrar pesos del EWA Risk Score: </w:t>
      </w:r>
      <w:r>
        <w:rPr>
          <w:rFonts w:ascii="Arial" w:cs="Arial" w:eastAsia="Arial" w:hAnsi="Arial"/>
          <w:color w:val="333333"/>
          <w:sz w:val="22"/>
          <w:szCs w:val="22"/>
        </w:rPr>
        <w:t xml:space="preserve">Una vez disponibles datos reales con outcomes, usar regresión logística para derivar pesos óptimos de cada componente del score.</w:t>
      </w:r>
    </w:p>
    <w:p>
      <w:pPr>
        <w:spacing w:before="60" w:after="0"/>
      </w:pPr>
    </w:p>
    <w:p>
      <w:pPr>
        <w:pStyle w:val="Heading2"/>
        <w:spacing w:before="280" w:after="80"/>
      </w:pPr>
      <w:r>
        <w:rPr>
          <w:rFonts w:ascii="Arial" w:cs="Arial" w:eastAsia="Arial" w:hAnsi="Arial"/>
          <w:b/>
          <w:bCs/>
          <w:color w:val="1A6B3A"/>
          <w:sz w:val="26"/>
          <w:szCs w:val="26"/>
        </w:rPr>
        <w:t xml:space="preserve">Sprint 5 — Visión de Producto</w:t>
      </w:r>
    </w:p>
    <w:p>
      <w:pPr>
        <w:pStyle w:val="ListParagraph"/>
        <w:numPr>
          <w:ilvl w:val="0"/>
          <w:numId w:val="2"/>
        </w:numPr>
        <w:spacing w:before="40" w:after="40"/>
      </w:pPr>
      <w:r>
        <w:rPr>
          <w:rFonts w:ascii="Arial" w:cs="Arial" w:eastAsia="Arial" w:hAnsi="Arial"/>
          <w:b/>
          <w:bCs/>
          <w:color w:val="1A1A2E"/>
          <w:sz w:val="22"/>
          <w:szCs w:val="22"/>
        </w:rPr>
        <w:t xml:space="preserve">Dashboard operativo (Streamlit/Dash): </w:t>
      </w:r>
      <w:r>
        <w:rPr>
          <w:rFonts w:ascii="Arial" w:cs="Arial" w:eastAsia="Arial" w:hAnsi="Arial"/>
          <w:color w:val="333333"/>
          <w:sz w:val="22"/>
          <w:szCs w:val="22"/>
        </w:rPr>
        <w:t xml:space="preserve">Panel de RRHH con visualización en tiempo real del ewa_risk_score, clusters, recomendaciones activas y alertas de umbral.</w:t>
      </w:r>
    </w:p>
    <w:p>
      <w:pPr>
        <w:pStyle w:val="ListParagraph"/>
        <w:numPr>
          <w:ilvl w:val="0"/>
          <w:numId w:val="2"/>
        </w:numPr>
        <w:spacing w:before="40" w:after="40"/>
      </w:pPr>
      <w:r>
        <w:rPr>
          <w:rFonts w:ascii="Arial" w:cs="Arial" w:eastAsia="Arial" w:hAnsi="Arial"/>
          <w:b/>
          <w:bCs/>
          <w:color w:val="1A1A2E"/>
          <w:sz w:val="22"/>
          <w:szCs w:val="22"/>
        </w:rPr>
        <w:t xml:space="preserve">Recomendaciones con Claude API: </w:t>
      </w:r>
      <w:r>
        <w:rPr>
          <w:rFonts w:ascii="Arial" w:cs="Arial" w:eastAsia="Arial" w:hAnsi="Arial"/>
          <w:color w:val="333333"/>
          <w:sz w:val="22"/>
          <w:szCs w:val="22"/>
        </w:rPr>
        <w:t xml:space="preserve">Reemplazar el generador de reglas estático por un módulo que llame al API de Claude para generar recomendaciones contextuales y conversacionales por empleado.</w:t>
      </w:r>
    </w:p>
    <w:p>
      <w:pPr>
        <w:pStyle w:val="ListParagraph"/>
        <w:numPr>
          <w:ilvl w:val="0"/>
          <w:numId w:val="2"/>
        </w:numPr>
        <w:spacing w:before="40" w:after="40"/>
      </w:pPr>
      <w:r>
        <w:rPr>
          <w:rFonts w:ascii="Arial" w:cs="Arial" w:eastAsia="Arial" w:hAnsi="Arial"/>
          <w:b/>
          <w:bCs/>
          <w:color w:val="1A1A2E"/>
          <w:sz w:val="22"/>
          <w:szCs w:val="22"/>
        </w:rPr>
        <w:t xml:space="preserve">Marco SBS/BCRP: </w:t>
      </w:r>
      <w:r>
        <w:rPr>
          <w:rFonts w:ascii="Arial" w:cs="Arial" w:eastAsia="Arial" w:hAnsi="Arial"/>
          <w:color w:val="333333"/>
          <w:sz w:val="22"/>
          <w:szCs w:val="22"/>
        </w:rPr>
        <w:t xml:space="preserve">Documentar alineamiento del sistema con el sandbox fintech del SBS y las disposiciones del BCRP sobre plataformas de crédito anticipado de salario en Perú.</w:t>
      </w:r>
    </w:p>
    <w:p>
      <w:pPr>
        <w:spacing w:before="100" w:after="0"/>
      </w:pPr>
    </w:p>
    <w:p>
      <w:r>
        <w:br w:type="page"/>
      </w:r>
    </w:p>
    <w:p>
      <w:pPr>
        <w:pStyle w:val="Heading1"/>
        <w:pBdr>
          <w:bottom w:val="single" w:color="1A6B3A" w:sz="8" w:space="4"/>
        </w:pBdr>
        <w:spacing w:before="360" w:after="120"/>
      </w:pPr>
      <w:r>
        <w:rPr>
          <w:rFonts w:ascii="Arial" w:cs="Arial" w:eastAsia="Arial" w:hAnsi="Arial"/>
          <w:b/>
          <w:bCs/>
          <w:color w:val="1B3A5C"/>
          <w:sz w:val="30"/>
          <w:szCs w:val="30"/>
        </w:rPr>
        <w:t xml:space="preserve">7. Conclusiones</w:t>
      </w:r>
    </w:p>
    <w:p>
      <w:pPr>
        <w:spacing w:before="60" w:after="80"/>
      </w:pPr>
      <w:r>
        <w:rPr>
          <w:rFonts w:ascii="Arial" w:cs="Arial" w:eastAsia="Arial" w:hAnsi="Arial"/>
          <w:color w:val="333333"/>
          <w:sz w:val="22"/>
          <w:szCs w:val="22"/>
        </w:rPr>
        <w:t xml:space="preserve">La versión 2 del notebook representa un avance significativo en la dimensión de producto y estrategia, pero un avance nulo en la dimensión técnico-estadística. Esta asimetría es la principal lectura del informe delta.</w:t>
      </w:r>
    </w:p>
    <w:p>
      <w:pPr>
        <w:spacing w:before="60" w:after="80"/>
      </w:pPr>
      <w:r>
        <w:rPr>
          <w:rFonts w:ascii="Arial" w:cs="Arial" w:eastAsia="Arial" w:hAnsi="Arial"/>
          <w:color w:val="333333"/>
          <w:sz w:val="22"/>
          <w:szCs w:val="22"/>
        </w:rPr>
        <w:t xml:space="preserve">En el lado positivo: la incorporación del Plan de Acción transforma el pipeline de un experimento de modelado en una herramienta de gestión accionable. El hecho de que 250 empleados (25% del total) concentren el riesgo EWA, con un 98.4% de educación financiera baja y una demanda proyectada de S/. 2.39M, son cifras con valor ejecutivo real que un CFO o Director de RRHH puede utilizar en decisiones de capital y bienestar.</w:t>
      </w:r>
    </w:p>
    <w:p>
      <w:pPr>
        <w:spacing w:before="60" w:after="80"/>
      </w:pPr>
      <w:r>
        <w:rPr>
          <w:rFonts w:ascii="Arial" w:cs="Arial" w:eastAsia="Arial" w:hAnsi="Arial"/>
          <w:color w:val="333333"/>
          <w:sz w:val="22"/>
          <w:szCs w:val="22"/>
        </w:rPr>
        <w:t xml:space="preserve">En el lado pendiente: las cuatro brechas técnicas críticas del v1 (data leakage en M2, sin optimización, sin cross-validation, K no validado) no fueron abordadas. Esto no invalida la utilidad del sistema sobre datos sintéticos, pero sí limita la confianza que se puede depositar en las métricas al migrar a datos reales.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6"/>
              <w:left w:val="single" w:color="1A6B3A" w:sz="18"/>
              <w:bottom w:val="none" w:color="FFFFFF" w:sz="0"/>
              <w:right w:val="none" w:color="FFFFFF" w:sz="0"/>
            </w:tcBorders>
            <w:shd w:fill="EAF7ED" w:val="clear"/>
            <w:tcMar>
              <w:top w:type="dxa" w:w="120"/>
              <w:left w:type="dxa" w:w="240"/>
              <w:bottom w:type="dxa" w:w="120"/>
              <w:right w:type="dxa" w:w="120"/>
            </w:tcMar>
          </w:tcPr>
          <w:p>
            <w:pPr>
              <w:spacing w:before="0" w:after="0"/>
            </w:pPr>
            <w:r>
              <w:rPr>
                <w:rFonts w:ascii="Arial" w:cs="Arial" w:eastAsia="Arial" w:hAnsi="Arial"/>
                <w:i/>
                <w:iCs/>
                <w:color w:val="334455"/>
                <w:sz w:val="21"/>
                <w:szCs w:val="21"/>
              </w:rPr>
              <w:t xml:space="preserve">Veredicto v2: El pipeline está listo para ser presentado como proof of concept a un potencial cliente corporativo o inversor. Para escalar a producción, los Sprint 3 y 4 son no negociables — especialmente la auditoría de data leakage y el acuerdo piloto con una PYME real del norte del Perú.</w:t>
            </w:r>
          </w:p>
        </w:tc>
      </w:tr>
    </w:tbl>
    <w:p>
      <w:pPr>
        <w:spacing w:before="160" w:after="0"/>
      </w:pPr>
    </w:p>
    <w:p>
      <w:pPr>
        <w:pBdr>
          <w:top w:val="single" w:color="1A6B3A" w:sz="4" w:space="8"/>
        </w:pBdr>
        <w:spacing w:before="0" w:after="80"/>
        <w:jc w:val="center"/>
      </w:pPr>
      <w:r>
        <w:rPr>
          <w:rFonts w:ascii="Arial" w:cs="Arial" w:eastAsia="Arial" w:hAnsi="Arial"/>
          <w:i/>
          <w:iCs/>
          <w:color w:val="595959"/>
          <w:sz w:val="18"/>
          <w:szCs w:val="18"/>
        </w:rPr>
        <w:t xml:space="preserve">Sinapsis Innovadora · Ricardo Cuba Alván · @ricardocubaalvan · Trujillo, Perú ·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1A6B3A" w:sz="4"/>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i/>
              <w:iCs/>
              <w:color w:val="595959"/>
              <w:sz w:val="16"/>
              <w:szCs w:val="16"/>
            </w:rPr>
            <w:t xml:space="preserve">EWA B2B2E Platform — Plan de Acción Integrado · Notebook v2 · Norte del Perú</w:t>
          </w:r>
        </w:p>
      </w:tc>
      <w:tc>
        <w:tcPr>
          <w:tcW w:type="dxa" w:w="2160"/>
          <w:tcBorders>
            <w:top w:val="single" w:color="1A6B3A" w:sz="4"/>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595959"/>
              <w:sz w:val="16"/>
              <w:szCs w:val="16"/>
            </w:rPr>
            <w:t xml:space="preserve">Pág.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none" w:color="FFFFFF" w:sz="0"/>
            <w:left w:val="none" w:color="FFFFFF" w:sz="0"/>
            <w:bottom w:val="single" w:color="1A6B3A" w:sz="4"/>
            <w:right w:val="none" w:color="FFFFFF" w:sz="0"/>
          </w:tcBorders>
          <w:tcMar>
            <w:top w:type="dxa" w:w="60"/>
            <w:left w:type="dxa" w:w="0"/>
            <w:bottom w:type="dxa" w:w="60"/>
            <w:right w:type="dxa" w:w="100"/>
          </w:tcMar>
        </w:tcPr>
        <w:p>
          <w:r>
            <w:rPr>
              <w:rFonts w:ascii="Arial" w:cs="Arial" w:eastAsia="Arial" w:hAnsi="Arial"/>
              <w:b/>
              <w:bCs/>
              <w:color w:val="1B3A5C"/>
              <w:sz w:val="18"/>
              <w:szCs w:val="18"/>
            </w:rPr>
            <w:t xml:space="preserve">INFORME TÉCNICO SITUACIONAL v2  |  EWA ML PIPELINE — SPRINT 2 ACTUALIZADO</w:t>
          </w:r>
        </w:p>
      </w:tc>
      <w:tc>
        <w:tcPr>
          <w:tcW w:type="dxa" w:w="2400"/>
          <w:tcBorders>
            <w:top w:val="none" w:color="FFFFFF" w:sz="0"/>
            <w:left w:val="none" w:color="FFFFFF" w:sz="0"/>
            <w:bottom w:val="single" w:color="1A6B3A" w:sz="4"/>
            <w:right w:val="none" w:color="FFFFFF" w:sz="0"/>
          </w:tcBorders>
          <w:tcMar>
            <w:top w:type="dxa" w:w="60"/>
            <w:left w:type="dxa" w:w="100"/>
            <w:bottom w:type="dxa" w:w="60"/>
            <w:right w:type="dxa" w:w="0"/>
          </w:tcMar>
        </w:tcPr>
        <w:p>
          <w:pPr>
            <w:jc w:val="right"/>
          </w:pPr>
          <w:r>
            <w:rPr>
              <w:rFonts w:ascii="Arial" w:cs="Arial" w:eastAsia="Arial" w:hAnsi="Arial"/>
              <w:color w:val="595959"/>
              <w:sz w:val="18"/>
              <w:szCs w:val="18"/>
            </w:rPr>
            <w:t xml:space="preserve">Sinapsis Innovadora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0"/>
      <w:szCs w:val="30"/>
    </w:rPr>
  </w:style>
  <w:style w:type="paragraph" w:styleId="Heading2">
    <w:name w:val="Heading 2"/>
    <w:basedOn w:val="Normal"/>
    <w:next w:val="Normal"/>
    <w:qFormat/>
    <w:pPr>
      <w:spacing w:before="280" w:after="80"/>
      <w:outlineLvl w:val="1"/>
    </w:pPr>
    <w:rPr>
      <w:rFonts w:ascii="Arial" w:cs="Arial" w:eastAsia="Arial" w:hAnsi="Arial"/>
      <w:b/>
      <w:bCs/>
      <w:color w:val="1A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2026-03-18T19:42:43.526Z</dcterms:created>
  <dcterms:modified xsi:type="dcterms:W3CDTF">2026-03-18T19:42:43.527Z</dcterms:modified>
</cp:coreProperties>
</file>

<file path=docProps/custom.xml><?xml version="1.0" encoding="utf-8"?>
<Properties xmlns="http://schemas.openxmlformats.org/officeDocument/2006/custom-properties" xmlns:vt="http://schemas.openxmlformats.org/officeDocument/2006/docPropsVTypes"/>
</file>