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524125" cy="704850"/>
            <wp:effectExtent b="0" l="0" r="0" t="0"/>
            <wp:docPr descr="Phieu_FA26SE159" title="" id="21" name="Picture"/>
            <a:graphic>
              <a:graphicData uri="http://schemas.openxmlformats.org/drawingml/2006/picture">
                <pic:pic>
                  <pic:nvPicPr>
                    <pic:cNvPr descr="Phieu_FA26SE159.png" id="22" name="Picture"/>
                    <pic:cNvPicPr>
                      <a:picLocks noChangeArrowheads="1" noChangeAspect="1"/>
                    </pic:cNvPicPr>
                  </pic:nvPicPr>
                  <pic:blipFill>
                    <a:blip r:embed="rId20"/>
                    <a:stretch>
                      <a:fillRect/>
                    </a:stretch>
                  </pic:blipFill>
                  <pic:spPr bwMode="auto">
                    <a:xfrm>
                      <a:off x="0" y="0"/>
                      <a:ext cx="2524125" cy="704850"/>
                    </a:xfrm>
                    <a:prstGeom prst="rect">
                      <a:avLst/>
                    </a:prstGeom>
                    <a:noFill/>
                    <a:ln w="9525">
                      <a:noFill/>
                      <a:headEnd/>
                      <a:tailEnd/>
                    </a:ln>
                  </pic:spPr>
                </pic:pic>
              </a:graphicData>
            </a:graphic>
          </wp:inline>
        </w:drawing>
      </w:r>
    </w:p>
    <w:p>
      <w:pPr>
        <w:pStyle w:val="BodyText"/>
      </w:pPr>
      <w:r>
        <w:rPr>
          <w:b/>
          <w:bCs/>
        </w:rPr>
        <w:t xml:space="preserve">CAPSTONE PROJECT REGISTER</w:t>
      </w:r>
    </w:p>
    <w:p>
      <w:pPr>
        <w:pStyle w:val="BodyText"/>
      </w:pPr>
      <w:r>
        <w:rPr>
          <w:b/>
          <w:bCs/>
        </w:rPr>
        <w:t xml:space="preserve">Class</w:t>
      </w:r>
      <w:r>
        <w:t xml:space="preserve">:</w:t>
      </w:r>
      <w:r>
        <w:t xml:space="preserve"> </w:t>
      </w:r>
      <w:r>
        <w:rPr>
          <w:b/>
          <w:bCs/>
        </w:rPr>
        <w:t xml:space="preserve">Duration time</w:t>
      </w:r>
      <w:r>
        <w:t xml:space="preserve">: from 09/2026 To 03/2027</w:t>
      </w:r>
    </w:p>
    <w:p>
      <w:pPr>
        <w:pStyle w:val="BodyText"/>
      </w:pPr>
      <w:r>
        <w:rPr>
          <w:b/>
          <w:bCs/>
        </w:rPr>
        <w:t xml:space="preserve">(*) Profession:</w:t>
      </w:r>
      <w:r>
        <w:t xml:space="preserve"> </w:t>
      </w:r>
      <w:r>
        <w:t xml:space="preserve">Software Engineer</w:t>
      </w:r>
      <w:r>
        <w:t xml:space="preserve"> </w:t>
      </w:r>
      <w:r>
        <w:rPr>
          <w:b/>
          <w:bCs/>
        </w:rPr>
        <w:t xml:space="preserve">Specialty</w:t>
      </w:r>
      <w:r>
        <w:t xml:space="preserve">: SE</w:t>
      </w:r>
      <w:r>
        <w:t xml:space="preserve"> </w:t>
      </w:r>
      <w:r>
        <w:drawing>
          <wp:inline>
            <wp:extent cx="200025" cy="200025"/>
            <wp:effectExtent b="0" l="0" r="0" t="0"/>
            <wp:docPr descr="Phieu_FA26SE159" title="" id="24" name="Picture"/>
            <a:graphic>
              <a:graphicData uri="http://schemas.openxmlformats.org/drawingml/2006/picture">
                <pic:pic>
                  <pic:nvPicPr>
                    <pic:cNvPr descr="Phieu_FA26SE159%201.png" id="25" name="Picture"/>
                    <pic:cNvPicPr>
                      <a:picLocks noChangeArrowheads="1" noChangeAspect="1"/>
                    </pic:cNvPicPr>
                  </pic:nvPicPr>
                  <pic:blipFill>
                    <a:blip r:embed="rId23"/>
                    <a:stretch>
                      <a:fillRect/>
                    </a:stretch>
                  </pic:blipFill>
                  <pic:spPr bwMode="auto">
                    <a:xfrm>
                      <a:off x="0" y="0"/>
                      <a:ext cx="200025" cy="200025"/>
                    </a:xfrm>
                    <a:prstGeom prst="rect">
                      <a:avLst/>
                    </a:prstGeom>
                    <a:noFill/>
                    <a:ln w="9525">
                      <a:noFill/>
                      <a:headEnd/>
                      <a:tailEnd/>
                    </a:ln>
                  </pic:spPr>
                </pic:pic>
              </a:graphicData>
            </a:graphic>
          </wp:inline>
        </w:drawing>
      </w:r>
    </w:p>
    <w:p>
      <w:pPr>
        <w:pStyle w:val="BodyText"/>
      </w:pPr>
      <w:r>
        <w:rPr>
          <w:b/>
          <w:bCs/>
        </w:rPr>
        <w:t xml:space="preserve">(*) Kinds of person make registers:</w:t>
      </w:r>
      <w:r>
        <w:t xml:space="preserve"> </w:t>
      </w:r>
      <w:r>
        <w:t xml:space="preserve">Lecturer</w:t>
      </w:r>
      <w:r>
        <w:t xml:space="preserve"> </w:t>
      </w:r>
      <w:r>
        <w:drawing>
          <wp:inline>
            <wp:extent cx="200025" cy="200025"/>
            <wp:effectExtent b="0" l="0" r="0" t="0"/>
            <wp:docPr descr="Phieu_FA26SE159" title="" id="27" name="Picture"/>
            <a:graphic>
              <a:graphicData uri="http://schemas.openxmlformats.org/drawingml/2006/picture">
                <pic:pic>
                  <pic:nvPicPr>
                    <pic:cNvPr descr="Phieu_FA26SE159%202.png" id="28" name="Picture"/>
                    <pic:cNvPicPr>
                      <a:picLocks noChangeArrowheads="1" noChangeAspect="1"/>
                    </pic:cNvPicPr>
                  </pic:nvPicPr>
                  <pic:blipFill>
                    <a:blip r:embed="rId26"/>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Students</w:t>
      </w:r>
    </w:p>
    <w:p>
      <w:pPr>
        <w:pStyle w:val="BodyText"/>
      </w:pPr>
      <w:r>
        <w:rPr>
          <w:b/>
          <w:bCs/>
        </w:rPr>
        <w:t xml:space="preserve">1. Register information for supervisor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5"/>
        <w:gridCol w:w="2406"/>
        <w:gridCol w:w="937"/>
        <w:gridCol w:w="2215"/>
        <w:gridCol w:w="1686"/>
      </w:tblGrid>
      <w:tr>
        <w:trPr>
          <w:tblHeader w:val="on"/>
        </w:trPr>
        <w:tc>
          <w:tcPr>
            <w:tcW w:w="1755" w:type="dxa"/>
          </w:tcPr>
          <w:p>
            <w:pPr>
              <w:pStyle w:val="Compact"/>
              <w:spacing w:after="0"/>
              <w:jc w:val="left"/>
            </w:pPr>
            <w:r>
              <w:rPr>
                <w:b/>
                <w:sz w:val="18"/>
              </w:rPr>
              <w:t xml:space="preserve">No.</w:t>
            </w:r>
          </w:p>
        </w:tc>
        <w:tc>
          <w:tcPr>
            <w:tcW w:w="2406" w:type="dxa"/>
          </w:tcPr>
          <w:p>
            <w:pPr>
              <w:pStyle w:val="Compact"/>
              <w:spacing w:after="0"/>
              <w:jc w:val="left"/>
            </w:pPr>
            <w:r>
              <w:rPr>
                <w:b/>
                <w:sz w:val="18"/>
              </w:rPr>
              <w:t xml:space="preserve">Full name</w:t>
            </w:r>
          </w:p>
        </w:tc>
        <w:tc>
          <w:tcPr>
            <w:tcW w:w="937" w:type="dxa"/>
          </w:tcPr>
          <w:p>
            <w:pPr>
              <w:pStyle w:val="Compact"/>
              <w:spacing w:after="0"/>
              <w:jc w:val="left"/>
            </w:pPr>
            <w:r>
              <w:rPr>
                <w:b/>
                <w:sz w:val="18"/>
              </w:rPr>
              <w:t xml:space="preserve">Phone</w:t>
            </w:r>
          </w:p>
        </w:tc>
        <w:tc>
          <w:tcPr>
            <w:tcW w:w="2215" w:type="dxa"/>
          </w:tcPr>
          <w:p>
            <w:pPr>
              <w:pStyle w:val="Compact"/>
              <w:spacing w:after="0"/>
              <w:jc w:val="left"/>
            </w:pPr>
            <w:r>
              <w:rPr>
                <w:b/>
                <w:bCs/>
                <w:sz w:val="18"/>
              </w:rPr>
              <w:t xml:space="preserve">E-Mail</w:t>
            </w:r>
          </w:p>
        </w:tc>
        <w:tc>
          <w:tcPr>
            <w:tcW w:w="1686" w:type="dxa"/>
          </w:tcPr>
          <w:p>
            <w:pPr>
              <w:pStyle w:val="Compact"/>
              <w:spacing w:after="0"/>
              <w:jc w:val="left"/>
            </w:pPr>
            <w:r>
              <w:rPr>
                <w:b/>
                <w:bCs/>
                <w:sz w:val="18"/>
              </w:rPr>
              <w:t xml:space="preserve">Title</w:t>
            </w:r>
          </w:p>
        </w:tc>
      </w:tr>
      <w:tr>
        <w:tc>
          <w:tcPr>
            <w:tcW w:w="1755" w:type="dxa"/>
          </w:tcPr>
          <w:p>
            <w:pPr>
              <w:pStyle w:val="Compact"/>
              <w:spacing w:after="0"/>
              <w:jc w:val="left"/>
            </w:pPr>
            <w:r>
              <w:rPr>
                <w:sz w:val="18"/>
              </w:rPr>
              <w:t xml:space="preserve">Supervisor</w:t>
            </w:r>
          </w:p>
        </w:tc>
        <w:tc>
          <w:tcPr>
            <w:tcW w:w="2406" w:type="dxa"/>
          </w:tcPr>
          <w:p>
            <w:pPr>
              <w:pStyle w:val="Compact"/>
              <w:spacing w:after="0"/>
              <w:jc w:val="left"/>
            </w:pPr>
            <w:r>
              <w:rPr>
                <w:sz w:val="18"/>
              </w:rPr>
              <w:t xml:space="preserve">Đặng Ngọc Minh Đức</w:t>
            </w:r>
          </w:p>
        </w:tc>
        <w:tc>
          <w:tcPr>
            <w:tcW w:w="937" w:type="dxa"/>
          </w:tcPr>
          <w:p>
            <w:pPr>
              <w:pStyle w:val="Compact"/>
              <w:spacing w:after="0"/>
            </w:pPr>
          </w:p>
        </w:tc>
        <w:tc>
          <w:tcPr>
            <w:tcW w:w="2215" w:type="dxa"/>
          </w:tcPr>
          <w:p>
            <w:pPr>
              <w:pStyle w:val="Compact"/>
              <w:spacing w:after="0"/>
              <w:jc w:val="left"/>
            </w:pPr>
            <w:r>
              <w:rPr>
                <w:sz w:val="18"/>
              </w:rPr>
              <w:t xml:space="preserve">ducdnm2@fe.edu.vn</w:t>
            </w:r>
          </w:p>
        </w:tc>
        <w:tc>
          <w:tcPr>
            <w:tcW w:w="1686" w:type="dxa"/>
          </w:tcPr>
          <w:p>
            <w:pPr>
              <w:pStyle w:val="Compact"/>
              <w:spacing w:after="0"/>
              <w:jc w:val="left"/>
            </w:pPr>
            <w:r>
              <w:rPr>
                <w:sz w:val="18"/>
              </w:rPr>
              <w:t xml:space="preserve">Giảng viên</w:t>
            </w:r>
          </w:p>
        </w:tc>
      </w:tr>
      <w:tr>
        <w:tc>
          <w:tcPr>
            <w:tcW w:w="1755" w:type="dxa"/>
          </w:tcPr>
          <w:p>
            <w:pPr>
              <w:pStyle w:val="Compact"/>
              <w:spacing w:after="0"/>
              <w:jc w:val="left"/>
            </w:pPr>
            <w:r>
              <w:rPr>
                <w:sz w:val="18"/>
              </w:rPr>
              <w:t xml:space="preserve">Co-supervisor</w:t>
            </w:r>
          </w:p>
        </w:tc>
        <w:tc>
          <w:tcPr>
            <w:tcW w:w="2406" w:type="dxa"/>
          </w:tcPr>
          <w:p>
            <w:pPr>
              <w:pStyle w:val="Compact"/>
              <w:spacing w:after="0"/>
              <w:jc w:val="left"/>
            </w:pPr>
            <w:r>
              <w:rPr>
                <w:sz w:val="18"/>
              </w:rPr>
              <w:t xml:space="preserve">Bùi Văn Phúc</w:t>
            </w:r>
          </w:p>
        </w:tc>
        <w:tc>
          <w:tcPr>
            <w:tcW w:w="937" w:type="dxa"/>
          </w:tcPr>
          <w:p>
            <w:pPr>
              <w:pStyle w:val="Compact"/>
              <w:spacing w:after="0"/>
            </w:pPr>
          </w:p>
        </w:tc>
        <w:tc>
          <w:tcPr>
            <w:tcW w:w="2215" w:type="dxa"/>
          </w:tcPr>
          <w:p>
            <w:pPr>
              <w:pStyle w:val="Compact"/>
              <w:spacing w:after="0"/>
            </w:pPr>
          </w:p>
        </w:tc>
        <w:tc>
          <w:tcPr>
            <w:tcW w:w="1686" w:type="dxa"/>
          </w:tcPr>
          <w:p>
            <w:pPr>
              <w:pStyle w:val="Compact"/>
              <w:spacing w:after="0"/>
              <w:jc w:val="left"/>
            </w:pPr>
            <w:r>
              <w:rPr>
                <w:sz w:val="18"/>
              </w:rPr>
              <w:t xml:space="preserve">Giảng viên</w:t>
            </w:r>
          </w:p>
        </w:tc>
      </w:tr>
    </w:tbl>
    <w:p>
      <w:pPr>
        <w:pStyle w:val="BodyText"/>
      </w:pPr>
      <w:r>
        <w:rPr>
          <w:b/>
          <w:bCs/>
        </w:rPr>
        <w:t xml:space="preserve">2. Register information for students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38"/>
        <w:gridCol w:w="1270"/>
        <w:gridCol w:w="835"/>
        <w:gridCol w:w="3365"/>
        <w:gridCol w:w="1091"/>
      </w:tblGrid>
      <w:tr>
        <w:trPr>
          <w:tblHeader w:val="on"/>
        </w:trPr>
        <w:tc>
          <w:tcPr>
            <w:tcW w:w="700" w:type="dxa"/>
          </w:tcPr>
          <w:p>
            <w:pPr>
              <w:pStyle w:val="Compact"/>
              <w:spacing w:after="0"/>
              <w:jc w:val="left"/>
            </w:pPr>
            <w:r>
              <w:rPr>
                <w:b/>
                <w:bCs/>
                <w:sz w:val="18"/>
              </w:rPr>
              <w:t xml:space="preserve">No.</w:t>
            </w:r>
          </w:p>
        </w:tc>
        <w:tc>
          <w:tcPr>
            <w:tcW w:w="1738" w:type="dxa"/>
          </w:tcPr>
          <w:p>
            <w:pPr>
              <w:pStyle w:val="Compact"/>
              <w:spacing w:after="0"/>
              <w:jc w:val="left"/>
            </w:pPr>
            <w:r>
              <w:rPr>
                <w:b/>
                <w:bCs/>
                <w:sz w:val="18"/>
              </w:rPr>
              <w:t xml:space="preserve">Full name</w:t>
            </w:r>
          </w:p>
        </w:tc>
        <w:tc>
          <w:tcPr>
            <w:tcW w:w="1270" w:type="dxa"/>
          </w:tcPr>
          <w:p>
            <w:pPr>
              <w:pStyle w:val="Compact"/>
              <w:spacing w:after="0"/>
              <w:jc w:val="left"/>
            </w:pPr>
            <w:r>
              <w:rPr>
                <w:b/>
                <w:bCs/>
                <w:sz w:val="18"/>
              </w:rPr>
              <w:t xml:space="preserve">Student code</w:t>
            </w:r>
          </w:p>
        </w:tc>
        <w:tc>
          <w:tcPr>
            <w:tcW w:w="835" w:type="dxa"/>
          </w:tcPr>
          <w:p>
            <w:pPr>
              <w:pStyle w:val="Compact"/>
              <w:spacing w:after="0"/>
              <w:jc w:val="left"/>
            </w:pPr>
            <w:r>
              <w:rPr>
                <w:b/>
                <w:bCs/>
                <w:sz w:val="18"/>
              </w:rPr>
              <w:t xml:space="preserve">Phone</w:t>
            </w:r>
          </w:p>
        </w:tc>
        <w:tc>
          <w:tcPr>
            <w:tcW w:w="3365" w:type="dxa"/>
          </w:tcPr>
          <w:p>
            <w:pPr>
              <w:pStyle w:val="Compact"/>
              <w:spacing w:after="0"/>
              <w:jc w:val="left"/>
            </w:pPr>
            <w:r>
              <w:rPr>
                <w:b/>
                <w:bCs/>
                <w:sz w:val="18"/>
              </w:rPr>
              <w:t xml:space="preserve">E-mail</w:t>
            </w:r>
          </w:p>
        </w:tc>
        <w:tc>
          <w:tcPr>
            <w:tcW w:w="1091" w:type="dxa"/>
          </w:tcPr>
          <w:p>
            <w:pPr>
              <w:pStyle w:val="Compact"/>
              <w:spacing w:after="0"/>
              <w:jc w:val="left"/>
            </w:pPr>
            <w:r>
              <w:rPr>
                <w:b/>
                <w:bCs/>
                <w:sz w:val="18"/>
              </w:rPr>
              <w:t xml:space="preserve">Role in Group</w:t>
            </w:r>
          </w:p>
        </w:tc>
      </w:tr>
      <w:tr>
        <w:tc>
          <w:tcPr>
            <w:tcW w:w="700" w:type="dxa"/>
          </w:tcPr>
          <w:p>
            <w:pPr>
              <w:pStyle w:val="Compact"/>
              <w:spacing w:after="0"/>
              <w:jc w:val="left"/>
            </w:pPr>
            <w:r>
              <w:rPr>
                <w:sz w:val="18"/>
              </w:rPr>
              <w:t xml:space="preserve">1</w:t>
            </w:r>
          </w:p>
        </w:tc>
        <w:tc>
          <w:tcPr>
            <w:tcW w:w="1738" w:type="dxa"/>
          </w:tcPr>
          <w:p>
            <w:pPr>
              <w:pStyle w:val="Compact"/>
              <w:spacing w:after="0"/>
              <w:jc w:val="left"/>
            </w:pPr>
            <w:r>
              <w:rPr>
                <w:sz w:val="18"/>
              </w:rPr>
              <w:t xml:space="preserve">Đỗ Đăng Khoa</w:t>
            </w:r>
          </w:p>
        </w:tc>
        <w:tc>
          <w:tcPr>
            <w:tcW w:w="1270" w:type="dxa"/>
          </w:tcPr>
          <w:p>
            <w:pPr>
              <w:pStyle w:val="Compact"/>
              <w:spacing w:after="0"/>
              <w:jc w:val="left"/>
            </w:pPr>
            <w:r>
              <w:rPr>
                <w:sz w:val="18"/>
              </w:rPr>
              <w:t xml:space="preserve">SE192357</w:t>
            </w:r>
          </w:p>
        </w:tc>
        <w:tc>
          <w:tcPr>
            <w:tcW w:w="835" w:type="dxa"/>
          </w:tcPr>
          <w:p>
            <w:pPr>
              <w:pStyle w:val="Compact"/>
              <w:spacing w:after="0"/>
            </w:pPr>
          </w:p>
        </w:tc>
        <w:tc>
          <w:tcPr>
            <w:tcW w:w="3365" w:type="dxa"/>
          </w:tcPr>
          <w:p>
            <w:pPr>
              <w:pStyle w:val="Compact"/>
              <w:spacing w:after="0"/>
              <w:jc w:val="left"/>
            </w:pPr>
            <w:r>
              <w:rPr>
                <w:sz w:val="18"/>
              </w:rPr>
              <w:t xml:space="preserve">khoado7577@gmail.com</w:t>
            </w:r>
          </w:p>
        </w:tc>
        <w:tc>
          <w:tcPr>
            <w:tcW w:w="1091" w:type="dxa"/>
          </w:tcPr>
          <w:p>
            <w:pPr>
              <w:pStyle w:val="Compact"/>
              <w:spacing w:after="0"/>
              <w:jc w:val="left"/>
            </w:pPr>
            <w:r>
              <w:rPr>
                <w:sz w:val="18"/>
              </w:rPr>
              <w:t xml:space="preserve">Leader</w:t>
            </w:r>
          </w:p>
        </w:tc>
      </w:tr>
      <w:tr>
        <w:tc>
          <w:tcPr>
            <w:tcW w:w="700" w:type="dxa"/>
          </w:tcPr>
          <w:p>
            <w:pPr>
              <w:pStyle w:val="Compact"/>
              <w:spacing w:after="0"/>
              <w:jc w:val="left"/>
            </w:pPr>
            <w:r>
              <w:rPr>
                <w:sz w:val="18"/>
              </w:rPr>
              <w:t xml:space="preserve">2</w:t>
            </w:r>
          </w:p>
        </w:tc>
        <w:tc>
          <w:tcPr>
            <w:tcW w:w="1738" w:type="dxa"/>
          </w:tcPr>
          <w:p>
            <w:pPr>
              <w:pStyle w:val="Compact"/>
              <w:spacing w:after="0"/>
              <w:jc w:val="left"/>
            </w:pPr>
            <w:r>
              <w:rPr>
                <w:sz w:val="18"/>
              </w:rPr>
              <w:t xml:space="preserve">Trần Khải Hoàng</w:t>
            </w:r>
          </w:p>
        </w:tc>
        <w:tc>
          <w:tcPr>
            <w:tcW w:w="1270" w:type="dxa"/>
          </w:tcPr>
          <w:p>
            <w:pPr>
              <w:pStyle w:val="Compact"/>
              <w:spacing w:after="0"/>
              <w:jc w:val="left"/>
            </w:pPr>
            <w:r>
              <w:rPr>
                <w:sz w:val="18"/>
              </w:rPr>
              <w:t xml:space="preserve">SE182767</w:t>
            </w:r>
          </w:p>
        </w:tc>
        <w:tc>
          <w:tcPr>
            <w:tcW w:w="835" w:type="dxa"/>
          </w:tcPr>
          <w:p>
            <w:pPr>
              <w:pStyle w:val="Compact"/>
              <w:spacing w:after="0"/>
            </w:pPr>
          </w:p>
        </w:tc>
        <w:tc>
          <w:tcPr>
            <w:tcW w:w="3365" w:type="dxa"/>
          </w:tcPr>
          <w:p>
            <w:pPr>
              <w:pStyle w:val="Compact"/>
              <w:spacing w:after="0"/>
              <w:jc w:val="left"/>
            </w:pPr>
            <w:r>
              <w:rPr>
                <w:sz w:val="18"/>
              </w:rPr>
              <w:t xml:space="preserve">HoangTKSE182767@fpt.edu.vn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3</w:t>
            </w:r>
          </w:p>
        </w:tc>
        <w:tc>
          <w:tcPr>
            <w:tcW w:w="1738" w:type="dxa"/>
          </w:tcPr>
          <w:p>
            <w:pPr>
              <w:pStyle w:val="Compact"/>
              <w:spacing w:after="0"/>
              <w:jc w:val="left"/>
            </w:pPr>
            <w:r>
              <w:rPr>
                <w:sz w:val="18"/>
              </w:rPr>
              <w:t xml:space="preserve">Lâm Phi Long</w:t>
            </w:r>
          </w:p>
        </w:tc>
        <w:tc>
          <w:tcPr>
            <w:tcW w:w="1270" w:type="dxa"/>
          </w:tcPr>
          <w:p>
            <w:pPr>
              <w:pStyle w:val="Compact"/>
              <w:spacing w:after="0"/>
              <w:jc w:val="left"/>
            </w:pPr>
            <w:r>
              <w:rPr>
                <w:sz w:val="18"/>
              </w:rPr>
              <w:t xml:space="preserve">SE182769</w:t>
            </w:r>
          </w:p>
        </w:tc>
        <w:tc>
          <w:tcPr>
            <w:tcW w:w="835" w:type="dxa"/>
          </w:tcPr>
          <w:p>
            <w:pPr>
              <w:pStyle w:val="Compact"/>
              <w:spacing w:after="0"/>
            </w:pPr>
          </w:p>
        </w:tc>
        <w:tc>
          <w:tcPr>
            <w:tcW w:w="3365" w:type="dxa"/>
          </w:tcPr>
          <w:p>
            <w:pPr>
              <w:pStyle w:val="Compact"/>
              <w:spacing w:after="0"/>
              <w:jc w:val="left"/>
            </w:pPr>
            <w:r>
              <w:rPr>
                <w:sz w:val="18"/>
              </w:rPr>
              <w:t xml:space="preserve">LongLPSE182769@fpt.edu.vn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4</w:t>
            </w:r>
          </w:p>
        </w:tc>
        <w:tc>
          <w:tcPr>
            <w:tcW w:w="1738" w:type="dxa"/>
          </w:tcPr>
          <w:p>
            <w:pPr>
              <w:pStyle w:val="Compact"/>
              <w:spacing w:after="0"/>
              <w:jc w:val="left"/>
            </w:pPr>
            <w:r>
              <w:rPr>
                <w:sz w:val="18"/>
              </w:rPr>
              <w:t xml:space="preserve">Nguyễn Bá Tân</w:t>
            </w:r>
          </w:p>
        </w:tc>
        <w:tc>
          <w:tcPr>
            <w:tcW w:w="1270" w:type="dxa"/>
          </w:tcPr>
          <w:p>
            <w:pPr>
              <w:pStyle w:val="Compact"/>
              <w:spacing w:after="0"/>
              <w:jc w:val="left"/>
            </w:pPr>
            <w:r>
              <w:rPr>
                <w:sz w:val="18"/>
              </w:rPr>
              <w:t xml:space="preserve">SE183860</w:t>
            </w:r>
          </w:p>
        </w:tc>
        <w:tc>
          <w:tcPr>
            <w:tcW w:w="835" w:type="dxa"/>
          </w:tcPr>
          <w:p>
            <w:pPr>
              <w:pStyle w:val="Compact"/>
              <w:spacing w:after="0"/>
            </w:pPr>
          </w:p>
        </w:tc>
        <w:tc>
          <w:tcPr>
            <w:tcW w:w="3365" w:type="dxa"/>
          </w:tcPr>
          <w:p>
            <w:pPr>
              <w:pStyle w:val="Compact"/>
              <w:spacing w:after="0"/>
              <w:jc w:val="left"/>
            </w:pPr>
            <w:r>
              <w:rPr>
                <w:sz w:val="18"/>
              </w:rPr>
              <w:t xml:space="preserve">TanNBSE183860@fpt.edu.vn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5</w:t>
            </w:r>
          </w:p>
        </w:tc>
        <w:tc>
          <w:tcPr>
            <w:tcW w:w="1738" w:type="dxa"/>
          </w:tcPr>
          <w:p>
            <w:pPr>
              <w:pStyle w:val="Compact"/>
              <w:spacing w:after="0"/>
              <w:jc w:val="left"/>
            </w:pPr>
            <w:r>
              <w:rPr>
                <w:sz w:val="18"/>
              </w:rPr>
              <w:t xml:space="preserve">Nguyễn Ngọc Long</w:t>
            </w:r>
          </w:p>
        </w:tc>
        <w:tc>
          <w:tcPr>
            <w:tcW w:w="1270" w:type="dxa"/>
          </w:tcPr>
          <w:p>
            <w:pPr>
              <w:pStyle w:val="Compact"/>
              <w:spacing w:after="0"/>
              <w:jc w:val="left"/>
            </w:pPr>
            <w:r>
              <w:rPr>
                <w:sz w:val="18"/>
              </w:rPr>
              <w:t xml:space="preserve">SE193490</w:t>
            </w:r>
          </w:p>
        </w:tc>
        <w:tc>
          <w:tcPr>
            <w:tcW w:w="835" w:type="dxa"/>
          </w:tcPr>
          <w:p>
            <w:pPr>
              <w:pStyle w:val="Compact"/>
              <w:spacing w:after="0"/>
            </w:pPr>
          </w:p>
        </w:tc>
        <w:tc>
          <w:tcPr>
            <w:tcW w:w="3365" w:type="dxa"/>
          </w:tcPr>
          <w:p>
            <w:pPr>
              <w:pStyle w:val="Compact"/>
              <w:spacing w:after="0"/>
              <w:jc w:val="left"/>
            </w:pPr>
            <w:r>
              <w:rPr>
                <w:sz w:val="18"/>
              </w:rPr>
              <w:t xml:space="preserve">nguyenngoclong216@gmail.com</w:t>
            </w:r>
          </w:p>
        </w:tc>
        <w:tc>
          <w:tcPr>
            <w:tcW w:w="1091" w:type="dxa"/>
          </w:tcPr>
          <w:p>
            <w:pPr>
              <w:pStyle w:val="Compact"/>
              <w:spacing w:after="0"/>
              <w:jc w:val="left"/>
            </w:pPr>
            <w:r>
              <w:rPr>
                <w:sz w:val="18"/>
              </w:rPr>
              <w:t xml:space="preserve">Member</w:t>
            </w:r>
          </w:p>
        </w:tc>
      </w:tr>
    </w:tbl>
    <w:p>
      <w:pPr>
        <w:pStyle w:val="BodyText"/>
      </w:pPr>
      <w:r>
        <w:rPr>
          <w:b/>
          <w:bCs/>
        </w:rPr>
        <w:t xml:space="preserve">3. Register content of Capstone Project</w:t>
      </w:r>
    </w:p>
    <w:p>
      <w:pPr>
        <w:pStyle w:val="BodyText"/>
      </w:pPr>
      <w:r>
        <w:rPr>
          <w:b/>
          <w:bCs/>
        </w:rPr>
        <w:t xml:space="preserve">(*) 3.1. Capstone Project name:</w:t>
      </w:r>
    </w:p>
    <w:p>
      <w:pPr>
        <w:pStyle w:val="BodyText"/>
      </w:pPr>
      <w:r>
        <w:t xml:space="preserve">3.1.1. English:</w:t>
      </w:r>
      <w:r>
        <w:t xml:space="preserve"> </w:t>
      </w:r>
      <w:r>
        <w:rPr>
          <w:b/>
          <w:bCs/>
          <w:i/>
          <w:iCs/>
        </w:rPr>
        <w:t xml:space="preserve">TrekLink: An Integrated Off-Grid Communication and Smart Device Rental Management Platform for Trekking Agencies</w:t>
      </w:r>
    </w:p>
    <w:p>
      <w:pPr>
        <w:pStyle w:val="BodyText"/>
      </w:pPr>
      <w:r>
        <w:t xml:space="preserve">3.1.2. Vietnamese:</w:t>
      </w:r>
      <w:r>
        <w:t xml:space="preserve"> </w:t>
      </w:r>
      <w:r>
        <w:rPr>
          <w:b/>
          <w:bCs/>
          <w:i/>
          <w:iCs/>
        </w:rPr>
        <w:t xml:space="preserve">TrekLink: Nền tảng tích hợp liên lạc ngoài vùng phủ sóng và quản lý cho thuê thiết bị thông minh cho doanh nghiệp trekking</w:t>
      </w:r>
    </w:p>
    <w:p>
      <w:pPr>
        <w:pStyle w:val="BodyText"/>
      </w:pPr>
      <w:r>
        <w:rPr>
          <w:b/>
          <w:bCs/>
        </w:rPr>
        <w:t xml:space="preserve">Abbreviation: TrekLink</w:t>
      </w:r>
    </w:p>
    <w:p>
      <w:pPr>
        <w:pStyle w:val="BodyText"/>
      </w:pPr>
      <w:r>
        <w:rPr>
          <w:b/>
          <w:bCs/>
        </w:rPr>
        <w:t xml:space="preserve">(*) 3.2. Main proposal content (including result and product)</w:t>
      </w:r>
    </w:p>
    <w:p>
      <w:pPr>
        <w:pStyle w:val="BodyText"/>
      </w:pPr>
      <w:r>
        <w:rPr>
          <w:b/>
          <w:bCs/>
        </w:rPr>
        <w:t xml:space="preserve">a) Context:</w:t>
      </w:r>
    </w:p>
    <w:p>
      <w:pPr>
        <w:pStyle w:val="BodyText"/>
      </w:pPr>
      <w:r>
        <w:rPr>
          <w:b/>
          <w:bCs/>
        </w:rPr>
        <w:t xml:space="preserve">The problem.</w:t>
      </w:r>
      <w:r>
        <w:t xml:space="preserve"> </w:t>
      </w:r>
      <w:r>
        <w:t xml:space="preserve">Trekking companies lead groups through mountain routes where phone coverage is limited or absent for long stretches. Satellite messengers cost more to buy and run, so few groups carry them. In Vietnam, the market for trekking and off-grid communication systems is still new, with room for growth.</w:t>
      </w:r>
    </w:p>
    <w:p>
      <w:pPr>
        <w:pStyle w:val="BodyText"/>
      </w:pPr>
      <w:r>
        <w:rPr>
          <w:b/>
          <w:bCs/>
        </w:rPr>
        <w:t xml:space="preserve">The solution.</w:t>
      </w:r>
      <w:r>
        <w:t xml:space="preserve"> </w:t>
      </w:r>
      <w:r>
        <w:t xml:space="preserve">TrekLink builds LoRa mesh devices and rents them to organizations through one platform hosted by TrekLink. Organizations rent by plan. An SOS alerts their own on-duty staff first, then TrekLink Staff if nobody answers. Our Meshtastic-based firmware relays messages over several hops; the platform adds live monitoring.</w:t>
      </w:r>
    </w:p>
    <w:p>
      <w:pPr>
        <w:pStyle w:val="BodyText"/>
      </w:pPr>
      <w:r>
        <w:t xml:space="preserve">During Summer 2026, the project team developed TrekLink, an open-source LoRa mesh communication firmware for ESP32/ESP32-S3 devices. The firmware, authored by this team and based on Meshtastic, supports multi-hop mesh messaging, GPS tracking, fall detection, and automatic SOS broadcasting. It is version-controlled and serves as the inherited technical foundation for this Capstone; it will not be rebuilt.</w:t>
      </w:r>
    </w:p>
    <w:p>
      <w:pPr>
        <w:pStyle w:val="BodyText"/>
      </w:pPr>
      <w:r>
        <w:t xml:space="preserve">TrekLink is a smart-device management platform whose customers are trekking companies; it does not manage tours. TrekLink owns the devices, the firmware, the Field Station software and the cloud platform, and rents devices to organizations by plan. Many organizations use one platform, each managing its own members, on-duty roster, rented devices, alerts and API keys; each keeps its own trips, customers and emergency response outside the platform.</w:t>
      </w:r>
    </w:p>
    <w:p>
      <w:pPr>
        <w:pStyle w:val="BodyText"/>
      </w:pPr>
      <w:r>
        <w:rPr>
          <w:b/>
          <w:bCs/>
        </w:rPr>
        <w:t xml:space="preserve">Scope disclaimer.</w:t>
      </w:r>
      <w:r>
        <w:t xml:space="preserve"> </w:t>
      </w:r>
      <w:r>
        <w:t xml:space="preserve">TrekLink is a supplementary safety and coordination tool, not a guaranteed rescue link. A device is useful only within LoRa range of another TrekLink node, a relay checkpoint or the Field Station, and the Field Station reaches the cloud only when it has internet. GPS fixes the position on the device and shares it over LoRa only; there is no satellite uplink. When a device is out of range, it keeps beaconing and its own durable queue delivers once a node hears it. When its battery is dead, the organization receives a stale-device alert with the last known position and trail, and nothing after that. When an SOS goes unheard, the device repeats it until heard, and the platform flags a suspected episode from the beacon pattern. Heavy rain, a ridge without a relay on the crest, and thick concrete cut the range sharply.</w:t>
      </w:r>
    </w:p>
    <w:p>
      <w:pPr>
        <w:pStyle w:val="BodyText"/>
      </w:pPr>
      <w:r>
        <w:rPr>
          <w:b/>
          <w:bCs/>
        </w:rPr>
        <w:t xml:space="preserve">Scope Boundary:</w:t>
      </w:r>
      <w:r>
        <w:t xml:space="preserve"> </w:t>
      </w:r>
      <w:r>
        <w:t xml:space="preserve">The LoRa mesh firmware and the hardware built by this team in Summer 2026 are the technical foundation. Targeted firmware enhancements made during the Capstone (the durable on-device queue, SOS beaconing fixes, radio power compliance) are in scope and credited; rearchitecting the mesh stack is not. The Capstone covers the Field Station (gateway bridge), offline-resilient synchronization, the cloud backend, organization and asset management, rental contracts, incident management with tiered alerts, live telemetry with an organization API, billing, system integration, and experimental evaluation.</w:t>
      </w:r>
    </w:p>
    <w:p>
      <w:pPr>
        <w:pStyle w:val="BodyText"/>
      </w:pPr>
      <w:r>
        <w:t xml:space="preserve">The needs this Capstone serves, per party:</w:t>
      </w:r>
    </w:p>
    <w:p>
      <w:pPr>
        <w:numPr>
          <w:ilvl w:val="0"/>
          <w:numId w:val="1001"/>
        </w:numPr>
      </w:pPr>
      <w:r>
        <w:rPr>
          <w:b/>
          <w:bCs/>
        </w:rPr>
        <w:t xml:space="preserve">Trekkers and guides:</w:t>
      </w:r>
      <w:r>
        <w:t xml:space="preserve"> </w:t>
      </w:r>
      <w:r>
        <w:t xml:space="preserve">share position, exchange preset messages and raise an alert from the device itself, without a phone, from places a phone cannot reach.</w:t>
      </w:r>
    </w:p>
    <w:p>
      <w:pPr>
        <w:numPr>
          <w:ilvl w:val="0"/>
          <w:numId w:val="1001"/>
        </w:numPr>
      </w:pPr>
      <w:r>
        <w:rPr>
          <w:b/>
          <w:bCs/>
        </w:rPr>
        <w:t xml:space="preserve">Trekking companies:</w:t>
      </w:r>
      <w:r>
        <w:t xml:space="preserve"> </w:t>
      </w:r>
      <w:r>
        <w:t xml:space="preserve">see their own groups and devices, and receive alerts with a clear owner and a record, without buying or maintaining the hardware.</w:t>
      </w:r>
    </w:p>
    <w:p>
      <w:pPr>
        <w:numPr>
          <w:ilvl w:val="0"/>
          <w:numId w:val="1001"/>
        </w:numPr>
      </w:pPr>
      <w:r>
        <w:rPr>
          <w:b/>
          <w:bCs/>
        </w:rPr>
        <w:t xml:space="preserve">Local authorities and rescue units:</w:t>
      </w:r>
      <w:r>
        <w:t xml:space="preserve"> </w:t>
      </w:r>
      <w:r>
        <w:t xml:space="preserve">receive a timely report with the last known position and the history of signals when an incident escalates.</w:t>
      </w:r>
    </w:p>
    <w:p>
      <w:pPr>
        <w:numPr>
          <w:ilvl w:val="0"/>
          <w:numId w:val="1001"/>
        </w:numPr>
      </w:pPr>
      <w:r>
        <w:rPr>
          <w:b/>
          <w:bCs/>
        </w:rPr>
        <w:t xml:space="preserve">TrekLink, as the provider:</w:t>
      </w:r>
      <w:r>
        <w:t xml:space="preserve"> </w:t>
      </w:r>
      <w:r>
        <w:t xml:space="preserve">track every rented device’s custody, condition and charges across many renters; deliver field events through long outages.</w:t>
      </w:r>
    </w:p>
    <w:p>
      <w:pPr>
        <w:pStyle w:val="FirstParagraph"/>
      </w:pPr>
      <w:r>
        <w:rPr>
          <w:b/>
          <w:bCs/>
        </w:rPr>
        <w:t xml:space="preserve">b) Proposed Solutions:</w:t>
      </w:r>
    </w:p>
    <w:p>
      <w:pPr>
        <w:pStyle w:val="BodyText"/>
      </w:pPr>
      <w:r>
        <w:t xml:space="preserve">TrekLink extends the existing LoRa mesh firmware into an enterprise device-rental platform built on asset management through six core capabilities:</w:t>
      </w:r>
    </w:p>
    <w:p>
      <w:pPr>
        <w:pStyle w:val="Compact"/>
        <w:numPr>
          <w:ilvl w:val="0"/>
          <w:numId w:val="1002"/>
        </w:numPr>
      </w:pPr>
      <w:r>
        <w:rPr>
          <w:b/>
          <w:bCs/>
        </w:rPr>
        <w:t xml:space="preserve">Organization and rental management:</w:t>
      </w:r>
      <w:r>
        <w:t xml:space="preserve"> </w:t>
      </w:r>
      <w:r>
        <w:t xml:space="preserve">Organizations self-register and are verified and approved by TrekLink. They rent devices by monthly plan (half the term fee at the start as a holding fee, half at the end, renewing until notice) or by day plan (3, 4 or 7 days, paid in full at handover, priced above the monthly rate per day), with a minimum order quantity. Handover and return happen in person at the TrekLink counter with a signed handover note; payments are recorded, online through a third-party payment gateway (VietQR, sandbox) or at the counter. Each organization sorts the devices it holds, across its contracts, into its own groups (one sub-level, for example one group per site and smaller teams inside it) and labels each device with its holder’s name; TrekLink models no trips or tours, so every organization uses groups for its own purpose. Any rented node can serve as a temporary relay checkpoint that the organization’s staff place on site and retrieve; relays are part of the same contract, and a node left on site after the contract ends counts as lost.</w:t>
      </w:r>
    </w:p>
    <w:p>
      <w:pPr>
        <w:pStyle w:val="FirstParagraph"/>
      </w:pPr>
      <w:r>
        <w:t xml:space="preserve">Rental plans and charges (sample values, every figure is a configurable parameter):</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5"/>
        <w:gridCol w:w="2658"/>
        <w:gridCol w:w="1518"/>
        <w:gridCol w:w="1518"/>
      </w:tblGrid>
      <w:tr>
        <w:trPr>
          <w:tblHeader w:val="on"/>
        </w:trPr>
        <w:tc>
          <w:tcPr>
            <w:tcW w:w="3305" w:type="dxa"/>
          </w:tcPr>
          <w:p>
            <w:pPr>
              <w:pStyle w:val="Compact"/>
              <w:spacing w:after="0"/>
              <w:jc w:val="left"/>
            </w:pPr>
            <w:r>
              <w:rPr>
                <w:b/>
                <w:sz w:val="18"/>
              </w:rPr>
              <w:t xml:space="preserve">Item</w:t>
            </w:r>
          </w:p>
        </w:tc>
        <w:tc>
          <w:tcPr>
            <w:tcW w:w="2658" w:type="dxa"/>
          </w:tcPr>
          <w:p>
            <w:pPr>
              <w:pStyle w:val="Compact"/>
              <w:spacing w:after="0"/>
              <w:jc w:val="left"/>
            </w:pPr>
            <w:r>
              <w:rPr>
                <w:b/>
                <w:sz w:val="18"/>
              </w:rPr>
              <w:t xml:space="preserve">TrekLink v2</w:t>
            </w:r>
          </w:p>
        </w:tc>
        <w:tc>
          <w:tcPr>
            <w:tcW w:w="1518" w:type="dxa"/>
          </w:tcPr>
          <w:p>
            <w:pPr>
              <w:pStyle w:val="Compact"/>
              <w:spacing w:after="0"/>
              <w:jc w:val="left"/>
            </w:pPr>
            <w:r>
              <w:rPr>
                <w:b/>
                <w:sz w:val="18"/>
              </w:rPr>
              <w:t xml:space="preserve">TrekLink v3</w:t>
            </w:r>
          </w:p>
        </w:tc>
        <w:tc>
          <w:tcPr>
            <w:tcW w:w="1518" w:type="dxa"/>
          </w:tcPr>
          <w:p>
            <w:pPr>
              <w:pStyle w:val="Compact"/>
              <w:spacing w:after="0"/>
              <w:jc w:val="left"/>
            </w:pPr>
            <w:r>
              <w:rPr>
                <w:b/>
                <w:sz w:val="18"/>
              </w:rPr>
              <w:t xml:space="preserve">TrekLink v4</w:t>
            </w:r>
          </w:p>
        </w:tc>
      </w:tr>
      <w:tr>
        <w:tc>
          <w:tcPr>
            <w:tcW w:w="3305" w:type="dxa"/>
          </w:tcPr>
          <w:p>
            <w:pPr>
              <w:pStyle w:val="Compact"/>
              <w:spacing w:after="0"/>
              <w:jc w:val="left"/>
            </w:pPr>
            <w:r>
              <w:rPr>
                <w:sz w:val="18"/>
              </w:rPr>
              <w:t xml:space="preserve">Monthly plan, per device per month</w:t>
            </w:r>
          </w:p>
        </w:tc>
        <w:tc>
          <w:tcPr>
            <w:tcW w:w="2658" w:type="dxa"/>
          </w:tcPr>
          <w:p>
            <w:pPr>
              <w:pStyle w:val="Compact"/>
              <w:spacing w:after="0"/>
              <w:jc w:val="left"/>
            </w:pPr>
            <w:r>
              <w:rPr>
                <w:sz w:val="18"/>
              </w:rPr>
              <w:t xml:space="preserve">400,000 VND</w:t>
            </w:r>
          </w:p>
        </w:tc>
        <w:tc>
          <w:tcPr>
            <w:tcW w:w="1518" w:type="dxa"/>
          </w:tcPr>
          <w:p>
            <w:pPr>
              <w:pStyle w:val="Compact"/>
              <w:spacing w:after="0"/>
              <w:jc w:val="left"/>
            </w:pPr>
            <w:r>
              <w:rPr>
                <w:sz w:val="18"/>
              </w:rPr>
              <w:t xml:space="preserve">450,000 VND</w:t>
            </w:r>
          </w:p>
        </w:tc>
        <w:tc>
          <w:tcPr>
            <w:tcW w:w="1518" w:type="dxa"/>
          </w:tcPr>
          <w:p>
            <w:pPr>
              <w:pStyle w:val="Compact"/>
              <w:spacing w:after="0"/>
              <w:jc w:val="left"/>
            </w:pPr>
            <w:r>
              <w:rPr>
                <w:sz w:val="18"/>
              </w:rPr>
              <w:t xml:space="preserve">480,000 VND</w:t>
            </w:r>
          </w:p>
        </w:tc>
      </w:tr>
      <w:tr>
        <w:tc>
          <w:tcPr>
            <w:tcW w:w="3305" w:type="dxa"/>
          </w:tcPr>
          <w:p>
            <w:pPr>
              <w:pStyle w:val="Compact"/>
              <w:spacing w:after="0"/>
              <w:jc w:val="left"/>
            </w:pPr>
            <w:r>
              <w:rPr>
                <w:sz w:val="18"/>
              </w:rPr>
              <w:t xml:space="preserve">Day plan, per device per day (monthly ÷ 30 × 1.5)</w:t>
            </w:r>
          </w:p>
        </w:tc>
        <w:tc>
          <w:tcPr>
            <w:tcW w:w="2658" w:type="dxa"/>
          </w:tcPr>
          <w:p>
            <w:pPr>
              <w:pStyle w:val="Compact"/>
              <w:spacing w:after="0"/>
              <w:jc w:val="left"/>
            </w:pPr>
            <w:r>
              <w:rPr>
                <w:sz w:val="18"/>
              </w:rPr>
              <w:t xml:space="preserve">20,000 VND</w:t>
            </w:r>
          </w:p>
        </w:tc>
        <w:tc>
          <w:tcPr>
            <w:tcW w:w="1518" w:type="dxa"/>
          </w:tcPr>
          <w:p>
            <w:pPr>
              <w:pStyle w:val="Compact"/>
              <w:spacing w:after="0"/>
              <w:jc w:val="left"/>
            </w:pPr>
            <w:r>
              <w:rPr>
                <w:sz w:val="18"/>
              </w:rPr>
              <w:t xml:space="preserve">22,500 VND</w:t>
            </w:r>
          </w:p>
        </w:tc>
        <w:tc>
          <w:tcPr>
            <w:tcW w:w="1518" w:type="dxa"/>
          </w:tcPr>
          <w:p>
            <w:pPr>
              <w:pStyle w:val="Compact"/>
              <w:spacing w:after="0"/>
              <w:jc w:val="left"/>
            </w:pPr>
            <w:r>
              <w:rPr>
                <w:sz w:val="18"/>
              </w:rPr>
              <w:t xml:space="preserve">24,000 VND</w:t>
            </w:r>
          </w:p>
        </w:tc>
      </w:tr>
      <w:tr>
        <w:tc>
          <w:tcPr>
            <w:tcW w:w="3305" w:type="dxa"/>
          </w:tcPr>
          <w:p>
            <w:pPr>
              <w:pStyle w:val="Compact"/>
              <w:spacing w:after="0"/>
              <w:jc w:val="left"/>
            </w:pPr>
            <w:r>
              <w:rPr>
                <w:sz w:val="18"/>
              </w:rPr>
              <w:t xml:space="preserve">Day-plan lengths</w:t>
            </w:r>
          </w:p>
        </w:tc>
        <w:tc>
          <w:tcPr>
            <w:tcW w:w="2658" w:type="dxa"/>
          </w:tcPr>
          <w:p>
            <w:pPr>
              <w:pStyle w:val="Compact"/>
              <w:spacing w:after="0"/>
              <w:jc w:val="left"/>
            </w:pPr>
            <w:r>
              <w:rPr>
                <w:sz w:val="18"/>
              </w:rPr>
              <w:t xml:space="preserve">3, 4 or 7 days</w:t>
            </w:r>
          </w:p>
        </w:tc>
        <w:tc>
          <w:tcPr>
            <w:tcW w:w="1518" w:type="dxa"/>
          </w:tcPr>
          <w:p>
            <w:pPr>
              <w:pStyle w:val="Compact"/>
              <w:spacing w:after="0"/>
              <w:jc w:val="left"/>
            </w:pPr>
            <w:r>
              <w:rPr>
                <w:sz w:val="18"/>
              </w:rPr>
              <w:t xml:space="preserve">3, 4 or 7 days</w:t>
            </w:r>
          </w:p>
        </w:tc>
        <w:tc>
          <w:tcPr>
            <w:tcW w:w="1518" w:type="dxa"/>
          </w:tcPr>
          <w:p>
            <w:pPr>
              <w:pStyle w:val="Compact"/>
              <w:spacing w:after="0"/>
              <w:jc w:val="left"/>
            </w:pPr>
            <w:r>
              <w:rPr>
                <w:sz w:val="18"/>
              </w:rPr>
              <w:t xml:space="preserve">3, 4 or 7 days</w:t>
            </w:r>
          </w:p>
        </w:tc>
      </w:tr>
      <w:tr>
        <w:tc>
          <w:tcPr>
            <w:tcW w:w="3305" w:type="dxa"/>
          </w:tcPr>
          <w:p>
            <w:pPr>
              <w:pStyle w:val="Compact"/>
              <w:spacing w:after="0"/>
              <w:jc w:val="left"/>
            </w:pPr>
            <w:r>
              <w:rPr>
                <w:sz w:val="18"/>
              </w:rPr>
              <w:t xml:space="preserve">Minimum order per contract</w:t>
            </w:r>
          </w:p>
        </w:tc>
        <w:tc>
          <w:tcPr>
            <w:tcW w:w="2658" w:type="dxa"/>
          </w:tcPr>
          <w:p>
            <w:pPr>
              <w:pStyle w:val="Compact"/>
              <w:spacing w:after="0"/>
              <w:jc w:val="left"/>
            </w:pPr>
            <w:r>
              <w:rPr>
                <w:sz w:val="18"/>
              </w:rPr>
              <w:t xml:space="preserve">5 devices</w:t>
            </w:r>
          </w:p>
        </w:tc>
        <w:tc>
          <w:tcPr>
            <w:tcW w:w="1518" w:type="dxa"/>
          </w:tcPr>
          <w:p>
            <w:pPr>
              <w:pStyle w:val="Compact"/>
              <w:spacing w:after="0"/>
              <w:jc w:val="left"/>
            </w:pPr>
            <w:r>
              <w:rPr>
                <w:sz w:val="18"/>
              </w:rPr>
              <w:t xml:space="preserve">5 devices</w:t>
            </w:r>
          </w:p>
        </w:tc>
        <w:tc>
          <w:tcPr>
            <w:tcW w:w="1518" w:type="dxa"/>
          </w:tcPr>
          <w:p>
            <w:pPr>
              <w:pStyle w:val="Compact"/>
              <w:spacing w:after="0"/>
              <w:jc w:val="left"/>
            </w:pPr>
            <w:r>
              <w:rPr>
                <w:sz w:val="18"/>
              </w:rPr>
              <w:t xml:space="preserve">5 devices</w:t>
            </w:r>
          </w:p>
        </w:tc>
      </w:tr>
      <w:tr>
        <w:tc>
          <w:tcPr>
            <w:tcW w:w="3305" w:type="dxa"/>
          </w:tcPr>
          <w:p>
            <w:pPr>
              <w:pStyle w:val="Compact"/>
              <w:spacing w:after="0"/>
              <w:jc w:val="left"/>
            </w:pPr>
            <w:r>
              <w:rPr>
                <w:sz w:val="18"/>
              </w:rPr>
              <w:t xml:space="preserve">Late return, per device per day after the grace period</w:t>
            </w:r>
          </w:p>
        </w:tc>
        <w:tc>
          <w:tcPr>
            <w:tcW w:w="2658" w:type="dxa"/>
          </w:tcPr>
          <w:p>
            <w:pPr>
              <w:pStyle w:val="Compact"/>
              <w:spacing w:after="0"/>
              <w:jc w:val="left"/>
            </w:pPr>
            <w:r>
              <w:rPr>
                <w:sz w:val="18"/>
              </w:rPr>
              <w:t xml:space="preserve">50,000 VND</w:t>
            </w:r>
          </w:p>
        </w:tc>
        <w:tc>
          <w:tcPr>
            <w:tcW w:w="1518" w:type="dxa"/>
          </w:tcPr>
          <w:p>
            <w:pPr>
              <w:pStyle w:val="Compact"/>
              <w:spacing w:after="0"/>
              <w:jc w:val="left"/>
            </w:pPr>
            <w:r>
              <w:rPr>
                <w:sz w:val="18"/>
              </w:rPr>
              <w:t xml:space="preserve">50,000 VND</w:t>
            </w:r>
          </w:p>
        </w:tc>
        <w:tc>
          <w:tcPr>
            <w:tcW w:w="1518" w:type="dxa"/>
          </w:tcPr>
          <w:p>
            <w:pPr>
              <w:pStyle w:val="Compact"/>
              <w:spacing w:after="0"/>
              <w:jc w:val="left"/>
            </w:pPr>
            <w:r>
              <w:rPr>
                <w:sz w:val="18"/>
              </w:rPr>
              <w:t xml:space="preserve">50,000 VND</w:t>
            </w:r>
          </w:p>
        </w:tc>
      </w:tr>
      <w:tr>
        <w:tc>
          <w:tcPr>
            <w:tcW w:w="3305" w:type="dxa"/>
          </w:tcPr>
          <w:p>
            <w:pPr>
              <w:pStyle w:val="Compact"/>
              <w:spacing w:after="0"/>
              <w:jc w:val="left"/>
            </w:pPr>
            <w:r>
              <w:rPr>
                <w:sz w:val="18"/>
              </w:rPr>
              <w:t xml:space="preserve">Damage</w:t>
            </w:r>
          </w:p>
        </w:tc>
        <w:tc>
          <w:tcPr>
            <w:tcW w:w="2658" w:type="dxa"/>
          </w:tcPr>
          <w:p>
            <w:pPr>
              <w:pStyle w:val="Compact"/>
              <w:spacing w:after="0"/>
              <w:jc w:val="left"/>
            </w:pPr>
            <w:r>
              <w:rPr>
                <w:sz w:val="18"/>
              </w:rPr>
              <w:t xml:space="preserve">by inspection; above 500,000 VND needs Admin approval</w:t>
            </w:r>
          </w:p>
        </w:tc>
        <w:tc>
          <w:tcPr>
            <w:tcW w:w="1518" w:type="dxa"/>
          </w:tcPr>
          <w:p>
            <w:pPr>
              <w:pStyle w:val="Compact"/>
              <w:spacing w:after="0"/>
              <w:jc w:val="left"/>
            </w:pPr>
            <w:r>
              <w:rPr>
                <w:sz w:val="18"/>
              </w:rPr>
              <w:t xml:space="preserve">same</w:t>
            </w:r>
          </w:p>
        </w:tc>
        <w:tc>
          <w:tcPr>
            <w:tcW w:w="1518" w:type="dxa"/>
          </w:tcPr>
          <w:p>
            <w:pPr>
              <w:pStyle w:val="Compact"/>
              <w:spacing w:after="0"/>
              <w:jc w:val="left"/>
            </w:pPr>
            <w:r>
              <w:rPr>
                <w:sz w:val="18"/>
              </w:rPr>
              <w:t xml:space="preserve">same</w:t>
            </w:r>
          </w:p>
        </w:tc>
      </w:tr>
      <w:tr>
        <w:tc>
          <w:tcPr>
            <w:tcW w:w="3305" w:type="dxa"/>
          </w:tcPr>
          <w:p>
            <w:pPr>
              <w:pStyle w:val="Compact"/>
              <w:spacing w:after="0"/>
              <w:jc w:val="left"/>
            </w:pPr>
            <w:r>
              <w:rPr>
                <w:sz w:val="18"/>
              </w:rPr>
              <w:t xml:space="preserve">Loss</w:t>
            </w:r>
          </w:p>
        </w:tc>
        <w:tc>
          <w:tcPr>
            <w:tcW w:w="2658" w:type="dxa"/>
          </w:tcPr>
          <w:p>
            <w:pPr>
              <w:pStyle w:val="Compact"/>
              <w:spacing w:after="0"/>
              <w:jc w:val="left"/>
            </w:pPr>
            <w:r>
              <w:rPr>
                <w:sz w:val="18"/>
              </w:rPr>
              <w:t xml:space="preserve">remaining value of the device</w:t>
            </w:r>
          </w:p>
        </w:tc>
        <w:tc>
          <w:tcPr>
            <w:tcW w:w="1518" w:type="dxa"/>
          </w:tcPr>
          <w:p>
            <w:pPr>
              <w:pStyle w:val="Compact"/>
              <w:spacing w:after="0"/>
              <w:jc w:val="left"/>
            </w:pPr>
            <w:r>
              <w:rPr>
                <w:sz w:val="18"/>
              </w:rPr>
              <w:t xml:space="preserve">same</w:t>
            </w:r>
          </w:p>
        </w:tc>
        <w:tc>
          <w:tcPr>
            <w:tcW w:w="1518" w:type="dxa"/>
          </w:tcPr>
          <w:p>
            <w:pPr>
              <w:pStyle w:val="Compact"/>
              <w:spacing w:after="0"/>
              <w:jc w:val="left"/>
            </w:pPr>
            <w:r>
              <w:rPr>
                <w:sz w:val="18"/>
              </w:rPr>
              <w:t xml:space="preserve">same</w:t>
            </w:r>
          </w:p>
        </w:tc>
      </w:tr>
    </w:tbl>
    <w:p>
      <w:pPr>
        <w:pStyle w:val="BodyText"/>
      </w:pPr>
      <w:r>
        <w:t xml:space="preserve">Events per plan. Monthly plan: contract opened with a holding fee of half the term fee; term closed with the other half; automatic renewal; notice during a running term; final close after return and inspection. Day plan: full payment at handover; due date; late fee per day after the grace period; return, inspection and close.</w:t>
      </w:r>
    </w:p>
    <w:p>
      <w:pPr>
        <w:numPr>
          <w:ilvl w:val="0"/>
          <w:numId w:val="1003"/>
        </w:numPr>
      </w:pPr>
      <w:r>
        <w:rPr>
          <w:b/>
          <w:bCs/>
        </w:rPr>
        <w:t xml:space="preserve">Asset management:</w:t>
      </w:r>
      <w:r>
        <w:t xml:space="preserve"> </w:t>
      </w:r>
      <w:r>
        <w:t xml:space="preserve">Each physical device has two identities, a printed asset tag and its radio node number, and a nine-state lifecycle: In Intake, Available, Reserved, Rented, Returned, Maintenance, Lost, Retired and Disposed. The main transitions are: Available to Reserved at contract approval, Reserved to Rented at handover, Rented to Returned at check-in, Returned to Available after reset and a passed inspection or to Maintenance after a failed one, Maintenance to Available after repair or to Retired, and Retired to Disposed after a verified wipe. A loss can be reported from any of the six working states; it opens a loss case, which ends with the device recovered to Returned or with the loss settled and the device Retired. The renter bears a loss only when the device was in its custody. Devices are provisioned with the renter’s channel key at handover and reset and inspected on return before they can be rented again.</w:t>
      </w:r>
    </w:p>
    <w:p>
      <w:pPr>
        <w:numPr>
          <w:ilvl w:val="0"/>
          <w:numId w:val="1003"/>
        </w:numPr>
      </w:pPr>
      <w:r>
        <w:rPr>
          <w:b/>
          <w:bCs/>
        </w:rPr>
        <w:t xml:space="preserve">Offline-Resilient Field Station:</w:t>
      </w:r>
      <w:r>
        <w:t xml:space="preserve"> </w:t>
      </w:r>
      <w:r>
        <w:t xml:space="preserve">Each field event is identified by eventId = sha256(nodeNum : packetId), derived from identifiers the firmware already transmits. When Internet connectivity is unavailable, the Field Station, a single executable that the organization runs on its own laptop at a fixed base point it chooses (basecamp, vehicle, ranger station or trailhead) with one rented node on a USB port, uploading over any internet it finds there, site Wi-Fi or a phone hotspot, persistently stores events in a local SQLite queue and shows the local mesh to the operators on site. Safety-critical SOS events are assigned P0 priority and synchronized first on reconnection; GPS updates are P2 and routine telemetry P3. Each device also keeps its own durable queue. Each event records when it occurred and the source of that time, and belongs to the organization that held the device at that moment, so an event that synchronizes after the device was returned and rented again reaches the earlier renter and never the new one.</w:t>
      </w:r>
    </w:p>
    <w:p>
      <w:pPr>
        <w:numPr>
          <w:ilvl w:val="0"/>
          <w:numId w:val="1003"/>
        </w:numPr>
      </w:pPr>
      <w:r>
        <w:rPr>
          <w:b/>
          <w:bCs/>
        </w:rPr>
        <w:t xml:space="preserve">Idempotent Event Processing:</w:t>
      </w:r>
      <w:r>
        <w:t xml:space="preserve"> </w:t>
      </w:r>
      <w:r>
        <w:t xml:space="preserve">The cloud backend uses the Event ID as an idempotency key. Regardless of how many times the same event is delivered, due to retransmission, reconnection replay, or duplicate LoRa broadcast, the backend creates exactly one Incident and one alert per tier, preventing alert fatigue and ensuring data consistency.</w:t>
      </w:r>
    </w:p>
    <w:p>
      <w:pPr>
        <w:numPr>
          <w:ilvl w:val="0"/>
          <w:numId w:val="1003"/>
        </w:numPr>
      </w:pPr>
      <w:r>
        <w:rPr>
          <w:b/>
          <w:bCs/>
        </w:rPr>
        <w:t xml:space="preserve">Incident Management with tiered alerts:</w:t>
      </w:r>
      <w:r>
        <w:t xml:space="preserve"> </w:t>
      </w:r>
      <w:r>
        <w:t xml:space="preserve">Each SOS episode becomes one incident routed to the organization holding the device. Alerts go to its on-duty member, then its backup, then its Manager, each after a timeout; if nobody acknowledges, the incident escalates to TrekLink, which reports to the authorities. The organization runs the response and reports status back. Every transition is atomic and audited with actor, time and reason.</w:t>
      </w:r>
    </w:p>
    <w:p>
      <w:pPr>
        <w:numPr>
          <w:ilvl w:val="0"/>
          <w:numId w:val="1003"/>
        </w:numPr>
      </w:pPr>
      <w:r>
        <w:rPr>
          <w:b/>
          <w:bCs/>
        </w:rPr>
        <w:t xml:space="preserve">Live telemetry:</w:t>
      </w:r>
      <w:r>
        <w:t xml:space="preserve"> </w:t>
      </w:r>
      <w:r>
        <w:t xml:space="preserve">Each organization sees only its own rented devices, positions, battery levels and alerts on a live map, and can read the same data in its own systems through a REST and WebSocket API with an organization key.</w:t>
      </w:r>
    </w:p>
    <w:p>
      <w:pPr>
        <w:pStyle w:val="FirstParagraph"/>
      </w:pPr>
      <w:r>
        <w:t xml:space="preserve">Technology stack:</w:t>
      </w:r>
    </w:p>
    <w:p>
      <w:pPr>
        <w:numPr>
          <w:ilvl w:val="0"/>
          <w:numId w:val="1004"/>
        </w:numPr>
      </w:pPr>
      <w:r>
        <w:rPr>
          <w:b/>
          <w:bCs/>
        </w:rPr>
        <w:t xml:space="preserve">Embedded firmware:</w:t>
      </w:r>
      <w:r>
        <w:t xml:space="preserve"> </w:t>
      </w:r>
      <w:r>
        <w:t xml:space="preserve">ESP32/ESP32-S3 + TrekLink firmware (team-built; targeted enhancements in scope)</w:t>
      </w:r>
    </w:p>
    <w:p>
      <w:pPr>
        <w:numPr>
          <w:ilvl w:val="0"/>
          <w:numId w:val="1004"/>
        </w:numPr>
      </w:pPr>
      <w:r>
        <w:rPr>
          <w:b/>
          <w:bCs/>
        </w:rPr>
        <w:t xml:space="preserve">Field Station:</w:t>
      </w:r>
      <w:r>
        <w:t xml:space="preserve"> </w:t>
      </w:r>
      <w:r>
        <w:t xml:space="preserve">Node.js (TypeScript) packaged as a single executable with a local web page: async I/O for concurrent MQTT + LoRa serial communication</w:t>
      </w:r>
    </w:p>
    <w:p>
      <w:pPr>
        <w:numPr>
          <w:ilvl w:val="0"/>
          <w:numId w:val="1004"/>
        </w:numPr>
      </w:pPr>
      <w:r>
        <w:rPr>
          <w:b/>
          <w:bCs/>
        </w:rPr>
        <w:t xml:space="preserve">Backend:</w:t>
      </w:r>
      <w:r>
        <w:t xml:space="preserve"> </w:t>
      </w:r>
      <w:r>
        <w:t xml:space="preserve">NestJS (TypeScript): modular architecture with REST and WebSocket support</w:t>
      </w:r>
    </w:p>
    <w:p>
      <w:pPr>
        <w:numPr>
          <w:ilvl w:val="0"/>
          <w:numId w:val="1004"/>
        </w:numPr>
      </w:pPr>
      <w:r>
        <w:rPr>
          <w:b/>
          <w:bCs/>
        </w:rPr>
        <w:t xml:space="preserve">Database:</w:t>
      </w:r>
      <w:r>
        <w:t xml:space="preserve"> </w:t>
      </w:r>
      <w:r>
        <w:t xml:space="preserve">PostgreSQL with Prisma ORM: ACID compliance for rental transactions and incident audit trail</w:t>
      </w:r>
    </w:p>
    <w:p>
      <w:pPr>
        <w:numPr>
          <w:ilvl w:val="0"/>
          <w:numId w:val="1004"/>
        </w:numPr>
      </w:pPr>
      <w:r>
        <w:rPr>
          <w:b/>
          <w:bCs/>
        </w:rPr>
        <w:t xml:space="preserve">IoT messaging:</w:t>
      </w:r>
      <w:r>
        <w:t xml:space="preserve"> </w:t>
      </w:r>
      <w:r>
        <w:t xml:space="preserve">MQTT (Mosquitto): QoS-based delivery between Field Station and backend</w:t>
      </w:r>
    </w:p>
    <w:p>
      <w:pPr>
        <w:numPr>
          <w:ilvl w:val="0"/>
          <w:numId w:val="1004"/>
        </w:numPr>
      </w:pPr>
      <w:r>
        <w:rPr>
          <w:b/>
          <w:bCs/>
        </w:rPr>
        <w:t xml:space="preserve">Real-time push:</w:t>
      </w:r>
      <w:r>
        <w:t xml:space="preserve"> </w:t>
      </w:r>
      <w:r>
        <w:t xml:space="preserve">Socket.io WebSocket: live dashboard updates and the organization API stream</w:t>
      </w:r>
    </w:p>
    <w:p>
      <w:pPr>
        <w:numPr>
          <w:ilvl w:val="0"/>
          <w:numId w:val="1004"/>
        </w:numPr>
      </w:pPr>
      <w:r>
        <w:rPr>
          <w:b/>
          <w:bCs/>
        </w:rPr>
        <w:t xml:space="preserve">Frontend:</w:t>
      </w:r>
      <w:r>
        <w:t xml:space="preserve"> </w:t>
      </w:r>
      <w:r>
        <w:t xml:space="preserve">React + TypeScript: role-based views with Leaflet.js map integration</w:t>
      </w:r>
    </w:p>
    <w:p>
      <w:pPr>
        <w:numPr>
          <w:ilvl w:val="0"/>
          <w:numId w:val="1004"/>
        </w:numPr>
      </w:pPr>
      <w:r>
        <w:rPr>
          <w:b/>
          <w:bCs/>
        </w:rPr>
        <w:t xml:space="preserve">Payment gateway:</w:t>
      </w:r>
      <w:r>
        <w:t xml:space="preserve"> </w:t>
      </w:r>
      <w:r>
        <w:t xml:space="preserve">third-party payment gateway (VietQR with confirming webhook), sandbox environment</w:t>
      </w:r>
    </w:p>
    <w:p>
      <w:pPr>
        <w:numPr>
          <w:ilvl w:val="0"/>
          <w:numId w:val="1004"/>
        </w:numPr>
      </w:pPr>
      <w:r>
        <w:rPr>
          <w:b/>
          <w:bCs/>
        </w:rPr>
        <w:t xml:space="preserve">DevOps:</w:t>
      </w:r>
      <w:r>
        <w:t xml:space="preserve"> </w:t>
      </w:r>
      <w:r>
        <w:t xml:space="preserve">Docker Compose + GitHub Actions: containerised deployment and CI/CD</w:t>
      </w:r>
    </w:p>
    <w:p>
      <w:pPr>
        <w:pStyle w:val="FirstParagraph"/>
      </w:pPr>
      <w:r>
        <w:rPr>
          <w:b/>
          <w:bCs/>
        </w:rPr>
        <w:t xml:space="preserve">c) Functional Requirements:</w:t>
      </w:r>
    </w:p>
    <w:p>
      <w:pPr>
        <w:pStyle w:val="Compact"/>
        <w:numPr>
          <w:ilvl w:val="0"/>
          <w:numId w:val="1005"/>
        </w:numPr>
      </w:pPr>
      <w:r>
        <w:rPr>
          <w:b/>
          <w:bCs/>
        </w:rPr>
        <w:t xml:space="preserve">TrekLink Admin:</w:t>
      </w:r>
    </w:p>
    <w:p>
      <w:pPr>
        <w:pStyle w:val="FirstParagraph"/>
      </w:pPr>
      <w:r>
        <w:t xml:space="preserve">• Approve or reject organizations, and suspend or reactivate them.</w:t>
      </w:r>
    </w:p>
    <w:p>
      <w:pPr>
        <w:pStyle w:val="BodyText"/>
      </w:pPr>
      <w:r>
        <w:t xml:space="preserve">• Manage platform accounts, roles, permissions, and system configurations.</w:t>
      </w:r>
    </w:p>
    <w:p>
      <w:pPr>
        <w:pStyle w:val="BodyText"/>
      </w:pPr>
      <w:r>
        <w:t xml:space="preserve">• Manage TrekLink hardware variants, firmware versions, and their remaining-value schedules.</w:t>
      </w:r>
    </w:p>
    <w:p>
      <w:pPr>
        <w:pStyle w:val="BodyText"/>
      </w:pPr>
      <w:r>
        <w:t xml:space="preserve">• Manage rental plans and prices: monthly price per variant, day-plan lengths and premium, minimum order quantity, late, damage and loss charges.</w:t>
      </w:r>
    </w:p>
    <w:p>
      <w:pPr>
        <w:pStyle w:val="BodyText"/>
      </w:pPr>
      <w:r>
        <w:t xml:space="preserve">• Approve damage charges above the threshold (never as the inspector) and retire devices.</w:t>
      </w:r>
    </w:p>
    <w:p>
      <w:pPr>
        <w:pStyle w:val="BodyText"/>
      </w:pPr>
      <w:r>
        <w:t xml:space="preserve">• Monitor system health, Field Station connectivity, alert delivery, and incidents; view audit logs and management reports.</w:t>
      </w:r>
    </w:p>
    <w:p>
      <w:pPr>
        <w:pStyle w:val="Compact"/>
        <w:numPr>
          <w:ilvl w:val="0"/>
          <w:numId w:val="1006"/>
        </w:numPr>
      </w:pPr>
      <w:r>
        <w:rPr>
          <w:b/>
          <w:bCs/>
        </w:rPr>
        <w:t xml:space="preserve">TrekLink Staff:</w:t>
      </w:r>
    </w:p>
    <w:p>
      <w:pPr>
        <w:pStyle w:val="FirstParagraph"/>
      </w:pPr>
      <w:r>
        <w:t xml:space="preserve">• Verify organizations in person or by phone and record the signed master contract, including the non-disclosure agreement and the Field Station software licence; record suspected fraud, theft, IP or NDA breaches as compliance cases.</w:t>
      </w:r>
    </w:p>
    <w:p>
      <w:pPr>
        <w:pStyle w:val="BodyText"/>
      </w:pPr>
      <w:r>
        <w:t xml:space="preserve">• Register devices (asset tag and node number), run intake checks, and record maintenance.</w:t>
      </w:r>
    </w:p>
    <w:p>
      <w:pPr>
        <w:pStyle w:val="BodyText"/>
      </w:pPr>
      <w:r>
        <w:t xml:space="preserve">• Approve rental contracts, reserving devices without over-allocation.</w:t>
      </w:r>
    </w:p>
    <w:p>
      <w:pPr>
        <w:pStyle w:val="BodyText"/>
      </w:pPr>
      <w:r>
        <w:t xml:space="preserve">• Provision devices with the organization’s channel key and hand them over at the counter with a signed handover note.</w:t>
      </w:r>
    </w:p>
    <w:p>
      <w:pPr>
        <w:pStyle w:val="BodyText"/>
      </w:pPr>
      <w:r>
        <w:t xml:space="preserve">• Check devices in, reset and inspect them, record damage and loss, and close contracts.</w:t>
      </w:r>
    </w:p>
    <w:p>
      <w:pPr>
        <w:pStyle w:val="BodyText"/>
      </w:pPr>
      <w:r>
        <w:t xml:space="preserve">• Record counter payments, and run stock-takes.</w:t>
      </w:r>
    </w:p>
    <w:p>
      <w:pPr>
        <w:pStyle w:val="BodyText"/>
      </w:pPr>
      <w:r>
        <w:t xml:space="preserve">• Handle escalated and unrouted incidents and record reports to the authorities.</w:t>
      </w:r>
    </w:p>
    <w:p>
      <w:pPr>
        <w:pStyle w:val="Compact"/>
        <w:numPr>
          <w:ilvl w:val="0"/>
          <w:numId w:val="1007"/>
        </w:numPr>
      </w:pPr>
      <w:r>
        <w:rPr>
          <w:b/>
          <w:bCs/>
        </w:rPr>
        <w:t xml:space="preserve">Organization Manager:</w:t>
      </w:r>
    </w:p>
    <w:p>
      <w:pPr>
        <w:pStyle w:val="FirstParagraph"/>
      </w:pPr>
      <w:r>
        <w:t xml:space="preserve">• Register the organization, sign the master contract and handover notes.</w:t>
      </w:r>
    </w:p>
    <w:p>
      <w:pPr>
        <w:pStyle w:val="BodyText"/>
      </w:pPr>
      <w:r>
        <w:t xml:space="preserve">• Request rental contracts (plan, hardware variant, quantity, start date), pay online or at the counter, and give notice on monthly contracts.</w:t>
      </w:r>
    </w:p>
    <w:p>
      <w:pPr>
        <w:pStyle w:val="BodyText"/>
      </w:pPr>
      <w:r>
        <w:t xml:space="preserve">• Manage the organization’s members, on-duty roster (primary and backup per shift), and API keys.</w:t>
      </w:r>
    </w:p>
    <w:p>
      <w:pPr>
        <w:pStyle w:val="BodyText"/>
      </w:pPr>
      <w:r>
        <w:t xml:space="preserve">• View contracts, terms, invoices, and payments; act as the last organization alert tier.</w:t>
      </w:r>
    </w:p>
    <w:p>
      <w:pPr>
        <w:pStyle w:val="BodyText"/>
      </w:pPr>
      <w:r>
        <w:t xml:space="preserve">• Manage the organization’s rented devices in one console across its contracts (variant, asset tag, status, battery, last seen, group, holder): create groups and one level of subgroups, assign devices and holder names, report a fault or a loss, and give return notice.</w:t>
      </w:r>
    </w:p>
    <w:p>
      <w:pPr>
        <w:pStyle w:val="Compact"/>
        <w:numPr>
          <w:ilvl w:val="0"/>
          <w:numId w:val="1008"/>
        </w:numPr>
      </w:pPr>
      <w:r>
        <w:rPr>
          <w:b/>
          <w:bCs/>
        </w:rPr>
        <w:t xml:space="preserve">Organization Operator (on-duty member):</w:t>
      </w:r>
    </w:p>
    <w:p>
      <w:pPr>
        <w:pStyle w:val="FirstParagraph"/>
      </w:pPr>
      <w:r>
        <w:t xml:space="preserve">• Receive SOS alerts, acknowledge incidents, report response status and outcome, or declare a false alarm.</w:t>
      </w:r>
    </w:p>
    <w:p>
      <w:pPr>
        <w:pStyle w:val="BodyText"/>
      </w:pPr>
      <w:r>
        <w:t xml:space="preserve">• View the organization’s rented devices, positions, battery, and alerts on the live map.</w:t>
      </w:r>
    </w:p>
    <w:p>
      <w:pPr>
        <w:pStyle w:val="BodyText"/>
      </w:pPr>
      <w:r>
        <w:t xml:space="preserve">• Run the Field Station at the base point and view the local mesh offline; view devices by group and holder.</w:t>
      </w:r>
    </w:p>
    <w:p>
      <w:pPr>
        <w:pStyle w:val="Compact"/>
        <w:numPr>
          <w:ilvl w:val="0"/>
          <w:numId w:val="1009"/>
        </w:numPr>
      </w:pPr>
      <w:r>
        <w:rPr>
          <w:b/>
          <w:bCs/>
        </w:rPr>
        <w:t xml:space="preserve">Organization System (API client):</w:t>
      </w:r>
    </w:p>
    <w:p>
      <w:pPr>
        <w:pStyle w:val="FirstParagraph"/>
      </w:pPr>
      <w:r>
        <w:t xml:space="preserve">• Read the organization’s live positions, telemetry, and incident events over REST and WebSocket with an organization API key.</w:t>
      </w:r>
    </w:p>
    <w:p>
      <w:pPr>
        <w:pStyle w:val="Compact"/>
        <w:numPr>
          <w:ilvl w:val="0"/>
          <w:numId w:val="1010"/>
        </w:numPr>
      </w:pPr>
      <w:r>
        <w:rPr>
          <w:b/>
          <w:bCs/>
        </w:rPr>
        <w:t xml:space="preserve">Asset Management:</w:t>
      </w:r>
    </w:p>
    <w:p>
      <w:pPr>
        <w:pStyle w:val="FirstParagraph"/>
      </w:pPr>
      <w:r>
        <w:t xml:space="preserve">• Register each physical unit with asset tag, node number, hardware variant, firmware version, and status; neither identity is ever reused.</w:t>
      </w:r>
    </w:p>
    <w:p>
      <w:pPr>
        <w:pStyle w:val="BodyText"/>
      </w:pPr>
      <w:r>
        <w:t xml:space="preserve">• Manage the nine-state device lifecycle (In Intake, Available, Reserved, Rented, Returned, Maintenance, Lost, Retired, Disposed) through its allowed transitions only; for example, a returned device goes back to Available after a passed inspection, and a device in any working state can be reported Lost.</w:t>
      </w:r>
    </w:p>
    <w:p>
      <w:pPr>
        <w:pStyle w:val="BodyText"/>
      </w:pPr>
      <w:r>
        <w:t xml:space="preserve">• Handle each lost device as a loss case: custody decided from the rental history, channel key exposure flagged, recovery or a charge by custody with an Admin waiver, and a police report reference for suspected theft or fraud; replace a faulty or lost unit on a running contract at the counter.</w:t>
      </w:r>
    </w:p>
    <w:p>
      <w:pPr>
        <w:pStyle w:val="BodyText"/>
      </w:pPr>
      <w:r>
        <w:t xml:space="preserve">• Record battery level, last-seen time, latest GPS position, and telemetry status.</w:t>
      </w:r>
    </w:p>
    <w:p>
      <w:pPr>
        <w:pStyle w:val="BodyText"/>
      </w:pPr>
      <w:r>
        <w:t xml:space="preserve">• Maintain custody, contract, incident, inspection, and maintenance histories; reset every returned device before it can be rented again.</w:t>
      </w:r>
    </w:p>
    <w:p>
      <w:pPr>
        <w:pStyle w:val="BodyText"/>
      </w:pPr>
      <w:r>
        <w:t xml:space="preserve">• Schedule maintenance by a service plan per hardware variant and a weekly scan, record its cost with Admin approval above a threshold and each firmware update, and prevent unavailable or due-for-service devices from being allocated.</w:t>
      </w:r>
    </w:p>
    <w:p>
      <w:pPr>
        <w:pStyle w:val="Compact"/>
        <w:numPr>
          <w:ilvl w:val="0"/>
          <w:numId w:val="1011"/>
        </w:numPr>
      </w:pPr>
      <w:r>
        <w:rPr>
          <w:b/>
          <w:bCs/>
        </w:rPr>
        <w:t xml:space="preserve">Event Reliability &amp; Offline Synchronization:</w:t>
      </w:r>
    </w:p>
    <w:p>
      <w:pPr>
        <w:pStyle w:val="FirstParagraph"/>
      </w:pPr>
      <w:r>
        <w:t xml:space="preserve">• Each field event shall contain an eventId derived as sha256(nodeNum : packetId), source device ID, event type, UTC timestamp, and priority tier.</w:t>
      </w:r>
    </w:p>
    <w:p>
      <w:pPr>
        <w:pStyle w:val="BodyText"/>
      </w:pPr>
      <w:r>
        <w:t xml:space="preserve">• The Field Station shall persist unsent events in a local SQLite queue when cloud connectivity is unavailable, and each device shall keep its own durable queue.</w:t>
      </w:r>
    </w:p>
    <w:p>
      <w:pPr>
        <w:pStyle w:val="BodyText"/>
      </w:pPr>
      <w:r>
        <w:t xml:space="preserve">• SOS and safety-critical events (P0) shall receive higher synchronization priority than GPS updates (P2) and routine telemetry (P3). On reconnection, P0 events shall be delivered before any lower-priority queued events, regardless of their original arrival order.</w:t>
      </w:r>
    </w:p>
    <w:p>
      <w:pPr>
        <w:pStyle w:val="BodyText"/>
      </w:pPr>
      <w:r>
        <w:t xml:space="preserve">• The Gateway shall automatically flush queued events after connectivity is restored, reporting synchronization status, retry count, and queue depth per priority tier.</w:t>
      </w:r>
    </w:p>
    <w:p>
      <w:pPr>
        <w:pStyle w:val="BodyText"/>
      </w:pPr>
      <w:r>
        <w:t xml:space="preserve">• The backend shall process all incoming events idempotently using eventId as the idempotency key.</w:t>
      </w:r>
    </w:p>
    <w:p>
      <w:pPr>
        <w:pStyle w:val="BodyText"/>
      </w:pPr>
      <w:r>
        <w:t xml:space="preserve">• Duplicate reception or retransmission of the same SOS event shall create exactly one Incident and one logical notification event in the backend.</w:t>
      </w:r>
    </w:p>
    <w:p>
      <w:pPr>
        <w:pStyle w:val="BodyText"/>
      </w:pPr>
      <w:r>
        <w:t xml:space="preserve">• The system shall record synchronization status, retry count, and processing history for each event for diagnostic and audit purposes.</w:t>
      </w:r>
    </w:p>
    <w:p>
      <w:pPr>
        <w:pStyle w:val="BodyText"/>
      </w:pPr>
      <w:r>
        <w:t xml:space="preserve">• Acceptance criterion: repeated delivery of the same SOS event (identical eventId) shall produce exactly one Incident record and one notification, regardless of delivery count.</w:t>
      </w:r>
    </w:p>
    <w:p>
      <w:pPr>
        <w:pStyle w:val="Compact"/>
        <w:numPr>
          <w:ilvl w:val="0"/>
          <w:numId w:val="1012"/>
        </w:numPr>
      </w:pPr>
      <w:r>
        <w:rPr>
          <w:b/>
          <w:bCs/>
        </w:rPr>
        <w:t xml:space="preserve">Live Telemetry &amp; Incident Management:</w:t>
      </w:r>
    </w:p>
    <w:p>
      <w:pPr>
        <w:pStyle w:val="FirstParagraph"/>
      </w:pPr>
      <w:r>
        <w:t xml:space="preserve">• Display each organization’s rented devices, positions, device status, and last-seen information on a real-time map, scoped to that organization on the server; offer the same data through the organization API.</w:t>
      </w:r>
    </w:p>
    <w:p>
      <w:pPr>
        <w:pStyle w:val="BodyText"/>
      </w:pPr>
      <w:r>
        <w:t xml:space="preserve">• Create an Incident automatically when a valid SOS event is received and idempotency check passes, and route it to the organization holding the device.</w:t>
      </w:r>
    </w:p>
    <w:p>
      <w:pPr>
        <w:pStyle w:val="BodyText"/>
      </w:pPr>
      <w:r>
        <w:t xml:space="preserve">• Alert the organization’s on-duty member within 2 seconds of incident creation, then the backup and the Manager after configurable timeouts; escalate to TrekLink when nobody acknowledges.</w:t>
      </w:r>
    </w:p>
    <w:p>
      <w:pPr>
        <w:pStyle w:val="BodyText"/>
      </w:pPr>
      <w:r>
        <w:t xml:space="preserve">• Support the incident lifecycle with tiered notification, acknowledgement, response, resolution, false alarm, escalation, authority report, reopen, and close.</w:t>
      </w:r>
    </w:p>
    <w:p>
      <w:pPr>
        <w:pStyle w:val="BodyText"/>
      </w:pPr>
      <w:r>
        <w:t xml:space="preserve">• Record actor (user ID + role), timestamp, and action note at each state transition.</w:t>
      </w:r>
    </w:p>
    <w:p>
      <w:pPr>
        <w:pStyle w:val="BodyText"/>
      </w:pPr>
      <w:r>
        <w:t xml:space="preserve">• Preserve a complete, append-only incident history for audit purposes.</w:t>
      </w:r>
    </w:p>
    <w:p>
      <w:pPr>
        <w:pStyle w:val="BodyText"/>
      </w:pPr>
      <w:r>
        <w:t xml:space="preserve">• Keep an incident owned at every moment: either a named owner or a running tier timeout.</w:t>
      </w:r>
    </w:p>
    <w:p>
      <w:pPr>
        <w:pStyle w:val="Compact"/>
        <w:numPr>
          <w:ilvl w:val="0"/>
          <w:numId w:val="1013"/>
        </w:numPr>
      </w:pPr>
      <w:r>
        <w:rPr>
          <w:b/>
          <w:bCs/>
        </w:rPr>
        <w:t xml:space="preserve">Billing &amp; Reporting:</w:t>
      </w:r>
    </w:p>
    <w:p>
      <w:pPr>
        <w:pStyle w:val="FirstParagraph"/>
      </w:pPr>
      <w:r>
        <w:t xml:space="preserve">• Calculate monthly term fees (holding fee and balance) and day-plan fees per device and hardware variant, plus late, damage, and loss charges.</w:t>
      </w:r>
    </w:p>
    <w:p>
      <w:pPr>
        <w:pStyle w:val="BodyText"/>
      </w:pPr>
      <w:r>
        <w:t xml:space="preserve">• Generate invoices and track payment status.</w:t>
      </w:r>
    </w:p>
    <w:p>
      <w:pPr>
        <w:pStyle w:val="BodyText"/>
      </w:pPr>
      <w:r>
        <w:t xml:space="preserve">• Integrate a third-party payment gateway (VietQR, confirming webhook) in its sandbox environment, and record counter payments.</w:t>
      </w:r>
    </w:p>
    <w:p>
      <w:pPr>
        <w:pStyle w:val="BodyText"/>
      </w:pPr>
      <w:r>
        <w:t xml:space="preserve">• Generate reports on contracts, fleet utilization, revenue, overdue and lost devices, maintenance, incidents, and response performance.</w:t>
      </w:r>
    </w:p>
    <w:p>
      <w:pPr>
        <w:pStyle w:val="BodyText"/>
      </w:pPr>
      <w:r>
        <w:rPr>
          <w:b/>
          <w:bCs/>
        </w:rPr>
        <w:t xml:space="preserve">d) Non-Functional Requirements:</w:t>
      </w:r>
    </w:p>
    <w:p>
      <w:pPr>
        <w:numPr>
          <w:ilvl w:val="0"/>
          <w:numId w:val="1014"/>
        </w:numPr>
      </w:pPr>
      <w:r>
        <w:rPr>
          <w:b/>
          <w:bCs/>
        </w:rPr>
        <w:t xml:space="preserve">API Performance:</w:t>
      </w:r>
      <w:r>
        <w:t xml:space="preserve"> </w:t>
      </w:r>
      <w:r>
        <w:t xml:space="preserve">At least 95% of normal backend API requests shall complete within 300 ms under the defined test workload of 50 concurrent users.</w:t>
      </w:r>
    </w:p>
    <w:p>
      <w:pPr>
        <w:numPr>
          <w:ilvl w:val="0"/>
          <w:numId w:val="1014"/>
        </w:numPr>
      </w:pPr>
      <w:r>
        <w:rPr>
          <w:b/>
          <w:bCs/>
        </w:rPr>
        <w:t xml:space="preserve">Synchronization Latency:</w:t>
      </w:r>
      <w:r>
        <w:t xml:space="preserve"> </w:t>
      </w:r>
      <w:r>
        <w:t xml:space="preserve">When gateway uplink connectivity is available, newly received field events shall reach the cloud backend within 5 seconds under normal load conditions.</w:t>
      </w:r>
    </w:p>
    <w:p>
      <w:pPr>
        <w:numPr>
          <w:ilvl w:val="0"/>
          <w:numId w:val="1014"/>
        </w:numPr>
      </w:pPr>
      <w:r>
        <w:rPr>
          <w:b/>
          <w:bCs/>
        </w:rPr>
        <w:t xml:space="preserve">Offline Recovery: Delivery Rate:</w:t>
      </w:r>
      <w:r>
        <w:t xml:space="preserve"> </w:t>
      </w:r>
      <w:r>
        <w:t xml:space="preserve">The Gateway shall achieve a message delivery rate of ≥ 99% after connectivity recovery under the defined experimental conditions (connectivity-loss durations of 30 s to 30 min, minimum 20 trials per condition).</w:t>
      </w:r>
    </w:p>
    <w:p>
      <w:pPr>
        <w:numPr>
          <w:ilvl w:val="0"/>
          <w:numId w:val="1014"/>
        </w:numPr>
      </w:pPr>
      <w:r>
        <w:rPr>
          <w:b/>
          <w:bCs/>
        </w:rPr>
        <w:t xml:space="preserve">Offline Recovery: Testability:</w:t>
      </w:r>
      <w:r>
        <w:t xml:space="preserve"> </w:t>
      </w:r>
      <w:r>
        <w:t xml:space="preserve">Connectivity loss shall be reproducible in a controlled lab environment by programmatically interrupting the gateway’s network interface, allowing repeatable experiment execution.</w:t>
      </w:r>
    </w:p>
    <w:p>
      <w:pPr>
        <w:numPr>
          <w:ilvl w:val="0"/>
          <w:numId w:val="1014"/>
        </w:numPr>
      </w:pPr>
      <w:r>
        <w:rPr>
          <w:b/>
          <w:bCs/>
        </w:rPr>
        <w:t xml:space="preserve">Duplicate Prevention:</w:t>
      </w:r>
      <w:r>
        <w:t xml:space="preserve"> </w:t>
      </w:r>
      <w:r>
        <w:t xml:space="preserve">Zero duplicate Incident records shall be created for repeated delivery of any SOS event carrying the same eventId. This shall be verified by a dedicated automated test that delivers the same SOS event 10 times and asserts exactly one Incident is created.</w:t>
      </w:r>
    </w:p>
    <w:p>
      <w:pPr>
        <w:numPr>
          <w:ilvl w:val="0"/>
          <w:numId w:val="1014"/>
        </w:numPr>
      </w:pPr>
      <w:r>
        <w:rPr>
          <w:b/>
          <w:bCs/>
        </w:rPr>
        <w:t xml:space="preserve">Priority Ordering:</w:t>
      </w:r>
      <w:r>
        <w:t xml:space="preserve"> </w:t>
      </w:r>
      <w:r>
        <w:t xml:space="preserve">On every reconnection, all P0 (SOS) events queued during the offline period shall be delivered to the backend before any P2 or P3 events. Priority-ordering compliance rate shall be ≥ 99% across all experimental trials.</w:t>
      </w:r>
    </w:p>
    <w:p>
      <w:pPr>
        <w:numPr>
          <w:ilvl w:val="0"/>
          <w:numId w:val="1014"/>
        </w:numPr>
      </w:pPr>
      <w:r>
        <w:rPr>
          <w:b/>
          <w:bCs/>
        </w:rPr>
        <w:t xml:space="preserve">Concurrency:</w:t>
      </w:r>
      <w:r>
        <w:t xml:space="preserve"> </w:t>
      </w:r>
      <w:r>
        <w:t xml:space="preserve">The backend shall process at least 20 simultaneous gateway event submissions without message loss or duplicate Incident creation, verified by a concurrent load test.</w:t>
      </w:r>
    </w:p>
    <w:p>
      <w:pPr>
        <w:numPr>
          <w:ilvl w:val="0"/>
          <w:numId w:val="1014"/>
        </w:numPr>
      </w:pPr>
      <w:r>
        <w:rPr>
          <w:b/>
          <w:bCs/>
        </w:rPr>
        <w:t xml:space="preserve">Offline Resilience:</w:t>
      </w:r>
      <w:r>
        <w:t xml:space="preserve"> </w:t>
      </w:r>
      <w:r>
        <w:t xml:space="preserve">Loss of cloud connectivity shall not interrupt local LoRa mesh communication or device-level SOS propagation on the field devices.</w:t>
      </w:r>
    </w:p>
    <w:p>
      <w:pPr>
        <w:numPr>
          <w:ilvl w:val="0"/>
          <w:numId w:val="1014"/>
        </w:numPr>
      </w:pPr>
      <w:r>
        <w:rPr>
          <w:b/>
          <w:bCs/>
        </w:rPr>
        <w:t xml:space="preserve">Data Consistency:</w:t>
      </w:r>
      <w:r>
        <w:t xml:space="preserve"> </w:t>
      </w:r>
      <w:r>
        <w:t xml:space="preserve">Replayed gateway messages shall not create duplicate incidents or duplicate telemetry records, enforced by eventId-keyed idempotency at the backend.</w:t>
      </w:r>
    </w:p>
    <w:p>
      <w:pPr>
        <w:numPr>
          <w:ilvl w:val="0"/>
          <w:numId w:val="1014"/>
        </w:numPr>
      </w:pPr>
      <w:r>
        <w:rPr>
          <w:b/>
          <w:bCs/>
        </w:rPr>
        <w:t xml:space="preserve">Security:</w:t>
      </w:r>
      <w:r>
        <w:t xml:space="preserve"> </w:t>
      </w:r>
      <w:r>
        <w:t xml:space="preserve">JWT-based authentication, RBAC, TLS-encrypted transport, bcrypt password hashing, and auditable access to sensitive incident data. No organization shall be able to read another organization’s devices, positions, incidents, contracts, or invoices, verified by a cross-organization test per module.</w:t>
      </w:r>
    </w:p>
    <w:p>
      <w:pPr>
        <w:numPr>
          <w:ilvl w:val="0"/>
          <w:numId w:val="1014"/>
        </w:numPr>
      </w:pPr>
      <w:r>
        <w:rPr>
          <w:b/>
          <w:bCs/>
        </w:rPr>
        <w:t xml:space="preserve">Auditability:</w:t>
      </w:r>
      <w:r>
        <w:t xml:space="preserve"> </w:t>
      </w:r>
      <w:r>
        <w:t xml:space="preserve">Every incident state transition, device lifecycle transition, and rental contract event shall be traceable to an actor (user ID + role) and a UTC timestamp.</w:t>
      </w:r>
    </w:p>
    <w:p>
      <w:pPr>
        <w:numPr>
          <w:ilvl w:val="0"/>
          <w:numId w:val="1014"/>
        </w:numPr>
      </w:pPr>
      <w:r>
        <w:rPr>
          <w:b/>
          <w:bCs/>
        </w:rPr>
        <w:t xml:space="preserve">Scalability:</w:t>
      </w:r>
      <w:r>
        <w:t xml:space="preserve"> </w:t>
      </w:r>
      <w:r>
        <w:t xml:space="preserve">The system shall support at least 10 organizations and 50 rented TrekLink devices concurrently without architectural changes.</w:t>
      </w:r>
    </w:p>
    <w:p>
      <w:pPr>
        <w:numPr>
          <w:ilvl w:val="0"/>
          <w:numId w:val="1014"/>
        </w:numPr>
      </w:pPr>
      <w:r>
        <w:rPr>
          <w:b/>
          <w:bCs/>
        </w:rPr>
        <w:t xml:space="preserve">Deployability:</w:t>
      </w:r>
      <w:r>
        <w:t xml:space="preserve"> </w:t>
      </w:r>
      <w:r>
        <w:t xml:space="preserve">All server components shall support containerized deployment via Docker Compose and automated CI/CD via GitHub Actions.</w:t>
      </w:r>
    </w:p>
    <w:p>
      <w:pPr>
        <w:pStyle w:val="FirstParagraph"/>
      </w:pPr>
      <w:r>
        <w:rPr>
          <w:b/>
          <w:bCs/>
        </w:rPr>
        <w:t xml:space="preserve">e) Theory &amp; Practical:</w:t>
      </w:r>
    </w:p>
    <w:p>
      <w:pPr>
        <w:pStyle w:val="BodyText"/>
      </w:pPr>
      <w:r>
        <w:rPr>
          <w:b/>
          <w:bCs/>
        </w:rPr>
        <w:t xml:space="preserve">Theory: The project applies software engineering and distributed systems principles to integrate an intermittently connected LoRa mesh network with a cloud-based operational platform.</w:t>
      </w:r>
    </w:p>
    <w:p>
      <w:pPr>
        <w:numPr>
          <w:ilvl w:val="0"/>
          <w:numId w:val="1015"/>
        </w:numPr>
      </w:pPr>
      <w:r>
        <w:rPr>
          <w:b/>
          <w:bCs/>
        </w:rPr>
        <w:t xml:space="preserve">Finite State Machines:</w:t>
      </w:r>
      <w:r>
        <w:t xml:space="preserve"> </w:t>
      </w:r>
      <w:r>
        <w:t xml:space="preserve">Model the nine-state device lifecycle with its loss case, the incident lifecycle with tiered notification and escalation, and the organization and rental-contract lifecycles with controlled, auditable state transitions. Each transition is an atomic, logged operation.</w:t>
      </w:r>
    </w:p>
    <w:p>
      <w:pPr>
        <w:numPr>
          <w:ilvl w:val="0"/>
          <w:numId w:val="1015"/>
        </w:numPr>
      </w:pPr>
      <w:r>
        <w:rPr>
          <w:b/>
          <w:bCs/>
        </w:rPr>
        <w:t xml:space="preserve">Distributed Systems and Eventual Consistency:</w:t>
      </w:r>
      <w:r>
        <w:t xml:space="preserve"> </w:t>
      </w:r>
      <w:r>
        <w:t xml:space="preserve">The Gateway and cloud backend are loosely coupled through MQTT. Field events are produced offline and delivered when connectivity permits; the backend converges to a consistent state after all queued events are processed.</w:t>
      </w:r>
    </w:p>
    <w:p>
      <w:pPr>
        <w:numPr>
          <w:ilvl w:val="0"/>
          <w:numId w:val="1015"/>
        </w:numPr>
      </w:pPr>
      <w:r>
        <w:rPr>
          <w:b/>
          <w:bCs/>
        </w:rPr>
        <w:t xml:space="preserve">Priority-Aware Store-and-Forward:</w:t>
      </w:r>
      <w:r>
        <w:t xml:space="preserve"> </w:t>
      </w:r>
      <w:r>
        <w:t xml:space="preserve">Classify field events by safety criticality (P0 SOS → P1 incident-related location → P2 GPS tracking → P3 routine telemetry) and enforce priority ordering during queue flush, ensuring safety-critical events are not delayed behind routine data.</w:t>
      </w:r>
    </w:p>
    <w:p>
      <w:pPr>
        <w:numPr>
          <w:ilvl w:val="0"/>
          <w:numId w:val="1015"/>
        </w:numPr>
      </w:pPr>
      <w:r>
        <w:rPr>
          <w:b/>
          <w:bCs/>
        </w:rPr>
        <w:t xml:space="preserve">Idempotent Event Processing:</w:t>
      </w:r>
      <w:r>
        <w:t xml:space="preserve"> </w:t>
      </w:r>
      <w:r>
        <w:t xml:space="preserve">Backend event handlers produce the same outcome regardless of delivery count, using eventId as a natural idempotency key. This decouples reliability from the transport layer and eliminates the need for exactly-once delivery guarantees at the MQTT level.</w:t>
      </w:r>
    </w:p>
    <w:p>
      <w:pPr>
        <w:numPr>
          <w:ilvl w:val="0"/>
          <w:numId w:val="1015"/>
        </w:numPr>
      </w:pPr>
      <w:r>
        <w:rPr>
          <w:b/>
          <w:bCs/>
        </w:rPr>
        <w:t xml:space="preserve">IoT Messaging Protocols:</w:t>
      </w:r>
      <w:r>
        <w:t xml:space="preserve"> </w:t>
      </w:r>
      <w:r>
        <w:t xml:space="preserve">MQTT QoS 1 (at-least-once) is used in conjunction with backend-side idempotency to achieve effective exactly-once processing without requiring QoS 2.</w:t>
      </w:r>
    </w:p>
    <w:p>
      <w:pPr>
        <w:numPr>
          <w:ilvl w:val="0"/>
          <w:numId w:val="1015"/>
        </w:numPr>
      </w:pPr>
      <w:r>
        <w:rPr>
          <w:b/>
          <w:bCs/>
        </w:rPr>
        <w:t xml:space="preserve">Event-Driven Architecture:</w:t>
      </w:r>
      <w:r>
        <w:t xml:space="preserve"> </w:t>
      </w:r>
      <w:r>
        <w:t xml:space="preserve">SOS events trigger an asynchronous processing pipeline: event ingestion → idempotency check → incident creation → role-based notification → audit logging, where each stage is decoupled and independently testable.</w:t>
      </w:r>
    </w:p>
    <w:p>
      <w:pPr>
        <w:numPr>
          <w:ilvl w:val="0"/>
          <w:numId w:val="1015"/>
        </w:numPr>
      </w:pPr>
      <w:r>
        <w:rPr>
          <w:b/>
          <w:bCs/>
        </w:rPr>
        <w:t xml:space="preserve">Role-Based Access Control (RBAC) and multi-tenancy:</w:t>
      </w:r>
      <w:r>
        <w:t xml:space="preserve"> </w:t>
      </w:r>
      <w:r>
        <w:t xml:space="preserve">Fine-grained permissions enforced at the API layer for TrekLink Admin and Staff and for each organization’s Manager and Operators, with every organization’s data isolated on the server.</w:t>
      </w:r>
    </w:p>
    <w:p>
      <w:pPr>
        <w:numPr>
          <w:ilvl w:val="0"/>
          <w:numId w:val="1015"/>
        </w:numPr>
      </w:pPr>
      <w:r>
        <w:rPr>
          <w:b/>
          <w:bCs/>
        </w:rPr>
        <w:t xml:space="preserve">Software Architecture:</w:t>
      </w:r>
      <w:r>
        <w:t xml:space="preserve"> </w:t>
      </w:r>
      <w:r>
        <w:t xml:space="preserve">Domain-driven modular design separates gateway synchronization, organizations, devices, rental contracts, incidents, monitoring, billing, and platform services into independent NestJS modules with documented REST and WebSocket APIs.</w:t>
      </w:r>
    </w:p>
    <w:p>
      <w:pPr>
        <w:pStyle w:val="FirstParagraph"/>
      </w:pPr>
      <w:r>
        <w:rPr>
          <w:b/>
          <w:bCs/>
        </w:rPr>
        <w:t xml:space="preserve">Practical: Build on the team’s ESP32/ESP32-S3 LoRa mesh firmware and hardware (Summer 2026), with targeted enhancements. Document the complete message schema (eventId structure, message types, payload format) before any gateway implementation begins.</w:t>
      </w:r>
    </w:p>
    <w:p>
      <w:pPr>
        <w:numPr>
          <w:ilvl w:val="0"/>
          <w:numId w:val="1016"/>
        </w:numPr>
      </w:pPr>
      <w:r>
        <w:t xml:space="preserve">Develop the Field Station (Node.js/TypeScript): LoRa-to-serial message parser, SQLite persistent priority queue, MQTT uplink publisher, reconnection flush logic, Field Station health reporter, local web page, and single-executable packaging.</w:t>
      </w:r>
    </w:p>
    <w:p>
      <w:pPr>
        <w:numPr>
          <w:ilvl w:val="0"/>
          <w:numId w:val="1016"/>
        </w:numPr>
      </w:pPr>
      <w:r>
        <w:t xml:space="preserve">Develop the NestJS backend: auth/RBAC module, organizations module, asset (device) module, rental contract module, gateway sync module (idempotent event ingestion), incident module (tiered alerts + WebSocket notifications), billing module (payment gateway), and reporting module. Apply PostgreSQL migrations via Prisma.</w:t>
      </w:r>
    </w:p>
    <w:p>
      <w:pPr>
        <w:numPr>
          <w:ilvl w:val="0"/>
          <w:numId w:val="1016"/>
        </w:numPr>
      </w:pPr>
      <w:r>
        <w:t xml:space="preserve">Develop the React/TypeScript web client: role-based views for TrekLink and for organizations, real-time operational map (Leaflet.js), incident dashboard with WebSocket updates, contract and asset management interfaces, the organization API, and reporting views.</w:t>
      </w:r>
    </w:p>
    <w:p>
      <w:pPr>
        <w:numPr>
          <w:ilvl w:val="0"/>
          <w:numId w:val="1016"/>
        </w:numPr>
      </w:pPr>
      <w:r>
        <w:t xml:space="preserve">Deploy with Docker Compose; automate testing and deployment with GitHub Actions CI/CD.</w:t>
      </w:r>
    </w:p>
    <w:p>
      <w:pPr>
        <w:numPr>
          <w:ilvl w:val="0"/>
          <w:numId w:val="1016"/>
        </w:numPr>
      </w:pPr>
      <w:r>
        <w:t xml:space="preserve">Design and execute the experimental protocol for RQ1, RQ2, and RQ3 as specified in the Research Description section.</w:t>
      </w:r>
    </w:p>
    <w:p>
      <w:pPr>
        <w:pStyle w:val="FirstParagraph"/>
      </w:pPr>
      <w:r>
        <w:rPr>
          <w:b/>
          <w:bCs/>
        </w:rPr>
        <w:t xml:space="preserve">f) Products (Expected Deliverables):</w:t>
      </w:r>
    </w:p>
    <w:p>
      <w:pPr>
        <w:numPr>
          <w:ilvl w:val="0"/>
          <w:numId w:val="1017"/>
        </w:numPr>
      </w:pPr>
      <w:r>
        <w:rPr>
          <w:b/>
          <w:bCs/>
        </w:rPr>
        <w:t xml:space="preserve">TrekLink Rental Platform:</w:t>
      </w:r>
      <w:r>
        <w:t xml:space="preserve"> </w:t>
      </w:r>
      <w:r>
        <w:t xml:space="preserve">Integrated web application for TrekLink Admin and Staff and for each organization’s Manager and Operators.</w:t>
      </w:r>
    </w:p>
    <w:p>
      <w:pPr>
        <w:numPr>
          <w:ilvl w:val="0"/>
          <w:numId w:val="1017"/>
        </w:numPr>
      </w:pPr>
      <w:r>
        <w:rPr>
          <w:b/>
          <w:bCs/>
        </w:rPr>
        <w:t xml:space="preserve">Field Station:</w:t>
      </w:r>
      <w:r>
        <w:t xml:space="preserve"> </w:t>
      </w:r>
      <w:r>
        <w:t xml:space="preserve">LoRa-to-cloud gateway run on the organization’s laptop with persistent SQLite priority queue (P0–P3), idempotent MQTT synchronization, reconnection flush, health reporting, and a local offline view. Primary new hardware-integration deliverable.</w:t>
      </w:r>
    </w:p>
    <w:p>
      <w:pPr>
        <w:numPr>
          <w:ilvl w:val="0"/>
          <w:numId w:val="1017"/>
        </w:numPr>
      </w:pPr>
      <w:r>
        <w:rPr>
          <w:b/>
          <w:bCs/>
        </w:rPr>
        <w:t xml:space="preserve">Event Reliability Layer:</w:t>
      </w:r>
      <w:r>
        <w:t xml:space="preserve"> </w:t>
      </w:r>
      <w:r>
        <w:t xml:space="preserve">End-to-end eventId scheme, backend idempotency enforcement, synchronization audit log, and duplicate-prevention test suite.</w:t>
      </w:r>
    </w:p>
    <w:p>
      <w:pPr>
        <w:numPr>
          <w:ilvl w:val="0"/>
          <w:numId w:val="1017"/>
        </w:numPr>
      </w:pPr>
      <w:r>
        <w:rPr>
          <w:b/>
          <w:bCs/>
        </w:rPr>
        <w:t xml:space="preserve">Organization &amp; Rental Contract Module:</w:t>
      </w:r>
      <w:r>
        <w:t xml:space="preserve"> </w:t>
      </w:r>
      <w:r>
        <w:t xml:space="preserve">Organization registration and approval, members, on-duty roster, API keys, monthly and day plans, handover, terms, notice, overdue and default.</w:t>
      </w:r>
    </w:p>
    <w:p>
      <w:pPr>
        <w:numPr>
          <w:ilvl w:val="0"/>
          <w:numId w:val="1017"/>
        </w:numPr>
      </w:pPr>
      <w:r>
        <w:rPr>
          <w:b/>
          <w:bCs/>
        </w:rPr>
        <w:t xml:space="preserve">Asset Management Module:</w:t>
      </w:r>
      <w:r>
        <w:t xml:space="preserve"> </w:t>
      </w:r>
      <w:r>
        <w:t xml:space="preserve">Nine-state device lifecycle, intake, provisioning, reset, inspection, scheduled maintenance with cost approval, loss cases, replacement, disposal, and stock-take.</w:t>
      </w:r>
    </w:p>
    <w:p>
      <w:pPr>
        <w:numPr>
          <w:ilvl w:val="0"/>
          <w:numId w:val="1017"/>
        </w:numPr>
      </w:pPr>
      <w:r>
        <w:rPr>
          <w:b/>
          <w:bCs/>
        </w:rPr>
        <w:t xml:space="preserve">SOS Incident Management Module:</w:t>
      </w:r>
      <w:r>
        <w:t xml:space="preserve"> </w:t>
      </w:r>
      <w:r>
        <w:t xml:space="preserve">Automatic Incident creation from SOS events, tiered alerts with escalation to TrekLink and authority-report records, WebSocket notification, response tracking, and append-only audit history.</w:t>
      </w:r>
    </w:p>
    <w:p>
      <w:pPr>
        <w:numPr>
          <w:ilvl w:val="0"/>
          <w:numId w:val="1017"/>
        </w:numPr>
      </w:pPr>
      <w:r>
        <w:rPr>
          <w:b/>
          <w:bCs/>
        </w:rPr>
        <w:t xml:space="preserve">Live Telemetry Module:</w:t>
      </w:r>
      <w:r>
        <w:t xml:space="preserve"> </w:t>
      </w:r>
      <w:r>
        <w:t xml:space="preserve">Organization-scoped live map, device telemetry, positions, Field Station connectivity, and a REST and WebSocket API per organization.</w:t>
      </w:r>
    </w:p>
    <w:p>
      <w:pPr>
        <w:numPr>
          <w:ilvl w:val="0"/>
          <w:numId w:val="1017"/>
        </w:numPr>
      </w:pPr>
      <w:r>
        <w:rPr>
          <w:b/>
          <w:bCs/>
        </w:rPr>
        <w:t xml:space="preserve">Billing Module:</w:t>
      </w:r>
      <w:r>
        <w:t xml:space="preserve"> </w:t>
      </w:r>
      <w:r>
        <w:t xml:space="preserve">Term and day-plan pricing, late, damage and loss charges, invoices, and online payments through the payment gateway (sandbox).</w:t>
      </w:r>
    </w:p>
    <w:p>
      <w:pPr>
        <w:numPr>
          <w:ilvl w:val="0"/>
          <w:numId w:val="1017"/>
        </w:numPr>
      </w:pPr>
      <w:r>
        <w:rPr>
          <w:b/>
          <w:bCs/>
        </w:rPr>
        <w:t xml:space="preserve">Backend API &amp; Real-Time Services:</w:t>
      </w:r>
      <w:r>
        <w:t xml:space="preserve"> </w:t>
      </w:r>
      <w:r>
        <w:t xml:space="preserve">REST API (OpenAPI/Swagger documented) and Socket.io WebSocket services.</w:t>
      </w:r>
    </w:p>
    <w:p>
      <w:pPr>
        <w:numPr>
          <w:ilvl w:val="0"/>
          <w:numId w:val="1017"/>
        </w:numPr>
      </w:pPr>
      <w:r>
        <w:rPr>
          <w:b/>
          <w:bCs/>
        </w:rPr>
        <w:t xml:space="preserve">Technical Documentation:</w:t>
      </w:r>
      <w:r>
        <w:t xml:space="preserve"> </w:t>
      </w:r>
      <w:r>
        <w:t xml:space="preserve">SRS with UML State Machine Diagrams (Device, Incident, Organization, Rental Contract), system architecture, database schema, API reference, test plan, deployment guide, and user guide.</w:t>
      </w:r>
    </w:p>
    <w:p>
      <w:pPr>
        <w:numPr>
          <w:ilvl w:val="0"/>
          <w:numId w:val="1017"/>
        </w:numPr>
      </w:pPr>
      <w:r>
        <w:rPr>
          <w:b/>
          <w:bCs/>
        </w:rPr>
        <w:t xml:space="preserve">Evaluation Report:</w:t>
      </w:r>
      <w:r>
        <w:t xml:space="preserve"> </w:t>
      </w:r>
      <w:r>
        <w:t xml:space="preserve">Experimental results for RQ1 (gateway delivery rate, latency, duplicate rate), RQ2 (effect of connectivity-loss duration), and RQ3 (SOS-to-Incident workflow vs. baseline).</w:t>
      </w:r>
    </w:p>
    <w:p>
      <w:pPr>
        <w:numPr>
          <w:ilvl w:val="0"/>
          <w:numId w:val="1017"/>
        </w:numPr>
      </w:pPr>
      <w:r>
        <w:rPr>
          <w:b/>
          <w:bCs/>
        </w:rPr>
        <w:t xml:space="preserve">Source Code &amp; Deployment Package:</w:t>
      </w:r>
      <w:r>
        <w:t xml:space="preserve"> </w:t>
      </w:r>
      <w:r>
        <w:t xml:space="preserve">Version-controlled repositories (gateway, backend, frontend), Docker Compose configuration, GitHub Actions CI/CD, and a runnable demonstration environment.</w:t>
      </w:r>
    </w:p>
    <w:p>
      <w:pPr>
        <w:pStyle w:val="FirstParagraph"/>
      </w:pPr>
      <w:r>
        <w:rPr>
          <w:b/>
          <w:bCs/>
        </w:rPr>
        <w:t xml:space="preserve">g) Proposed Tasks:</w:t>
      </w:r>
    </w:p>
    <w:p>
      <w:pPr>
        <w:numPr>
          <w:ilvl w:val="0"/>
          <w:numId w:val="1018"/>
        </w:numPr>
      </w:pPr>
      <w:r>
        <w:rPr>
          <w:b/>
          <w:bCs/>
        </w:rPr>
        <w:t xml:space="preserve">TP1: Requirements, Architecture &amp; Experimental Design (Weeks 1–3):</w:t>
      </w:r>
      <w:r>
        <w:t xml:space="preserve"> </w:t>
      </w:r>
      <w:r>
        <w:t xml:space="preserve">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numPr>
          <w:ilvl w:val="0"/>
          <w:numId w:val="1018"/>
        </w:numPr>
      </w:pPr>
      <w:r>
        <w:rPr>
          <w:b/>
          <w:bCs/>
        </w:rPr>
        <w:t xml:space="preserve">TP2: Gateway Bridge &amp; Offline Synchronization (Weeks 2–6):</w:t>
      </w:r>
      <w:r>
        <w:t xml:space="preserve"> </w:t>
      </w:r>
      <w:r>
        <w:t xml:space="preserve">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numPr>
          <w:ilvl w:val="0"/>
          <w:numId w:val="1018"/>
        </w:numPr>
      </w:pPr>
      <w:r>
        <w:rPr>
          <w:b/>
          <w:bCs/>
        </w:rPr>
        <w:t xml:space="preserve">TP3: Core Backend &amp; Reliability Services (Weeks 3–7):</w:t>
      </w:r>
      <w:r>
        <w:t xml:space="preserve"> </w:t>
      </w:r>
      <w:r>
        <w:t xml:space="preserve">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numPr>
          <w:ilvl w:val="0"/>
          <w:numId w:val="1018"/>
        </w:numPr>
      </w:pPr>
      <w:r>
        <w:rPr>
          <w:b/>
          <w:bCs/>
        </w:rPr>
        <w:t xml:space="preserve">TP4: Monitoring &amp; Incident Management (Weeks 5–9):</w:t>
      </w:r>
      <w:r>
        <w:t xml:space="preserve"> </w:t>
      </w:r>
      <w:r>
        <w:t xml:space="preserve">Real-time telemetry ingestion, Leaflet.js organization-scoped map with WebSocket live updates, the organization telemetry API, SOS-to-Incident processing pipeline, tiered-alert incident FSM with escalation, acknowledgment workflows, and append-only incident audit trail.</w:t>
      </w:r>
    </w:p>
    <w:p>
      <w:pPr>
        <w:numPr>
          <w:ilvl w:val="0"/>
          <w:numId w:val="1018"/>
        </w:numPr>
      </w:pPr>
      <w:r>
        <w:rPr>
          <w:b/>
          <w:bCs/>
        </w:rPr>
        <w:t xml:space="preserve">TP5: Business Operations (Weeks 6–10):</w:t>
      </w:r>
      <w:r>
        <w:t xml:space="preserve"> </w:t>
      </w:r>
      <w:r>
        <w:t xml:space="preserve">Organization onboarding, rental contracts and plans, device reservation, handover and check-in at the counter, reset and inspection, billing with online payments, TrekLink and organization web views, operational dashboards, audit log views, and management reports.</w:t>
      </w:r>
    </w:p>
    <w:p>
      <w:pPr>
        <w:numPr>
          <w:ilvl w:val="0"/>
          <w:numId w:val="1018"/>
        </w:numPr>
      </w:pPr>
      <w:r>
        <w:rPr>
          <w:b/>
          <w:bCs/>
        </w:rPr>
        <w:t xml:space="preserve">TP6: Integration, Experimental Evaluation &amp; Deployment (Weeks 9–13):</w:t>
      </w:r>
      <w:r>
        <w:t xml:space="preserve"> </w:t>
      </w:r>
      <w:r>
        <w:t xml:space="preserve">Physical LoRa experiment execution (RQ1/RQ2: 3–5 devices, connectivity-loss matrix, ≥ 20 trials per condition), offline/recovery experiment results, duplicate-event test results, concurrency/load test results, cross-organization isolation suite results with at least two organizations per module, simulated multi-organization load test results, RQ3 SOS drill evaluation (randomized, ≥ 15 drills per condition, automatic timestamp recording), evaluation report, end-to-end integration test suite, Docker Compose deployment, GitHub Actions CI/CD pipeline, and final Capstone documentation.</w:t>
      </w:r>
    </w:p>
    <w:p>
      <w:pPr>
        <w:pStyle w:val="FirstParagraph"/>
      </w:pPr>
      <w:r>
        <w:t xml:space="preserve">Risk assessment:</w:t>
      </w:r>
    </w:p>
    <w:p>
      <w:pPr>
        <w:numPr>
          <w:ilvl w:val="0"/>
          <w:numId w:val="1019"/>
        </w:numPr>
      </w:pPr>
      <w:r>
        <w:rPr>
          <w:b/>
          <w:bCs/>
        </w:rPr>
        <w:t xml:space="preserve">Insufficient physical TrekLink devices</w:t>
      </w:r>
      <w:r>
        <w:t xml:space="preserve"> </w:t>
      </w:r>
      <w:r>
        <w:t xml:space="preserve">(Likelihood: Medium / Impact: High): Simulate additional Gateway-to-Cloud load using MQTT scripts. Physical devices are required only for mesh-to-gateway experiments; simulation shall not be used to claim LoRa RF reliability.</w:t>
      </w:r>
    </w:p>
    <w:p>
      <w:pPr>
        <w:numPr>
          <w:ilvl w:val="0"/>
          <w:numId w:val="1019"/>
        </w:numPr>
      </w:pPr>
      <w:r>
        <w:rPr>
          <w:b/>
          <w:bCs/>
        </w:rPr>
        <w:t xml:space="preserve">Gateway sync latency exceeds 5-second NFR</w:t>
      </w:r>
      <w:r>
        <w:t xml:space="preserve"> </w:t>
      </w:r>
      <w:r>
        <w:t xml:space="preserve">(Likelihood: Medium / Impact: Medium): Tune MQTT QoS level, reduce payload size, implement backpressure on the queue flush rate.</w:t>
      </w:r>
    </w:p>
    <w:p>
      <w:pPr>
        <w:numPr>
          <w:ilvl w:val="0"/>
          <w:numId w:val="1019"/>
        </w:numPr>
      </w:pPr>
      <w:r>
        <w:rPr>
          <w:b/>
          <w:bCs/>
        </w:rPr>
        <w:t xml:space="preserve">RQ3 baseline not objectively measurable</w:t>
      </w:r>
      <w:r>
        <w:t xml:space="preserve"> </w:t>
      </w:r>
      <w:r>
        <w:t xml:space="preserve">(Likelihood: High / Impact: Medium): Use randomized simulation drills; independent observer triggers SOS and records timestamp; participants do not know exact trigger time in advance.</w:t>
      </w:r>
    </w:p>
    <w:p>
      <w:pPr>
        <w:numPr>
          <w:ilvl w:val="0"/>
          <w:numId w:val="1019"/>
        </w:numPr>
      </w:pPr>
      <w:r>
        <w:rPr>
          <w:b/>
          <w:bCs/>
        </w:rPr>
        <w:t xml:space="preserve">NestJS + MQTT + WebSocket integration underestimated</w:t>
      </w:r>
      <w:r>
        <w:t xml:space="preserve"> </w:t>
      </w:r>
      <w:r>
        <w:t xml:space="preserve">(Likelihood: Medium / Impact: High): Proof-of-concept gateway-to-backend integration completed in TP1 Week 2; does not wait for TP3.</w:t>
      </w:r>
    </w:p>
    <w:p>
      <w:pPr>
        <w:numPr>
          <w:ilvl w:val="0"/>
          <w:numId w:val="1019"/>
        </w:numPr>
      </w:pPr>
      <w:r>
        <w:rPr>
          <w:b/>
          <w:bCs/>
        </w:rPr>
        <w:t xml:space="preserve">Firmware message schema incompatible with new gateway</w:t>
      </w:r>
      <w:r>
        <w:t xml:space="preserve"> </w:t>
      </w:r>
      <w:r>
        <w:t xml:space="preserve">(Likelihood: Low / Impact: High): Schema frozen and documented in TP1 before any gateway implementation begins.</w:t>
      </w:r>
    </w:p>
    <w:p>
      <w:pPr>
        <w:numPr>
          <w:ilvl w:val="0"/>
          <w:numId w:val="1019"/>
        </w:numPr>
      </w:pPr>
      <w:r>
        <w:rPr>
          <w:b/>
          <w:bCs/>
        </w:rPr>
        <w:t xml:space="preserve">Scope creep</w:t>
      </w:r>
      <w:r>
        <w:t xml:space="preserve"> </w:t>
      </w:r>
      <w:r>
        <w:t xml:space="preserve">(Likelihood: High / Impact: Medium): Feature freeze after TP5 Week 10; additional features go to post-Capstone backlog.</w:t>
      </w:r>
    </w:p>
    <w:p>
      <w:pPr>
        <w:pStyle w:val="FirstParagraph"/>
      </w:pPr>
      <w:r>
        <w:rPr>
          <w:b/>
          <w:bCs/>
        </w:rPr>
        <w:t xml:space="preserve">3.3. Research Information</w:t>
      </w:r>
    </w:p>
    <w:p>
      <w:pPr>
        <w:pStyle w:val="BodyText"/>
      </w:pPr>
      <w:r>
        <w:rPr>
          <w:b/>
          <w:bCs/>
        </w:rPr>
        <w:t xml:space="preserve">a. Research Problem / Research Question</w:t>
      </w:r>
    </w:p>
    <w:p>
      <w:pPr>
        <w:pStyle w:val="BodyText"/>
      </w:pPr>
      <w:r>
        <w:t xml:space="preserve">Trekking companies and similar organizations operating where cellular coverage is limited need field events, SOS alerts included, to reach their staff even after a long outage, and need each SOS handled as a coordinated incident with an owner, tracked acknowledgment and an audit trail.</w:t>
      </w:r>
    </w:p>
    <w:p>
      <w:pPr>
        <w:pStyle w:val="BodyText"/>
      </w:pPr>
      <w:r>
        <w:t xml:space="preserve">The Summer 2026 TrekLink firmware provides the field communication layer. This Capstone adds a Field Station with priority-aware offline queuing and idempotent event processing, and an SOS-to-Incident pipeline with a formally defined lifecycle and tiered escalation, and evaluates both.</w:t>
      </w:r>
    </w:p>
    <w:p>
      <w:pPr>
        <w:pStyle w:val="BodyText"/>
      </w:pPr>
      <w:r>
        <w:t xml:space="preserve">Three research questions operationalize the evaluation:</w:t>
      </w:r>
    </w:p>
    <w:p>
      <w:pPr>
        <w:numPr>
          <w:ilvl w:val="0"/>
          <w:numId w:val="1020"/>
        </w:numPr>
      </w:pPr>
      <w:r>
        <w:rPr>
          <w:b/>
          <w:bCs/>
        </w:rPr>
        <w:t xml:space="preserve">RQ1:</w:t>
      </w:r>
      <w:r>
        <w:t xml:space="preserve"> </w:t>
      </w:r>
      <w:r>
        <w:t xml:space="preserve">How reliably can the TrekLink Gateway Bridge synchronize SOS, GPS, and telemetry events from an intermittently connected LoRa mesh to the cloud backend, measured by message delivery rate, data-loss rate, and duplicate rate?</w:t>
      </w:r>
    </w:p>
    <w:p>
      <w:pPr>
        <w:numPr>
          <w:ilvl w:val="0"/>
          <w:numId w:val="1020"/>
        </w:numPr>
      </w:pPr>
      <w:r>
        <w:rPr>
          <w:b/>
          <w:bCs/>
        </w:rPr>
        <w:t xml:space="preserve">RQ2:</w:t>
      </w:r>
      <w:r>
        <w:t xml:space="preserve"> </w:t>
      </w:r>
      <w:r>
        <w:t xml:space="preserve">How do varying connectivity-loss durations and reconnection patterns affect message delivery rate, synchronization latency, and priority-ordering compliance of the proposed Gateway architecture?</w:t>
      </w:r>
    </w:p>
    <w:p>
      <w:pPr>
        <w:numPr>
          <w:ilvl w:val="0"/>
          <w:numId w:val="1020"/>
        </w:numPr>
      </w:pPr>
      <w:r>
        <w:rPr>
          <w:b/>
          <w:bCs/>
        </w:rPr>
        <w:t xml:space="preserve">RQ3:</w:t>
      </w:r>
      <w:r>
        <w:t xml:space="preserve"> </w:t>
      </w:r>
      <w:r>
        <w:t xml:space="preserve">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pStyle w:val="FirstParagraph"/>
      </w:pPr>
      <w:r>
        <w:t xml:space="preserve">RQ1 and RQ2 directly evaluate the Event Reliability &amp; Offline Synchronization functional requirements. RQ3 directly evaluates the Incident Management functional requirements and the incident FSM. All three RQs trace back to specific functional requirements, system modules, task packages, and experiment conditions defined in this proposal.</w:t>
      </w:r>
    </w:p>
    <w:p>
      <w:pPr>
        <w:pStyle w:val="BodyText"/>
      </w:pPr>
      <w:r>
        <w:rPr>
          <w:b/>
          <w:bCs/>
        </w:rPr>
        <w:t xml:space="preserve">Baseline definition for RQ3:</w:t>
      </w:r>
      <w:r>
        <w:t xml:space="preserve"> </w:t>
      </w:r>
      <w:r>
        <w:t xml:space="preserve">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pStyle w:val="BodyText"/>
      </w:pPr>
      <w:r>
        <w:rPr>
          <w:b/>
          <w:bCs/>
        </w:rPr>
        <w:t xml:space="preserve">b. Research Objectives</w:t>
      </w:r>
    </w:p>
    <w:p>
      <w:pPr>
        <w:numPr>
          <w:ilvl w:val="0"/>
          <w:numId w:val="1021"/>
        </w:numPr>
      </w:pPr>
      <w:r>
        <w:t xml:space="preserve">Design and implement a priority-aware, offline-resilient Gateway Bridge with end-to-end idempotent event processing connecting the TrekLink LoRa mesh to a cloud backend.</w:t>
      </w:r>
    </w:p>
    <w:p>
      <w:pPr>
        <w:numPr>
          <w:ilvl w:val="0"/>
          <w:numId w:val="1021"/>
        </w:numPr>
      </w:pPr>
      <w:r>
        <w:t xml:space="preserve">Evaluate gateway synchronization reliability under a controlled matrix of connectivity-loss durations and reconnection patterns, using physical TrekLink hardware for all mesh-to-gateway measurements.</w:t>
      </w:r>
    </w:p>
    <w:p>
      <w:pPr>
        <w:numPr>
          <w:ilvl w:val="0"/>
          <w:numId w:val="1021"/>
        </w:numPr>
      </w:pPr>
      <w:r>
        <w:t xml:space="preserve">Design and implement an SOS-to-Incident pipeline with a formally defined FSM, tiered notification and escalation, and append-only audit trail.</w:t>
      </w:r>
    </w:p>
    <w:p>
      <w:pPr>
        <w:numPr>
          <w:ilvl w:val="0"/>
          <w:numId w:val="1021"/>
        </w:numPr>
      </w:pPr>
      <w:r>
        <w:t xml:space="preserve">Evaluate incident-response workflow efficiency using MTTA, MTTR, traceability score, and incident-completion rate in randomized controlled emergency drills, compared with the uncoordinated baseline.</w:t>
      </w:r>
    </w:p>
    <w:p>
      <w:pPr>
        <w:numPr>
          <w:ilvl w:val="0"/>
          <w:numId w:val="1021"/>
        </w:numPr>
      </w:pPr>
      <w:r>
        <w:t xml:space="preserve">Integrate the evaluated gateway and incident mechanisms into a complete multi-organization rental platform covering asset management, rental contracts, live telemetry, and billing.</w:t>
      </w:r>
    </w:p>
    <w:p>
      <w:pPr>
        <w:pStyle w:val="FirstParagraph"/>
      </w:pPr>
      <w:r>
        <w:rPr>
          <w:b/>
          <w:bCs/>
        </w:rPr>
        <w:t xml:space="preserve">c. Research Scope &amp; Methodology</w:t>
      </w:r>
    </w:p>
    <w:p>
      <w:pPr>
        <w:pStyle w:val="BodyText"/>
      </w:pPr>
      <w:r>
        <w:t xml:space="preserve">In scope: TrekLink ESP32/ESP32-S3 devices and LoRa mesh (Summer 2026 firmware with targeted enhancements); Field Station: LoRa-to-MQTT-to-cloud synchronization with priority queue and idempotency; SOS, GPS, and selected telemetry message types; connectivity-loss/recovery experiments in a controlled lab environment; SOS-to-Incident workflow evaluation using controlled drills; organizations, asset and rental-contract modules with multi-tenancy; responsive web client (desktop/tablet); sandbox payment only.</w:t>
      </w:r>
    </w:p>
    <w:p>
      <w:pPr>
        <w:pStyle w:val="BodyText"/>
      </w:pPr>
      <w:r>
        <w:t xml:space="preserve">Out of scope: Mesh-stack rearchitecture, native mobile apps, commercial payment, hardware radio certification, individual renters, and the organizations’ own trip and rescue operations.</w:t>
      </w:r>
    </w:p>
    <w:p>
      <w:pPr>
        <w:pStyle w:val="BodyText"/>
      </w:pPr>
      <w:r>
        <w:t xml:space="preserve">Methodology:</w:t>
      </w:r>
    </w:p>
    <w:p>
      <w:pPr>
        <w:numPr>
          <w:ilvl w:val="0"/>
          <w:numId w:val="1022"/>
        </w:numPr>
      </w:pPr>
      <w:r>
        <w:rPr>
          <w:b/>
          <w:bCs/>
        </w:rPr>
        <w:t xml:space="preserve">Literature Review:</w:t>
      </w:r>
      <w:r>
        <w:t xml:space="preserve"> </w:t>
      </w:r>
      <w:r>
        <w:t xml:space="preserve">Survey LoRa mesh systems, store-and-forward and DTN protocols, IoT fleet management, and emergency incident workflows. Identify and articulate the integration gap.</w:t>
      </w:r>
    </w:p>
    <w:p>
      <w:pPr>
        <w:numPr>
          <w:ilvl w:val="0"/>
          <w:numId w:val="1022"/>
        </w:numPr>
      </w:pPr>
      <w:r>
        <w:rPr>
          <w:b/>
          <w:bCs/>
        </w:rPr>
        <w:t xml:space="preserve">Architecture &amp; Design:</w:t>
      </w:r>
      <w:r>
        <w:t xml:space="preserve"> </w:t>
      </w:r>
      <w:r>
        <w:t xml:space="preserve">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numPr>
          <w:ilvl w:val="0"/>
          <w:numId w:val="1022"/>
        </w:numPr>
      </w:pPr>
      <w:r>
        <w:rPr>
          <w:b/>
          <w:bCs/>
        </w:rPr>
        <w:t xml:space="preserve">Implementation:</w:t>
      </w:r>
      <w:r>
        <w:t xml:space="preserve"> </w:t>
      </w:r>
      <w:r>
        <w:t xml:space="preserve">Develop gateway bridge, backend modules, and web client per TP1–TP5.</w:t>
      </w:r>
    </w:p>
    <w:p>
      <w:pPr>
        <w:numPr>
          <w:ilvl w:val="0"/>
          <w:numId w:val="1022"/>
        </w:numPr>
      </w:pPr>
      <w:r>
        <w:rPr>
          <w:b/>
          <w:bCs/>
        </w:rPr>
        <w:t xml:space="preserve">Experiment 1: Gateway Synchronization (RQ1 &amp; RQ2):</w:t>
      </w:r>
      <w:r>
        <w:t xml:space="preserve"> </w:t>
      </w:r>
      <w:r>
        <w:t xml:space="preserve">Use 3–5 physical TrekLink devices for all mesh-to-gateway reliability measurements. MQTT simulation scripts may supplement Gateway-to-Cloud workload evaluation only,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numPr>
          <w:ilvl w:val="0"/>
          <w:numId w:val="1022"/>
        </w:numPr>
      </w:pPr>
      <w:r>
        <w:rPr>
          <w:b/>
          <w:bCs/>
        </w:rPr>
        <w:t xml:space="preserve">Experiment 2: SOS-to-Incident Workflow (RQ3):</w:t>
      </w:r>
      <w:r>
        <w:t xml:space="preserve"> </w:t>
      </w:r>
      <w:r>
        <w:t xml:space="preserve">Controlled emergency drills with two organizations at once, each with 1 TrekLink device, 1 Field Station, an on-duty member and a backup, minimum 4 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 cross-organization leakage (alerts or positions delivered to the wrong organization, expected 0).</w:t>
      </w:r>
    </w:p>
    <w:p>
      <w:pPr>
        <w:numPr>
          <w:ilvl w:val="0"/>
          <w:numId w:val="1022"/>
        </w:numPr>
      </w:pPr>
      <w:r>
        <w:rPr>
          <w:b/>
          <w:bCs/>
        </w:rPr>
        <w:t xml:space="preserve">Integration &amp; System Testing:</w:t>
      </w:r>
      <w:r>
        <w:t xml:space="preserve"> </w:t>
      </w:r>
      <w:r>
        <w:t xml:space="preserve">End-to-end test cases for all functional requirements, idempotency tests (10× same eventId → 1 Incident), concurrency tests (20 simultaneous events → 0 duplicates), RBAC validation, audit-log completeness check, a cross-organization isolation suite with at least two organizations per module (including an event that synchronizes after its device was returned and rented to another organization), and a load test with simulated devices and Field Stations at 10 organizations, 50 rented devices and 20 simultaneous Field Station submissions.</w:t>
      </w:r>
    </w:p>
    <w:p>
      <w:pPr>
        <w:pStyle w:val="FirstParagraph"/>
      </w:pPr>
      <w:r>
        <w:rPr>
          <w:b/>
          <w:bCs/>
        </w:rPr>
        <w:t xml:space="preserve">d. Expected Scientific Contribution</w:t>
      </w:r>
    </w:p>
    <w:p>
      <w:pPr>
        <w:numPr>
          <w:ilvl w:val="0"/>
          <w:numId w:val="1023"/>
        </w:numPr>
      </w:pPr>
      <w:r>
        <w:rPr>
          <w:b/>
          <w:bCs/>
        </w:rPr>
        <w:t xml:space="preserve">A priority-aware, offline-resilient gateway pattern</w:t>
      </w:r>
      <w:r>
        <w:t xml:space="preserve"> </w:t>
      </w:r>
      <w:r>
        <w:t xml:space="preserve">for connecting intermittently connected LoRa mesh devices to cloud-based operational systems, with a formally defined eventId scheme, SQLite persistence model, and idempotent backend processing.</w:t>
      </w:r>
    </w:p>
    <w:p>
      <w:pPr>
        <w:numPr>
          <w:ilvl w:val="0"/>
          <w:numId w:val="1023"/>
        </w:numPr>
      </w:pPr>
      <w:r>
        <w:rPr>
          <w:b/>
          <w:bCs/>
        </w:rPr>
        <w:t xml:space="preserve">Empirical benchmark</w:t>
      </w:r>
      <w:r>
        <w:t xml:space="preserve"> </w:t>
      </w:r>
      <w:r>
        <w:t xml:space="preserve">of gateway synchronization reliability and latency under a controlled connectivity-loss matrix on low-cost ESP32 hardware.</w:t>
      </w:r>
    </w:p>
    <w:p>
      <w:pPr>
        <w:numPr>
          <w:ilvl w:val="0"/>
          <w:numId w:val="1023"/>
        </w:numPr>
      </w:pPr>
      <w:r>
        <w:rPr>
          <w:b/>
          <w:bCs/>
        </w:rPr>
        <w:t xml:space="preserve">An SOS-to-Incident workflow design</w:t>
      </w:r>
      <w:r>
        <w:t xml:space="preserve"> </w:t>
      </w:r>
      <w:r>
        <w:t xml:space="preserve">with a formally specified FSM, tiered notification and escalation chain, and append-only audit trail, directly traceable to measurable research outcomes.</w:t>
      </w:r>
    </w:p>
    <w:p>
      <w:pPr>
        <w:numPr>
          <w:ilvl w:val="0"/>
          <w:numId w:val="1023"/>
        </w:numPr>
      </w:pPr>
      <w:r>
        <w:rPr>
          <w:b/>
          <w:bCs/>
        </w:rPr>
        <w:t xml:space="preserve">Comparative evaluation</w:t>
      </w:r>
      <w:r>
        <w:t xml:space="preserve"> </w:t>
      </w:r>
      <w:r>
        <w:t xml:space="preserve">of uncoordinated vs. structured incident response (MTTA, MTTR, traceability) using randomized controlled drills.</w:t>
      </w:r>
    </w:p>
    <w:p>
      <w:pPr>
        <w:numPr>
          <w:ilvl w:val="0"/>
          <w:numId w:val="1023"/>
        </w:numPr>
      </w:pPr>
      <w:r>
        <w:rPr>
          <w:b/>
          <w:bCs/>
        </w:rPr>
        <w:t xml:space="preserve">A practical case study</w:t>
      </w:r>
      <w:r>
        <w:t xml:space="preserve"> </w:t>
      </w:r>
      <w:r>
        <w:t xml:space="preserve">demonstrating end-to-end integration of an open-source LoRa mesh prototype into a multi-organization rental platform for trekking agencies.</w:t>
      </w:r>
    </w:p>
    <w:p>
      <w:pPr>
        <w:pStyle w:val="FirstParagraph"/>
      </w:pPr>
      <w:r>
        <w:rPr>
          <w:b/>
          <w:bCs/>
        </w:rPr>
        <w:t xml:space="preserve">e. Related Works / Literature Review (Preliminary)</w:t>
      </w:r>
    </w:p>
    <w:p>
      <w:pPr>
        <w:numPr>
          <w:ilvl w:val="0"/>
          <w:numId w:val="1024"/>
        </w:numPr>
      </w:pPr>
      <w:r>
        <w:rPr>
          <w:b/>
          <w:bCs/>
        </w:rPr>
        <w:t xml:space="preserve">LoRa mesh communication</w:t>
      </w:r>
      <w:r>
        <w:t xml:space="preserve"> </w:t>
      </w:r>
      <w:r>
        <w:t xml:space="preserve">(Meshtastic, RAK WisBlock Mesh): Multi-hop messaging, GPS, local SOS broadcast, fall detection. Designed to work independently of any infrastructure; TrekLink builds on it and adds the organization-side layer: device rental and fleet management, store-and-forward to the cloud, and an incident pipeline.</w:t>
      </w:r>
    </w:p>
    <w:p>
      <w:pPr>
        <w:numPr>
          <w:ilvl w:val="0"/>
          <w:numId w:val="1024"/>
        </w:numPr>
      </w:pPr>
      <w:r>
        <w:rPr>
          <w:b/>
          <w:bCs/>
        </w:rPr>
        <w:t xml:space="preserve">IoT fleet management platforms</w:t>
      </w:r>
      <w:r>
        <w:t xml:space="preserve"> </w:t>
      </w:r>
      <w:r>
        <w:t xml:space="preserve">(AWS IoT Core, Azure IoT Hub, Balena): Device registration, telemetry ingestion, remote monitoring, lifecycle states. Gap: generic cloud platforms; no LoRa mesh integration; no store-and-forward for intermittent connectivity; no rental domain.</w:t>
      </w:r>
    </w:p>
    <w:p>
      <w:pPr>
        <w:numPr>
          <w:ilvl w:val="0"/>
          <w:numId w:val="1024"/>
        </w:numPr>
      </w:pPr>
      <w:r>
        <w:rPr>
          <w:b/>
          <w:bCs/>
        </w:rPr>
        <w:t xml:space="preserve">Delay/Disruption-Tolerant and store-and-forward systems</w:t>
      </w:r>
      <w:r>
        <w:t xml:space="preserve"> </w:t>
      </w:r>
      <w:r>
        <w:t xml:space="preserve">(DTN RFC 4838 Bundle Protocol, MQTT-SN, LoRaWAN ADR): Message persistence and forwarding under intermittent connectivity. Gap: protocol-level designs; not integrated with business workflows or incident management.</w:t>
      </w:r>
    </w:p>
    <w:p>
      <w:pPr>
        <w:numPr>
          <w:ilvl w:val="0"/>
          <w:numId w:val="1024"/>
        </w:numPr>
      </w:pPr>
      <w:r>
        <w:rPr>
          <w:b/>
          <w:bCs/>
        </w:rPr>
        <w:t xml:space="preserve">Incident management systems</w:t>
      </w:r>
      <w:r>
        <w:t xml:space="preserve"> </w:t>
      </w:r>
      <w:r>
        <w:t xml:space="preserve">(JIRA Service Management, PagerDuty, Opsgenie): Ticket lifecycle, escalation, notification, SLA tracking, audit trail. Gap: designed for IT/DevOps; no IoT field-event ingestion; no outdoor or trekking domain context.</w:t>
      </w:r>
    </w:p>
    <w:p>
      <w:pPr>
        <w:pStyle w:val="FirstParagraph"/>
      </w:pPr>
      <w:r>
        <w:t xml:space="preserve">Gap statement: TrekLink combines five dimensions in one domain-specific platform: off-grid LoRa mesh communication, store-and-forward synchronization under intermittent connectivity, device rental lifecycle management, real-time field monitoring, and structured SOS-to-incident response.</w:t>
      </w:r>
    </w:p>
    <w:p>
      <w:pPr>
        <w:pStyle w:val="BodyText"/>
      </w:pPr>
      <w:r>
        <w:t xml:space="preserve">Key References:</w:t>
      </w:r>
    </w:p>
    <w:p>
      <w:pPr>
        <w:numPr>
          <w:ilvl w:val="0"/>
          <w:numId w:val="1025"/>
        </w:numPr>
      </w:pPr>
      <w:r>
        <w:t xml:space="preserve">[1] A. W.-L. Wong, S. L. Goh, M. K. Hasan, and S. Fattah,</w:t>
      </w:r>
      <w:r>
        <w:t xml:space="preserve"> </w:t>
      </w:r>
      <w:r>
        <w:t xml:space="preserve">“</w:t>
      </w:r>
      <w:r>
        <w:t xml:space="preserve">Multi-hop and mesh for LoRa networks: Recent advancements, issues, and recommended applications,</w:t>
      </w:r>
      <w:r>
        <w:t xml:space="preserve">”</w:t>
      </w:r>
      <w:r>
        <w:t xml:space="preserve"> </w:t>
      </w:r>
      <w:r>
        <w:t xml:space="preserve">ACM Comput. Surv., vol. 56, no. 6, Article 136, pp. 1–43, Jan. 2024. DOI: 10.1145/3638241</w:t>
      </w:r>
    </w:p>
    <w:p>
      <w:pPr>
        <w:numPr>
          <w:ilvl w:val="0"/>
          <w:numId w:val="1025"/>
        </w:numPr>
      </w:pPr>
      <w:r>
        <w:t xml:space="preserve">[2] Muladi, H. Wijaya, S. D. Prasetyo, S. A. Hamzah, and A. K. Mahamad,</w:t>
      </w:r>
      <w:r>
        <w:t xml:space="preserve"> </w:t>
      </w:r>
      <w:r>
        <w:t xml:space="preserve">“</w:t>
      </w:r>
      <w:r>
        <w:t xml:space="preserve">LoRa mesh-based IoT GPS tracking system for mountain climbers,</w:t>
      </w:r>
      <w:r>
        <w:t xml:space="preserve">”</w:t>
      </w:r>
      <w:r>
        <w:t xml:space="preserve"> </w:t>
      </w:r>
      <w:r>
        <w:t xml:space="preserve">Int. J. Safety Security Eng., vol. 14, no. 6, pp. 1751–1761, Dec. 2024. DOI: 10.18280/ijsse.140610</w:t>
      </w:r>
    </w:p>
    <w:p>
      <w:pPr>
        <w:numPr>
          <w:ilvl w:val="0"/>
          <w:numId w:val="1025"/>
        </w:numPr>
      </w:pPr>
      <w:r>
        <w:t xml:space="preserve">[3] H. Zhang, R. Zhang, and J. Sun,</w:t>
      </w:r>
      <w:r>
        <w:t xml:space="preserve"> </w:t>
      </w:r>
      <w:r>
        <w:t xml:space="preserve">“</w:t>
      </w:r>
      <w:r>
        <w:t xml:space="preserve">Developing real-time IoT-based public safety alert and emergency response systems,</w:t>
      </w:r>
      <w:r>
        <w:t xml:space="preserve">”</w:t>
      </w:r>
      <w:r>
        <w:t xml:space="preserve"> </w:t>
      </w:r>
      <w:r>
        <w:t xml:space="preserve">Sci. Rep., vol. 15, Article 29056, Aug. 2025. DOI: 10.1038/s41598-025-13465-7</w:t>
      </w:r>
    </w:p>
    <w:p>
      <w:pPr>
        <w:numPr>
          <w:ilvl w:val="0"/>
          <w:numId w:val="1025"/>
        </w:numPr>
      </w:pPr>
      <w:r>
        <w:t xml:space="preserve">[4] OASIS,</w:t>
      </w:r>
      <w:r>
        <w:t xml:space="preserve"> </w:t>
      </w:r>
      <w:r>
        <w:t xml:space="preserve">“</w:t>
      </w:r>
      <w:r>
        <w:t xml:space="preserve">MQTT Version 5.0,</w:t>
      </w:r>
      <w:r>
        <w:t xml:space="preserve">”</w:t>
      </w:r>
      <w:r>
        <w:t xml:space="preserve"> </w:t>
      </w:r>
      <w:r>
        <w:t xml:space="preserve">OASIS Standard, Mar. 2019. https://docs.oasis-open.org/mqtt/mqtt/v5.0/mqtt-v5.0.html</w:t>
      </w:r>
    </w:p>
    <w:p>
      <w:pPr>
        <w:numPr>
          <w:ilvl w:val="0"/>
          <w:numId w:val="1025"/>
        </w:numPr>
      </w:pPr>
      <w:r>
        <w:t xml:space="preserve">[5] V. Cerf, S. Burleigh, A. Hooke, L. Torgerson, R. Durst, K. Scott, K. Fall, and H. Weiss,</w:t>
      </w:r>
      <w:r>
        <w:t xml:space="preserve"> </w:t>
      </w:r>
      <w:r>
        <w:t xml:space="preserve">“</w:t>
      </w:r>
      <w:r>
        <w:t xml:space="preserve">Delay-tolerant networking architecture,</w:t>
      </w:r>
      <w:r>
        <w:t xml:space="preserve">”</w:t>
      </w:r>
      <w:r>
        <w:t xml:space="preserve"> </w:t>
      </w:r>
      <w:r>
        <w:t xml:space="preserve">IETF RFC 4838, Apr. 2007. https://www.rfc-editor.org/rfc/rfc4838</w:t>
      </w:r>
    </w:p>
    <w:p>
      <w:pPr>
        <w:numPr>
          <w:ilvl w:val="0"/>
          <w:numId w:val="1025"/>
        </w:numPr>
      </w:pPr>
      <w:r>
        <w:t xml:space="preserve">[6] Meshtastic Project,</w:t>
      </w:r>
      <w:r>
        <w:t xml:space="preserve"> </w:t>
      </w:r>
      <w:r>
        <w:t xml:space="preserve">“</w:t>
      </w:r>
      <w:r>
        <w:t xml:space="preserve">Official Documentation,</w:t>
      </w:r>
      <w:r>
        <w:t xml:space="preserve">”</w:t>
      </w:r>
      <w:r>
        <w:t xml:space="preserve"> </w:t>
      </w:r>
      <w:r>
        <w:t xml:space="preserve">2024. [Online]. Available: https://meshtastic.org/docs/</w:t>
      </w:r>
    </w:p>
    <w:p>
      <w:pPr>
        <w:pStyle w:val="FirstParagraph"/>
        <w:keepNext/>
      </w:pPr>
      <w:r>
        <w:rPr>
          <w:b/>
          <w:bCs/>
        </w:rPr>
        <w:t xml:space="preserve">4. Other comments (propose all relative things if have):</w:t>
      </w:r>
    </w:p>
    <w:p>
      <w:pPr>
        <w:pStyle w:val="BodyText"/>
        <w:keepNext/>
      </w:pPr>
      <w:r>
        <w:t xml:space="preserve">The TrekLink LoRa mesh firmware and hardware (ESP32/ESP32-S3) are an output of this team’s Summer 2026 project and the technical foundation of this Capstone. Targeted firmware enhancements made during the Capstone are in scope and credited; the hardware design effort is documented in the reports.</w:t>
      </w:r>
    </w:p>
    <w:tbl>
      <w:tblPr>
        <w:tblStyle w:val="TableGrid"/>
        <w:tblW w:type="dxa" w:w="9000"/>
        <w:jc w:val="left"/>
        <w:tblLayout w:type="fixed"/>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1"/>
        <w:gridCol w:w="5398"/>
      </w:tblGrid>
      <w:tr>
        <w:trPr>
          <w:cantSplit/>
        </w:trPr>
        <w:tc>
          <w:tcPr>
            <w:tcW w:w="3601" w:type="dxa"/>
          </w:tcPr>
          <w:p>
            <w:pPr>
              <w:spacing w:after="0"/>
              <w:jc w:val="left"/>
            </w:pPr>
            <w:r>
              <w:rPr>
                <w:b/>
                <w:bCs/>
                <w:sz w:val="18"/>
              </w:rPr>
              <w:t xml:space="preserve">Supervisor (If have)</w:t>
            </w:r>
          </w:p>
          <w:p>
            <w:pPr>
              <w:spacing w:after="0"/>
              <w:jc w:val="left"/>
            </w:pPr>
            <w:r>
              <w:rPr>
                <w:b/>
                <w:i/>
                <w:iCs/>
                <w:sz w:val="18"/>
              </w:rPr>
              <w:t xml:space="preserve">(Sign and full name)</w:t>
            </w:r>
          </w:p>
        </w:tc>
        <w:tc>
          <w:tcPr>
            <w:tcW w:w="5398" w:type="dxa"/>
          </w:tcPr>
          <w:p>
            <w:pPr>
              <w:spacing w:after="0"/>
              <w:jc w:val="left"/>
            </w:pPr>
            <w:r>
              <w:rPr>
                <w:b/>
                <w:sz w:val="18"/>
              </w:rPr>
              <w:t xml:space="preserve">HCM, date ____/____/2026</w:t>
            </w:r>
          </w:p>
          <w:p>
            <w:pPr>
              <w:spacing w:after="0"/>
              <w:jc w:val="left"/>
            </w:pPr>
            <w:r>
              <w:rPr>
                <w:b/>
                <w:bCs/>
                <w:sz w:val="18"/>
              </w:rPr>
              <w:t xml:space="preserve">On behalf of Registers</w:t>
            </w:r>
          </w:p>
          <w:p>
            <w:pPr>
              <w:spacing w:after="0"/>
              <w:jc w:val="left"/>
            </w:pPr>
            <w:r>
              <w:rPr>
                <w:b/>
                <w:i/>
                <w:iCs/>
                <w:sz w:val="18"/>
              </w:rPr>
              <w:t xml:space="preserve">(Sign and full name)</w:t>
            </w:r>
          </w:p>
        </w:tc>
      </w:tr>
    </w:tbl>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22"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60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20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hanging="360" w:left="360"/>
      </w:pPr>
      <w:rPr>
        <w:rFonts w:ascii="Noto Sans Symbols" w:cs="Noto Sans Symbols" w:eastAsia="Noto Sans Symbols" w:hAnsi="Noto Sans Symbols"/>
        <w:sz w:val="20"/>
        <w:szCs w:val="20"/>
      </w:rPr>
    </w:lvl>
    <w:lvl w:ilvl="1">
      <w:start w:val="1"/>
      <w:numFmt w:val="bullet"/>
      <w:lvlText w:val="o"/>
      <w:lvlJc w:val="left"/>
      <w:pPr>
        <w:ind w:hanging="360" w:left="1080"/>
      </w:pPr>
      <w:rPr>
        <w:rFonts w:ascii="Courier New" w:cs="Courier New" w:eastAsia="Courier New" w:hAnsi="Courier New"/>
        <w:sz w:val="20"/>
        <w:szCs w:val="20"/>
      </w:rPr>
    </w:lvl>
    <w:lvl w:ilvl="2">
      <w:start w:val="1"/>
      <w:numFmt w:val="bullet"/>
      <w:lvlText w:val="▪"/>
      <w:lvlJc w:val="left"/>
      <w:pPr>
        <w:ind w:hanging="360" w:left="1800"/>
      </w:pPr>
      <w:rPr>
        <w:rFonts w:ascii="Noto Sans Symbols" w:cs="Noto Sans Symbols" w:eastAsia="Noto Sans Symbols" w:hAnsi="Noto Sans Symbols"/>
        <w:sz w:val="20"/>
        <w:szCs w:val="20"/>
      </w:rPr>
    </w:lvl>
    <w:lvl w:ilvl="3">
      <w:start w:val="1"/>
      <w:numFmt w:val="bullet"/>
      <w:lvlText w:val="▪"/>
      <w:lvlJc w:val="left"/>
      <w:pPr>
        <w:ind w:hanging="360" w:left="2520"/>
      </w:pPr>
      <w:rPr>
        <w:rFonts w:ascii="Noto Sans Symbols" w:cs="Noto Sans Symbols" w:eastAsia="Noto Sans Symbols" w:hAnsi="Noto Sans Symbols"/>
        <w:sz w:val="20"/>
        <w:szCs w:val="20"/>
      </w:rPr>
    </w:lvl>
    <w:lvl w:ilvl="4">
      <w:start w:val="1"/>
      <w:numFmt w:val="bullet"/>
      <w:lvlText w:val="▪"/>
      <w:lvlJc w:val="left"/>
      <w:pPr>
        <w:ind w:hanging="360" w:left="3240"/>
      </w:pPr>
      <w:rPr>
        <w:rFonts w:ascii="Noto Sans Symbols" w:cs="Noto Sans Symbols" w:eastAsia="Noto Sans Symbols" w:hAnsi="Noto Sans Symbols"/>
        <w:sz w:val="20"/>
        <w:szCs w:val="20"/>
      </w:rPr>
    </w:lvl>
    <w:lvl w:ilvl="5">
      <w:start w:val="1"/>
      <w:numFmt w:val="bullet"/>
      <w:lvlText w:val="▪"/>
      <w:lvlJc w:val="left"/>
      <w:pPr>
        <w:ind w:hanging="360" w:left="3960"/>
      </w:pPr>
      <w:rPr>
        <w:rFonts w:ascii="Noto Sans Symbols" w:cs="Noto Sans Symbols" w:eastAsia="Noto Sans Symbols" w:hAnsi="Noto Sans Symbols"/>
        <w:sz w:val="20"/>
        <w:szCs w:val="20"/>
      </w:rPr>
    </w:lvl>
    <w:lvl w:ilvl="6">
      <w:start w:val="1"/>
      <w:numFmt w:val="bullet"/>
      <w:lvlText w:val="▪"/>
      <w:lvlJc w:val="left"/>
      <w:pPr>
        <w:ind w:hanging="360" w:left="4680"/>
      </w:pPr>
      <w:rPr>
        <w:rFonts w:ascii="Noto Sans Symbols" w:cs="Noto Sans Symbols" w:eastAsia="Noto Sans Symbols" w:hAnsi="Noto Sans Symbols"/>
        <w:sz w:val="20"/>
        <w:szCs w:val="20"/>
      </w:rPr>
    </w:lvl>
    <w:lvl w:ilvl="7">
      <w:start w:val="1"/>
      <w:numFmt w:val="bullet"/>
      <w:lvlText w:val="▪"/>
      <w:lvlJc w:val="left"/>
      <w:pPr>
        <w:ind w:hanging="360" w:left="5400"/>
      </w:pPr>
      <w:rPr>
        <w:rFonts w:ascii="Noto Sans Symbols" w:cs="Noto Sans Symbols" w:eastAsia="Noto Sans Symbols" w:hAnsi="Noto Sans Symbols"/>
        <w:sz w:val="20"/>
        <w:szCs w:val="20"/>
      </w:rPr>
    </w:lvl>
    <w:lvl w:ilvl="8">
      <w:start w:val="1"/>
      <w:numFmt w:val="bullet"/>
      <w:lvlText w:val="▪"/>
      <w:lvlJc w:val="left"/>
      <w:pPr>
        <w:ind w:hanging="360" w:left="6120"/>
      </w:pPr>
      <w:rPr>
        <w:rFonts w:ascii="Noto Sans Symbols" w:cs="Noto Sans Symbols" w:eastAsia="Noto Sans Symbols" w:hAnsi="Noto Sans Symbols"/>
        <w:sz w:val="20"/>
        <w:szCs w:val="20"/>
      </w:rPr>
    </w:lvl>
  </w:abstractNum>
  <w:abstractNum w:abstractNumId="1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sz w:val="40"/>
      <w:szCs w:val="40"/>
    </w:rPr>
  </w:style>
  <w:style w:styleId="Heading2" w:type="paragraph">
    <w:name w:val="heading 2"/>
    <w:basedOn w:val="Normal"/>
    <w:next w:val="Normal"/>
    <w:pPr>
      <w:keepNext w:val="1"/>
      <w:keepLines w:val="1"/>
      <w:spacing w:after="120" w:before="360" w:lineRule="auto"/>
    </w:pPr>
    <w:rPr>
      <w:sz w:val="32"/>
      <w:szCs w:val="32"/>
    </w:rPr>
  </w:style>
  <w:style w:styleId="Heading3" w:type="paragraph">
    <w:name w:val="heading 3"/>
    <w:basedOn w:val="Normal"/>
    <w:next w:val="Normal"/>
    <w:pPr>
      <w:keepNext w:val="1"/>
      <w:keepLines w:val="1"/>
      <w:spacing w:after="80" w:before="320" w:lineRule="auto"/>
    </w:pPr>
    <w:rPr>
      <w:color w:val="434343"/>
      <w:sz w:val="28"/>
      <w:szCs w:val="28"/>
    </w:rPr>
  </w:style>
  <w:style w:styleId="Heading4" w:type="paragraph">
    <w:name w:val="heading 4"/>
    <w:basedOn w:val="Normal"/>
    <w:next w:val="Normal"/>
    <w:pPr>
      <w:keepNext w:val="1"/>
      <w:keepLines w:val="1"/>
      <w:spacing w:after="80" w:before="280" w:lineRule="auto"/>
    </w:pPr>
    <w:rPr>
      <w:color w:val="666666"/>
      <w:sz w:val="24"/>
      <w:szCs w:val="24"/>
    </w:rPr>
  </w:style>
  <w:style w:styleId="Heading5" w:type="paragraph">
    <w:name w:val="heading 5"/>
    <w:basedOn w:val="Normal"/>
    <w:next w:val="Normal"/>
    <w:pPr>
      <w:keepNext w:val="1"/>
      <w:keepLines w:val="1"/>
      <w:spacing w:after="80" w:before="240" w:lineRule="auto"/>
    </w:pPr>
    <w:rPr>
      <w:color w:val="666666"/>
    </w:rPr>
  </w:style>
  <w:style w:styleId="Heading6" w:type="paragraph">
    <w:name w:val="heading 6"/>
    <w:basedOn w:val="Normal"/>
    <w:next w:val="Normal"/>
    <w:pPr>
      <w:keepNext w:val="1"/>
      <w:keepLines w:val="1"/>
      <w:spacing w:after="80" w:before="240" w:lineRule="auto"/>
    </w:pPr>
    <w:rPr>
      <w:i w:val="1"/>
      <w:iCs w:val="1"/>
      <w:color w:val="666666"/>
    </w:rPr>
  </w:style>
  <w:style w:styleId="Title" w:type="paragraph">
    <w:name w:val="Title"/>
    <w:basedOn w:val="Normal"/>
    <w:next w:val="Normal"/>
    <w:pPr>
      <w:keepNext w:val="1"/>
      <w:keepLines w:val="1"/>
      <w:spacing w:after="60" w:lineRule="auto"/>
    </w:pPr>
    <w:rPr>
      <w:sz w:val="52"/>
      <w:szCs w:val="52"/>
    </w:rPr>
  </w:style>
  <w:style w:styleId="Subtitle" w:type="paragraph">
    <w:name w:val="Subtitle"/>
    <w:basedOn w:val="Normal"/>
    <w:next w:val="Normal"/>
    <w:pPr>
      <w:keepNext w:val="1"/>
      <w:keepLines w:val="1"/>
      <w:spacing w:after="320" w:lineRule="auto"/>
    </w:pPr>
    <w:rPr>
      <w:color w:val="666666"/>
      <w:sz w:val="30"/>
      <w:szCs w:val="30"/>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2026-10-29T09:20:42Z</dcterms:created>
  <dcterms:modified xsi:type="dcterms:W3CDTF">2026-10-29T09:20:42Z</dcterms:modified>
</cp:coreProperties>
</file>

<file path=docProps/custom.xml><?xml version="1.0" encoding="utf-8"?>
<Properties xmlns="http://schemas.openxmlformats.org/officeDocument/2006/custom-properties" xmlns:vt="http://schemas.openxmlformats.org/officeDocument/2006/docPropsVTypes"/>
</file>