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6.png" ContentType="image/png"/>
  <Override PartName="/word/media/rId20.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aptionedFigure"/>
      </w:pPr>
      <w:r>
        <w:drawing>
          <wp:inline>
            <wp:extent cx="3365500" cy="939800"/>
            <wp:effectExtent b="0" l="0" r="0" t="0"/>
            <wp:docPr descr="Phieu_FA26SE159" title="" id="21" name="Picture"/>
            <a:graphic>
              <a:graphicData uri="http://schemas.openxmlformats.org/drawingml/2006/picture">
                <pic:pic>
                  <pic:nvPicPr>
                    <pic:cNvPr descr="Phieu_FA26SE159.png" id="22" name="Picture"/>
                    <pic:cNvPicPr>
                      <a:picLocks noChangeArrowheads="1" noChangeAspect="1"/>
                    </pic:cNvPicPr>
                  </pic:nvPicPr>
                  <pic:blipFill>
                    <a:blip r:embed="rId20"/>
                    <a:stretch>
                      <a:fillRect/>
                    </a:stretch>
                  </pic:blipFill>
                  <pic:spPr bwMode="auto">
                    <a:xfrm>
                      <a:off x="0" y="0"/>
                      <a:ext cx="3365500" cy="939800"/>
                    </a:xfrm>
                    <a:prstGeom prst="rect">
                      <a:avLst/>
                    </a:prstGeom>
                    <a:noFill/>
                    <a:ln w="9525">
                      <a:noFill/>
                      <a:headEnd/>
                      <a:tailEnd/>
                    </a:ln>
                  </pic:spPr>
                </pic:pic>
              </a:graphicData>
            </a:graphic>
          </wp:inline>
        </w:drawing>
      </w:r>
    </w:p>
    <w:p>
      <w:pPr>
        <w:pStyle w:val="ImageCaption"/>
      </w:pPr>
      <w:r>
        <w:t xml:space="preserve">Phieu_FA26SE159</w:t>
      </w:r>
    </w:p>
    <w:p>
      <w:pPr>
        <w:pStyle w:val="BlockText"/>
      </w:pPr>
      <w:r>
        <w:rPr>
          <w:b/>
          <w:bCs/>
        </w:rPr>
        <w:t xml:space="preserve">Adjusted registration form, October 2026.</w:t>
      </w:r>
      <w:r>
        <w:t xml:space="preserve"> </w:t>
      </w:r>
      <w:r>
        <w:t xml:space="preserve">Every new or changed passage is</w:t>
      </w:r>
      <w:r>
        <w:t xml:space="preserve"> </w:t>
      </w:r>
      <w:r>
        <w:rPr>
          <w:highlight w:val="yellow"/>
        </w:rPr>
        <w:t xml:space="preserve">highlighted</w:t>
      </w:r>
      <w:r>
        <w:t xml:space="preserve">.</w:t>
      </w:r>
      <w:r>
        <w:t xml:space="preserve"> </w:t>
      </w:r>
      <w:r>
        <w:t xml:space="preserve">Prepared after Review 1 (2026-10-01) on the supervisor’s instruction of 2026-10-02 that the title</w:t>
      </w:r>
      <w:r>
        <w:t xml:space="preserve"> </w:t>
      </w:r>
      <w:r>
        <w:t xml:space="preserve">stays and the form may be adjusted one last time. Decisions behind it: D-033 to D-035 in</w:t>
      </w:r>
      <w:r>
        <w:t xml:space="preserve"> </w:t>
      </w:r>
      <w:r>
        <w:rPr>
          <w:rStyle w:val="VerbatimChar"/>
        </w:rPr>
        <w:t xml:space="preserve">_docs/00-project-context/03-decisions-and-risk-register.md</w:t>
      </w:r>
      <w:r>
        <w:t xml:space="preserve">.</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Section</w:t>
            </w:r>
          </w:p>
        </w:tc>
        <w:tc>
          <w:tcPr/>
          <w:p>
            <w:pPr>
              <w:pStyle w:val="Compact"/>
              <w:jc w:val="left"/>
            </w:pPr>
            <w:r>
              <w:t xml:space="preserve">Change</w:t>
            </w:r>
          </w:p>
        </w:tc>
      </w:tr>
      <w:tr>
        <w:tc>
          <w:tcPr/>
          <w:p>
            <w:pPr>
              <w:pStyle w:val="Compact"/>
              <w:jc w:val="left"/>
            </w:pPr>
            <w:r>
              <w:t xml:space="preserve">1</w:t>
            </w:r>
          </w:p>
        </w:tc>
        <w:tc>
          <w:tcPr/>
          <w:p>
            <w:pPr>
              <w:pStyle w:val="Compact"/>
              <w:jc w:val="left"/>
            </w:pPr>
            <w:r>
              <w:t xml:space="preserve">Co-supervisor added, as listed in the Review 1 minutes</w:t>
            </w:r>
          </w:p>
        </w:tc>
      </w:tr>
      <w:tr>
        <w:tc>
          <w:tcPr/>
          <w:p>
            <w:pPr>
              <w:pStyle w:val="Compact"/>
              <w:jc w:val="left"/>
            </w:pPr>
            <w:r>
              <w:t xml:space="preserve">3.2 a</w:t>
            </w:r>
          </w:p>
        </w:tc>
        <w:tc>
          <w:tcPr/>
          <w:p>
            <w:pPr>
              <w:pStyle w:val="Compact"/>
              <w:jc w:val="left"/>
            </w:pPr>
            <w:r>
              <w:t xml:space="preserve">Context and the five gaps rewritten for a rental provider serving many organizations; scope boundary credits targeted firmware work</w:t>
            </w:r>
          </w:p>
        </w:tc>
      </w:tr>
      <w:tr>
        <w:tc>
          <w:tcPr/>
          <w:p>
            <w:pPr>
              <w:pStyle w:val="Compact"/>
              <w:jc w:val="left"/>
            </w:pPr>
            <w:r>
              <w:t xml:space="preserve">3.2 b</w:t>
            </w:r>
          </w:p>
        </w:tc>
        <w:tc>
          <w:tcPr/>
          <w:p>
            <w:pPr>
              <w:pStyle w:val="Compact"/>
              <w:jc w:val="left"/>
            </w:pPr>
            <w:r>
              <w:t xml:space="preserve">Solutions rewritten: organization and rental management, asset management, Field Station, tiered alerts, organization API; eventId formula corrected; Prisma and SePay added</w:t>
            </w:r>
          </w:p>
        </w:tc>
      </w:tr>
      <w:tr>
        <w:tc>
          <w:tcPr/>
          <w:p>
            <w:pPr>
              <w:pStyle w:val="Compact"/>
              <w:jc w:val="left"/>
            </w:pPr>
            <w:r>
              <w:t xml:space="preserve">3.2 c</w:t>
            </w:r>
          </w:p>
        </w:tc>
        <w:tc>
          <w:tcPr/>
          <w:p>
            <w:pPr>
              <w:pStyle w:val="Compact"/>
              <w:jc w:val="left"/>
            </w:pPr>
            <w:r>
              <w:t xml:space="preserve">Actors replaced: TrekLink Admin and Staff, Organization Manager and Operator, Organization System; Customer, Guide, bookings, trips and trek packages removed</w:t>
            </w:r>
          </w:p>
        </w:tc>
      </w:tr>
      <w:tr>
        <w:tc>
          <w:tcPr/>
          <w:p>
            <w:pPr>
              <w:pStyle w:val="Compact"/>
              <w:jc w:val="left"/>
            </w:pPr>
            <w:r>
              <w:t xml:space="preserve">3.2 d</w:t>
            </w:r>
          </w:p>
        </w:tc>
        <w:tc>
          <w:tcPr/>
          <w:p>
            <w:pPr>
              <w:pStyle w:val="Compact"/>
              <w:jc w:val="left"/>
            </w:pPr>
            <w:r>
              <w:t xml:space="preserve">Tenant isolation added to security; scalability stated per organization</w:t>
            </w:r>
          </w:p>
        </w:tc>
      </w:tr>
      <w:tr>
        <w:tc>
          <w:tcPr/>
          <w:p>
            <w:pPr>
              <w:pStyle w:val="Compact"/>
              <w:jc w:val="left"/>
            </w:pPr>
            <w:r>
              <w:t xml:space="preserve">3.2 e to g</w:t>
            </w:r>
          </w:p>
        </w:tc>
        <w:tc>
          <w:tcPr/>
          <w:p>
            <w:pPr>
              <w:pStyle w:val="Compact"/>
              <w:jc w:val="left"/>
            </w:pPr>
            <w:r>
              <w:t xml:space="preserve">State machines, RBAC, modules, products and task packages aligned</w:t>
            </w:r>
          </w:p>
        </w:tc>
      </w:tr>
      <w:tr>
        <w:tc>
          <w:tcPr/>
          <w:p>
            <w:pPr>
              <w:pStyle w:val="Compact"/>
              <w:jc w:val="left"/>
            </w:pPr>
            <w:r>
              <w:t xml:space="preserve">3.3</w:t>
            </w:r>
          </w:p>
        </w:tc>
        <w:tc>
          <w:tcPr/>
          <w:p>
            <w:pPr>
              <w:pStyle w:val="Compact"/>
              <w:jc w:val="left"/>
            </w:pPr>
            <w:r>
              <w:t xml:space="preserve">Research text aligned; RQ1 to RQ3 unchanged in substance</w:t>
            </w:r>
          </w:p>
        </w:tc>
      </w:tr>
      <w:tr>
        <w:tc>
          <w:tcPr/>
          <w:p>
            <w:pPr>
              <w:pStyle w:val="Compact"/>
              <w:jc w:val="left"/>
            </w:pPr>
            <w:r>
              <w:t xml:space="preserve">4</w:t>
            </w:r>
          </w:p>
        </w:tc>
        <w:tc>
          <w:tcPr/>
          <w:p>
            <w:pPr>
              <w:pStyle w:val="Compact"/>
              <w:jc w:val="left"/>
            </w:pPr>
            <w:r>
              <w:t xml:space="preserve">Firmware and hardware credit; reason for the adjustment</w:t>
            </w:r>
          </w:p>
        </w:tc>
      </w:tr>
    </w:tbl>
    <w:p>
      <w:pPr>
        <w:pStyle w:val="FirstParagraph"/>
      </w:pPr>
      <w:r>
        <w:rPr>
          <w:b/>
          <w:bCs/>
        </w:rPr>
        <w:t xml:space="preserve">CAPSTONE PROJECT REGISTER</w:t>
      </w:r>
    </w:p>
    <w:p>
      <w:pPr>
        <w:pStyle w:val="BodyText"/>
      </w:pPr>
      <w:r>
        <w:rPr>
          <w:b/>
          <w:bCs/>
        </w:rPr>
        <w:t xml:space="preserve">Class</w:t>
      </w:r>
      <w:r>
        <w:t xml:space="preserve">:</w:t>
      </w:r>
      <w:r>
        <w:t xml:space="preserve"> </w:t>
      </w:r>
      <w:r>
        <w:rPr>
          <w:b/>
          <w:bCs/>
        </w:rPr>
        <w:t xml:space="preserve">Duration time</w:t>
      </w:r>
      <w:r>
        <w:t xml:space="preserve">: from 09/2026 To 03/2027</w:t>
      </w:r>
    </w:p>
    <w:p>
      <w:pPr>
        <w:pStyle w:val="BodyText"/>
      </w:pPr>
      <w:r>
        <w:t xml:space="preserve">**(*) Profession:</w:t>
      </w:r>
      <w:r>
        <w:rPr>
          <w:b/>
          <w:bCs/>
        </w:rPr>
        <w:t xml:space="preserve"> </w:t>
      </w:r>
      <w:r>
        <w:rPr>
          <w:b/>
          <w:bCs/>
        </w:rPr>
        <w:t xml:space="preserve">Software Engineer</w:t>
      </w:r>
      <w:r>
        <w:rPr>
          <w:b/>
          <w:bCs/>
        </w:rPr>
        <w:t xml:space="preserve"> </w:t>
      </w:r>
      <w:r>
        <w:t xml:space="preserve">Specialty**: SE</w:t>
      </w:r>
      <w:r>
        <w:t xml:space="preserve"> </w:t>
      </w:r>
      <w:r>
        <w:drawing>
          <wp:inline>
            <wp:extent cx="266700" cy="266700"/>
            <wp:effectExtent b="0" l="0" r="0" t="0"/>
            <wp:docPr descr="Phieu_FA26SE159" title="" id="24" name="Picture"/>
            <a:graphic>
              <a:graphicData uri="http://schemas.openxmlformats.org/drawingml/2006/picture">
                <pic:pic>
                  <pic:nvPicPr>
                    <pic:cNvPr descr="Phieu_FA26SE159%201.png" id="25" name="Picture"/>
                    <pic:cNvPicPr>
                      <a:picLocks noChangeArrowheads="1" noChangeAspect="1"/>
                    </pic:cNvPicPr>
                  </pic:nvPicPr>
                  <pic:blipFill>
                    <a:blip r:embed="rId23"/>
                    <a:stretch>
                      <a:fillRect/>
                    </a:stretch>
                  </pic:blipFill>
                  <pic:spPr bwMode="auto">
                    <a:xfrm>
                      <a:off x="0" y="0"/>
                      <a:ext cx="266700" cy="266700"/>
                    </a:xfrm>
                    <a:prstGeom prst="rect">
                      <a:avLst/>
                    </a:prstGeom>
                    <a:noFill/>
                    <a:ln w="9525">
                      <a:noFill/>
                      <a:headEnd/>
                      <a:tailEnd/>
                    </a:ln>
                  </pic:spPr>
                </pic:pic>
              </a:graphicData>
            </a:graphic>
          </wp:inline>
        </w:drawing>
      </w:r>
    </w:p>
    <w:p>
      <w:pPr>
        <w:pStyle w:val="BodyText"/>
      </w:pPr>
      <w:r>
        <w:t xml:space="preserve">**(*) Kinds of person make registers:** Lecturer</w:t>
      </w:r>
      <w:r>
        <w:t xml:space="preserve"> </w:t>
      </w:r>
      <w:r>
        <w:drawing>
          <wp:inline>
            <wp:extent cx="266700" cy="266700"/>
            <wp:effectExtent b="0" l="0" r="0" t="0"/>
            <wp:docPr descr="Phieu_FA26SE159" title="" id="27" name="Picture"/>
            <a:graphic>
              <a:graphicData uri="http://schemas.openxmlformats.org/drawingml/2006/picture">
                <pic:pic>
                  <pic:nvPicPr>
                    <pic:cNvPr descr="Phieu_FA26SE159%202.png" id="28" name="Picture"/>
                    <pic:cNvPicPr>
                      <a:picLocks noChangeArrowheads="1" noChangeAspect="1"/>
                    </pic:cNvPicPr>
                  </pic:nvPicPr>
                  <pic:blipFill>
                    <a:blip r:embed="rId26"/>
                    <a:stretch>
                      <a:fillRect/>
                    </a:stretch>
                  </pic:blipFill>
                  <pic:spPr bwMode="auto">
                    <a:xfrm>
                      <a:off x="0" y="0"/>
                      <a:ext cx="266700" cy="266700"/>
                    </a:xfrm>
                    <a:prstGeom prst="rect">
                      <a:avLst/>
                    </a:prstGeom>
                    <a:noFill/>
                    <a:ln w="9525">
                      <a:noFill/>
                      <a:headEnd/>
                      <a:tailEnd/>
                    </a:ln>
                  </pic:spPr>
                </pic:pic>
              </a:graphicData>
            </a:graphic>
          </wp:inline>
        </w:drawing>
      </w:r>
      <w:r>
        <w:t xml:space="preserve"> </w:t>
      </w:r>
      <w:r>
        <w:t xml:space="preserve">Students</w:t>
      </w:r>
    </w:p>
    <w:p>
      <w:pPr>
        <w:pStyle w:val="BodyText"/>
      </w:pPr>
      <w:r>
        <w:rPr>
          <w:b/>
          <w:bCs/>
        </w:rPr>
        <w:t xml:space="preserve">1. Register information for supervisor (if have)</w:t>
      </w:r>
    </w:p>
    <w:tbl>
      <w:tblPr>
        <w:tblStyle w:val="Table"/>
        <w:tblW w:type="pct" w:w="5000"/>
        <w:jc w:val="left"/>
        <w:tblLayout w:type="fixed"/>
        <w:tblLook w:firstRow="1" w:lastRow="0" w:firstColumn="0" w:lastColumn="0" w:noHBand="0" w:noVBand="0" w:val="0020"/>
      </w:tblPr>
      <w:tblGrid>
        <w:gridCol w:w="1320"/>
        <w:gridCol w:w="2376"/>
        <w:gridCol w:w="660"/>
        <w:gridCol w:w="2244"/>
        <w:gridCol w:w="1320"/>
      </w:tblGrid>
      <w:tr>
        <w:trPr>
          <w:tblHeader w:val="on"/>
        </w:trPr>
        <w:tc>
          <w:tcPr/>
          <w:p>
            <w:pPr>
              <w:pStyle w:val="Compact"/>
              <w:jc w:val="left"/>
            </w:pPr>
            <w:r>
              <w:t xml:space="preserve">No.</w:t>
            </w:r>
          </w:p>
        </w:tc>
        <w:tc>
          <w:tcPr/>
          <w:p>
            <w:pPr>
              <w:pStyle w:val="Compact"/>
              <w:jc w:val="left"/>
            </w:pPr>
            <w:r>
              <w:t xml:space="preserve">Full name</w:t>
            </w:r>
          </w:p>
        </w:tc>
        <w:tc>
          <w:tcPr/>
          <w:p>
            <w:pPr>
              <w:pStyle w:val="Compact"/>
              <w:jc w:val="left"/>
            </w:pPr>
            <w:r>
              <w:t xml:space="preserve">Phone</w:t>
            </w:r>
          </w:p>
        </w:tc>
        <w:tc>
          <w:tcPr/>
          <w:p>
            <w:pPr>
              <w:pStyle w:val="Compact"/>
              <w:jc w:val="left"/>
            </w:pPr>
            <w:r>
              <w:rPr>
                <w:b/>
                <w:bCs/>
              </w:rPr>
              <w:t xml:space="preserve">E-Mail</w:t>
            </w:r>
          </w:p>
        </w:tc>
        <w:tc>
          <w:tcPr/>
          <w:p>
            <w:pPr>
              <w:pStyle w:val="Compact"/>
              <w:jc w:val="left"/>
            </w:pPr>
            <w:r>
              <w:rPr>
                <w:b/>
                <w:bCs/>
              </w:rPr>
              <w:t xml:space="preserve">Title</w:t>
            </w:r>
          </w:p>
        </w:tc>
      </w:tr>
      <w:tr>
        <w:tc>
          <w:tcPr/>
          <w:p>
            <w:pPr>
              <w:pStyle w:val="Compact"/>
              <w:jc w:val="left"/>
            </w:pPr>
            <w:r>
              <w:t xml:space="preserve">Supervisor</w:t>
            </w:r>
          </w:p>
        </w:tc>
        <w:tc>
          <w:tcPr/>
          <w:p>
            <w:pPr>
              <w:pStyle w:val="Compact"/>
              <w:jc w:val="left"/>
            </w:pPr>
            <w:r>
              <w:t xml:space="preserve">Đặng Ngọc Minh Đức</w:t>
            </w:r>
          </w:p>
        </w:tc>
        <w:tc>
          <w:tcPr/>
          <w:p>
            <w:pPr>
              <w:pStyle w:val="Compact"/>
            </w:pPr>
          </w:p>
        </w:tc>
        <w:tc>
          <w:tcPr/>
          <w:p>
            <w:pPr>
              <w:pStyle w:val="Compact"/>
              <w:jc w:val="left"/>
            </w:pPr>
            <w:r>
              <w:t xml:space="preserve">ducdnm2@fe.edu.vn</w:t>
            </w:r>
          </w:p>
        </w:tc>
        <w:tc>
          <w:tcPr/>
          <w:p>
            <w:pPr>
              <w:pStyle w:val="Compact"/>
              <w:jc w:val="left"/>
            </w:pPr>
            <w:r>
              <w:t xml:space="preserve">Giảng viên</w:t>
            </w:r>
          </w:p>
        </w:tc>
      </w:tr>
      <w:tr>
        <w:tc>
          <w:tcPr/>
          <w:p>
            <w:pPr>
              <w:pStyle w:val="Compact"/>
              <w:jc w:val="left"/>
            </w:pPr>
            <w:r>
              <w:rPr>
                <w:highlight w:val="yellow"/>
              </w:rPr>
              <w:t xml:space="preserve">Co-supervisor</w:t>
            </w:r>
          </w:p>
        </w:tc>
        <w:tc>
          <w:tcPr/>
          <w:p>
            <w:pPr>
              <w:pStyle w:val="Compact"/>
              <w:jc w:val="left"/>
            </w:pPr>
            <w:r>
              <w:rPr>
                <w:highlight w:val="yellow"/>
              </w:rPr>
              <w:t xml:space="preserve">Bùi Văn Phúc</w:t>
            </w:r>
          </w:p>
        </w:tc>
        <w:tc>
          <w:tcPr/>
          <w:p>
            <w:pPr>
              <w:pStyle w:val="Compact"/>
            </w:pPr>
          </w:p>
        </w:tc>
        <w:tc>
          <w:tcPr/>
          <w:p>
            <w:pPr>
              <w:pStyle w:val="Compact"/>
            </w:pPr>
          </w:p>
        </w:tc>
        <w:tc>
          <w:tcPr/>
          <w:p>
            <w:pPr>
              <w:pStyle w:val="Compact"/>
              <w:jc w:val="left"/>
            </w:pPr>
            <w:r>
              <w:rPr>
                <w:highlight w:val="yellow"/>
              </w:rPr>
              <w:t xml:space="preserve">Giảng viên</w:t>
            </w:r>
          </w:p>
        </w:tc>
      </w:tr>
    </w:tbl>
    <w:p>
      <w:pPr>
        <w:pStyle w:val="BodyText"/>
      </w:pPr>
      <w:r>
        <w:rPr>
          <w:b/>
          <w:bCs/>
        </w:rPr>
        <w:t xml:space="preserve">2. Register information for students (if have)</w:t>
      </w:r>
    </w:p>
    <w:tbl>
      <w:tblPr>
        <w:tblStyle w:val="Table"/>
        <w:tblW w:type="pct" w:w="5000"/>
        <w:jc w:val="left"/>
        <w:tblLayout w:type="fixed"/>
        <w:tblLook w:firstRow="1" w:lastRow="0" w:firstColumn="0" w:lastColumn="0" w:noHBand="0" w:noVBand="0" w:val="0020"/>
      </w:tblPr>
      <w:tblGrid>
        <w:gridCol w:w="602"/>
        <w:gridCol w:w="1377"/>
        <w:gridCol w:w="1377"/>
        <w:gridCol w:w="774"/>
        <w:gridCol w:w="2324"/>
        <w:gridCol w:w="1463"/>
      </w:tblGrid>
      <w:tr>
        <w:trPr>
          <w:tblHeader w:val="on"/>
        </w:trPr>
        <w:tc>
          <w:tcPr/>
          <w:p>
            <w:pPr>
              <w:pStyle w:val="Compact"/>
              <w:jc w:val="left"/>
            </w:pPr>
            <w:r>
              <w:rPr>
                <w:b/>
                <w:bCs/>
              </w:rPr>
              <w:t xml:space="preserve">No.</w:t>
            </w:r>
          </w:p>
        </w:tc>
        <w:tc>
          <w:tcPr/>
          <w:p>
            <w:pPr>
              <w:pStyle w:val="Compact"/>
              <w:jc w:val="left"/>
            </w:pPr>
            <w:r>
              <w:rPr>
                <w:b/>
                <w:bCs/>
              </w:rPr>
              <w:t xml:space="preserve">Full name</w:t>
            </w:r>
          </w:p>
        </w:tc>
        <w:tc>
          <w:tcPr/>
          <w:p>
            <w:pPr>
              <w:pStyle w:val="Compact"/>
              <w:jc w:val="left"/>
            </w:pPr>
            <w:r>
              <w:rPr>
                <w:b/>
                <w:bCs/>
              </w:rPr>
              <w:t xml:space="preserve">Student code</w:t>
            </w:r>
          </w:p>
        </w:tc>
        <w:tc>
          <w:tcPr/>
          <w:p>
            <w:pPr>
              <w:pStyle w:val="Compact"/>
              <w:jc w:val="left"/>
            </w:pPr>
            <w:r>
              <w:rPr>
                <w:b/>
                <w:bCs/>
              </w:rPr>
              <w:t xml:space="preserve">Phone</w:t>
            </w:r>
          </w:p>
        </w:tc>
        <w:tc>
          <w:tcPr/>
          <w:p>
            <w:pPr>
              <w:pStyle w:val="Compact"/>
              <w:jc w:val="left"/>
            </w:pPr>
            <w:r>
              <w:rPr>
                <w:b/>
                <w:bCs/>
              </w:rPr>
              <w:t xml:space="preserve">E-mail</w:t>
            </w:r>
          </w:p>
        </w:tc>
        <w:tc>
          <w:tcPr/>
          <w:p>
            <w:pPr>
              <w:pStyle w:val="Compact"/>
              <w:jc w:val="left"/>
            </w:pPr>
            <w:r>
              <w:rPr>
                <w:b/>
                <w:bCs/>
              </w:rPr>
              <w:t xml:space="preserve">Role in Group</w:t>
            </w:r>
          </w:p>
        </w:tc>
      </w:tr>
      <w:tr>
        <w:tc>
          <w:tcPr/>
          <w:p>
            <w:pPr>
              <w:pStyle w:val="Compact"/>
              <w:jc w:val="left"/>
            </w:pPr>
            <w:r>
              <w:t xml:space="preserve">1</w:t>
            </w:r>
          </w:p>
        </w:tc>
        <w:tc>
          <w:tcPr/>
          <w:p>
            <w:pPr>
              <w:pStyle w:val="Compact"/>
              <w:jc w:val="left"/>
            </w:pPr>
            <w:r>
              <w:t xml:space="preserve">Đỗ Đăng Khoa</w:t>
            </w:r>
          </w:p>
        </w:tc>
        <w:tc>
          <w:tcPr/>
          <w:p>
            <w:pPr>
              <w:pStyle w:val="Compact"/>
              <w:jc w:val="left"/>
            </w:pPr>
            <w:r>
              <w:t xml:space="preserve">SE192357</w:t>
            </w:r>
          </w:p>
        </w:tc>
        <w:tc>
          <w:tcPr/>
          <w:p>
            <w:pPr>
              <w:pStyle w:val="Compact"/>
            </w:pPr>
          </w:p>
        </w:tc>
        <w:tc>
          <w:tcPr/>
          <w:p>
            <w:pPr>
              <w:pStyle w:val="Compact"/>
              <w:jc w:val="left"/>
            </w:pPr>
            <w:r>
              <w:t xml:space="preserve">khoado7577@gmail.com</w:t>
            </w:r>
          </w:p>
        </w:tc>
        <w:tc>
          <w:tcPr/>
          <w:p>
            <w:pPr>
              <w:pStyle w:val="Compact"/>
              <w:jc w:val="left"/>
            </w:pPr>
            <w:r>
              <w:t xml:space="preserve">Leader</w:t>
            </w:r>
          </w:p>
        </w:tc>
      </w:tr>
      <w:tr>
        <w:tc>
          <w:tcPr/>
          <w:p>
            <w:pPr>
              <w:pStyle w:val="Compact"/>
              <w:jc w:val="left"/>
            </w:pPr>
            <w:r>
              <w:t xml:space="preserve">2</w:t>
            </w:r>
          </w:p>
        </w:tc>
        <w:tc>
          <w:tcPr/>
          <w:p>
            <w:pPr>
              <w:pStyle w:val="Compact"/>
              <w:jc w:val="left"/>
            </w:pPr>
            <w:r>
              <w:t xml:space="preserve">Trần Khải Hoàng</w:t>
            </w:r>
          </w:p>
        </w:tc>
        <w:tc>
          <w:tcPr/>
          <w:p>
            <w:pPr>
              <w:pStyle w:val="Compact"/>
              <w:jc w:val="left"/>
            </w:pPr>
            <w:r>
              <w:t xml:space="preserve">SE182767</w:t>
            </w:r>
          </w:p>
        </w:tc>
        <w:tc>
          <w:tcPr/>
          <w:p>
            <w:pPr>
              <w:pStyle w:val="Compact"/>
            </w:pPr>
          </w:p>
        </w:tc>
        <w:tc>
          <w:tcPr/>
          <w:p>
            <w:pPr>
              <w:pStyle w:val="Compact"/>
              <w:jc w:val="left"/>
            </w:pPr>
            <w:r>
              <w:t xml:space="preserve">HoangTKSE182767@fpt.edu.vn</w:t>
            </w:r>
          </w:p>
        </w:tc>
        <w:tc>
          <w:tcPr/>
          <w:p>
            <w:pPr>
              <w:pStyle w:val="Compact"/>
              <w:jc w:val="left"/>
            </w:pPr>
            <w:r>
              <w:t xml:space="preserve">Member</w:t>
            </w:r>
          </w:p>
        </w:tc>
      </w:tr>
      <w:tr>
        <w:tc>
          <w:tcPr/>
          <w:p>
            <w:pPr>
              <w:pStyle w:val="Compact"/>
              <w:jc w:val="left"/>
            </w:pPr>
            <w:r>
              <w:t xml:space="preserve">3</w:t>
            </w:r>
          </w:p>
        </w:tc>
        <w:tc>
          <w:tcPr/>
          <w:p>
            <w:pPr>
              <w:pStyle w:val="Compact"/>
              <w:jc w:val="left"/>
            </w:pPr>
            <w:r>
              <w:t xml:space="preserve">Lâm Phi Long</w:t>
            </w:r>
          </w:p>
        </w:tc>
        <w:tc>
          <w:tcPr/>
          <w:p>
            <w:pPr>
              <w:pStyle w:val="Compact"/>
              <w:jc w:val="left"/>
            </w:pPr>
            <w:r>
              <w:t xml:space="preserve">SE182769</w:t>
            </w:r>
          </w:p>
        </w:tc>
        <w:tc>
          <w:tcPr/>
          <w:p>
            <w:pPr>
              <w:pStyle w:val="Compact"/>
            </w:pPr>
          </w:p>
        </w:tc>
        <w:tc>
          <w:tcPr/>
          <w:p>
            <w:pPr>
              <w:pStyle w:val="Compact"/>
              <w:jc w:val="left"/>
            </w:pPr>
            <w:r>
              <w:t xml:space="preserve">LongLPSE182769@fpt.edu.vn</w:t>
            </w:r>
          </w:p>
        </w:tc>
        <w:tc>
          <w:tcPr/>
          <w:p>
            <w:pPr>
              <w:pStyle w:val="Compact"/>
              <w:jc w:val="left"/>
            </w:pPr>
            <w:r>
              <w:t xml:space="preserve">Member</w:t>
            </w:r>
          </w:p>
        </w:tc>
      </w:tr>
      <w:tr>
        <w:tc>
          <w:tcPr/>
          <w:p>
            <w:pPr>
              <w:pStyle w:val="Compact"/>
              <w:jc w:val="left"/>
            </w:pPr>
            <w:r>
              <w:t xml:space="preserve">4</w:t>
            </w:r>
          </w:p>
        </w:tc>
        <w:tc>
          <w:tcPr/>
          <w:p>
            <w:pPr>
              <w:pStyle w:val="Compact"/>
              <w:jc w:val="left"/>
            </w:pPr>
            <w:r>
              <w:t xml:space="preserve">Nguyễn Bá Tân</w:t>
            </w:r>
          </w:p>
        </w:tc>
        <w:tc>
          <w:tcPr/>
          <w:p>
            <w:pPr>
              <w:pStyle w:val="Compact"/>
              <w:jc w:val="left"/>
            </w:pPr>
            <w:r>
              <w:t xml:space="preserve">SE183860</w:t>
            </w:r>
          </w:p>
        </w:tc>
        <w:tc>
          <w:tcPr/>
          <w:p>
            <w:pPr>
              <w:pStyle w:val="Compact"/>
            </w:pPr>
          </w:p>
        </w:tc>
        <w:tc>
          <w:tcPr/>
          <w:p>
            <w:pPr>
              <w:pStyle w:val="Compact"/>
              <w:jc w:val="left"/>
            </w:pPr>
            <w:r>
              <w:t xml:space="preserve">TanNBSE183860@fpt.edu.vn</w:t>
            </w:r>
          </w:p>
        </w:tc>
        <w:tc>
          <w:tcPr/>
          <w:p>
            <w:pPr>
              <w:pStyle w:val="Compact"/>
              <w:jc w:val="left"/>
            </w:pPr>
            <w:r>
              <w:t xml:space="preserve">Member</w:t>
            </w:r>
          </w:p>
        </w:tc>
      </w:tr>
      <w:tr>
        <w:tc>
          <w:tcPr/>
          <w:p>
            <w:pPr>
              <w:pStyle w:val="Compact"/>
              <w:jc w:val="left"/>
            </w:pPr>
            <w:r>
              <w:t xml:space="preserve">5</w:t>
            </w:r>
          </w:p>
        </w:tc>
        <w:tc>
          <w:tcPr/>
          <w:p>
            <w:pPr>
              <w:pStyle w:val="Compact"/>
              <w:jc w:val="left"/>
            </w:pPr>
            <w:r>
              <w:t xml:space="preserve">Nguyễn Ngọc Long</w:t>
            </w:r>
          </w:p>
        </w:tc>
        <w:tc>
          <w:tcPr/>
          <w:p>
            <w:pPr>
              <w:pStyle w:val="Compact"/>
              <w:jc w:val="left"/>
            </w:pPr>
            <w:r>
              <w:t xml:space="preserve">SE193490</w:t>
            </w:r>
          </w:p>
        </w:tc>
        <w:tc>
          <w:tcPr/>
          <w:p>
            <w:pPr>
              <w:pStyle w:val="Compact"/>
            </w:pPr>
          </w:p>
        </w:tc>
        <w:tc>
          <w:tcPr/>
          <w:p>
            <w:pPr>
              <w:pStyle w:val="Compact"/>
              <w:jc w:val="left"/>
            </w:pPr>
            <w:r>
              <w:t xml:space="preserve">nguyenngoclong216@gmail.com</w:t>
            </w:r>
          </w:p>
        </w:tc>
        <w:tc>
          <w:tcPr/>
          <w:p>
            <w:pPr>
              <w:pStyle w:val="Compact"/>
              <w:jc w:val="left"/>
            </w:pPr>
            <w:r>
              <w:t xml:space="preserve">Member</w:t>
            </w:r>
          </w:p>
        </w:tc>
      </w:tr>
    </w:tbl>
    <w:p>
      <w:pPr>
        <w:pStyle w:val="BodyText"/>
      </w:pPr>
      <w:r>
        <w:rPr>
          <w:b/>
          <w:bCs/>
        </w:rPr>
        <w:t xml:space="preserve">3. Register content of Capstone Project</w:t>
      </w:r>
    </w:p>
    <w:p>
      <w:pPr>
        <w:pStyle w:val="BodyText"/>
      </w:pPr>
      <w:r>
        <w:t xml:space="preserve">**(*) 3.1. Capstone Project name:**</w:t>
      </w:r>
    </w:p>
    <w:p>
      <w:pPr>
        <w:pStyle w:val="BodyText"/>
      </w:pPr>
      <w:r>
        <w:t xml:space="preserve">3.1.1. English:</w:t>
      </w:r>
      <w:r>
        <w:t xml:space="preserve"> </w:t>
      </w:r>
      <w:r>
        <w:rPr>
          <w:b/>
          <w:bCs/>
          <w:i/>
          <w:iCs/>
        </w:rPr>
        <w:t xml:space="preserve">TrekLink — An Integrated Off-Grid Communication and Smart Device Rental Management Platform for Trekking Agencies</w:t>
      </w:r>
    </w:p>
    <w:p>
      <w:pPr>
        <w:pStyle w:val="BodyText"/>
      </w:pPr>
      <w:r>
        <w:t xml:space="preserve">3.1.2. Vietnamese:</w:t>
      </w:r>
      <w:r>
        <w:t xml:space="preserve"> </w:t>
      </w:r>
      <w:r>
        <w:rPr>
          <w:b/>
          <w:bCs/>
          <w:i/>
          <w:iCs/>
        </w:rPr>
        <w:t xml:space="preserve">TrekLink — Nền tảng tích hợp liên lạc ngoài vùng phủ sóng và quản lý cho thuê thiết bị thông minh cho doanh nghiệp trekking</w:t>
      </w:r>
    </w:p>
    <w:p>
      <w:pPr>
        <w:pStyle w:val="BodyText"/>
      </w:pPr>
      <w:r>
        <w:rPr>
          <w:b/>
          <w:bCs/>
        </w:rPr>
        <w:t xml:space="preserve">Abbreviation: TrekLink</w:t>
      </w:r>
    </w:p>
    <w:p>
      <w:pPr>
        <w:pStyle w:val="BodyText"/>
      </w:pPr>
      <w:r>
        <w:t xml:space="preserve">**(*) 3.2. Main proposal content (including result and product)**</w:t>
      </w:r>
    </w:p>
    <w:p>
      <w:pPr>
        <w:pStyle w:val="BodyText"/>
      </w:pPr>
      <w:r>
        <w:rPr>
          <w:b/>
          <w:bCs/>
        </w:rPr>
        <w:t xml:space="preserve">a) Context:</w:t>
      </w:r>
    </w:p>
    <w:p>
      <w:pPr>
        <w:pStyle w:val="BodyText"/>
      </w:pPr>
      <w:r>
        <w:t xml:space="preserve">Vietnam’s trekking and outdoor tourism sector has grown significantly in recent years, with major routes such as Tà Năng–Phan Dũng, Tả Liên Sơn, and Bạch Mộc Lương Tử attracting thousands of participants annually. These routes traverse mountainous and forested terrain where cellular connectivity is entirely unavailable for extended stretches, sometimes spanning multiple days. Search-and-rescue operations in these zones are routinely delayed because SOS signals cannot reach coordination staff in a structured or traceable way, and because agencies lack digital tools to monitor their groups in the field.</w:t>
      </w:r>
    </w:p>
    <w:p>
      <w:pPr>
        <w:pStyle w:val="BodyText"/>
      </w:pPr>
      <w:r>
        <w:t xml:space="preserve">During Summer 2026, the project team developed TrekLink, an open-source LoRa mesh communication firmware for ESP32/ESP32-S3 devices. The firmware — authored by this team and based on Meshtastic — supports multi-hop mesh messaging, GPS tracking, fall detection, and automatic SOS broadcasting. It is version-controlled and serves as the inherited technical foundation for this Capstone; it will not be rebuilt.</w:t>
      </w:r>
    </w:p>
    <w:p>
      <w:pPr>
        <w:pStyle w:val="BodyText"/>
      </w:pPr>
      <w:r>
        <w:rPr>
          <w:highlight w:val="yellow"/>
        </w:rPr>
        <w:t xml:space="preserve">Although the embedded communication layer is operational, the organizations that need it in the field, trekking companies first, but also ranger units and similar groups, have no reason to build, maintain and monitor their own hardware, gateways and software. They need a provider that rents them working devices and stands behind them: a platform that manages every device as an asset across its whole life, delivers every field event even after an outage, and makes sure somebody is answerable for every SOS.</w:t>
      </w:r>
    </w:p>
    <w:p>
      <w:pPr>
        <w:pStyle w:val="BodyText"/>
      </w:pPr>
      <w:r>
        <w:rPr>
          <w:highlight w:val="yellow"/>
        </w:rPr>
        <w:t xml:space="preserve">This Capstone builds that provider platform. TrekLink owns the devices, the firmware, the Field Station software and the cloud platform, and rents devices to organizations by plan. Many organizations use one platform, each managing its own members, on-duty roster, rented devices, alerts and API keys; each keeps its own trips, customers and emergency response outside the platform.</w:t>
      </w:r>
    </w:p>
    <w:p>
      <w:pPr>
        <w:pStyle w:val="BodyText"/>
      </w:pPr>
      <w:r>
        <w:rPr>
          <w:b/>
          <w:bCs/>
        </w:rPr>
        <w:t xml:space="preserve">Scope Boundary:</w:t>
      </w:r>
      <w:r>
        <w:t xml:space="preserve"> </w:t>
      </w:r>
      <w:r>
        <w:rPr>
          <w:highlight w:val="yellow"/>
        </w:rPr>
        <w:t xml:space="preserve">The LoRa mesh firmware and the hardware built by this team in Summer 2026 are the technical foundation. Targeted firmware enhancements made during the Capstone (the durable on-device queue, SOS beaconing fixes, radio power compliance) are in scope and credited; rearchitecting the mesh stack is not. The Capstone covers the Field Station (gateway bridge), offline-resilient synchronization, the cloud backend, organization and asset management, rental contracts, incident management with tiered alerts, live telemetry with an organization API, billing, system integration, and experimental evaluation.</w:t>
      </w:r>
    </w:p>
    <w:p>
      <w:pPr>
        <w:pStyle w:val="BodyText"/>
      </w:pPr>
      <w:r>
        <w:t xml:space="preserve">The five operational gaps that drive this Capstone are:</w:t>
      </w:r>
    </w:p>
    <w:p>
      <w:pPr>
        <w:numPr>
          <w:ilvl w:val="0"/>
          <w:numId w:val="1001"/>
        </w:numPr>
      </w:pPr>
      <w:r>
        <w:rPr>
          <w:b/>
          <w:bCs/>
          <w:highlight w:val="yellow"/>
        </w:rPr>
        <w:t xml:space="preserve">No managed device supply:</w:t>
      </w:r>
      <w:r>
        <w:t xml:space="preserve"> </w:t>
      </w:r>
      <w:r>
        <w:rPr>
          <w:highlight w:val="yellow"/>
        </w:rPr>
        <w:t xml:space="preserve">Organizations cannot rent off-grid safety devices with provisioning, monitoring and maintenance handled for them; nobody tracks each device’s custody, condition and history across renters.</w:t>
      </w:r>
    </w:p>
    <w:p>
      <w:pPr>
        <w:numPr>
          <w:ilvl w:val="0"/>
          <w:numId w:val="1001"/>
        </w:numPr>
      </w:pPr>
      <w:r>
        <w:rPr>
          <w:b/>
          <w:bCs/>
        </w:rPr>
        <w:t xml:space="preserve">Unreliable event delivery:</w:t>
      </w:r>
      <w:r>
        <w:t xml:space="preserve"> </w:t>
      </w:r>
      <w:r>
        <w:t xml:space="preserve">Field events generated during connectivity loss are silently discarded; no store-and-forward mechanism exists between the LoRa mesh and the cloud.</w:t>
      </w:r>
    </w:p>
    <w:p>
      <w:pPr>
        <w:numPr>
          <w:ilvl w:val="0"/>
          <w:numId w:val="1001"/>
        </w:numPr>
      </w:pPr>
      <w:r>
        <w:rPr>
          <w:b/>
          <w:bCs/>
          <w:highlight w:val="yellow"/>
        </w:rPr>
        <w:t xml:space="preserve">Nobody answerable for an SOS:</w:t>
      </w:r>
      <w:r>
        <w:t xml:space="preserve"> </w:t>
      </w:r>
      <w:r>
        <w:rPr>
          <w:highlight w:val="yellow"/>
        </w:rPr>
        <w:t xml:space="preserve">A device-level SOS triggers no structured workflow; there is no record of who was alerted, who took responsibility and when, and no escalation when nobody responds.</w:t>
      </w:r>
    </w:p>
    <w:p>
      <w:pPr>
        <w:numPr>
          <w:ilvl w:val="0"/>
          <w:numId w:val="1001"/>
        </w:numPr>
      </w:pPr>
      <w:r>
        <w:rPr>
          <w:b/>
          <w:bCs/>
          <w:highlight w:val="yellow"/>
        </w:rPr>
        <w:t xml:space="preserve">No rental operations platform:</w:t>
      </w:r>
      <w:r>
        <w:t xml:space="preserve"> </w:t>
      </w:r>
      <w:r>
        <w:rPr>
          <w:highlight w:val="yellow"/>
        </w:rPr>
        <w:t xml:space="preserve">Contracts, plans, handover and return, recurring payments, late, damage and loss charges are handled manually.</w:t>
      </w:r>
    </w:p>
    <w:p>
      <w:pPr>
        <w:numPr>
          <w:ilvl w:val="0"/>
          <w:numId w:val="1001"/>
        </w:numPr>
      </w:pPr>
      <w:r>
        <w:rPr>
          <w:b/>
          <w:bCs/>
        </w:rPr>
        <w:t xml:space="preserve">No field visibility:</w:t>
      </w:r>
      <w:r>
        <w:t xml:space="preserve"> </w:t>
      </w:r>
      <w:r>
        <w:rPr>
          <w:highlight w:val="yellow"/>
        </w:rPr>
        <w:t xml:space="preserve">Organizations have no live view of their own devices and alerts, on the web or inside their own systems.</w:t>
      </w:r>
    </w:p>
    <w:p>
      <w:pPr>
        <w:pStyle w:val="FirstParagraph"/>
      </w:pPr>
      <w:r>
        <w:rPr>
          <w:b/>
          <w:bCs/>
        </w:rPr>
        <w:t xml:space="preserve">b) Proposed Solutions:</w:t>
      </w:r>
    </w:p>
    <w:p>
      <w:pPr>
        <w:pStyle w:val="BodyText"/>
      </w:pPr>
      <w:r>
        <w:t xml:space="preserve">TrekLink extends the existing LoRa mesh firmware into</w:t>
      </w:r>
      <w:r>
        <w:t xml:space="preserve"> </w:t>
      </w:r>
      <w:r>
        <w:rPr>
          <w:highlight w:val="yellow"/>
        </w:rPr>
        <w:t xml:space="preserve">an enterprise device-rental platform built on asset management</w:t>
      </w:r>
      <w:r>
        <w:t xml:space="preserve"> </w:t>
      </w:r>
      <w:r>
        <w:t xml:space="preserve">through</w:t>
      </w:r>
      <w:r>
        <w:t xml:space="preserve"> </w:t>
      </w:r>
      <w:r>
        <w:rPr>
          <w:highlight w:val="yellow"/>
        </w:rPr>
        <w:t xml:space="preserve">six</w:t>
      </w:r>
      <w:r>
        <w:t xml:space="preserve"> </w:t>
      </w:r>
      <w:r>
        <w:t xml:space="preserve">core capabilities:</w:t>
      </w:r>
    </w:p>
    <w:p>
      <w:pPr>
        <w:numPr>
          <w:ilvl w:val="0"/>
          <w:numId w:val="1002"/>
        </w:numPr>
      </w:pPr>
      <w:r>
        <w:rPr>
          <w:b/>
          <w:bCs/>
          <w:highlight w:val="yellow"/>
        </w:rPr>
        <w:t xml:space="preserve">Organization and rental management:</w:t>
      </w:r>
      <w:r>
        <w:t xml:space="preserve"> </w:t>
      </w:r>
      <w:r>
        <w:rPr>
          <w:highlight w:val="yellow"/>
        </w:rPr>
        <w:t xml:space="preserve">Organizations self-register and are verified and approved by TrekLink. They rent devices by monthly plan (half the term fee at the start as a holding fee, half at the end, renewing until notice) or by day plan (3, 4 or 7 days, paid in full at handover, priced above the monthly rate per day), with a minimum order quantity. Handover and return happen in person at the TrekLink counter with a signed handover note; payments are recorded, online through the SePay gateway (VietQR, sandbox) or at the counter.</w:t>
      </w:r>
    </w:p>
    <w:p>
      <w:pPr>
        <w:numPr>
          <w:ilvl w:val="0"/>
          <w:numId w:val="1002"/>
        </w:numPr>
      </w:pPr>
      <w:r>
        <w:rPr>
          <w:b/>
          <w:bCs/>
          <w:highlight w:val="yellow"/>
        </w:rPr>
        <w:t xml:space="preserve">Asset management:</w:t>
      </w:r>
      <w:r>
        <w:t xml:space="preserve"> </w:t>
      </w:r>
      <w:r>
        <w:rPr>
          <w:highlight w:val="yellow"/>
        </w:rPr>
        <w:t xml:space="preserve">Each physical device has two identities, a printed asset tag and its radio node number, and an eight-state lifecycle: In Intake → Available → Reserved → Rented → Returned → Maintenance → Lost → Retired. Devices are provisioned with the renter’s channel key at handover and reset and inspected on return before they can be rented again.</w:t>
      </w:r>
    </w:p>
    <w:p>
      <w:pPr>
        <w:numPr>
          <w:ilvl w:val="0"/>
          <w:numId w:val="1002"/>
        </w:numPr>
      </w:pPr>
      <w:r>
        <w:rPr>
          <w:b/>
          <w:bCs/>
        </w:rPr>
        <w:t xml:space="preserve">Offline-Resilient</w:t>
      </w:r>
      <w:r>
        <w:rPr>
          <w:b/>
          <w:bCs/>
        </w:rPr>
        <w:t xml:space="preserve"> </w:t>
      </w:r>
      <w:r>
        <w:rPr>
          <w:b/>
          <w:bCs/>
          <w:highlight w:val="yellow"/>
        </w:rPr>
        <w:t xml:space="preserve">Field Station</w:t>
      </w:r>
      <w:r>
        <w:rPr>
          <w:b/>
          <w:bCs/>
        </w:rPr>
        <w:t xml:space="preserve">:</w:t>
      </w:r>
      <w:r>
        <w:t xml:space="preserve"> </w:t>
      </w:r>
      <w:r>
        <w:t xml:space="preserve">Each field event is identified by</w:t>
      </w:r>
      <w:r>
        <w:t xml:space="preserve"> </w:t>
      </w:r>
      <w:r>
        <w:rPr>
          <w:highlight w:val="yellow"/>
        </w:rPr>
        <w:t xml:space="preserve">eventId = sha256(nodeNum : packetId), derived from identifiers the firmware already transmits</w:t>
      </w:r>
      <w:r>
        <w:t xml:space="preserve">. When Internet connectivity is unavailable, the</w:t>
      </w:r>
      <w:r>
        <w:t xml:space="preserve"> </w:t>
      </w:r>
      <w:r>
        <w:rPr>
          <w:highlight w:val="yellow"/>
        </w:rPr>
        <w:t xml:space="preserve">Field Station, a single executable that the organization runs on its own laptop with one rented node on a USB port,</w:t>
      </w:r>
      <w:r>
        <w:t xml:space="preserve"> </w:t>
      </w:r>
      <w:r>
        <w:t xml:space="preserve">persistently stores events in a local SQLite queue and shows the local mesh to the operators on site. Safety-critical SOS events are assigned P0 priority and synchronized first on reconnection; GPS updates are P2 and routine telemetry P3.</w:t>
      </w:r>
      <w:r>
        <w:t xml:space="preserve"> </w:t>
      </w:r>
      <w:r>
        <w:rPr>
          <w:highlight w:val="yellow"/>
        </w:rPr>
        <w:t xml:space="preserve">Each device also keeps its own durable queue.</w:t>
      </w:r>
    </w:p>
    <w:p>
      <w:pPr>
        <w:numPr>
          <w:ilvl w:val="0"/>
          <w:numId w:val="1002"/>
        </w:numPr>
      </w:pPr>
      <w:r>
        <w:rPr>
          <w:b/>
          <w:bCs/>
        </w:rPr>
        <w:t xml:space="preserve">Idempotent Event Processing:</w:t>
      </w:r>
      <w:r>
        <w:t xml:space="preserve"> </w:t>
      </w:r>
      <w:r>
        <w:t xml:space="preserve">The cloud backend uses the Event ID as an idempotency key. Regardless of how many times the same event is delivered, the backend creates exactly one Incident</w:t>
      </w:r>
      <w:r>
        <w:t xml:space="preserve"> </w:t>
      </w:r>
      <w:r>
        <w:rPr>
          <w:highlight w:val="yellow"/>
        </w:rPr>
        <w:t xml:space="preserve">and one alert per tier</w:t>
      </w:r>
      <w:r>
        <w:t xml:space="preserve">, preventing alert fatigue and ensuring data consistency.</w:t>
      </w:r>
    </w:p>
    <w:p>
      <w:pPr>
        <w:numPr>
          <w:ilvl w:val="0"/>
          <w:numId w:val="1002"/>
        </w:numPr>
      </w:pPr>
      <w:r>
        <w:rPr>
          <w:b/>
          <w:bCs/>
        </w:rPr>
        <w:t xml:space="preserve">Incident Management</w:t>
      </w:r>
      <w:r>
        <w:rPr>
          <w:b/>
          <w:bCs/>
        </w:rPr>
        <w:t xml:space="preserve"> </w:t>
      </w:r>
      <w:r>
        <w:rPr>
          <w:b/>
          <w:bCs/>
          <w:highlight w:val="yellow"/>
        </w:rPr>
        <w:t xml:space="preserve">with tiered alerts</w:t>
      </w:r>
      <w:r>
        <w:rPr>
          <w:b/>
          <w:bCs/>
        </w:rPr>
        <w:t xml:space="preserve">:</w:t>
      </w:r>
      <w:r>
        <w:t xml:space="preserve"> </w:t>
      </w:r>
      <w:r>
        <w:rPr>
          <w:highlight w:val="yellow"/>
        </w:rPr>
        <w:t xml:space="preserve">Each SOS episode becomes one incident routed to the organization holding the device. Alerts go to its on-duty member, then its backup, then its Manager, each after a timeout; if nobody acknowledges, the incident escalates to TrekLink, which reports to the authorities. The organization runs the response and reports status back. Every transition is atomic and audited with actor, time and reason.</w:t>
      </w:r>
    </w:p>
    <w:p>
      <w:pPr>
        <w:numPr>
          <w:ilvl w:val="0"/>
          <w:numId w:val="1002"/>
        </w:numPr>
      </w:pPr>
      <w:r>
        <w:rPr>
          <w:b/>
          <w:bCs/>
          <w:highlight w:val="yellow"/>
        </w:rPr>
        <w:t xml:space="preserve">Live telemetry:</w:t>
      </w:r>
      <w:r>
        <w:t xml:space="preserve"> </w:t>
      </w:r>
      <w:r>
        <w:rPr>
          <w:highlight w:val="yellow"/>
        </w:rPr>
        <w:t xml:space="preserve">Each organization sees only its own rented devices, positions, battery levels and alerts on a live map, and can read the same data in its own systems through a REST and WebSocket API with an organization key.</w:t>
      </w:r>
    </w:p>
    <w:p>
      <w:pPr>
        <w:pStyle w:val="FirstParagraph"/>
      </w:pPr>
      <w:r>
        <w:t xml:space="preserve">Technology stack:</w:t>
      </w:r>
    </w:p>
    <w:p>
      <w:pPr>
        <w:numPr>
          <w:ilvl w:val="0"/>
          <w:numId w:val="1003"/>
        </w:numPr>
      </w:pPr>
      <w:r>
        <w:rPr>
          <w:b/>
          <w:bCs/>
        </w:rPr>
        <w:t xml:space="preserve">Embedded firmware:</w:t>
      </w:r>
      <w:r>
        <w:t xml:space="preserve"> </w:t>
      </w:r>
      <w:r>
        <w:t xml:space="preserve">ESP32/ESP32-S3 + TrekLink firmware</w:t>
      </w:r>
      <w:r>
        <w:t xml:space="preserve"> </w:t>
      </w:r>
      <w:r>
        <w:rPr>
          <w:highlight w:val="yellow"/>
        </w:rPr>
        <w:t xml:space="preserve">(team-built; targeted enhancements in scope)</w:t>
      </w:r>
    </w:p>
    <w:p>
      <w:pPr>
        <w:numPr>
          <w:ilvl w:val="0"/>
          <w:numId w:val="1003"/>
        </w:numPr>
      </w:pPr>
      <w:r>
        <w:rPr>
          <w:b/>
          <w:bCs/>
          <w:highlight w:val="yellow"/>
        </w:rPr>
        <w:t xml:space="preserve">Field Station</w:t>
      </w:r>
      <w:r>
        <w:rPr>
          <w:b/>
          <w:bCs/>
        </w:rPr>
        <w:t xml:space="preserve">:</w:t>
      </w:r>
      <w:r>
        <w:t xml:space="preserve"> </w:t>
      </w:r>
      <w:r>
        <w:t xml:space="preserve">Node.js (TypeScript)</w:t>
      </w:r>
      <w:r>
        <w:t xml:space="preserve"> </w:t>
      </w:r>
      <w:r>
        <w:rPr>
          <w:highlight w:val="yellow"/>
        </w:rPr>
        <w:t xml:space="preserve">packaged as a single executable with a local web page</w:t>
      </w:r>
      <w:r>
        <w:t xml:space="preserve"> </w:t>
      </w:r>
      <w:r>
        <w:t xml:space="preserve">— async I/O for concurrent MQTT + LoRa serial communication</w:t>
      </w:r>
    </w:p>
    <w:p>
      <w:pPr>
        <w:numPr>
          <w:ilvl w:val="0"/>
          <w:numId w:val="1003"/>
        </w:numPr>
      </w:pPr>
      <w:r>
        <w:rPr>
          <w:b/>
          <w:bCs/>
        </w:rPr>
        <w:t xml:space="preserve">Backend:</w:t>
      </w:r>
      <w:r>
        <w:t xml:space="preserve"> </w:t>
      </w:r>
      <w:r>
        <w:t xml:space="preserve">NestJS (TypeScript) — modular architecture with REST and WebSocket support</w:t>
      </w:r>
    </w:p>
    <w:p>
      <w:pPr>
        <w:numPr>
          <w:ilvl w:val="0"/>
          <w:numId w:val="1003"/>
        </w:numPr>
      </w:pPr>
      <w:r>
        <w:rPr>
          <w:b/>
          <w:bCs/>
        </w:rPr>
        <w:t xml:space="preserve">Database:</w:t>
      </w:r>
      <w:r>
        <w:t xml:space="preserve"> </w:t>
      </w:r>
      <w:r>
        <w:t xml:space="preserve">PostgreSQL</w:t>
      </w:r>
      <w:r>
        <w:t xml:space="preserve"> </w:t>
      </w:r>
      <w:r>
        <w:rPr>
          <w:highlight w:val="yellow"/>
        </w:rPr>
        <w:t xml:space="preserve">with Prisma ORM</w:t>
      </w:r>
      <w:r>
        <w:t xml:space="preserve"> </w:t>
      </w:r>
      <w:r>
        <w:t xml:space="preserve">— ACID compliance for rental transactions and incident audit trail</w:t>
      </w:r>
    </w:p>
    <w:p>
      <w:pPr>
        <w:numPr>
          <w:ilvl w:val="0"/>
          <w:numId w:val="1003"/>
        </w:numPr>
      </w:pPr>
      <w:r>
        <w:rPr>
          <w:b/>
          <w:bCs/>
        </w:rPr>
        <w:t xml:space="preserve">IoT messaging:</w:t>
      </w:r>
      <w:r>
        <w:t xml:space="preserve"> </w:t>
      </w:r>
      <w:r>
        <w:t xml:space="preserve">MQTT (Mosquitto) — QoS-based delivery between</w:t>
      </w:r>
      <w:r>
        <w:t xml:space="preserve"> </w:t>
      </w:r>
      <w:r>
        <w:rPr>
          <w:highlight w:val="yellow"/>
        </w:rPr>
        <w:t xml:space="preserve">Field Station</w:t>
      </w:r>
      <w:r>
        <w:t xml:space="preserve"> </w:t>
      </w:r>
      <w:r>
        <w:t xml:space="preserve">and backend</w:t>
      </w:r>
    </w:p>
    <w:p>
      <w:pPr>
        <w:numPr>
          <w:ilvl w:val="0"/>
          <w:numId w:val="1003"/>
        </w:numPr>
      </w:pPr>
      <w:r>
        <w:rPr>
          <w:b/>
          <w:bCs/>
        </w:rPr>
        <w:t xml:space="preserve">Real-time push:</w:t>
      </w:r>
      <w:r>
        <w:t xml:space="preserve"> </w:t>
      </w:r>
      <w:r>
        <w:t xml:space="preserve">Socket.io WebSocket — live dashboard updates</w:t>
      </w:r>
      <w:r>
        <w:t xml:space="preserve"> </w:t>
      </w:r>
      <w:r>
        <w:rPr>
          <w:highlight w:val="yellow"/>
        </w:rPr>
        <w:t xml:space="preserve">and the organization API stream</w:t>
      </w:r>
    </w:p>
    <w:p>
      <w:pPr>
        <w:numPr>
          <w:ilvl w:val="0"/>
          <w:numId w:val="1003"/>
        </w:numPr>
      </w:pPr>
      <w:r>
        <w:rPr>
          <w:b/>
          <w:bCs/>
        </w:rPr>
        <w:t xml:space="preserve">Frontend:</w:t>
      </w:r>
      <w:r>
        <w:t xml:space="preserve"> </w:t>
      </w:r>
      <w:r>
        <w:t xml:space="preserve">React + TypeScript — role-based views with Leaflet.js map integration</w:t>
      </w:r>
    </w:p>
    <w:p>
      <w:pPr>
        <w:numPr>
          <w:ilvl w:val="0"/>
          <w:numId w:val="1003"/>
        </w:numPr>
      </w:pPr>
      <w:r>
        <w:rPr>
          <w:b/>
          <w:bCs/>
          <w:highlight w:val="yellow"/>
        </w:rPr>
        <w:t xml:space="preserve">Payment gateway:</w:t>
      </w:r>
      <w:r>
        <w:rPr>
          <w:highlight w:val="yellow"/>
        </w:rPr>
        <w:t xml:space="preserve"> </w:t>
      </w:r>
      <w:r>
        <w:rPr>
          <w:highlight w:val="yellow"/>
        </w:rPr>
        <w:t xml:space="preserve">SePay (VietQR with confirming webhook), sandbox environment</w:t>
      </w:r>
    </w:p>
    <w:p>
      <w:pPr>
        <w:numPr>
          <w:ilvl w:val="0"/>
          <w:numId w:val="1003"/>
        </w:numPr>
      </w:pPr>
      <w:r>
        <w:rPr>
          <w:b/>
          <w:bCs/>
        </w:rPr>
        <w:t xml:space="preserve">DevOps:</w:t>
      </w:r>
      <w:r>
        <w:t xml:space="preserve"> </w:t>
      </w:r>
      <w:r>
        <w:t xml:space="preserve">Docker Compose + GitHub Actions — containerised deployment and CI/CD</w:t>
      </w:r>
    </w:p>
    <w:p>
      <w:pPr>
        <w:pStyle w:val="FirstParagraph"/>
      </w:pPr>
      <w:r>
        <w:rPr>
          <w:b/>
          <w:bCs/>
        </w:rPr>
        <w:t xml:space="preserve">c) Functional Requirements:</w:t>
      </w:r>
    </w:p>
    <w:p>
      <w:pPr>
        <w:pStyle w:val="Compact"/>
        <w:numPr>
          <w:ilvl w:val="0"/>
          <w:numId w:val="1004"/>
        </w:numPr>
      </w:pPr>
      <w:r>
        <w:rPr>
          <w:b/>
          <w:bCs/>
          <w:highlight w:val="yellow"/>
        </w:rPr>
        <w:t xml:space="preserve">TrekLink Admin</w:t>
      </w:r>
      <w:r>
        <w:rPr>
          <w:b/>
          <w:bCs/>
        </w:rPr>
        <w:t xml:space="preserve">:</w:t>
      </w:r>
    </w:p>
    <w:p>
      <w:pPr>
        <w:pStyle w:val="FirstParagraph"/>
      </w:pPr>
      <w:r>
        <w:t xml:space="preserve">• Approve or reject organizations, and suspend or reactivate them.</w:t>
      </w:r>
    </w:p>
    <w:p>
      <w:pPr>
        <w:pStyle w:val="BodyText"/>
      </w:pPr>
      <w:r>
        <w:t xml:space="preserve">•</w:t>
      </w:r>
      <w:r>
        <w:t xml:space="preserve"> </w:t>
      </w:r>
      <w:r>
        <w:rPr>
          <w:highlight w:val="yellow"/>
        </w:rPr>
        <w:t xml:space="preserve">Manage platform accounts, roles, permissions, and system configurations.</w:t>
      </w:r>
    </w:p>
    <w:p>
      <w:pPr>
        <w:pStyle w:val="BodyText"/>
      </w:pPr>
      <w:r>
        <w:t xml:space="preserve">• Manage TrekLink hardware variants, firmware versions, and their remaining-value schedules.</w:t>
      </w:r>
    </w:p>
    <w:p>
      <w:pPr>
        <w:pStyle w:val="BodyText"/>
      </w:pPr>
      <w:r>
        <w:t xml:space="preserve">•</w:t>
      </w:r>
      <w:r>
        <w:t xml:space="preserve"> </w:t>
      </w:r>
      <w:r>
        <w:rPr>
          <w:highlight w:val="yellow"/>
        </w:rPr>
        <w:t xml:space="preserve">Manage rental plans and prices: monthly price per variant, day-plan lengths and premium, minimum order quantity, late, damage and loss charges.</w:t>
      </w:r>
    </w:p>
    <w:p>
      <w:pPr>
        <w:pStyle w:val="BodyText"/>
      </w:pPr>
      <w:r>
        <w:t xml:space="preserve">•</w:t>
      </w:r>
      <w:r>
        <w:t xml:space="preserve"> </w:t>
      </w:r>
      <w:r>
        <w:rPr>
          <w:highlight w:val="yellow"/>
        </w:rPr>
        <w:t xml:space="preserve">Approve damage charges above the threshold (never as the inspector) and retire devices.</w:t>
      </w:r>
    </w:p>
    <w:p>
      <w:pPr>
        <w:pStyle w:val="BodyText"/>
      </w:pPr>
      <w:r>
        <w:t xml:space="preserve">• Monitor system health, Field Station connectivity, alert delivery, and incidents; view audit logs and management reports.</w:t>
      </w:r>
    </w:p>
    <w:p>
      <w:pPr>
        <w:pStyle w:val="Compact"/>
        <w:numPr>
          <w:ilvl w:val="0"/>
          <w:numId w:val="1005"/>
        </w:numPr>
      </w:pPr>
      <w:r>
        <w:rPr>
          <w:b/>
          <w:bCs/>
          <w:highlight w:val="yellow"/>
        </w:rPr>
        <w:t xml:space="preserve">TrekLink Staff</w:t>
      </w:r>
      <w:r>
        <w:rPr>
          <w:b/>
          <w:bCs/>
        </w:rPr>
        <w:t xml:space="preserve">:</w:t>
      </w:r>
    </w:p>
    <w:p>
      <w:pPr>
        <w:pStyle w:val="FirstParagraph"/>
      </w:pPr>
      <w:r>
        <w:t xml:space="preserve">•</w:t>
      </w:r>
      <w:r>
        <w:t xml:space="preserve"> </w:t>
      </w:r>
      <w:r>
        <w:rPr>
          <w:highlight w:val="yellow"/>
        </w:rPr>
        <w:t xml:space="preserve">Verify organizations in person or by phone and record the signed master contract.</w:t>
      </w:r>
    </w:p>
    <w:p>
      <w:pPr>
        <w:pStyle w:val="BodyText"/>
      </w:pPr>
      <w:r>
        <w:t xml:space="preserve">•</w:t>
      </w:r>
      <w:r>
        <w:t xml:space="preserve"> </w:t>
      </w:r>
      <w:r>
        <w:rPr>
          <w:highlight w:val="yellow"/>
        </w:rPr>
        <w:t xml:space="preserve">Register devices (asset tag and node number), run intake checks, and record maintenance.</w:t>
      </w:r>
    </w:p>
    <w:p>
      <w:pPr>
        <w:pStyle w:val="BodyText"/>
      </w:pPr>
      <w:r>
        <w:t xml:space="preserve">•</w:t>
      </w:r>
      <w:r>
        <w:t xml:space="preserve"> </w:t>
      </w:r>
      <w:r>
        <w:rPr>
          <w:highlight w:val="yellow"/>
        </w:rPr>
        <w:t xml:space="preserve">Approve rental contracts, reserving devices without over-allocation.</w:t>
      </w:r>
    </w:p>
    <w:p>
      <w:pPr>
        <w:pStyle w:val="BodyText"/>
      </w:pPr>
      <w:r>
        <w:t xml:space="preserve">•</w:t>
      </w:r>
      <w:r>
        <w:t xml:space="preserve"> </w:t>
      </w:r>
      <w:r>
        <w:rPr>
          <w:highlight w:val="yellow"/>
        </w:rPr>
        <w:t xml:space="preserve">Provision devices with the organization’s channel key and hand them over at the counter with a signed handover note.</w:t>
      </w:r>
    </w:p>
    <w:p>
      <w:pPr>
        <w:pStyle w:val="BodyText"/>
      </w:pPr>
      <w:r>
        <w:t xml:space="preserve">•</w:t>
      </w:r>
      <w:r>
        <w:t xml:space="preserve"> </w:t>
      </w:r>
      <w:r>
        <w:rPr>
          <w:highlight w:val="yellow"/>
        </w:rPr>
        <w:t xml:space="preserve">Check devices in, reset and inspect them, record damage and loss, and close contracts.</w:t>
      </w:r>
    </w:p>
    <w:p>
      <w:pPr>
        <w:pStyle w:val="BodyText"/>
      </w:pPr>
      <w:r>
        <w:t xml:space="preserve">•</w:t>
      </w:r>
      <w:r>
        <w:t xml:space="preserve"> </w:t>
      </w:r>
      <w:r>
        <w:rPr>
          <w:highlight w:val="yellow"/>
        </w:rPr>
        <w:t xml:space="preserve">Record counter payments, and run stock-takes.</w:t>
      </w:r>
    </w:p>
    <w:p>
      <w:pPr>
        <w:pStyle w:val="BodyText"/>
      </w:pPr>
      <w:r>
        <w:t xml:space="preserve">•</w:t>
      </w:r>
      <w:r>
        <w:t xml:space="preserve"> </w:t>
      </w:r>
      <w:r>
        <w:rPr>
          <w:highlight w:val="yellow"/>
        </w:rPr>
        <w:t xml:space="preserve">Handle escalated and unrouted incidents and record reports to the authorities.</w:t>
      </w:r>
    </w:p>
    <w:p>
      <w:pPr>
        <w:pStyle w:val="Compact"/>
        <w:numPr>
          <w:ilvl w:val="0"/>
          <w:numId w:val="1006"/>
        </w:numPr>
      </w:pPr>
      <w:r>
        <w:rPr>
          <w:b/>
          <w:bCs/>
          <w:highlight w:val="yellow"/>
        </w:rPr>
        <w:t xml:space="preserve">Organization Manager</w:t>
      </w:r>
      <w:r>
        <w:rPr>
          <w:b/>
          <w:bCs/>
        </w:rPr>
        <w:t xml:space="preserve">:</w:t>
      </w:r>
    </w:p>
    <w:p>
      <w:pPr>
        <w:pStyle w:val="FirstParagraph"/>
      </w:pPr>
      <w:r>
        <w:t xml:space="preserve">•</w:t>
      </w:r>
      <w:r>
        <w:t xml:space="preserve"> </w:t>
      </w:r>
      <w:r>
        <w:rPr>
          <w:highlight w:val="yellow"/>
        </w:rPr>
        <w:t xml:space="preserve">Register the organization, sign the master contract and handover notes.</w:t>
      </w:r>
    </w:p>
    <w:p>
      <w:pPr>
        <w:pStyle w:val="BodyText"/>
      </w:pPr>
      <w:r>
        <w:t xml:space="preserve">•</w:t>
      </w:r>
      <w:r>
        <w:t xml:space="preserve"> </w:t>
      </w:r>
      <w:r>
        <w:rPr>
          <w:highlight w:val="yellow"/>
        </w:rPr>
        <w:t xml:space="preserve">Request rental contracts (plan, hardware variant, quantity, start date), pay online or at the counter, and give notice on monthly contracts.</w:t>
      </w:r>
    </w:p>
    <w:p>
      <w:pPr>
        <w:pStyle w:val="BodyText"/>
      </w:pPr>
      <w:r>
        <w:t xml:space="preserve">•</w:t>
      </w:r>
      <w:r>
        <w:t xml:space="preserve"> </w:t>
      </w:r>
      <w:r>
        <w:rPr>
          <w:highlight w:val="yellow"/>
        </w:rPr>
        <w:t xml:space="preserve">Manage the organization’s members, on-duty roster (primary and backup per shift), and API keys.</w:t>
      </w:r>
    </w:p>
    <w:p>
      <w:pPr>
        <w:pStyle w:val="BodyText"/>
      </w:pPr>
      <w:r>
        <w:t xml:space="preserve">•</w:t>
      </w:r>
      <w:r>
        <w:t xml:space="preserve"> </w:t>
      </w:r>
      <w:r>
        <w:rPr>
          <w:highlight w:val="yellow"/>
        </w:rPr>
        <w:t xml:space="preserve">View contracts, terms, invoices, and payments; act as the last organization alert tier.</w:t>
      </w:r>
    </w:p>
    <w:p>
      <w:pPr>
        <w:pStyle w:val="Compact"/>
        <w:numPr>
          <w:ilvl w:val="0"/>
          <w:numId w:val="1007"/>
        </w:numPr>
      </w:pPr>
      <w:r>
        <w:rPr>
          <w:b/>
          <w:bCs/>
          <w:highlight w:val="yellow"/>
        </w:rPr>
        <w:t xml:space="preserve">Organization Operator (on-duty member)</w:t>
      </w:r>
      <w:r>
        <w:rPr>
          <w:b/>
          <w:bCs/>
        </w:rPr>
        <w:t xml:space="preserve">:</w:t>
      </w:r>
    </w:p>
    <w:p>
      <w:pPr>
        <w:pStyle w:val="FirstParagraph"/>
      </w:pPr>
      <w:r>
        <w:t xml:space="preserve">•</w:t>
      </w:r>
      <w:r>
        <w:t xml:space="preserve"> </w:t>
      </w:r>
      <w:r>
        <w:rPr>
          <w:highlight w:val="yellow"/>
        </w:rPr>
        <w:t xml:space="preserve">Receive SOS alerts, acknowledge incidents, report response status and outcome, or declare a false alarm.</w:t>
      </w:r>
    </w:p>
    <w:p>
      <w:pPr>
        <w:pStyle w:val="BodyText"/>
      </w:pPr>
      <w:r>
        <w:t xml:space="preserve">•</w:t>
      </w:r>
      <w:r>
        <w:t xml:space="preserve"> </w:t>
      </w:r>
      <w:r>
        <w:rPr>
          <w:highlight w:val="yellow"/>
        </w:rPr>
        <w:t xml:space="preserve">View the organization’s rented devices, positions, battery, and alerts on the live map.</w:t>
      </w:r>
    </w:p>
    <w:p>
      <w:pPr>
        <w:pStyle w:val="BodyText"/>
      </w:pPr>
      <w:r>
        <w:t xml:space="preserve">•</w:t>
      </w:r>
      <w:r>
        <w:t xml:space="preserve"> </w:t>
      </w:r>
      <w:r>
        <w:rPr>
          <w:highlight w:val="yellow"/>
        </w:rPr>
        <w:t xml:space="preserve">Run the Field Station on site and view the local mesh offline; optionally label each device with its holder.</w:t>
      </w:r>
    </w:p>
    <w:p>
      <w:pPr>
        <w:pStyle w:val="Compact"/>
        <w:numPr>
          <w:ilvl w:val="0"/>
          <w:numId w:val="1008"/>
        </w:numPr>
      </w:pPr>
      <w:r>
        <w:rPr>
          <w:b/>
          <w:bCs/>
          <w:highlight w:val="yellow"/>
        </w:rPr>
        <w:t xml:space="preserve">Organization System (API client)</w:t>
      </w:r>
      <w:r>
        <w:rPr>
          <w:b/>
          <w:bCs/>
        </w:rPr>
        <w:t xml:space="preserve">:</w:t>
      </w:r>
    </w:p>
    <w:p>
      <w:pPr>
        <w:pStyle w:val="FirstParagraph"/>
      </w:pPr>
      <w:r>
        <w:t xml:space="preserve">•</w:t>
      </w:r>
      <w:r>
        <w:t xml:space="preserve"> </w:t>
      </w:r>
      <w:r>
        <w:rPr>
          <w:highlight w:val="yellow"/>
        </w:rPr>
        <w:t xml:space="preserve">Read the organization’s live positions, telemetry, and incident events over REST and WebSocket with an organization API key.</w:t>
      </w:r>
    </w:p>
    <w:p>
      <w:pPr>
        <w:pStyle w:val="Compact"/>
        <w:numPr>
          <w:ilvl w:val="0"/>
          <w:numId w:val="1009"/>
        </w:numPr>
      </w:pPr>
      <w:r>
        <w:rPr>
          <w:b/>
          <w:bCs/>
          <w:highlight w:val="yellow"/>
        </w:rPr>
        <w:t xml:space="preserve">Asset Management</w:t>
      </w:r>
      <w:r>
        <w:rPr>
          <w:b/>
          <w:bCs/>
        </w:rPr>
        <w:t xml:space="preserve">:</w:t>
      </w:r>
    </w:p>
    <w:p>
      <w:pPr>
        <w:pStyle w:val="FirstParagraph"/>
      </w:pPr>
      <w:r>
        <w:t xml:space="preserve">•</w:t>
      </w:r>
      <w:r>
        <w:t xml:space="preserve"> </w:t>
      </w:r>
      <w:r>
        <w:rPr>
          <w:highlight w:val="yellow"/>
        </w:rPr>
        <w:t xml:space="preserve">Register each physical unit with asset tag, node number, hardware variant, firmware version, and status; neither identity is ever reused.</w:t>
      </w:r>
    </w:p>
    <w:p>
      <w:pPr>
        <w:pStyle w:val="BodyText"/>
      </w:pPr>
      <w:r>
        <w:t xml:space="preserve">•</w:t>
      </w:r>
      <w:r>
        <w:t xml:space="preserve"> </w:t>
      </w:r>
      <w:r>
        <w:rPr>
          <w:highlight w:val="yellow"/>
        </w:rPr>
        <w:t xml:space="preserve">Manage the eight-state device lifecycle: In Intake → Available → Reserved → Rented → Returned → Maintenance → Lost → Retired.</w:t>
      </w:r>
    </w:p>
    <w:p>
      <w:pPr>
        <w:pStyle w:val="BodyText"/>
      </w:pPr>
      <w:r>
        <w:t xml:space="preserve">• Record battery level, last-seen time, latest GPS position, and telemetry status.</w:t>
      </w:r>
    </w:p>
    <w:p>
      <w:pPr>
        <w:pStyle w:val="BodyText"/>
      </w:pPr>
      <w:r>
        <w:t xml:space="preserve">•</w:t>
      </w:r>
      <w:r>
        <w:t xml:space="preserve"> </w:t>
      </w:r>
      <w:r>
        <w:rPr>
          <w:highlight w:val="yellow"/>
        </w:rPr>
        <w:t xml:space="preserve">Maintain custody, contract, incident, inspection, and maintenance histories; reset every returned device before it can be rented again.</w:t>
      </w:r>
    </w:p>
    <w:p>
      <w:pPr>
        <w:pStyle w:val="BodyText"/>
      </w:pPr>
      <w:r>
        <w:t xml:space="preserve">• Schedule maintenance and prevent unavailable devices from being allocated.</w:t>
      </w:r>
    </w:p>
    <w:p>
      <w:pPr>
        <w:pStyle w:val="Compact"/>
        <w:numPr>
          <w:ilvl w:val="0"/>
          <w:numId w:val="1010"/>
        </w:numPr>
      </w:pPr>
      <w:r>
        <w:rPr>
          <w:b/>
          <w:bCs/>
        </w:rPr>
        <w:t xml:space="preserve">Event Reliability &amp; Offline Synchronization:</w:t>
      </w:r>
    </w:p>
    <w:p>
      <w:pPr>
        <w:pStyle w:val="FirstParagraph"/>
      </w:pPr>
      <w:r>
        <w:t xml:space="preserve">• Each field event shall carry</w:t>
      </w:r>
      <w:r>
        <w:t xml:space="preserve"> </w:t>
      </w:r>
      <w:r>
        <w:rPr>
          <w:highlight w:val="yellow"/>
        </w:rPr>
        <w:t xml:space="preserve">an eventId derived as sha256(nodeNum : packetId)</w:t>
      </w:r>
      <w:r>
        <w:t xml:space="preserve">, source device, event type, UTC timestamp, and priority tier.</w:t>
      </w:r>
    </w:p>
    <w:p>
      <w:pPr>
        <w:pStyle w:val="BodyText"/>
      </w:pPr>
      <w:r>
        <w:t xml:space="preserve">• The</w:t>
      </w:r>
      <w:r>
        <w:t xml:space="preserve"> </w:t>
      </w:r>
      <w:r>
        <w:rPr>
          <w:highlight w:val="yellow"/>
        </w:rPr>
        <w:t xml:space="preserve">Field Station</w:t>
      </w:r>
      <w:r>
        <w:t xml:space="preserve"> </w:t>
      </w:r>
      <w:r>
        <w:t xml:space="preserve">shall persist unsent events in a local SQLite queue when cloud connectivity is unavailable</w:t>
      </w:r>
      <w:r>
        <w:rPr>
          <w:highlight w:val="yellow"/>
        </w:rPr>
        <w:t xml:space="preserve">, and each device shall keep its own durable queue</w:t>
      </w:r>
      <w:r>
        <w:t xml:space="preserve">.</w:t>
      </w:r>
    </w:p>
    <w:p>
      <w:pPr>
        <w:pStyle w:val="BodyText"/>
      </w:pPr>
      <w:r>
        <w:t xml:space="preserve">• SOS and safety-critical events (P0) shall receive higher synchronization priority than GPS updates (P2) and routine telemetry (P3). On reconnection, P0 events shall be delivered before any lower-priority queued events, regardless of their original arrival order.</w:t>
      </w:r>
    </w:p>
    <w:p>
      <w:pPr>
        <w:pStyle w:val="BodyText"/>
      </w:pPr>
      <w:r>
        <w:t xml:space="preserve">• The Gateway shall automatically flush queued events after connectivity is restored, reporting synchronization status, retry count, and queue depth per priority tier.</w:t>
      </w:r>
    </w:p>
    <w:p>
      <w:pPr>
        <w:pStyle w:val="BodyText"/>
      </w:pPr>
      <w:r>
        <w:t xml:space="preserve">• The backend shall process all incoming events idempotently using eventId as the idempotency key.</w:t>
      </w:r>
    </w:p>
    <w:p>
      <w:pPr>
        <w:pStyle w:val="BodyText"/>
      </w:pPr>
      <w:r>
        <w:t xml:space="preserve">• Duplicate reception or retransmission of the same SOS event shall create exactly one Incident and one logical notification event in the backend.</w:t>
      </w:r>
    </w:p>
    <w:p>
      <w:pPr>
        <w:pStyle w:val="BodyText"/>
      </w:pPr>
      <w:r>
        <w:t xml:space="preserve">• The system shall record synchronization status, retry count, and processing history for each event for diagnostic and audit purposes.</w:t>
      </w:r>
    </w:p>
    <w:p>
      <w:pPr>
        <w:pStyle w:val="BodyText"/>
      </w:pPr>
      <w:r>
        <w:t xml:space="preserve">• Acceptance criterion: repeated delivery of the same SOS event (identical eventId) shall produce exactly one Incident record and one notification, regardless of delivery count.</w:t>
      </w:r>
    </w:p>
    <w:p>
      <w:pPr>
        <w:pStyle w:val="Compact"/>
        <w:numPr>
          <w:ilvl w:val="0"/>
          <w:numId w:val="1011"/>
        </w:numPr>
      </w:pPr>
      <w:r>
        <w:rPr>
          <w:b/>
          <w:bCs/>
          <w:highlight w:val="yellow"/>
        </w:rPr>
        <w:t xml:space="preserve">Live Telemetry &amp; Incident Management</w:t>
      </w:r>
      <w:r>
        <w:rPr>
          <w:b/>
          <w:bCs/>
        </w:rPr>
        <w:t xml:space="preserve">:</w:t>
      </w:r>
    </w:p>
    <w:p>
      <w:pPr>
        <w:pStyle w:val="FirstParagraph"/>
      </w:pPr>
      <w:r>
        <w:t xml:space="preserve">•</w:t>
      </w:r>
      <w:r>
        <w:t xml:space="preserve"> </w:t>
      </w:r>
      <w:r>
        <w:rPr>
          <w:highlight w:val="yellow"/>
        </w:rPr>
        <w:t xml:space="preserve">Display each organization’s rented devices, positions, device status, and last-seen information on a real-time map, scoped to that organization on the server; offer the same data through the organization API.</w:t>
      </w:r>
    </w:p>
    <w:p>
      <w:pPr>
        <w:pStyle w:val="BodyText"/>
      </w:pPr>
      <w:r>
        <w:t xml:space="preserve">• Create an Incident automatically when a valid SOS event is received and idempotency check passes</w:t>
      </w:r>
      <w:r>
        <w:rPr>
          <w:highlight w:val="yellow"/>
        </w:rPr>
        <w:t xml:space="preserve">, and route it to the organization holding the device</w:t>
      </w:r>
      <w:r>
        <w:t xml:space="preserve">.</w:t>
      </w:r>
    </w:p>
    <w:p>
      <w:pPr>
        <w:pStyle w:val="BodyText"/>
      </w:pPr>
      <w:r>
        <w:t xml:space="preserve">•</w:t>
      </w:r>
      <w:r>
        <w:t xml:space="preserve"> </w:t>
      </w:r>
      <w:r>
        <w:rPr>
          <w:highlight w:val="yellow"/>
        </w:rPr>
        <w:t xml:space="preserve">Alert the organization’s on-duty member within 2 seconds of incident creation, then the backup and the Manager after configurable timeouts; escalate to TrekLink when nobody acknowledges.</w:t>
      </w:r>
    </w:p>
    <w:p>
      <w:pPr>
        <w:pStyle w:val="BodyText"/>
      </w:pPr>
      <w:r>
        <w:t xml:space="preserve">•</w:t>
      </w:r>
      <w:r>
        <w:t xml:space="preserve"> </w:t>
      </w:r>
      <w:r>
        <w:rPr>
          <w:highlight w:val="yellow"/>
        </w:rPr>
        <w:t xml:space="preserve">Support the incident lifecycle with tiered notification, acknowledgement, response, resolution, false alarm, escalation, authority report, reopen, and close.</w:t>
      </w:r>
    </w:p>
    <w:p>
      <w:pPr>
        <w:pStyle w:val="BodyText"/>
      </w:pPr>
      <w:r>
        <w:t xml:space="preserve">• Record actor (user ID + role), timestamp, and action note at each state transition.</w:t>
      </w:r>
    </w:p>
    <w:p>
      <w:pPr>
        <w:pStyle w:val="BodyText"/>
      </w:pPr>
      <w:r>
        <w:t xml:space="preserve">• Preserve a complete, append-only incident history for audit purposes.</w:t>
      </w:r>
    </w:p>
    <w:p>
      <w:pPr>
        <w:pStyle w:val="BodyText"/>
      </w:pPr>
      <w:r>
        <w:t xml:space="preserve">•</w:t>
      </w:r>
      <w:r>
        <w:t xml:space="preserve"> </w:t>
      </w:r>
      <w:r>
        <w:rPr>
          <w:highlight w:val="yellow"/>
        </w:rPr>
        <w:t xml:space="preserve">Keep an incident owned at every moment: either a named owner or a running tier timeout.</w:t>
      </w:r>
    </w:p>
    <w:p>
      <w:pPr>
        <w:pStyle w:val="Compact"/>
        <w:numPr>
          <w:ilvl w:val="0"/>
          <w:numId w:val="1012"/>
        </w:numPr>
      </w:pPr>
      <w:r>
        <w:rPr>
          <w:b/>
          <w:bCs/>
        </w:rPr>
        <w:t xml:space="preserve">Billing &amp; Reporting:</w:t>
      </w:r>
    </w:p>
    <w:p>
      <w:pPr>
        <w:pStyle w:val="FirstParagraph"/>
      </w:pPr>
      <w:r>
        <w:t xml:space="preserve">•</w:t>
      </w:r>
      <w:r>
        <w:t xml:space="preserve"> </w:t>
      </w:r>
      <w:r>
        <w:rPr>
          <w:highlight w:val="yellow"/>
        </w:rPr>
        <w:t xml:space="preserve">Calculate monthly term fees (holding fee and balance) and day-plan fees per device and hardware variant, plus late, damage, and loss charges.</w:t>
      </w:r>
    </w:p>
    <w:p>
      <w:pPr>
        <w:pStyle w:val="BodyText"/>
      </w:pPr>
      <w:r>
        <w:t xml:space="preserve">• Generate invoices and track payment status.</w:t>
      </w:r>
    </w:p>
    <w:p>
      <w:pPr>
        <w:pStyle w:val="BodyText"/>
      </w:pPr>
      <w:r>
        <w:t xml:space="preserve">•</w:t>
      </w:r>
      <w:r>
        <w:t xml:space="preserve"> </w:t>
      </w:r>
      <w:r>
        <w:rPr>
          <w:highlight w:val="yellow"/>
        </w:rPr>
        <w:t xml:space="preserve">Integrate the SePay payment gateway (VietQR, confirming webhook) in its sandbox environment, and record counter payments.</w:t>
      </w:r>
    </w:p>
    <w:p>
      <w:pPr>
        <w:pStyle w:val="BodyText"/>
      </w:pPr>
      <w:r>
        <w:t xml:space="preserve">• Generate reports on</w:t>
      </w:r>
      <w:r>
        <w:t xml:space="preserve"> </w:t>
      </w:r>
      <w:r>
        <w:rPr>
          <w:highlight w:val="yellow"/>
        </w:rPr>
        <w:t xml:space="preserve">contracts, fleet utilization, revenue, overdue and lost devices, maintenance, incidents, and response performance</w:t>
      </w:r>
      <w:r>
        <w:t xml:space="preserve">.</w:t>
      </w:r>
    </w:p>
    <w:p>
      <w:pPr>
        <w:pStyle w:val="BodyText"/>
      </w:pPr>
      <w:r>
        <w:rPr>
          <w:b/>
          <w:bCs/>
        </w:rPr>
        <w:t xml:space="preserve">d) Non-Functional Requirements:</w:t>
      </w:r>
    </w:p>
    <w:p>
      <w:pPr>
        <w:numPr>
          <w:ilvl w:val="0"/>
          <w:numId w:val="1013"/>
        </w:numPr>
      </w:pPr>
      <w:r>
        <w:rPr>
          <w:b/>
          <w:bCs/>
        </w:rPr>
        <w:t xml:space="preserve">API Performance:</w:t>
      </w:r>
      <w:r>
        <w:t xml:space="preserve"> </w:t>
      </w:r>
      <w:r>
        <w:t xml:space="preserve">At least 95% of normal backend API requests shall complete within 300 ms under the defined test workload of 50 concurrent users.</w:t>
      </w:r>
    </w:p>
    <w:p>
      <w:pPr>
        <w:numPr>
          <w:ilvl w:val="0"/>
          <w:numId w:val="1013"/>
        </w:numPr>
      </w:pPr>
      <w:r>
        <w:rPr>
          <w:b/>
          <w:bCs/>
        </w:rPr>
        <w:t xml:space="preserve">Synchronization Latency:</w:t>
      </w:r>
      <w:r>
        <w:t xml:space="preserve"> </w:t>
      </w:r>
      <w:r>
        <w:t xml:space="preserve">When gateway uplink connectivity is available, newly received field events shall reach the cloud backend within 5 seconds under normal load conditions.</w:t>
      </w:r>
    </w:p>
    <w:p>
      <w:pPr>
        <w:numPr>
          <w:ilvl w:val="0"/>
          <w:numId w:val="1013"/>
        </w:numPr>
      </w:pPr>
      <w:r>
        <w:rPr>
          <w:b/>
          <w:bCs/>
        </w:rPr>
        <w:t xml:space="preserve">Offline Recovery — Delivery Rate:</w:t>
      </w:r>
      <w:r>
        <w:t xml:space="preserve"> </w:t>
      </w:r>
      <w:r>
        <w:t xml:space="preserve">The Gateway shall achieve a message delivery rate of ≥ 99% after connectivity recovery under the defined experimental conditions (connectivity-loss durations of 30 s to 30 min, minimum 20 trials per condition).</w:t>
      </w:r>
    </w:p>
    <w:p>
      <w:pPr>
        <w:numPr>
          <w:ilvl w:val="0"/>
          <w:numId w:val="1013"/>
        </w:numPr>
      </w:pPr>
      <w:r>
        <w:rPr>
          <w:b/>
          <w:bCs/>
        </w:rPr>
        <w:t xml:space="preserve">Offline Recovery — Testability:</w:t>
      </w:r>
      <w:r>
        <w:t xml:space="preserve"> </w:t>
      </w:r>
      <w:r>
        <w:t xml:space="preserve">Connectivity loss shall be reproducible in a controlled lab environment by programmatically interrupting the gateway’s network interface, allowing repeatable experiment execution.</w:t>
      </w:r>
    </w:p>
    <w:p>
      <w:pPr>
        <w:numPr>
          <w:ilvl w:val="0"/>
          <w:numId w:val="1013"/>
        </w:numPr>
      </w:pPr>
      <w:r>
        <w:rPr>
          <w:b/>
          <w:bCs/>
        </w:rPr>
        <w:t xml:space="preserve">Duplicate Prevention:</w:t>
      </w:r>
      <w:r>
        <w:t xml:space="preserve"> </w:t>
      </w:r>
      <w:r>
        <w:t xml:space="preserve">Zero duplicate Incident records shall be created for repeated delivery of any SOS event carrying the same eventId. This shall be verified by a dedicated automated test that delivers the same SOS event 10 times and asserts exactly one Incident is created.</w:t>
      </w:r>
    </w:p>
    <w:p>
      <w:pPr>
        <w:numPr>
          <w:ilvl w:val="0"/>
          <w:numId w:val="1013"/>
        </w:numPr>
      </w:pPr>
      <w:r>
        <w:rPr>
          <w:b/>
          <w:bCs/>
        </w:rPr>
        <w:t xml:space="preserve">Priority Ordering:</w:t>
      </w:r>
      <w:r>
        <w:t xml:space="preserve"> </w:t>
      </w:r>
      <w:r>
        <w:t xml:space="preserve">On every reconnection, all P0 (SOS) events queued during the offline period shall be delivered to the backend before any P2 or P3 events. Priority-ordering compliance rate shall be ≥ 99% across all experimental trials.</w:t>
      </w:r>
    </w:p>
    <w:p>
      <w:pPr>
        <w:numPr>
          <w:ilvl w:val="0"/>
          <w:numId w:val="1013"/>
        </w:numPr>
      </w:pPr>
      <w:r>
        <w:rPr>
          <w:b/>
          <w:bCs/>
        </w:rPr>
        <w:t xml:space="preserve">Concurrency:</w:t>
      </w:r>
      <w:r>
        <w:t xml:space="preserve"> </w:t>
      </w:r>
      <w:r>
        <w:t xml:space="preserve">The backend shall process at least 20 simultaneous gateway event submissions without message loss or duplicate Incident creation, verified by a concurrent load test.</w:t>
      </w:r>
    </w:p>
    <w:p>
      <w:pPr>
        <w:numPr>
          <w:ilvl w:val="0"/>
          <w:numId w:val="1013"/>
        </w:numPr>
      </w:pPr>
      <w:r>
        <w:rPr>
          <w:b/>
          <w:bCs/>
        </w:rPr>
        <w:t xml:space="preserve">Offline Resilience:</w:t>
      </w:r>
      <w:r>
        <w:t xml:space="preserve"> </w:t>
      </w:r>
      <w:r>
        <w:t xml:space="preserve">Loss of cloud connectivity shall not interrupt local LoRa mesh communication or device-level SOS propagation on the field devices.</w:t>
      </w:r>
    </w:p>
    <w:p>
      <w:pPr>
        <w:numPr>
          <w:ilvl w:val="0"/>
          <w:numId w:val="1013"/>
        </w:numPr>
      </w:pPr>
      <w:r>
        <w:rPr>
          <w:b/>
          <w:bCs/>
        </w:rPr>
        <w:t xml:space="preserve">Data Consistency:</w:t>
      </w:r>
      <w:r>
        <w:t xml:space="preserve"> </w:t>
      </w:r>
      <w:r>
        <w:t xml:space="preserve">Replayed gateway messages shall not create duplicate incidents or duplicate telemetry records, enforced by eventId-keyed idempotency at the backend.</w:t>
      </w:r>
    </w:p>
    <w:p>
      <w:pPr>
        <w:numPr>
          <w:ilvl w:val="0"/>
          <w:numId w:val="1013"/>
        </w:numPr>
      </w:pPr>
      <w:r>
        <w:rPr>
          <w:b/>
          <w:bCs/>
        </w:rPr>
        <w:t xml:space="preserve">Security:</w:t>
      </w:r>
      <w:r>
        <w:t xml:space="preserve"> </w:t>
      </w:r>
      <w:r>
        <w:t xml:space="preserve">JWT-based authentication, RBAC, TLS-encrypted transport, bcrypt password hashing, and auditable access to sensitive incident data.</w:t>
      </w:r>
      <w:r>
        <w:t xml:space="preserve"> </w:t>
      </w:r>
      <w:r>
        <w:rPr>
          <w:highlight w:val="yellow"/>
        </w:rPr>
        <w:t xml:space="preserve">No organization shall be able to read another organization’s devices, positions, incidents, contracts, or invoices, verified by a cross-organization test per module.</w:t>
      </w:r>
    </w:p>
    <w:p>
      <w:pPr>
        <w:numPr>
          <w:ilvl w:val="0"/>
          <w:numId w:val="1013"/>
        </w:numPr>
      </w:pPr>
      <w:r>
        <w:rPr>
          <w:b/>
          <w:bCs/>
        </w:rPr>
        <w:t xml:space="preserve">Auditability:</w:t>
      </w:r>
      <w:r>
        <w:t xml:space="preserve"> </w:t>
      </w:r>
      <w:r>
        <w:t xml:space="preserve">Every incident state transition, device lifecycle transition, and</w:t>
      </w:r>
      <w:r>
        <w:t xml:space="preserve"> </w:t>
      </w:r>
      <w:r>
        <w:rPr>
          <w:highlight w:val="yellow"/>
        </w:rPr>
        <w:t xml:space="preserve">rental contract</w:t>
      </w:r>
      <w:r>
        <w:t xml:space="preserve"> </w:t>
      </w:r>
      <w:r>
        <w:t xml:space="preserve">event shall be traceable to an actor (user ID + role) and a UTC timestamp.</w:t>
      </w:r>
    </w:p>
    <w:p>
      <w:pPr>
        <w:numPr>
          <w:ilvl w:val="0"/>
          <w:numId w:val="1013"/>
        </w:numPr>
      </w:pPr>
      <w:r>
        <w:rPr>
          <w:b/>
          <w:bCs/>
        </w:rPr>
        <w:t xml:space="preserve">Scalability:</w:t>
      </w:r>
      <w:r>
        <w:t xml:space="preserve"> </w:t>
      </w:r>
      <w:r>
        <w:t xml:space="preserve">The system shall support at least</w:t>
      </w:r>
      <w:r>
        <w:t xml:space="preserve"> </w:t>
      </w:r>
      <w:r>
        <w:rPr>
          <w:highlight w:val="yellow"/>
        </w:rPr>
        <w:t xml:space="preserve">10 organizations and 50 rented TrekLink devices concurrently</w:t>
      </w:r>
      <w:r>
        <w:t xml:space="preserve"> </w:t>
      </w:r>
      <w:r>
        <w:t xml:space="preserve">without architectural changes.</w:t>
      </w:r>
    </w:p>
    <w:p>
      <w:pPr>
        <w:numPr>
          <w:ilvl w:val="0"/>
          <w:numId w:val="1013"/>
        </w:numPr>
      </w:pPr>
      <w:r>
        <w:rPr>
          <w:b/>
          <w:bCs/>
        </w:rPr>
        <w:t xml:space="preserve">Deployability:</w:t>
      </w:r>
      <w:r>
        <w:t xml:space="preserve"> </w:t>
      </w:r>
      <w:r>
        <w:t xml:space="preserve">All server components shall support containerized deployment via Docker Compose and automated CI/CD via GitHub Actions.</w:t>
      </w:r>
    </w:p>
    <w:p>
      <w:pPr>
        <w:pStyle w:val="FirstParagraph"/>
      </w:pPr>
      <w:r>
        <w:rPr>
          <w:b/>
          <w:bCs/>
        </w:rPr>
        <w:t xml:space="preserve">e) Theory &amp; Practical:</w:t>
      </w:r>
    </w:p>
    <w:p>
      <w:pPr>
        <w:pStyle w:val="BodyText"/>
      </w:pPr>
      <w:r>
        <w:rPr>
          <w:b/>
          <w:bCs/>
        </w:rPr>
        <w:t xml:space="preserve">Theory: The project applies software engineering and distributed systems principles to integrate an intermittently connected LoRa mesh network with a cloud-based operational platform.</w:t>
      </w:r>
    </w:p>
    <w:p>
      <w:pPr>
        <w:numPr>
          <w:ilvl w:val="0"/>
          <w:numId w:val="1014"/>
        </w:numPr>
      </w:pPr>
      <w:r>
        <w:rPr>
          <w:b/>
          <w:bCs/>
        </w:rPr>
        <w:t xml:space="preserve">Finite State Machines:</w:t>
      </w:r>
      <w:r>
        <w:t xml:space="preserve"> </w:t>
      </w:r>
      <w:r>
        <w:t xml:space="preserve">Model</w:t>
      </w:r>
      <w:r>
        <w:t xml:space="preserve"> </w:t>
      </w:r>
      <w:r>
        <w:rPr>
          <w:highlight w:val="yellow"/>
        </w:rPr>
        <w:t xml:space="preserve">the eight-state device lifecycle, the incident lifecycle with tiered notification and escalation, and the organization and rental-contract lifecycles</w:t>
      </w:r>
      <w:r>
        <w:t xml:space="preserve"> </w:t>
      </w:r>
      <w:r>
        <w:t xml:space="preserve">with controlled, auditable state transitions. Each transition is an atomic, logged operation.</w:t>
      </w:r>
    </w:p>
    <w:p>
      <w:pPr>
        <w:numPr>
          <w:ilvl w:val="0"/>
          <w:numId w:val="1014"/>
        </w:numPr>
      </w:pPr>
      <w:r>
        <w:rPr>
          <w:b/>
          <w:bCs/>
        </w:rPr>
        <w:t xml:space="preserve">Distributed Systems and Eventual Consistency:</w:t>
      </w:r>
      <w:r>
        <w:t xml:space="preserve"> </w:t>
      </w:r>
      <w:r>
        <w:t xml:space="preserve">The Gateway and cloud backend are loosely coupled through MQTT. Field events are produced offline and delivered when connectivity permits; the backend converges to a consistent state after all queued events are processed.</w:t>
      </w:r>
    </w:p>
    <w:p>
      <w:pPr>
        <w:numPr>
          <w:ilvl w:val="0"/>
          <w:numId w:val="1014"/>
        </w:numPr>
      </w:pPr>
      <w:r>
        <w:rPr>
          <w:b/>
          <w:bCs/>
        </w:rPr>
        <w:t xml:space="preserve">Priority-Aware Store-and-Forward:</w:t>
      </w:r>
      <w:r>
        <w:t xml:space="preserve"> </w:t>
      </w:r>
      <w:r>
        <w:t xml:space="preserve">Classify field events by safety criticality (P0 SOS → P1 incident-related location → P2 GPS tracking → P3 routine telemetry) and enforce priority ordering during queue flush, ensuring safety-critical events are not delayed behind routine data.</w:t>
      </w:r>
    </w:p>
    <w:p>
      <w:pPr>
        <w:numPr>
          <w:ilvl w:val="0"/>
          <w:numId w:val="1014"/>
        </w:numPr>
      </w:pPr>
      <w:r>
        <w:rPr>
          <w:b/>
          <w:bCs/>
        </w:rPr>
        <w:t xml:space="preserve">Idempotent Event Processing:</w:t>
      </w:r>
      <w:r>
        <w:t xml:space="preserve"> </w:t>
      </w:r>
      <w:r>
        <w:t xml:space="preserve">Backend event handlers produce the same outcome regardless of delivery count, using eventId as a natural idempotency key. This decouples reliability from the transport layer and eliminates the need for exactly-once delivery guarantees at the MQTT level.</w:t>
      </w:r>
    </w:p>
    <w:p>
      <w:pPr>
        <w:numPr>
          <w:ilvl w:val="0"/>
          <w:numId w:val="1014"/>
        </w:numPr>
      </w:pPr>
      <w:r>
        <w:rPr>
          <w:b/>
          <w:bCs/>
        </w:rPr>
        <w:t xml:space="preserve">IoT Messaging Protocols:</w:t>
      </w:r>
      <w:r>
        <w:t xml:space="preserve"> </w:t>
      </w:r>
      <w:r>
        <w:t xml:space="preserve">MQTT QoS 1 (at-least-once) is used in conjunction with backend-side idempotency to achieve effective exactly-once processing without requiring QoS 2.</w:t>
      </w:r>
    </w:p>
    <w:p>
      <w:pPr>
        <w:numPr>
          <w:ilvl w:val="0"/>
          <w:numId w:val="1014"/>
        </w:numPr>
      </w:pPr>
      <w:r>
        <w:rPr>
          <w:b/>
          <w:bCs/>
        </w:rPr>
        <w:t xml:space="preserve">Event-Driven Architecture:</w:t>
      </w:r>
      <w:r>
        <w:t xml:space="preserve"> </w:t>
      </w:r>
      <w:r>
        <w:t xml:space="preserve">SOS events trigger an asynchronous processing pipeline — event ingestion → idempotency check → incident creation → role-based notification → audit logging — where each stage is decoupled and independently testable.</w:t>
      </w:r>
    </w:p>
    <w:p>
      <w:pPr>
        <w:numPr>
          <w:ilvl w:val="0"/>
          <w:numId w:val="1014"/>
        </w:numPr>
      </w:pPr>
      <w:r>
        <w:rPr>
          <w:b/>
          <w:bCs/>
        </w:rPr>
        <w:t xml:space="preserve">Role-Based Access Control (RBAC)</w:t>
      </w:r>
      <w:r>
        <w:rPr>
          <w:b/>
          <w:bCs/>
        </w:rPr>
        <w:t xml:space="preserve"> </w:t>
      </w:r>
      <w:r>
        <w:rPr>
          <w:b/>
          <w:bCs/>
          <w:highlight w:val="yellow"/>
        </w:rPr>
        <w:t xml:space="preserve">and multi-tenancy</w:t>
      </w:r>
      <w:r>
        <w:rPr>
          <w:b/>
          <w:bCs/>
        </w:rPr>
        <w:t xml:space="preserve">:</w:t>
      </w:r>
      <w:r>
        <w:t xml:space="preserve"> </w:t>
      </w:r>
      <w:r>
        <w:t xml:space="preserve">Fine-grained permissions enforced at the API layer for</w:t>
      </w:r>
      <w:r>
        <w:t xml:space="preserve"> </w:t>
      </w:r>
      <w:r>
        <w:rPr>
          <w:highlight w:val="yellow"/>
        </w:rPr>
        <w:t xml:space="preserve">TrekLink Admin and Staff and for each organization’s Manager and Operators, with every organization’s data isolated on the server</w:t>
      </w:r>
      <w:r>
        <w:t xml:space="preserve">.</w:t>
      </w:r>
    </w:p>
    <w:p>
      <w:pPr>
        <w:numPr>
          <w:ilvl w:val="0"/>
          <w:numId w:val="1014"/>
        </w:numPr>
      </w:pPr>
      <w:r>
        <w:rPr>
          <w:b/>
          <w:bCs/>
        </w:rPr>
        <w:t xml:space="preserve">Software Architecture:</w:t>
      </w:r>
      <w:r>
        <w:t xml:space="preserve"> </w:t>
      </w:r>
      <w:r>
        <w:t xml:space="preserve">Domain-driven modular design separates</w:t>
      </w:r>
      <w:r>
        <w:t xml:space="preserve"> </w:t>
      </w:r>
      <w:r>
        <w:rPr>
          <w:highlight w:val="yellow"/>
        </w:rPr>
        <w:t xml:space="preserve">gateway synchronization, organizations, devices, rental contracts, incidents, monitoring, billing, and platform services</w:t>
      </w:r>
      <w:r>
        <w:t xml:space="preserve"> </w:t>
      </w:r>
      <w:r>
        <w:t xml:space="preserve">into independent NestJS modules with documented REST and WebSocket APIs.</w:t>
      </w:r>
    </w:p>
    <w:p>
      <w:pPr>
        <w:pStyle w:val="FirstParagraph"/>
      </w:pPr>
      <w:r>
        <w:rPr>
          <w:b/>
          <w:bCs/>
        </w:rPr>
        <w:t xml:space="preserve">Practical:</w:t>
      </w:r>
      <w:r>
        <w:rPr>
          <w:b/>
          <w:bCs/>
        </w:rPr>
        <w:t xml:space="preserve"> </w:t>
      </w:r>
      <w:r>
        <w:rPr>
          <w:b/>
          <w:bCs/>
          <w:highlight w:val="yellow"/>
        </w:rPr>
        <w:t xml:space="preserve">Build on the team’s ESP32/ESP32-S3 LoRa mesh firmware and hardware (Summer 2026), with targeted enhancements.</w:t>
      </w:r>
      <w:r>
        <w:rPr>
          <w:b/>
          <w:bCs/>
        </w:rPr>
        <w:t xml:space="preserve"> </w:t>
      </w:r>
      <w:r>
        <w:rPr>
          <w:b/>
          <w:bCs/>
        </w:rPr>
        <w:t xml:space="preserve">Document the complete message schema — eventId structure, message types, payload format — before any gateway implementation begins.</w:t>
      </w:r>
    </w:p>
    <w:p>
      <w:pPr>
        <w:numPr>
          <w:ilvl w:val="0"/>
          <w:numId w:val="1015"/>
        </w:numPr>
      </w:pPr>
      <w:r>
        <w:t xml:space="preserve">Develop the</w:t>
      </w:r>
      <w:r>
        <w:t xml:space="preserve"> </w:t>
      </w:r>
      <w:r>
        <w:rPr>
          <w:highlight w:val="yellow"/>
        </w:rPr>
        <w:t xml:space="preserve">Field Station</w:t>
      </w:r>
      <w:r>
        <w:t xml:space="preserve"> </w:t>
      </w:r>
      <w:r>
        <w:t xml:space="preserve">(Node.js/TypeScript): LoRa-to-serial message parser, SQLite persistent priority queue, MQTT uplink publisher, reconnection flush logic, health reporter</w:t>
      </w:r>
      <w:r>
        <w:rPr>
          <w:highlight w:val="yellow"/>
        </w:rPr>
        <w:t xml:space="preserve">, local web page, and single-executable packaging</w:t>
      </w:r>
      <w:r>
        <w:t xml:space="preserve">.</w:t>
      </w:r>
    </w:p>
    <w:p>
      <w:pPr>
        <w:numPr>
          <w:ilvl w:val="0"/>
          <w:numId w:val="1015"/>
        </w:numPr>
      </w:pPr>
      <w:r>
        <w:t xml:space="preserve">Develop the NestJS backend: auth/RBAC module,</w:t>
      </w:r>
      <w:r>
        <w:t xml:space="preserve"> </w:t>
      </w:r>
      <w:r>
        <w:rPr>
          <w:highlight w:val="yellow"/>
        </w:rPr>
        <w:t xml:space="preserve">organizations module, asset (device) module, rental contract module</w:t>
      </w:r>
      <w:r>
        <w:t xml:space="preserve">, gateway sync module (idempotent event ingestion), incident module (</w:t>
      </w:r>
      <w:r>
        <w:rPr>
          <w:highlight w:val="yellow"/>
        </w:rPr>
        <w:t xml:space="preserve">tiered alerts</w:t>
      </w:r>
      <w:r>
        <w:t xml:space="preserve"> </w:t>
      </w:r>
      <w:r>
        <w:t xml:space="preserve">+ WebSocket notifications), billing module</w:t>
      </w:r>
      <w:r>
        <w:t xml:space="preserve"> </w:t>
      </w:r>
      <w:r>
        <w:rPr>
          <w:highlight w:val="yellow"/>
        </w:rPr>
        <w:t xml:space="preserve">(SePay)</w:t>
      </w:r>
      <w:r>
        <w:t xml:space="preserve">, and reporting module. Apply PostgreSQL migrations via</w:t>
      </w:r>
      <w:r>
        <w:t xml:space="preserve"> </w:t>
      </w:r>
      <w:r>
        <w:rPr>
          <w:highlight w:val="yellow"/>
        </w:rPr>
        <w:t xml:space="preserve">Prisma</w:t>
      </w:r>
      <w:r>
        <w:t xml:space="preserve">.</w:t>
      </w:r>
    </w:p>
    <w:p>
      <w:pPr>
        <w:numPr>
          <w:ilvl w:val="0"/>
          <w:numId w:val="1015"/>
        </w:numPr>
      </w:pPr>
      <w:r>
        <w:t xml:space="preserve">Develop the React/TypeScript web client: role-based views</w:t>
      </w:r>
      <w:r>
        <w:t xml:space="preserve"> </w:t>
      </w:r>
      <w:r>
        <w:rPr>
          <w:highlight w:val="yellow"/>
        </w:rPr>
        <w:t xml:space="preserve">for TrekLink and for organizations</w:t>
      </w:r>
      <w:r>
        <w:t xml:space="preserve">, real-time map (Leaflet.js), incident dashboard with WebSocket updates,</w:t>
      </w:r>
      <w:r>
        <w:t xml:space="preserve"> </w:t>
      </w:r>
      <w:r>
        <w:rPr>
          <w:highlight w:val="yellow"/>
        </w:rPr>
        <w:t xml:space="preserve">contract and asset management interfaces, the organization API</w:t>
      </w:r>
      <w:r>
        <w:t xml:space="preserve">, and reporting views.</w:t>
      </w:r>
    </w:p>
    <w:p>
      <w:pPr>
        <w:numPr>
          <w:ilvl w:val="0"/>
          <w:numId w:val="1015"/>
        </w:numPr>
      </w:pPr>
      <w:r>
        <w:t xml:space="preserve">Deploy with Docker Compose; automate testing and deployment with GitHub Actions CI/CD.</w:t>
      </w:r>
    </w:p>
    <w:p>
      <w:pPr>
        <w:numPr>
          <w:ilvl w:val="0"/>
          <w:numId w:val="1015"/>
        </w:numPr>
      </w:pPr>
      <w:r>
        <w:t xml:space="preserve">Design and execute the experimental protocol for RQ1, RQ2, and RQ3 as specified in the Research Description section.</w:t>
      </w:r>
    </w:p>
    <w:p>
      <w:pPr>
        <w:pStyle w:val="FirstParagraph"/>
      </w:pPr>
      <w:r>
        <w:rPr>
          <w:b/>
          <w:bCs/>
        </w:rPr>
        <w:t xml:space="preserve">f) Products (Expected Deliverables):</w:t>
      </w:r>
    </w:p>
    <w:p>
      <w:pPr>
        <w:numPr>
          <w:ilvl w:val="0"/>
          <w:numId w:val="1016"/>
        </w:numPr>
      </w:pPr>
      <w:r>
        <w:rPr>
          <w:b/>
          <w:bCs/>
        </w:rPr>
        <w:t xml:space="preserve">TrekLink</w:t>
      </w:r>
      <w:r>
        <w:rPr>
          <w:b/>
          <w:bCs/>
        </w:rPr>
        <w:t xml:space="preserve"> </w:t>
      </w:r>
      <w:r>
        <w:rPr>
          <w:b/>
          <w:bCs/>
          <w:highlight w:val="yellow"/>
        </w:rPr>
        <w:t xml:space="preserve">Rental Platform</w:t>
      </w:r>
      <w:r>
        <w:rPr>
          <w:b/>
          <w:bCs/>
        </w:rPr>
        <w:t xml:space="preserve">:</w:t>
      </w:r>
      <w:r>
        <w:t xml:space="preserve"> </w:t>
      </w:r>
      <w:r>
        <w:t xml:space="preserve">Integrated web application</w:t>
      </w:r>
      <w:r>
        <w:t xml:space="preserve"> </w:t>
      </w:r>
      <w:r>
        <w:rPr>
          <w:highlight w:val="yellow"/>
        </w:rPr>
        <w:t xml:space="preserve">for TrekLink Admin and Staff and for each organization’s Manager and Operators</w:t>
      </w:r>
      <w:r>
        <w:t xml:space="preserve">.</w:t>
      </w:r>
    </w:p>
    <w:p>
      <w:pPr>
        <w:numPr>
          <w:ilvl w:val="0"/>
          <w:numId w:val="1016"/>
        </w:numPr>
      </w:pPr>
      <w:r>
        <w:rPr>
          <w:b/>
          <w:bCs/>
          <w:highlight w:val="yellow"/>
        </w:rPr>
        <w:t xml:space="preserve">Field Station</w:t>
      </w:r>
      <w:r>
        <w:rPr>
          <w:b/>
          <w:bCs/>
        </w:rPr>
        <w:t xml:space="preserve">:</w:t>
      </w:r>
      <w:r>
        <w:t xml:space="preserve"> </w:t>
      </w:r>
      <w:r>
        <w:t xml:space="preserve">LoRa-to-cloud gateway</w:t>
      </w:r>
      <w:r>
        <w:t xml:space="preserve"> </w:t>
      </w:r>
      <w:r>
        <w:rPr>
          <w:highlight w:val="yellow"/>
        </w:rPr>
        <w:t xml:space="preserve">run on the organization’s laptop</w:t>
      </w:r>
      <w:r>
        <w:t xml:space="preserve"> </w:t>
      </w:r>
      <w:r>
        <w:t xml:space="preserve">with persistent SQLite priority queue (P0–P3), idempotent MQTT synchronization, reconnection flush, health reporting</w:t>
      </w:r>
      <w:r>
        <w:rPr>
          <w:highlight w:val="yellow"/>
        </w:rPr>
        <w:t xml:space="preserve">, and a local offline view</w:t>
      </w:r>
      <w:r>
        <w:t xml:space="preserve">. Primary new hardware-integration deliverable.</w:t>
      </w:r>
    </w:p>
    <w:p>
      <w:pPr>
        <w:numPr>
          <w:ilvl w:val="0"/>
          <w:numId w:val="1016"/>
        </w:numPr>
      </w:pPr>
      <w:r>
        <w:rPr>
          <w:b/>
          <w:bCs/>
        </w:rPr>
        <w:t xml:space="preserve">Event Reliability Layer:</w:t>
      </w:r>
      <w:r>
        <w:t xml:space="preserve"> </w:t>
      </w:r>
      <w:r>
        <w:t xml:space="preserve">End-to-end eventId scheme, backend idempotency enforcement, synchronization audit log, and duplicate-prevention test suite.</w:t>
      </w:r>
    </w:p>
    <w:p>
      <w:pPr>
        <w:numPr>
          <w:ilvl w:val="0"/>
          <w:numId w:val="1016"/>
        </w:numPr>
      </w:pPr>
      <w:r>
        <w:rPr>
          <w:b/>
          <w:bCs/>
          <w:highlight w:val="yellow"/>
        </w:rPr>
        <w:t xml:space="preserve">Organization &amp; Rental Contract Module</w:t>
      </w:r>
      <w:r>
        <w:rPr>
          <w:b/>
          <w:bCs/>
        </w:rPr>
        <w:t xml:space="preserve">:</w:t>
      </w:r>
      <w:r>
        <w:t xml:space="preserve"> </w:t>
      </w:r>
      <w:r>
        <w:rPr>
          <w:highlight w:val="yellow"/>
        </w:rPr>
        <w:t xml:space="preserve">Organization registration and approval, members, on-duty roster, API keys, monthly and day plans, handover, terms, notice, overdue and default.</w:t>
      </w:r>
    </w:p>
    <w:p>
      <w:pPr>
        <w:numPr>
          <w:ilvl w:val="0"/>
          <w:numId w:val="1016"/>
        </w:numPr>
      </w:pPr>
      <w:r>
        <w:rPr>
          <w:b/>
          <w:bCs/>
          <w:highlight w:val="yellow"/>
        </w:rPr>
        <w:t xml:space="preserve">Asset Management Module</w:t>
      </w:r>
      <w:r>
        <w:rPr>
          <w:b/>
          <w:bCs/>
        </w:rPr>
        <w:t xml:space="preserve">:</w:t>
      </w:r>
      <w:r>
        <w:t xml:space="preserve"> </w:t>
      </w:r>
      <w:r>
        <w:rPr>
          <w:highlight w:val="yellow"/>
        </w:rPr>
        <w:t xml:space="preserve">Eight-state device lifecycle, intake, provisioning, reset, inspection, maintenance, loss, and stock-take.</w:t>
      </w:r>
    </w:p>
    <w:p>
      <w:pPr>
        <w:numPr>
          <w:ilvl w:val="0"/>
          <w:numId w:val="1016"/>
        </w:numPr>
      </w:pPr>
      <w:r>
        <w:rPr>
          <w:b/>
          <w:bCs/>
        </w:rPr>
        <w:t xml:space="preserve">SOS Incident Management Module:</w:t>
      </w:r>
      <w:r>
        <w:t xml:space="preserve"> </w:t>
      </w:r>
      <w:r>
        <w:t xml:space="preserve">Automatic Incident creation from SOS events,</w:t>
      </w:r>
      <w:r>
        <w:t xml:space="preserve"> </w:t>
      </w:r>
      <w:r>
        <w:rPr>
          <w:highlight w:val="yellow"/>
        </w:rPr>
        <w:t xml:space="preserve">tiered alerts with escalation to TrekLink and authority-report records</w:t>
      </w:r>
      <w:r>
        <w:t xml:space="preserve">, WebSocket notification, response tracking, and append-only audit history.</w:t>
      </w:r>
    </w:p>
    <w:p>
      <w:pPr>
        <w:numPr>
          <w:ilvl w:val="0"/>
          <w:numId w:val="1016"/>
        </w:numPr>
      </w:pPr>
      <w:r>
        <w:rPr>
          <w:b/>
          <w:bCs/>
          <w:highlight w:val="yellow"/>
        </w:rPr>
        <w:t xml:space="preserve">Live Telemetry Module</w:t>
      </w:r>
      <w:r>
        <w:rPr>
          <w:b/>
          <w:bCs/>
        </w:rPr>
        <w:t xml:space="preserve">:</w:t>
      </w:r>
      <w:r>
        <w:t xml:space="preserve"> </w:t>
      </w:r>
      <w:r>
        <w:rPr>
          <w:highlight w:val="yellow"/>
        </w:rPr>
        <w:t xml:space="preserve">Organization-scoped live map, device telemetry, positions, Field Station connectivity, and a REST and WebSocket API per organization.</w:t>
      </w:r>
    </w:p>
    <w:p>
      <w:pPr>
        <w:numPr>
          <w:ilvl w:val="0"/>
          <w:numId w:val="1016"/>
        </w:numPr>
      </w:pPr>
      <w:r>
        <w:rPr>
          <w:b/>
          <w:bCs/>
          <w:highlight w:val="yellow"/>
        </w:rPr>
        <w:t xml:space="preserve">Billing Module</w:t>
      </w:r>
      <w:r>
        <w:rPr>
          <w:b/>
          <w:bCs/>
        </w:rPr>
        <w:t xml:space="preserve">:</w:t>
      </w:r>
      <w:r>
        <w:t xml:space="preserve"> </w:t>
      </w:r>
      <w:r>
        <w:rPr>
          <w:highlight w:val="yellow"/>
        </w:rPr>
        <w:t xml:space="preserve">Term and day-plan pricing, late, damage and loss charges, invoices, and SePay payments (sandbox).</w:t>
      </w:r>
    </w:p>
    <w:p>
      <w:pPr>
        <w:numPr>
          <w:ilvl w:val="0"/>
          <w:numId w:val="1016"/>
        </w:numPr>
      </w:pPr>
      <w:r>
        <w:rPr>
          <w:b/>
          <w:bCs/>
        </w:rPr>
        <w:t xml:space="preserve">Backend API &amp; Real-Time Services:</w:t>
      </w:r>
      <w:r>
        <w:t xml:space="preserve"> </w:t>
      </w:r>
      <w:r>
        <w:t xml:space="preserve">REST API (OpenAPI/Swagger documented) and Socket.io WebSocket services.</w:t>
      </w:r>
    </w:p>
    <w:p>
      <w:pPr>
        <w:numPr>
          <w:ilvl w:val="0"/>
          <w:numId w:val="1016"/>
        </w:numPr>
      </w:pPr>
      <w:r>
        <w:rPr>
          <w:b/>
          <w:bCs/>
        </w:rPr>
        <w:t xml:space="preserve">Technical Documentation:</w:t>
      </w:r>
      <w:r>
        <w:t xml:space="preserve"> </w:t>
      </w:r>
      <w:r>
        <w:t xml:space="preserve">SRS with</w:t>
      </w:r>
      <w:r>
        <w:t xml:space="preserve"> </w:t>
      </w:r>
      <w:r>
        <w:rPr>
          <w:highlight w:val="yellow"/>
        </w:rPr>
        <w:t xml:space="preserve">UML State Machine Diagrams (Device, Incident, Organization, Rental Contract)</w:t>
      </w:r>
      <w:r>
        <w:t xml:space="preserve">, system architecture, database schema, API reference, test plan, deployment guide, and user guide.</w:t>
      </w:r>
    </w:p>
    <w:p>
      <w:pPr>
        <w:numPr>
          <w:ilvl w:val="0"/>
          <w:numId w:val="1016"/>
        </w:numPr>
      </w:pPr>
      <w:r>
        <w:rPr>
          <w:b/>
          <w:bCs/>
        </w:rPr>
        <w:t xml:space="preserve">Evaluation Report:</w:t>
      </w:r>
      <w:r>
        <w:t xml:space="preserve"> </w:t>
      </w:r>
      <w:r>
        <w:t xml:space="preserve">Experimental results for RQ1 (gateway delivery rate, latency, duplicate rate), RQ2 (effect of connectivity-loss duration), and RQ3 (SOS-to-Incident workflow vs. baseline).</w:t>
      </w:r>
    </w:p>
    <w:p>
      <w:pPr>
        <w:numPr>
          <w:ilvl w:val="0"/>
          <w:numId w:val="1016"/>
        </w:numPr>
      </w:pPr>
      <w:r>
        <w:rPr>
          <w:b/>
          <w:bCs/>
        </w:rPr>
        <w:t xml:space="preserve">Source Code &amp; Deployment Package:</w:t>
      </w:r>
      <w:r>
        <w:t xml:space="preserve"> </w:t>
      </w:r>
      <w:r>
        <w:t xml:space="preserve">Version-controlled repositories (gateway, backend, frontend), Docker Compose configuration, GitHub Actions CI/CD, and a runnable demonstration environment.</w:t>
      </w:r>
    </w:p>
    <w:p>
      <w:pPr>
        <w:pStyle w:val="FirstParagraph"/>
      </w:pPr>
      <w:r>
        <w:rPr>
          <w:b/>
          <w:bCs/>
        </w:rPr>
        <w:t xml:space="preserve">g) Proposed Tasks:</w:t>
      </w:r>
    </w:p>
    <w:p>
      <w:pPr>
        <w:numPr>
          <w:ilvl w:val="0"/>
          <w:numId w:val="1017"/>
        </w:numPr>
      </w:pPr>
      <w:r>
        <w:rPr>
          <w:b/>
          <w:bCs/>
        </w:rPr>
        <w:t xml:space="preserve">TP1 — Requirements, Architecture &amp; Experimental Design (Weeks 1–3):</w:t>
      </w:r>
      <w:r>
        <w:t xml:space="preserve"> </w:t>
      </w:r>
      <w:r>
        <w:t xml:space="preserve">SRS, UML State Machine Diagrams (Device Lifecycle, Incident Lifecycle), system architecture document, inherited-component analysis (firmware message schema, eventId structure), database schema design, RQ/experiment protocol design, and proof-of-concept LoRa-to-Gateway serial message parser. All subsequent TPs depend on the frozen message schema produced in TP1.</w:t>
      </w:r>
    </w:p>
    <w:p>
      <w:pPr>
        <w:numPr>
          <w:ilvl w:val="0"/>
          <w:numId w:val="1017"/>
        </w:numPr>
      </w:pPr>
      <w:r>
        <w:rPr>
          <w:b/>
          <w:bCs/>
        </w:rPr>
        <w:t xml:space="preserve">TP2 — Gateway Bridge &amp; Offline Synchronization (Weeks 2–6):</w:t>
      </w:r>
      <w:r>
        <w:t xml:space="preserve"> </w:t>
      </w:r>
      <w:r>
        <w:t xml:space="preserve">LoRa-to-Gateway serial integration, SQLite persistent priority queue with P0–P3 tiers, MQTT publish logic, reconnection detection and flush routine, duplicate-prevention via eventId at gateway level, gateway health monitoring API, and unit/integration tests covering offline queue, priority ordering, and reconnection recovery.</w:t>
      </w:r>
    </w:p>
    <w:p>
      <w:pPr>
        <w:numPr>
          <w:ilvl w:val="0"/>
          <w:numId w:val="1017"/>
        </w:numPr>
      </w:pPr>
      <w:r>
        <w:rPr>
          <w:b/>
          <w:bCs/>
        </w:rPr>
        <w:t xml:space="preserve">TP3 — Core Backend &amp; Reliability Services (Weeks 3–7):</w:t>
      </w:r>
      <w:r>
        <w:t xml:space="preserve"> </w:t>
      </w:r>
      <w:r>
        <w:t xml:space="preserve">NestJS authentication and RBAC module, device fleet FSM module, rental lifecycle module, idempotent event ingestion endpoint (eventId-keyed deduplication), synchronization audit log, PostgreSQL schema and migrations, and automated tests for idempotency (10× same eventId → 1 Incident) and concurrent event submission (20 simultaneous requests → 0 duplicates).</w:t>
      </w:r>
    </w:p>
    <w:p>
      <w:pPr>
        <w:numPr>
          <w:ilvl w:val="0"/>
          <w:numId w:val="1017"/>
        </w:numPr>
      </w:pPr>
      <w:r>
        <w:rPr>
          <w:b/>
          <w:bCs/>
        </w:rPr>
        <w:t xml:space="preserve">TP4 — Monitoring &amp; Incident Management (Weeks 5–9):</w:t>
      </w:r>
      <w:r>
        <w:t xml:space="preserve"> </w:t>
      </w:r>
      <w:r>
        <w:t xml:space="preserve">Real-time telemetry ingestion, Leaflet.js</w:t>
      </w:r>
      <w:r>
        <w:t xml:space="preserve"> </w:t>
      </w:r>
      <w:r>
        <w:rPr>
          <w:highlight w:val="yellow"/>
        </w:rPr>
        <w:t xml:space="preserve">organization-scoped</w:t>
      </w:r>
      <w:r>
        <w:t xml:space="preserve"> </w:t>
      </w:r>
      <w:r>
        <w:t xml:space="preserve">map with WebSocket live updates,</w:t>
      </w:r>
      <w:r>
        <w:t xml:space="preserve"> </w:t>
      </w:r>
      <w:r>
        <w:rPr>
          <w:highlight w:val="yellow"/>
        </w:rPr>
        <w:t xml:space="preserve">the organization telemetry API</w:t>
      </w:r>
      <w:r>
        <w:t xml:space="preserve">, SOS-to-Incident processing pipeline,</w:t>
      </w:r>
      <w:r>
        <w:t xml:space="preserve"> </w:t>
      </w:r>
      <w:r>
        <w:rPr>
          <w:highlight w:val="yellow"/>
        </w:rPr>
        <w:t xml:space="preserve">tiered-alert incident FSM with escalation</w:t>
      </w:r>
      <w:r>
        <w:t xml:space="preserve">, acknowledgment workflows, and append-only incident audit trail.</w:t>
      </w:r>
    </w:p>
    <w:p>
      <w:pPr>
        <w:numPr>
          <w:ilvl w:val="0"/>
          <w:numId w:val="1017"/>
        </w:numPr>
      </w:pPr>
      <w:r>
        <w:rPr>
          <w:b/>
          <w:bCs/>
        </w:rPr>
        <w:t xml:space="preserve">TP5 — Business Operations (Weeks 6–10):</w:t>
      </w:r>
      <w:r>
        <w:t xml:space="preserve"> </w:t>
      </w:r>
      <w:r>
        <w:rPr>
          <w:highlight w:val="yellow"/>
        </w:rPr>
        <w:t xml:space="preserve">Organization onboarding, rental contracts and plans, device reservation, handover and check-in at the counter, reset and inspection, billing with SePay, TrekLink and organization web views</w:t>
      </w:r>
      <w:r>
        <w:t xml:space="preserve">, operational dashboards, audit log views, and management reports.</w:t>
      </w:r>
    </w:p>
    <w:p>
      <w:pPr>
        <w:numPr>
          <w:ilvl w:val="0"/>
          <w:numId w:val="1017"/>
        </w:numPr>
      </w:pPr>
      <w:r>
        <w:rPr>
          <w:b/>
          <w:bCs/>
        </w:rPr>
        <w:t xml:space="preserve">TP6 — Integration, Experimental Evaluation &amp; Deployment (Weeks 9–13):</w:t>
      </w:r>
      <w:r>
        <w:t xml:space="preserve"> </w:t>
      </w:r>
      <w:r>
        <w:t xml:space="preserve">Physical LoRa experiment execution (RQ1/RQ2 — 3–5 devices, connectivity-loss matrix, ≥ 20 trials per condition), offline/recovery experiment results, duplicate-event test results, concurrency/load test results, RQ3 SOS drill evaluation (randomized, ≥ 15 drills per condition, automatic timestamp recording), evaluation report, end-to-end integration test suite, Docker Compose deployment, GitHub Actions CI/CD pipeline, and final Capstone documentation.</w:t>
      </w:r>
    </w:p>
    <w:p>
      <w:pPr>
        <w:pStyle w:val="FirstParagraph"/>
      </w:pPr>
      <w:r>
        <w:t xml:space="preserve">Risk assessment:</w:t>
      </w:r>
    </w:p>
    <w:p>
      <w:pPr>
        <w:numPr>
          <w:ilvl w:val="0"/>
          <w:numId w:val="1018"/>
        </w:numPr>
      </w:pPr>
      <w:r>
        <w:rPr>
          <w:b/>
          <w:bCs/>
        </w:rPr>
        <w:t xml:space="preserve">Insufficient physical TrekLink devices</w:t>
      </w:r>
      <w:r>
        <w:t xml:space="preserve"> </w:t>
      </w:r>
      <w:r>
        <w:t xml:space="preserve">(Likelihood: Medium / Impact: High) — Simulate additional Gateway-to-Cloud load using MQTT scripts. Physical devices are required only for mesh-to-gateway experiments; simulation shall not be used to claim LoRa RF reliability.</w:t>
      </w:r>
    </w:p>
    <w:p>
      <w:pPr>
        <w:numPr>
          <w:ilvl w:val="0"/>
          <w:numId w:val="1018"/>
        </w:numPr>
      </w:pPr>
      <w:r>
        <w:rPr>
          <w:b/>
          <w:bCs/>
        </w:rPr>
        <w:t xml:space="preserve">Gateway sync latency exceeds 5-second NFR</w:t>
      </w:r>
      <w:r>
        <w:t xml:space="preserve"> </w:t>
      </w:r>
      <w:r>
        <w:t xml:space="preserve">(Likelihood: Medium / Impact: Medium) — Tune MQTT QoS level, reduce payload size, implement backpressure on the queue flush rate.</w:t>
      </w:r>
    </w:p>
    <w:p>
      <w:pPr>
        <w:numPr>
          <w:ilvl w:val="0"/>
          <w:numId w:val="1018"/>
        </w:numPr>
      </w:pPr>
      <w:r>
        <w:rPr>
          <w:b/>
          <w:bCs/>
        </w:rPr>
        <w:t xml:space="preserve">RQ3 baseline not objectively measurable</w:t>
      </w:r>
      <w:r>
        <w:t xml:space="preserve"> </w:t>
      </w:r>
      <w:r>
        <w:t xml:space="preserve">(Likelihood: High / Impact: Medium) — Use randomized simulation drills; independent observer triggers SOS and records timestamp; participants do not know exact trigger time in advance.</w:t>
      </w:r>
    </w:p>
    <w:p>
      <w:pPr>
        <w:numPr>
          <w:ilvl w:val="0"/>
          <w:numId w:val="1018"/>
        </w:numPr>
      </w:pPr>
      <w:r>
        <w:rPr>
          <w:b/>
          <w:bCs/>
        </w:rPr>
        <w:t xml:space="preserve">NestJS + MQTT + WebSocket integration underestimated</w:t>
      </w:r>
      <w:r>
        <w:t xml:space="preserve"> </w:t>
      </w:r>
      <w:r>
        <w:t xml:space="preserve">(Likelihood: Medium / Impact: High) — Proof-of-concept gateway-to-backend integration completed in TP1 Week 2; does not wait for TP3.</w:t>
      </w:r>
    </w:p>
    <w:p>
      <w:pPr>
        <w:numPr>
          <w:ilvl w:val="0"/>
          <w:numId w:val="1018"/>
        </w:numPr>
      </w:pPr>
      <w:r>
        <w:rPr>
          <w:b/>
          <w:bCs/>
        </w:rPr>
        <w:t xml:space="preserve">Firmware message schema incompatible with new gateway</w:t>
      </w:r>
      <w:r>
        <w:t xml:space="preserve"> </w:t>
      </w:r>
      <w:r>
        <w:t xml:space="preserve">(Likelihood: Low / Impact: High) — Schema frozen and documented in TP1 before any gateway implementation begins.</w:t>
      </w:r>
    </w:p>
    <w:p>
      <w:pPr>
        <w:numPr>
          <w:ilvl w:val="0"/>
          <w:numId w:val="1018"/>
        </w:numPr>
      </w:pPr>
      <w:r>
        <w:rPr>
          <w:b/>
          <w:bCs/>
        </w:rPr>
        <w:t xml:space="preserve">Scope creep</w:t>
      </w:r>
      <w:r>
        <w:t xml:space="preserve"> </w:t>
      </w:r>
      <w:r>
        <w:t xml:space="preserve">(Likelihood: High / Impact: Medium) — Feature freeze after TP5 Week 10; additional features go to post-Capstone backlog.</w:t>
      </w:r>
    </w:p>
    <w:p>
      <w:pPr>
        <w:pStyle w:val="FirstParagraph"/>
      </w:pPr>
      <w:r>
        <w:rPr>
          <w:b/>
          <w:bCs/>
        </w:rPr>
        <w:t xml:space="preserve">3.3. Research Information</w:t>
      </w:r>
    </w:p>
    <w:p>
      <w:pPr>
        <w:pStyle w:val="BodyText"/>
      </w:pPr>
      <w:r>
        <w:rPr>
          <w:b/>
          <w:bCs/>
        </w:rPr>
        <w:t xml:space="preserve">a. Research Problem / Research Question</w:t>
      </w:r>
    </w:p>
    <w:p>
      <w:pPr>
        <w:pStyle w:val="BodyText"/>
      </w:pPr>
      <w:r>
        <w:t xml:space="preserve">Trekking</w:t>
      </w:r>
      <w:r>
        <w:t xml:space="preserve"> </w:t>
      </w:r>
      <w:r>
        <w:rPr>
          <w:highlight w:val="yellow"/>
        </w:rPr>
        <w:t xml:space="preserve">companies and similar organizations</w:t>
      </w:r>
      <w:r>
        <w:t xml:space="preserve"> </w:t>
      </w:r>
      <w:r>
        <w:t xml:space="preserve">operating in cellular dead zones face two unsolved problems. First, field events generated during connectivity loss — including SOS alerts — are never delivered to the cloud because no persistent store-and-forward mechanism exists between the LoRa mesh and the agency backend. Second, when an SOS event does reach staff, there is no structured workflow to coordinate the response: no automatic incident record is created, no acknowledgment is tracked, and no audit trail exists.</w:t>
      </w:r>
    </w:p>
    <w:p>
      <w:pPr>
        <w:pStyle w:val="BodyText"/>
      </w:pPr>
      <w:r>
        <w:t xml:space="preserve">The existing TrekLink firmware prototype solves the field communication layer but leaves both problems unaddressed. This Capstone proposes a Gateway Bridge with priority-aware offline queuing and idempotent event processing, and an SOS-to-Incident pipeline with a formally defined lifecycle FSM</w:t>
      </w:r>
      <w:r>
        <w:t xml:space="preserve"> </w:t>
      </w:r>
      <w:r>
        <w:rPr>
          <w:highlight w:val="yellow"/>
        </w:rPr>
        <w:t xml:space="preserve">and tiered escalation</w:t>
      </w:r>
      <w:r>
        <w:t xml:space="preserve">, as the technical solutions to these two problems.</w:t>
      </w:r>
    </w:p>
    <w:p>
      <w:pPr>
        <w:pStyle w:val="BodyText"/>
      </w:pPr>
      <w:r>
        <w:t xml:space="preserve">Three research questions operationalize the evaluation:</w:t>
      </w:r>
    </w:p>
    <w:p>
      <w:pPr>
        <w:numPr>
          <w:ilvl w:val="0"/>
          <w:numId w:val="1019"/>
        </w:numPr>
      </w:pPr>
      <w:r>
        <w:rPr>
          <w:b/>
          <w:bCs/>
        </w:rPr>
        <w:t xml:space="preserve">RQ1:</w:t>
      </w:r>
      <w:r>
        <w:t xml:space="preserve"> </w:t>
      </w:r>
      <w:r>
        <w:t xml:space="preserve">How reliably can the TrekLink Gateway Bridge synchronize SOS, GPS, and telemetry events from an intermittently connected LoRa mesh to the cloud backend, measured by message delivery rate, data-loss rate, and duplicate rate?</w:t>
      </w:r>
    </w:p>
    <w:p>
      <w:pPr>
        <w:numPr>
          <w:ilvl w:val="0"/>
          <w:numId w:val="1019"/>
        </w:numPr>
      </w:pPr>
      <w:r>
        <w:rPr>
          <w:b/>
          <w:bCs/>
        </w:rPr>
        <w:t xml:space="preserve">RQ2:</w:t>
      </w:r>
      <w:r>
        <w:t xml:space="preserve"> </w:t>
      </w:r>
      <w:r>
        <w:t xml:space="preserve">How do varying connectivity-loss durations and reconnection patterns affect message delivery rate, synchronization latency, and priority-ordering compliance of the proposed Gateway architecture?</w:t>
      </w:r>
    </w:p>
    <w:p>
      <w:pPr>
        <w:numPr>
          <w:ilvl w:val="0"/>
          <w:numId w:val="1019"/>
        </w:numPr>
      </w:pPr>
      <w:r>
        <w:rPr>
          <w:b/>
          <w:bCs/>
        </w:rPr>
        <w:t xml:space="preserve">RQ3:</w:t>
      </w:r>
      <w:r>
        <w:t xml:space="preserve"> </w:t>
      </w:r>
      <w:r>
        <w:t xml:space="preserve">Compared with the existing uncoordinated device-level SOS workflow, to what extent does the TrekLink SOS-to-Incident pipeline improve incident response coordination, traceability, and acknowledgment consistency, as measured by MTTA, MTTR, traceability score, and incident-completion rate in controlled emergency drills?</w:t>
      </w:r>
    </w:p>
    <w:p>
      <w:pPr>
        <w:pStyle w:val="FirstParagraph"/>
      </w:pPr>
      <w:r>
        <w:t xml:space="preserve">RQ1 and RQ2 directly evaluate the Event Reliability &amp; Offline Synchronization functional requirements. RQ3 directly evaluates the Incident Management functional requirements and the</w:t>
      </w:r>
      <w:r>
        <w:t xml:space="preserve"> </w:t>
      </w:r>
      <w:r>
        <w:rPr>
          <w:highlight w:val="yellow"/>
        </w:rPr>
        <w:t xml:space="preserve">incident FSM</w:t>
      </w:r>
      <w:r>
        <w:t xml:space="preserve">. All three RQs trace back to specific functional requirements, system modules, task packages, and experiment conditions defined in this proposal.</w:t>
      </w:r>
    </w:p>
    <w:p>
      <w:pPr>
        <w:pStyle w:val="BodyText"/>
      </w:pPr>
      <w:r>
        <w:rPr>
          <w:b/>
          <w:bCs/>
        </w:rPr>
        <w:t xml:space="preserve">Baseline definition for RQ3:</w:t>
      </w:r>
      <w:r>
        <w:t xml:space="preserve"> </w:t>
      </w:r>
      <w:r>
        <w:t xml:space="preserve">In the existing workflow, a TrekLink device triggers an SOS broadcast across the LoRa mesh. If a guide’s Meshtastic-paired phone receives the alert, the guide contacts staff by voice call or messaging application. There is no structured acknowledgment, no timestamp recording, no response-action log, and no audit trail. Baseline MTTA is the elapsed time from SOS device trigger to the first documented verbal or text acknowledgment, recorded by an independent observer. Baseline traceability score is 0% by definition (no audit record exists). A reduction in MTTA is not assumed in advance; outcomes will be reported as measured.</w:t>
      </w:r>
    </w:p>
    <w:p>
      <w:pPr>
        <w:pStyle w:val="BodyText"/>
      </w:pPr>
      <w:r>
        <w:rPr>
          <w:b/>
          <w:bCs/>
        </w:rPr>
        <w:t xml:space="preserve">b. Research Objectives</w:t>
      </w:r>
    </w:p>
    <w:p>
      <w:pPr>
        <w:numPr>
          <w:ilvl w:val="0"/>
          <w:numId w:val="1020"/>
        </w:numPr>
      </w:pPr>
      <w:r>
        <w:t xml:space="preserve">Design and implement a priority-aware, offline-resilient Gateway Bridge with end-to-end idempotent event processing connecting the TrekLink LoRa mesh to a cloud backend.</w:t>
      </w:r>
    </w:p>
    <w:p>
      <w:pPr>
        <w:numPr>
          <w:ilvl w:val="0"/>
          <w:numId w:val="1020"/>
        </w:numPr>
      </w:pPr>
      <w:r>
        <w:t xml:space="preserve">Evaluate gateway synchronization reliability under a controlled matrix of connectivity-loss durations and reconnection patterns, using physical TrekLink hardware for all mesh-to-gateway measurements.</w:t>
      </w:r>
    </w:p>
    <w:p>
      <w:pPr>
        <w:numPr>
          <w:ilvl w:val="0"/>
          <w:numId w:val="1020"/>
        </w:numPr>
      </w:pPr>
      <w:r>
        <w:t xml:space="preserve">Design and implement an SOS-to-Incident pipeline with a formally defined FSM,</w:t>
      </w:r>
      <w:r>
        <w:t xml:space="preserve"> </w:t>
      </w:r>
      <w:r>
        <w:rPr>
          <w:highlight w:val="yellow"/>
        </w:rPr>
        <w:t xml:space="preserve">tiered notification and escalation</w:t>
      </w:r>
      <w:r>
        <w:t xml:space="preserve">, and append-only audit trail.</w:t>
      </w:r>
    </w:p>
    <w:p>
      <w:pPr>
        <w:numPr>
          <w:ilvl w:val="0"/>
          <w:numId w:val="1020"/>
        </w:numPr>
      </w:pPr>
      <w:r>
        <w:t xml:space="preserve">Evaluate incident-response workflow efficiency using MTTA, MTTR, traceability score, and incident-completion rate in randomized controlled emergency drills, compared with the uncoordinated baseline.</w:t>
      </w:r>
    </w:p>
    <w:p>
      <w:pPr>
        <w:numPr>
          <w:ilvl w:val="0"/>
          <w:numId w:val="1020"/>
        </w:numPr>
      </w:pPr>
      <w:r>
        <w:t xml:space="preserve">Integrate the evaluated gateway and incident mechanisms into a complete</w:t>
      </w:r>
      <w:r>
        <w:t xml:space="preserve"> </w:t>
      </w:r>
      <w:r>
        <w:rPr>
          <w:highlight w:val="yellow"/>
        </w:rPr>
        <w:t xml:space="preserve">multi-organization rental platform covering asset management, rental contracts, live telemetry, and billing</w:t>
      </w:r>
      <w:r>
        <w:t xml:space="preserve">.</w:t>
      </w:r>
    </w:p>
    <w:p>
      <w:pPr>
        <w:pStyle w:val="FirstParagraph"/>
      </w:pPr>
      <w:r>
        <w:rPr>
          <w:b/>
          <w:bCs/>
        </w:rPr>
        <w:t xml:space="preserve">c. Research Scope &amp; Methodology</w:t>
      </w:r>
    </w:p>
    <w:p>
      <w:pPr>
        <w:pStyle w:val="BodyText"/>
      </w:pPr>
      <w:r>
        <w:t xml:space="preserve">In scope: TrekLink ESP32/ESP32-S3 devices and LoRa mesh (</w:t>
      </w:r>
      <w:r>
        <w:rPr>
          <w:highlight w:val="yellow"/>
        </w:rPr>
        <w:t xml:space="preserve">Summer 2026 firmware with targeted enhancements</w:t>
      </w:r>
      <w:r>
        <w:t xml:space="preserve">);</w:t>
      </w:r>
      <w:r>
        <w:t xml:space="preserve"> </w:t>
      </w:r>
      <w:r>
        <w:rPr>
          <w:highlight w:val="yellow"/>
        </w:rPr>
        <w:t xml:space="preserve">Field Station</w:t>
      </w:r>
      <w:r>
        <w:t xml:space="preserve"> </w:t>
      </w:r>
      <w:r>
        <w:t xml:space="preserve">— LoRa-to-MQTT-to-cloud synchronization with priority queue and idempotency; SOS, GPS, and selected telemetry message types; connectivity-loss/recovery experiments in a controlled lab environment; SOS-to-Incident workflow evaluation using controlled drills; organizations, asset and rental-contract modules</w:t>
      </w:r>
      <w:r>
        <w:t xml:space="preserve"> </w:t>
      </w:r>
      <w:r>
        <w:rPr>
          <w:highlight w:val="yellow"/>
        </w:rPr>
        <w:t xml:space="preserve">with multi-tenancy</w:t>
      </w:r>
      <w:r>
        <w:t xml:space="preserve">; responsive web client (desktop/tablet); sandbox payment only.</w:t>
      </w:r>
    </w:p>
    <w:p>
      <w:pPr>
        <w:pStyle w:val="BodyText"/>
      </w:pPr>
      <w:r>
        <w:t xml:space="preserve">Out of scope:</w:t>
      </w:r>
      <w:r>
        <w:t xml:space="preserve"> </w:t>
      </w:r>
      <w:r>
        <w:rPr>
          <w:highlight w:val="yellow"/>
        </w:rPr>
        <w:t xml:space="preserve">Mesh-stack rearchitecture</w:t>
      </w:r>
      <w:r>
        <w:t xml:space="preserve">, native mobile apps, commercial payment, hardware radio certification</w:t>
      </w:r>
      <w:r>
        <w:rPr>
          <w:highlight w:val="yellow"/>
        </w:rPr>
        <w:t xml:space="preserve">, individual renters, and the organizations’ own trip and rescue operations</w:t>
      </w:r>
      <w:r>
        <w:t xml:space="preserve">.</w:t>
      </w:r>
    </w:p>
    <w:p>
      <w:pPr>
        <w:pStyle w:val="BodyText"/>
      </w:pPr>
      <w:r>
        <w:t xml:space="preserve">Methodology:</w:t>
      </w:r>
    </w:p>
    <w:p>
      <w:pPr>
        <w:numPr>
          <w:ilvl w:val="0"/>
          <w:numId w:val="1021"/>
        </w:numPr>
      </w:pPr>
      <w:r>
        <w:rPr>
          <w:b/>
          <w:bCs/>
        </w:rPr>
        <w:t xml:space="preserve">Literature Review:</w:t>
      </w:r>
      <w:r>
        <w:t xml:space="preserve"> </w:t>
      </w:r>
      <w:r>
        <w:t xml:space="preserve">Survey LoRa mesh systems, store-and-forward and DTN protocols, IoT fleet management, and emergency incident workflows. Identify and articulate the integration gap.</w:t>
      </w:r>
    </w:p>
    <w:p>
      <w:pPr>
        <w:numPr>
          <w:ilvl w:val="0"/>
          <w:numId w:val="1021"/>
        </w:numPr>
      </w:pPr>
      <w:r>
        <w:rPr>
          <w:b/>
          <w:bCs/>
        </w:rPr>
        <w:t xml:space="preserve">Architecture &amp; Design:</w:t>
      </w:r>
      <w:r>
        <w:t xml:space="preserve"> </w:t>
      </w:r>
      <w:r>
        <w:t xml:space="preserve">Freeze firmware message schema and eventId structure. Design gateway synchronization architecture, SQLite priority queue schema, idempotency table, incident FSM, and experiment protocol. Produce SRS, UML State Machine Diagrams, architecture diagrams, and sequence diagrams.</w:t>
      </w:r>
    </w:p>
    <w:p>
      <w:pPr>
        <w:numPr>
          <w:ilvl w:val="0"/>
          <w:numId w:val="1021"/>
        </w:numPr>
      </w:pPr>
      <w:r>
        <w:rPr>
          <w:b/>
          <w:bCs/>
        </w:rPr>
        <w:t xml:space="preserve">Implementation:</w:t>
      </w:r>
      <w:r>
        <w:t xml:space="preserve"> </w:t>
      </w:r>
      <w:r>
        <w:t xml:space="preserve">Develop gateway bridge, backend modules, and web client per TP1–TP5.</w:t>
      </w:r>
    </w:p>
    <w:p>
      <w:pPr>
        <w:numPr>
          <w:ilvl w:val="0"/>
          <w:numId w:val="1021"/>
        </w:numPr>
      </w:pPr>
      <w:r>
        <w:rPr>
          <w:b/>
          <w:bCs/>
        </w:rPr>
        <w:t xml:space="preserve">Experiment 1 — Gateway Synchronization (RQ1 &amp; RQ2):</w:t>
      </w:r>
      <w:r>
        <w:t xml:space="preserve"> </w:t>
      </w:r>
      <w:r>
        <w:t xml:space="preserve">Use 3–5 physical TrekLink devices for all mesh-to-gateway reliability measurements. MQTT simulation scripts may supplement Gateway-to-Cloud workload evaluation only — not used to claim LoRa RF reliability. Apply connectivity-loss matrix: 0 s (control), 30 s, 2 min, 5 min, 10 min, 30 min; two reconnection patterns (immediate and delayed 60 s). Minimum 20 trials per condition. Measures: delivery rate (%), data-loss rate (%), duplicate rate (%), sync latency (mean / median / P95 in seconds), queue-recovery time (s), priority-ordering compliance rate (%).</w:t>
      </w:r>
    </w:p>
    <w:p>
      <w:pPr>
        <w:numPr>
          <w:ilvl w:val="0"/>
          <w:numId w:val="1021"/>
        </w:numPr>
      </w:pPr>
      <w:r>
        <w:rPr>
          <w:b/>
          <w:bCs/>
        </w:rPr>
        <w:t xml:space="preserve">Experiment 2 — SOS-to-Incident Workflow (RQ3):</w:t>
      </w:r>
      <w:r>
        <w:t xml:space="preserve"> </w:t>
      </w:r>
      <w:r>
        <w:t xml:space="preserve">Controlled emergency drills with 1 TrekLink device, 1</w:t>
      </w:r>
      <w:r>
        <w:t xml:space="preserve"> </w:t>
      </w:r>
      <w:r>
        <w:rPr>
          <w:highlight w:val="yellow"/>
        </w:rPr>
        <w:t xml:space="preserve">Field Station, 1 organization with an on-duty member and a backup</w:t>
      </w:r>
      <w:r>
        <w:t xml:space="preserve">, minimum 3 participants rotating. Scenario order randomized; participants do not know exact SOS trigger time; independent observer triggers SOS and starts external timer. All TrekLink-condition timestamps recorded automatically by the backend; baseline timestamps recorded by independent observer (hardware stopwatch). 15–20 drills per condition; vary network latency (LAN and 4G hotspot). Measures: MTTA (mean / median / P95 in seconds), MTTR (mean / median in minutes), traceability score (% of FSM transitions with complete actor + timestamp + action), missed-alert rate (%), duplicate-alert rate (%), incident-completion rate (%).</w:t>
      </w:r>
    </w:p>
    <w:p>
      <w:pPr>
        <w:numPr>
          <w:ilvl w:val="0"/>
          <w:numId w:val="1021"/>
        </w:numPr>
      </w:pPr>
      <w:r>
        <w:rPr>
          <w:b/>
          <w:bCs/>
        </w:rPr>
        <w:t xml:space="preserve">Integration &amp; System Testing:</w:t>
      </w:r>
      <w:r>
        <w:t xml:space="preserve"> </w:t>
      </w:r>
      <w:r>
        <w:t xml:space="preserve">End-to-end test cases for all functional requirements, idempotency tests (10× same eventId → 1 Incident), concurrency tests (20 simultaneous events → 0 duplicates), RBAC validation, and audit-log completeness check.</w:t>
      </w:r>
    </w:p>
    <w:p>
      <w:pPr>
        <w:pStyle w:val="FirstParagraph"/>
      </w:pPr>
      <w:r>
        <w:rPr>
          <w:b/>
          <w:bCs/>
        </w:rPr>
        <w:t xml:space="preserve">d. Expected Scientific Contribution</w:t>
      </w:r>
    </w:p>
    <w:p>
      <w:pPr>
        <w:numPr>
          <w:ilvl w:val="0"/>
          <w:numId w:val="1022"/>
        </w:numPr>
      </w:pPr>
      <w:r>
        <w:rPr>
          <w:b/>
          <w:bCs/>
        </w:rPr>
        <w:t xml:space="preserve">A priority-aware, offline-resilient gateway pattern</w:t>
      </w:r>
      <w:r>
        <w:t xml:space="preserve"> </w:t>
      </w:r>
      <w:r>
        <w:t xml:space="preserve">for connecting intermittently connected LoRa mesh devices to cloud-based operational systems, with a formally defined eventId scheme, SQLite persistence model, and idempotent backend processing.</w:t>
      </w:r>
    </w:p>
    <w:p>
      <w:pPr>
        <w:numPr>
          <w:ilvl w:val="0"/>
          <w:numId w:val="1022"/>
        </w:numPr>
      </w:pPr>
      <w:r>
        <w:rPr>
          <w:b/>
          <w:bCs/>
        </w:rPr>
        <w:t xml:space="preserve">Empirical benchmark</w:t>
      </w:r>
      <w:r>
        <w:t xml:space="preserve"> </w:t>
      </w:r>
      <w:r>
        <w:t xml:space="preserve">of gateway synchronization reliability and latency under a controlled connectivity-loss matrix on low-cost ESP32 hardware.</w:t>
      </w:r>
    </w:p>
    <w:p>
      <w:pPr>
        <w:numPr>
          <w:ilvl w:val="0"/>
          <w:numId w:val="1022"/>
        </w:numPr>
      </w:pPr>
      <w:r>
        <w:rPr>
          <w:b/>
          <w:bCs/>
        </w:rPr>
        <w:t xml:space="preserve">An SOS-to-Incident workflow design</w:t>
      </w:r>
      <w:r>
        <w:t xml:space="preserve"> </w:t>
      </w:r>
      <w:r>
        <w:t xml:space="preserve">with a formally specified</w:t>
      </w:r>
      <w:r>
        <w:t xml:space="preserve"> </w:t>
      </w:r>
      <w:r>
        <w:rPr>
          <w:highlight w:val="yellow"/>
        </w:rPr>
        <w:t xml:space="preserve">FSM, tiered notification and escalation chain</w:t>
      </w:r>
      <w:r>
        <w:t xml:space="preserve">, and append-only audit trail, directly traceable to measurable research outcomes.</w:t>
      </w:r>
    </w:p>
    <w:p>
      <w:pPr>
        <w:numPr>
          <w:ilvl w:val="0"/>
          <w:numId w:val="1022"/>
        </w:numPr>
      </w:pPr>
      <w:r>
        <w:rPr>
          <w:b/>
          <w:bCs/>
        </w:rPr>
        <w:t xml:space="preserve">Comparative evaluation</w:t>
      </w:r>
      <w:r>
        <w:t xml:space="preserve"> </w:t>
      </w:r>
      <w:r>
        <w:t xml:space="preserve">of uncoordinated vs. structured incident response (MTTA, MTTR, traceability) using randomized controlled drills.</w:t>
      </w:r>
    </w:p>
    <w:p>
      <w:pPr>
        <w:numPr>
          <w:ilvl w:val="0"/>
          <w:numId w:val="1022"/>
        </w:numPr>
      </w:pPr>
      <w:r>
        <w:rPr>
          <w:b/>
          <w:bCs/>
        </w:rPr>
        <w:t xml:space="preserve">A practical case study</w:t>
      </w:r>
      <w:r>
        <w:t xml:space="preserve"> </w:t>
      </w:r>
      <w:r>
        <w:t xml:space="preserve">demonstrating end-to-end integration of an open-source LoRa mesh prototype into a</w:t>
      </w:r>
      <w:r>
        <w:t xml:space="preserve"> </w:t>
      </w:r>
      <w:r>
        <w:rPr>
          <w:highlight w:val="yellow"/>
        </w:rPr>
        <w:t xml:space="preserve">multi-organization rental platform</w:t>
      </w:r>
      <w:r>
        <w:t xml:space="preserve"> </w:t>
      </w:r>
      <w:r>
        <w:t xml:space="preserve">for trekking agencies.</w:t>
      </w:r>
    </w:p>
    <w:p>
      <w:pPr>
        <w:pStyle w:val="FirstParagraph"/>
      </w:pPr>
      <w:r>
        <w:rPr>
          <w:b/>
          <w:bCs/>
        </w:rPr>
        <w:t xml:space="preserve">e. Related Works / Literature Review (Preliminary)</w:t>
      </w:r>
    </w:p>
    <w:p>
      <w:pPr>
        <w:numPr>
          <w:ilvl w:val="0"/>
          <w:numId w:val="1023"/>
        </w:numPr>
      </w:pPr>
      <w:r>
        <w:rPr>
          <w:b/>
          <w:bCs/>
        </w:rPr>
        <w:t xml:space="preserve">LoRa mesh communication</w:t>
      </w:r>
      <w:r>
        <w:t xml:space="preserve"> </w:t>
      </w:r>
      <w:r>
        <w:t xml:space="preserve">(Meshtastic, RAK WisBlock Mesh): Multi-hop messaging, GPS, local SOS broadcast, fall detection. Gap: no agency-side rental workflow, no device fleet management, no persistent cloud incident pipeline, no store-and-forward to cloud.</w:t>
      </w:r>
    </w:p>
    <w:p>
      <w:pPr>
        <w:numPr>
          <w:ilvl w:val="0"/>
          <w:numId w:val="1023"/>
        </w:numPr>
      </w:pPr>
      <w:r>
        <w:rPr>
          <w:b/>
          <w:bCs/>
        </w:rPr>
        <w:t xml:space="preserve">Commercial off-grid safety devices</w:t>
      </w:r>
      <w:r>
        <w:t xml:space="preserve"> </w:t>
      </w:r>
      <w:r>
        <w:t xml:space="preserve">(Garmin inReach Mini 2, SPOT Gen4, Zoleo): Satellite SOS, two-way messaging, GPS tracking. Gap: closed proprietary ecosystems; individual-use oriented; no fleet rental; no operational incident management.</w:t>
      </w:r>
    </w:p>
    <w:p>
      <w:pPr>
        <w:numPr>
          <w:ilvl w:val="0"/>
          <w:numId w:val="1023"/>
        </w:numPr>
      </w:pPr>
      <w:r>
        <w:rPr>
          <w:b/>
          <w:bCs/>
        </w:rPr>
        <w:t xml:space="preserve">IoT fleet management platforms</w:t>
      </w:r>
      <w:r>
        <w:t xml:space="preserve"> </w:t>
      </w:r>
      <w:r>
        <w:t xml:space="preserve">(AWS IoT Core, Azure IoT Hub, Balena): Device registration, telemetry ingestion, remote monitoring, lifecycle states. Gap: generic cloud platforms; no LoRa mesh integration; no store-and-forward for intermittent connectivity; no rental domain.</w:t>
      </w:r>
    </w:p>
    <w:p>
      <w:pPr>
        <w:numPr>
          <w:ilvl w:val="0"/>
          <w:numId w:val="1023"/>
        </w:numPr>
      </w:pPr>
      <w:r>
        <w:rPr>
          <w:b/>
          <w:bCs/>
        </w:rPr>
        <w:t xml:space="preserve">Delay/Disruption-Tolerant and store-and-forward systems</w:t>
      </w:r>
      <w:r>
        <w:t xml:space="preserve"> </w:t>
      </w:r>
      <w:r>
        <w:t xml:space="preserve">(DTN RFC 4838 Bundle Protocol, MQTT-SN, LoRaWAN ADR): Message persistence and forwarding under intermittent connectivity. Gap: protocol-level designs; not integrated with business workflows or incident management.</w:t>
      </w:r>
    </w:p>
    <w:p>
      <w:pPr>
        <w:numPr>
          <w:ilvl w:val="0"/>
          <w:numId w:val="1023"/>
        </w:numPr>
      </w:pPr>
      <w:r>
        <w:rPr>
          <w:b/>
          <w:bCs/>
        </w:rPr>
        <w:t xml:space="preserve">Incident management systems</w:t>
      </w:r>
      <w:r>
        <w:t xml:space="preserve"> </w:t>
      </w:r>
      <w:r>
        <w:t xml:space="preserve">(JIRA Service Management, PagerDuty, Opsgenie): Ticket lifecycle, escalation, notification, SLA tracking, audit trail. Gap: designed for IT/DevOps; no IoT field-event ingestion; no outdoor or trekking domain context.</w:t>
      </w:r>
    </w:p>
    <w:p>
      <w:pPr>
        <w:pStyle w:val="FirstParagraph"/>
      </w:pPr>
      <w:r>
        <w:t xml:space="preserve">Gap statement: TrekLink addresses the integration gap where all five dimensions — off-grid LoRa mesh communication, intermittent-connectivity store-and-forward synchronization, device rental lifecycle management, real-time field monitoring, and structured SOS-to-incident response — must be combined into a single domain-specific platform. Each existing solution addresses at most two of these dimensions.</w:t>
      </w:r>
    </w:p>
    <w:p>
      <w:pPr>
        <w:pStyle w:val="BodyText"/>
      </w:pPr>
      <w:r>
        <w:t xml:space="preserve">Key References:</w:t>
      </w:r>
    </w:p>
    <w:p>
      <w:pPr>
        <w:numPr>
          <w:ilvl w:val="0"/>
          <w:numId w:val="1024"/>
        </w:numPr>
      </w:pPr>
      <w:r>
        <w:t xml:space="preserve">[1] A. W.-L. Wong, S. L. Goh, M. K. Hasan, and S. Fattah,</w:t>
      </w:r>
      <w:r>
        <w:t xml:space="preserve"> </w:t>
      </w:r>
      <w:r>
        <w:t xml:space="preserve">“</w:t>
      </w:r>
      <w:r>
        <w:t xml:space="preserve">Multi-hop and mesh for LoRa networks: Recent advancements, issues, and recommended applications,</w:t>
      </w:r>
      <w:r>
        <w:t xml:space="preserve">”</w:t>
      </w:r>
      <w:r>
        <w:t xml:space="preserve"> </w:t>
      </w:r>
      <w:r>
        <w:t xml:space="preserve">ACM Comput. Surv., vol. 56, no. 6, Article 136, pp. 1–43, Jan. 2024. DOI: 10.1145/3638241</w:t>
      </w:r>
    </w:p>
    <w:p>
      <w:pPr>
        <w:numPr>
          <w:ilvl w:val="0"/>
          <w:numId w:val="1024"/>
        </w:numPr>
      </w:pPr>
      <w:r>
        <w:t xml:space="preserve">[2] Muladi, H. Wijaya, S. D. Prasetyo, S. A. Hamzah, and A. K. Mahamad,</w:t>
      </w:r>
      <w:r>
        <w:t xml:space="preserve"> </w:t>
      </w:r>
      <w:r>
        <w:t xml:space="preserve">“</w:t>
      </w:r>
      <w:r>
        <w:t xml:space="preserve">LoRa mesh-based IoT GPS tracking system for mountain climbers,</w:t>
      </w:r>
      <w:r>
        <w:t xml:space="preserve">”</w:t>
      </w:r>
      <w:r>
        <w:t xml:space="preserve"> </w:t>
      </w:r>
      <w:r>
        <w:t xml:space="preserve">Int. J. Safety Security Eng., vol. 14, no. 6, pp. 1751–1761, Dec. 2024. DOI: 10.18280/ijsse.140610</w:t>
      </w:r>
    </w:p>
    <w:p>
      <w:pPr>
        <w:numPr>
          <w:ilvl w:val="0"/>
          <w:numId w:val="1024"/>
        </w:numPr>
      </w:pPr>
      <w:r>
        <w:t xml:space="preserve">[3] H. Zhang, R. Zhang, and J. Sun,</w:t>
      </w:r>
      <w:r>
        <w:t xml:space="preserve"> </w:t>
      </w:r>
      <w:r>
        <w:t xml:space="preserve">“</w:t>
      </w:r>
      <w:r>
        <w:t xml:space="preserve">Developing real-time IoT-based public safety alert and emergency response systems,</w:t>
      </w:r>
      <w:r>
        <w:t xml:space="preserve">”</w:t>
      </w:r>
      <w:r>
        <w:t xml:space="preserve"> </w:t>
      </w:r>
      <w:r>
        <w:t xml:space="preserve">Sci. Rep., vol. 15, Article 29056, Aug. 2025. DOI: 10.1038/s41598-025-13465-7</w:t>
      </w:r>
    </w:p>
    <w:p>
      <w:pPr>
        <w:numPr>
          <w:ilvl w:val="0"/>
          <w:numId w:val="1024"/>
        </w:numPr>
      </w:pPr>
      <w:r>
        <w:t xml:space="preserve">[4] OASIS,</w:t>
      </w:r>
      <w:r>
        <w:t xml:space="preserve"> </w:t>
      </w:r>
      <w:r>
        <w:t xml:space="preserve">“</w:t>
      </w:r>
      <w:r>
        <w:t xml:space="preserve">MQTT Version 5.0,</w:t>
      </w:r>
      <w:r>
        <w:t xml:space="preserve">”</w:t>
      </w:r>
      <w:r>
        <w:t xml:space="preserve"> </w:t>
      </w:r>
      <w:r>
        <w:t xml:space="preserve">OASIS Standard, Mar. 2019. https://docs.oasis-open.org/mqtt/mqtt/v5.0/mqtt-v5.0.html</w:t>
      </w:r>
    </w:p>
    <w:p>
      <w:pPr>
        <w:numPr>
          <w:ilvl w:val="0"/>
          <w:numId w:val="1024"/>
        </w:numPr>
      </w:pPr>
      <w:r>
        <w:t xml:space="preserve">[5] V. Cerf, S. Burleigh, A. Hooke, L. Torgerson, R. Durst, K. Scott, K. Fall, and H. Weiss,</w:t>
      </w:r>
      <w:r>
        <w:t xml:space="preserve"> </w:t>
      </w:r>
      <w:r>
        <w:t xml:space="preserve">“</w:t>
      </w:r>
      <w:r>
        <w:t xml:space="preserve">Delay-tolerant networking architecture,</w:t>
      </w:r>
      <w:r>
        <w:t xml:space="preserve">”</w:t>
      </w:r>
      <w:r>
        <w:t xml:space="preserve"> </w:t>
      </w:r>
      <w:r>
        <w:t xml:space="preserve">IETF RFC 4838, Apr. 2007. https://www.rfc-editor.org/rfc/rfc4838</w:t>
      </w:r>
    </w:p>
    <w:p>
      <w:pPr>
        <w:numPr>
          <w:ilvl w:val="0"/>
          <w:numId w:val="1024"/>
        </w:numPr>
      </w:pPr>
      <w:r>
        <w:t xml:space="preserve">[6] Meshtastic Project,</w:t>
      </w:r>
      <w:r>
        <w:t xml:space="preserve"> </w:t>
      </w:r>
      <w:r>
        <w:t xml:space="preserve">“</w:t>
      </w:r>
      <w:r>
        <w:t xml:space="preserve">Official Documentation,</w:t>
      </w:r>
      <w:r>
        <w:t xml:space="preserve">”</w:t>
      </w:r>
      <w:r>
        <w:t xml:space="preserve"> </w:t>
      </w:r>
      <w:r>
        <w:t xml:space="preserve">2024. [Online]. Available: https://meshtastic.org/docs/</w:t>
      </w:r>
    </w:p>
    <w:p>
      <w:pPr>
        <w:pStyle w:val="FirstParagraph"/>
      </w:pPr>
      <w:r>
        <w:rPr>
          <w:b/>
          <w:bCs/>
        </w:rPr>
        <w:t xml:space="preserve">4. Other comments (propose all relative things if have):</w:t>
      </w:r>
    </w:p>
    <w:p>
      <w:pPr>
        <w:pStyle w:val="BodyText"/>
      </w:pPr>
      <w:r>
        <w:rPr>
          <w:highlight w:val="yellow"/>
        </w:rPr>
        <w:t xml:space="preserve">The TrekLink LoRa mesh firmware and hardware (ESP32/ESP32-S3) are an output of this team’s Summer 2026 project and the technical foundation of this Capstone. Targeted firmware enhancements made during the Capstone are in scope and credited; the hardware design effort is documented in the reports. The scope was adjusted after Review 1 (2026-10-01) so that the product matches the registered title: an enterprise device-rental platform for trekking agencies, built on asset management, with multi-tenancy in scope.</w:t>
      </w:r>
    </w:p>
    <w:tbl>
      <w:tblPr>
        <w:tblStyle w:val="Table"/>
        <w:tblW w:type="pct" w:w="5000"/>
        <w:jc w:val="left"/>
        <w:tblLayout w:type="fixed"/>
        <w:tblLook w:firstRow="1" w:lastRow="0" w:firstColumn="0" w:lastColumn="0" w:noHBand="0" w:noVBand="0" w:val="0020"/>
      </w:tblPr>
      <w:tblGrid>
        <w:gridCol w:w="3099"/>
        <w:gridCol w:w="4820"/>
      </w:tblGrid>
      <w:tr>
        <w:trPr>
          <w:tblHeader w:val="on"/>
        </w:trPr>
        <w:tc>
          <w:tcPr/>
          <w:p>
            <w:pPr>
              <w:pStyle w:val="Compact"/>
              <w:jc w:val="left"/>
            </w:pPr>
            <w:r>
              <w:rPr>
                <w:b/>
                <w:bCs/>
              </w:rPr>
              <w:t xml:space="preserve">Supervisor (If have)</w:t>
            </w:r>
            <w:r>
              <w:rPr>
                <w:i/>
                <w:iCs/>
              </w:rPr>
              <w:t xml:space="preserve">(Sign and full name)</w:t>
            </w:r>
          </w:p>
        </w:tc>
        <w:tc>
          <w:tcPr/>
          <w:p>
            <w:pPr>
              <w:pStyle w:val="Compact"/>
              <w:jc w:val="left"/>
            </w:pPr>
            <w:r>
              <w:t xml:space="preserve">HCM, date 25/07/2026</w:t>
            </w:r>
            <w:r>
              <w:rPr>
                <w:b/>
                <w:bCs/>
              </w:rPr>
              <w:t xml:space="preserve">On behalf of Registers</w:t>
            </w:r>
            <w:r>
              <w:rPr>
                <w:i/>
                <w:iCs/>
              </w:rPr>
              <w:t xml:space="preserve">(Sign and full name)</w:t>
            </w:r>
          </w:p>
        </w:tc>
      </w:tr>
    </w:tbl>
    <w:sectPr>
      <w:pgSz w:h="15840" w:orient="portrait" w:w="12240"/>
      <w:pgMar w:bottom="1440" w:footer="720" w:header="720" w:left="1440" w:right="1440" w:top="144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Verdana"/>
  <w:font w:name="Courier New"/>
  <w:font w:name="Noto Sans Symbols">
    <w:embedRegular w:fontKey="{00000000-0000-0000-0000-000000000000}" r:id="rId1" w:subsetted="0"/>
    <w:embedBold w:fontKey="{00000000-0000-0000-0000-000000000000}" r:id="rId2" w:subsetted="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abstractNum w:abstractNumId="1">
    <w:lvl w:ilvl="0">
      <w:start w:val="1"/>
      <w:numFmt w:val="bullet"/>
      <w:lvlText w:val="●"/>
      <w:lvlJc w:val="left"/>
      <w:pPr>
        <w:ind w:hanging="360" w:left="720"/>
      </w:pPr>
      <w:rPr>
        <w:rFonts w:ascii="Verdana" w:cs="Verdana" w:eastAsia="Verdana" w:hAnsi="Verdana"/>
        <w:sz w:val="18"/>
        <w:szCs w:val="18"/>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2">
    <w:lvl w:ilvl="0">
      <w:start w:val="1"/>
      <w:numFmt w:val="bullet"/>
      <w:lvlText w:val="●"/>
      <w:lvlJc w:val="left"/>
      <w:pPr>
        <w:ind w:hanging="360" w:left="720"/>
      </w:pPr>
      <w:rPr>
        <w:rFonts w:ascii="Noto Sans Symbols" w:cs="Noto Sans Symbols" w:eastAsia="Noto Sans Symbols" w:hAnsi="Noto Sans Symbols"/>
        <w:sz w:val="20"/>
        <w:szCs w:val="20"/>
      </w:rPr>
    </w:lvl>
    <w:lvl w:ilvl="1">
      <w:start w:val="1"/>
      <w:numFmt w:val="bullet"/>
      <w:lvlText w:val="o"/>
      <w:lvlJc w:val="left"/>
      <w:pPr>
        <w:ind w:hanging="360" w:left="1440"/>
      </w:pPr>
      <w:rPr>
        <w:rFonts w:ascii="Courier New" w:cs="Courier New" w:eastAsia="Courier New" w:hAnsi="Courier New"/>
        <w:sz w:val="20"/>
        <w:szCs w:val="20"/>
      </w:rPr>
    </w:lvl>
    <w:lvl w:ilvl="2">
      <w:start w:val="1"/>
      <w:numFmt w:val="bullet"/>
      <w:lvlText w:val="▪"/>
      <w:lvlJc w:val="left"/>
      <w:pPr>
        <w:ind w:hanging="360" w:left="2160"/>
      </w:pPr>
      <w:rPr>
        <w:rFonts w:ascii="Noto Sans Symbols" w:cs="Noto Sans Symbols" w:eastAsia="Noto Sans Symbols" w:hAnsi="Noto Sans Symbols"/>
        <w:sz w:val="20"/>
        <w:szCs w:val="20"/>
      </w:rPr>
    </w:lvl>
    <w:lvl w:ilvl="3">
      <w:start w:val="1"/>
      <w:numFmt w:val="bullet"/>
      <w:lvlText w:val="▪"/>
      <w:lvlJc w:val="left"/>
      <w:pPr>
        <w:ind w:hanging="360" w:left="2880"/>
      </w:pPr>
      <w:rPr>
        <w:rFonts w:ascii="Noto Sans Symbols" w:cs="Noto Sans Symbols" w:eastAsia="Noto Sans Symbols" w:hAnsi="Noto Sans Symbols"/>
        <w:sz w:val="20"/>
        <w:szCs w:val="20"/>
      </w:rPr>
    </w:lvl>
    <w:lvl w:ilvl="4">
      <w:start w:val="1"/>
      <w:numFmt w:val="bullet"/>
      <w:lvlText w:val="▪"/>
      <w:lvlJc w:val="left"/>
      <w:pPr>
        <w:ind w:hanging="360" w:left="3600"/>
      </w:pPr>
      <w:rPr>
        <w:rFonts w:ascii="Noto Sans Symbols" w:cs="Noto Sans Symbols" w:eastAsia="Noto Sans Symbols" w:hAnsi="Noto Sans Symbols"/>
        <w:sz w:val="20"/>
        <w:szCs w:val="20"/>
      </w:rPr>
    </w:lvl>
    <w:lvl w:ilvl="5">
      <w:start w:val="1"/>
      <w:numFmt w:val="bullet"/>
      <w:lvlText w:val="▪"/>
      <w:lvlJc w:val="left"/>
      <w:pPr>
        <w:ind w:hanging="360" w:left="4320"/>
      </w:pPr>
      <w:rPr>
        <w:rFonts w:ascii="Noto Sans Symbols" w:cs="Noto Sans Symbols" w:eastAsia="Noto Sans Symbols" w:hAnsi="Noto Sans Symbols"/>
        <w:sz w:val="20"/>
        <w:szCs w:val="20"/>
      </w:rPr>
    </w:lvl>
    <w:lvl w:ilvl="6">
      <w:start w:val="1"/>
      <w:numFmt w:val="bullet"/>
      <w:lvlText w:val="▪"/>
      <w:lvlJc w:val="left"/>
      <w:pPr>
        <w:ind w:hanging="360" w:left="5040"/>
      </w:pPr>
      <w:rPr>
        <w:rFonts w:ascii="Noto Sans Symbols" w:cs="Noto Sans Symbols" w:eastAsia="Noto Sans Symbols" w:hAnsi="Noto Sans Symbols"/>
        <w:sz w:val="20"/>
        <w:szCs w:val="20"/>
      </w:rPr>
    </w:lvl>
    <w:lvl w:ilvl="7">
      <w:start w:val="1"/>
      <w:numFmt w:val="bullet"/>
      <w:lvlText w:val="▪"/>
      <w:lvlJc w:val="left"/>
      <w:pPr>
        <w:ind w:hanging="360" w:left="5760"/>
      </w:pPr>
      <w:rPr>
        <w:rFonts w:ascii="Noto Sans Symbols" w:cs="Noto Sans Symbols" w:eastAsia="Noto Sans Symbols" w:hAnsi="Noto Sans Symbols"/>
        <w:sz w:val="20"/>
        <w:szCs w:val="20"/>
      </w:rPr>
    </w:lvl>
    <w:lvl w:ilvl="8">
      <w:start w:val="1"/>
      <w:numFmt w:val="bullet"/>
      <w:lvlText w:val="▪"/>
      <w:lvlJc w:val="left"/>
      <w:pPr>
        <w:ind w:hanging="360" w:left="6480"/>
      </w:pPr>
      <w:rPr>
        <w:rFonts w:ascii="Noto Sans Symbols" w:cs="Noto Sans Symbols" w:eastAsia="Noto Sans Symbols" w:hAnsi="Noto Sans Symbols"/>
        <w:sz w:val="20"/>
        <w:szCs w:val="20"/>
      </w:rPr>
    </w:lvl>
  </w:abstractNum>
  <w:abstractNum w:abstractNumId="3">
    <w:lvl w:ilvl="0">
      <w:start w:val="1"/>
      <w:numFmt w:val="bullet"/>
      <w:lvlText w:val="●"/>
      <w:lvlJc w:val="left"/>
      <w:pPr>
        <w:ind w:hanging="360" w:left="720"/>
      </w:pPr>
      <w:rPr>
        <w:rFonts w:ascii="Noto Sans Symbols" w:cs="Noto Sans Symbols" w:eastAsia="Noto Sans Symbols" w:hAnsi="Noto Sans Symbols"/>
        <w:sz w:val="20"/>
        <w:szCs w:val="20"/>
      </w:rPr>
    </w:lvl>
    <w:lvl w:ilvl="1">
      <w:start w:val="1"/>
      <w:numFmt w:val="bullet"/>
      <w:lvlText w:val="o"/>
      <w:lvlJc w:val="left"/>
      <w:pPr>
        <w:ind w:hanging="360" w:left="1440"/>
      </w:pPr>
      <w:rPr>
        <w:rFonts w:ascii="Courier New" w:cs="Courier New" w:eastAsia="Courier New" w:hAnsi="Courier New"/>
        <w:sz w:val="20"/>
        <w:szCs w:val="20"/>
      </w:rPr>
    </w:lvl>
    <w:lvl w:ilvl="2">
      <w:start w:val="1"/>
      <w:numFmt w:val="bullet"/>
      <w:lvlText w:val="▪"/>
      <w:lvlJc w:val="left"/>
      <w:pPr>
        <w:ind w:hanging="360" w:left="2160"/>
      </w:pPr>
      <w:rPr>
        <w:rFonts w:ascii="Noto Sans Symbols" w:cs="Noto Sans Symbols" w:eastAsia="Noto Sans Symbols" w:hAnsi="Noto Sans Symbols"/>
        <w:sz w:val="20"/>
        <w:szCs w:val="20"/>
      </w:rPr>
    </w:lvl>
    <w:lvl w:ilvl="3">
      <w:start w:val="1"/>
      <w:numFmt w:val="bullet"/>
      <w:lvlText w:val="▪"/>
      <w:lvlJc w:val="left"/>
      <w:pPr>
        <w:ind w:hanging="360" w:left="2880"/>
      </w:pPr>
      <w:rPr>
        <w:rFonts w:ascii="Noto Sans Symbols" w:cs="Noto Sans Symbols" w:eastAsia="Noto Sans Symbols" w:hAnsi="Noto Sans Symbols"/>
        <w:sz w:val="20"/>
        <w:szCs w:val="20"/>
      </w:rPr>
    </w:lvl>
    <w:lvl w:ilvl="4">
      <w:start w:val="1"/>
      <w:numFmt w:val="bullet"/>
      <w:lvlText w:val="▪"/>
      <w:lvlJc w:val="left"/>
      <w:pPr>
        <w:ind w:hanging="360" w:left="3600"/>
      </w:pPr>
      <w:rPr>
        <w:rFonts w:ascii="Noto Sans Symbols" w:cs="Noto Sans Symbols" w:eastAsia="Noto Sans Symbols" w:hAnsi="Noto Sans Symbols"/>
        <w:sz w:val="20"/>
        <w:szCs w:val="20"/>
      </w:rPr>
    </w:lvl>
    <w:lvl w:ilvl="5">
      <w:start w:val="1"/>
      <w:numFmt w:val="bullet"/>
      <w:lvlText w:val="▪"/>
      <w:lvlJc w:val="left"/>
      <w:pPr>
        <w:ind w:hanging="360" w:left="4320"/>
      </w:pPr>
      <w:rPr>
        <w:rFonts w:ascii="Noto Sans Symbols" w:cs="Noto Sans Symbols" w:eastAsia="Noto Sans Symbols" w:hAnsi="Noto Sans Symbols"/>
        <w:sz w:val="20"/>
        <w:szCs w:val="20"/>
      </w:rPr>
    </w:lvl>
    <w:lvl w:ilvl="6">
      <w:start w:val="1"/>
      <w:numFmt w:val="bullet"/>
      <w:lvlText w:val="▪"/>
      <w:lvlJc w:val="left"/>
      <w:pPr>
        <w:ind w:hanging="360" w:left="5040"/>
      </w:pPr>
      <w:rPr>
        <w:rFonts w:ascii="Noto Sans Symbols" w:cs="Noto Sans Symbols" w:eastAsia="Noto Sans Symbols" w:hAnsi="Noto Sans Symbols"/>
        <w:sz w:val="20"/>
        <w:szCs w:val="20"/>
      </w:rPr>
    </w:lvl>
    <w:lvl w:ilvl="7">
      <w:start w:val="1"/>
      <w:numFmt w:val="bullet"/>
      <w:lvlText w:val="▪"/>
      <w:lvlJc w:val="left"/>
      <w:pPr>
        <w:ind w:hanging="360" w:left="5760"/>
      </w:pPr>
      <w:rPr>
        <w:rFonts w:ascii="Noto Sans Symbols" w:cs="Noto Sans Symbols" w:eastAsia="Noto Sans Symbols" w:hAnsi="Noto Sans Symbols"/>
        <w:sz w:val="20"/>
        <w:szCs w:val="20"/>
      </w:rPr>
    </w:lvl>
    <w:lvl w:ilvl="8">
      <w:start w:val="1"/>
      <w:numFmt w:val="bullet"/>
      <w:lvlText w:val="▪"/>
      <w:lvlJc w:val="left"/>
      <w:pPr>
        <w:ind w:hanging="360" w:left="6480"/>
      </w:pPr>
      <w:rPr>
        <w:rFonts w:ascii="Noto Sans Symbols" w:cs="Noto Sans Symbols" w:eastAsia="Noto Sans Symbols" w:hAnsi="Noto Sans Symbols"/>
        <w:sz w:val="20"/>
        <w:szCs w:val="20"/>
      </w:rPr>
    </w:lvl>
  </w:abstractNum>
  <w:abstractNum w:abstractNumId="4">
    <w:lvl w:ilvl="0">
      <w:start w:val="1"/>
      <w:numFmt w:val="bullet"/>
      <w:lvlText w:val="●"/>
      <w:lvlJc w:val="left"/>
      <w:pPr>
        <w:ind w:hanging="360" w:left="720"/>
      </w:pPr>
      <w:rPr>
        <w:rFonts w:ascii="Noto Sans Symbols" w:cs="Noto Sans Symbols" w:eastAsia="Noto Sans Symbols" w:hAnsi="Noto Sans Symbols"/>
        <w:sz w:val="20"/>
        <w:szCs w:val="20"/>
      </w:rPr>
    </w:lvl>
    <w:lvl w:ilvl="1">
      <w:start w:val="1"/>
      <w:numFmt w:val="bullet"/>
      <w:lvlText w:val="o"/>
      <w:lvlJc w:val="left"/>
      <w:pPr>
        <w:ind w:hanging="360" w:left="1440"/>
      </w:pPr>
      <w:rPr>
        <w:rFonts w:ascii="Courier New" w:cs="Courier New" w:eastAsia="Courier New" w:hAnsi="Courier New"/>
        <w:sz w:val="20"/>
        <w:szCs w:val="20"/>
      </w:rPr>
    </w:lvl>
    <w:lvl w:ilvl="2">
      <w:start w:val="1"/>
      <w:numFmt w:val="bullet"/>
      <w:lvlText w:val="▪"/>
      <w:lvlJc w:val="left"/>
      <w:pPr>
        <w:ind w:hanging="360" w:left="2160"/>
      </w:pPr>
      <w:rPr>
        <w:rFonts w:ascii="Noto Sans Symbols" w:cs="Noto Sans Symbols" w:eastAsia="Noto Sans Symbols" w:hAnsi="Noto Sans Symbols"/>
        <w:sz w:val="20"/>
        <w:szCs w:val="20"/>
      </w:rPr>
    </w:lvl>
    <w:lvl w:ilvl="3">
      <w:start w:val="1"/>
      <w:numFmt w:val="bullet"/>
      <w:lvlText w:val="▪"/>
      <w:lvlJc w:val="left"/>
      <w:pPr>
        <w:ind w:hanging="360" w:left="2880"/>
      </w:pPr>
      <w:rPr>
        <w:rFonts w:ascii="Noto Sans Symbols" w:cs="Noto Sans Symbols" w:eastAsia="Noto Sans Symbols" w:hAnsi="Noto Sans Symbols"/>
        <w:sz w:val="20"/>
        <w:szCs w:val="20"/>
      </w:rPr>
    </w:lvl>
    <w:lvl w:ilvl="4">
      <w:start w:val="1"/>
      <w:numFmt w:val="bullet"/>
      <w:lvlText w:val="▪"/>
      <w:lvlJc w:val="left"/>
      <w:pPr>
        <w:ind w:hanging="360" w:left="3600"/>
      </w:pPr>
      <w:rPr>
        <w:rFonts w:ascii="Noto Sans Symbols" w:cs="Noto Sans Symbols" w:eastAsia="Noto Sans Symbols" w:hAnsi="Noto Sans Symbols"/>
        <w:sz w:val="20"/>
        <w:szCs w:val="20"/>
      </w:rPr>
    </w:lvl>
    <w:lvl w:ilvl="5">
      <w:start w:val="1"/>
      <w:numFmt w:val="bullet"/>
      <w:lvlText w:val="▪"/>
      <w:lvlJc w:val="left"/>
      <w:pPr>
        <w:ind w:hanging="360" w:left="4320"/>
      </w:pPr>
      <w:rPr>
        <w:rFonts w:ascii="Noto Sans Symbols" w:cs="Noto Sans Symbols" w:eastAsia="Noto Sans Symbols" w:hAnsi="Noto Sans Symbols"/>
        <w:sz w:val="20"/>
        <w:szCs w:val="20"/>
      </w:rPr>
    </w:lvl>
    <w:lvl w:ilvl="6">
      <w:start w:val="1"/>
      <w:numFmt w:val="bullet"/>
      <w:lvlText w:val="▪"/>
      <w:lvlJc w:val="left"/>
      <w:pPr>
        <w:ind w:hanging="360" w:left="5040"/>
      </w:pPr>
      <w:rPr>
        <w:rFonts w:ascii="Noto Sans Symbols" w:cs="Noto Sans Symbols" w:eastAsia="Noto Sans Symbols" w:hAnsi="Noto Sans Symbols"/>
        <w:sz w:val="20"/>
        <w:szCs w:val="20"/>
      </w:rPr>
    </w:lvl>
    <w:lvl w:ilvl="7">
      <w:start w:val="1"/>
      <w:numFmt w:val="bullet"/>
      <w:lvlText w:val="▪"/>
      <w:lvlJc w:val="left"/>
      <w:pPr>
        <w:ind w:hanging="360" w:left="5760"/>
      </w:pPr>
      <w:rPr>
        <w:rFonts w:ascii="Noto Sans Symbols" w:cs="Noto Sans Symbols" w:eastAsia="Noto Sans Symbols" w:hAnsi="Noto Sans Symbols"/>
        <w:sz w:val="20"/>
        <w:szCs w:val="20"/>
      </w:rPr>
    </w:lvl>
    <w:lvl w:ilvl="8">
      <w:start w:val="1"/>
      <w:numFmt w:val="bullet"/>
      <w:lvlText w:val="▪"/>
      <w:lvlJc w:val="left"/>
      <w:pPr>
        <w:ind w:hanging="360" w:left="6480"/>
      </w:pPr>
      <w:rPr>
        <w:rFonts w:ascii="Noto Sans Symbols" w:cs="Noto Sans Symbols" w:eastAsia="Noto Sans Symbols" w:hAnsi="Noto Sans Symbols"/>
        <w:sz w:val="20"/>
        <w:szCs w:val="20"/>
      </w:rPr>
    </w:lvl>
  </w:abstractNum>
  <w:abstractNum w:abstractNumId="5">
    <w:lvl w:ilvl="0">
      <w:start w:val="1"/>
      <w:numFmt w:val="bullet"/>
      <w:lvlText w:val="●"/>
      <w:lvlJc w:val="left"/>
      <w:pPr>
        <w:ind w:hanging="360" w:left="720"/>
      </w:pPr>
      <w:rPr>
        <w:rFonts w:ascii="Noto Sans Symbols" w:cs="Noto Sans Symbols" w:eastAsia="Noto Sans Symbols" w:hAnsi="Noto Sans Symbols"/>
        <w:sz w:val="20"/>
        <w:szCs w:val="20"/>
      </w:rPr>
    </w:lvl>
    <w:lvl w:ilvl="1">
      <w:start w:val="1"/>
      <w:numFmt w:val="bullet"/>
      <w:lvlText w:val="o"/>
      <w:lvlJc w:val="left"/>
      <w:pPr>
        <w:ind w:hanging="360" w:left="1440"/>
      </w:pPr>
      <w:rPr>
        <w:rFonts w:ascii="Courier New" w:cs="Courier New" w:eastAsia="Courier New" w:hAnsi="Courier New"/>
        <w:sz w:val="20"/>
        <w:szCs w:val="20"/>
      </w:rPr>
    </w:lvl>
    <w:lvl w:ilvl="2">
      <w:start w:val="1"/>
      <w:numFmt w:val="bullet"/>
      <w:lvlText w:val="▪"/>
      <w:lvlJc w:val="left"/>
      <w:pPr>
        <w:ind w:hanging="360" w:left="2160"/>
      </w:pPr>
      <w:rPr>
        <w:rFonts w:ascii="Noto Sans Symbols" w:cs="Noto Sans Symbols" w:eastAsia="Noto Sans Symbols" w:hAnsi="Noto Sans Symbols"/>
        <w:sz w:val="20"/>
        <w:szCs w:val="20"/>
      </w:rPr>
    </w:lvl>
    <w:lvl w:ilvl="3">
      <w:start w:val="1"/>
      <w:numFmt w:val="bullet"/>
      <w:lvlText w:val="▪"/>
      <w:lvlJc w:val="left"/>
      <w:pPr>
        <w:ind w:hanging="360" w:left="2880"/>
      </w:pPr>
      <w:rPr>
        <w:rFonts w:ascii="Noto Sans Symbols" w:cs="Noto Sans Symbols" w:eastAsia="Noto Sans Symbols" w:hAnsi="Noto Sans Symbols"/>
        <w:sz w:val="20"/>
        <w:szCs w:val="20"/>
      </w:rPr>
    </w:lvl>
    <w:lvl w:ilvl="4">
      <w:start w:val="1"/>
      <w:numFmt w:val="bullet"/>
      <w:lvlText w:val="▪"/>
      <w:lvlJc w:val="left"/>
      <w:pPr>
        <w:ind w:hanging="360" w:left="3600"/>
      </w:pPr>
      <w:rPr>
        <w:rFonts w:ascii="Noto Sans Symbols" w:cs="Noto Sans Symbols" w:eastAsia="Noto Sans Symbols" w:hAnsi="Noto Sans Symbols"/>
        <w:sz w:val="20"/>
        <w:szCs w:val="20"/>
      </w:rPr>
    </w:lvl>
    <w:lvl w:ilvl="5">
      <w:start w:val="1"/>
      <w:numFmt w:val="bullet"/>
      <w:lvlText w:val="▪"/>
      <w:lvlJc w:val="left"/>
      <w:pPr>
        <w:ind w:hanging="360" w:left="4320"/>
      </w:pPr>
      <w:rPr>
        <w:rFonts w:ascii="Noto Sans Symbols" w:cs="Noto Sans Symbols" w:eastAsia="Noto Sans Symbols" w:hAnsi="Noto Sans Symbols"/>
        <w:sz w:val="20"/>
        <w:szCs w:val="20"/>
      </w:rPr>
    </w:lvl>
    <w:lvl w:ilvl="6">
      <w:start w:val="1"/>
      <w:numFmt w:val="bullet"/>
      <w:lvlText w:val="▪"/>
      <w:lvlJc w:val="left"/>
      <w:pPr>
        <w:ind w:hanging="360" w:left="5040"/>
      </w:pPr>
      <w:rPr>
        <w:rFonts w:ascii="Noto Sans Symbols" w:cs="Noto Sans Symbols" w:eastAsia="Noto Sans Symbols" w:hAnsi="Noto Sans Symbols"/>
        <w:sz w:val="20"/>
        <w:szCs w:val="20"/>
      </w:rPr>
    </w:lvl>
    <w:lvl w:ilvl="7">
      <w:start w:val="1"/>
      <w:numFmt w:val="bullet"/>
      <w:lvlText w:val="▪"/>
      <w:lvlJc w:val="left"/>
      <w:pPr>
        <w:ind w:hanging="360" w:left="5760"/>
      </w:pPr>
      <w:rPr>
        <w:rFonts w:ascii="Noto Sans Symbols" w:cs="Noto Sans Symbols" w:eastAsia="Noto Sans Symbols" w:hAnsi="Noto Sans Symbols"/>
        <w:sz w:val="20"/>
        <w:szCs w:val="20"/>
      </w:rPr>
    </w:lvl>
    <w:lvl w:ilvl="8">
      <w:start w:val="1"/>
      <w:numFmt w:val="bullet"/>
      <w:lvlText w:val="▪"/>
      <w:lvlJc w:val="left"/>
      <w:pPr>
        <w:ind w:hanging="360" w:left="6480"/>
      </w:pPr>
      <w:rPr>
        <w:rFonts w:ascii="Noto Sans Symbols" w:cs="Noto Sans Symbols" w:eastAsia="Noto Sans Symbols" w:hAnsi="Noto Sans Symbols"/>
        <w:sz w:val="20"/>
        <w:szCs w:val="20"/>
      </w:rPr>
    </w:lvl>
  </w:abstractNum>
  <w:abstractNum w:abstractNumId="6">
    <w:lvl w:ilvl="0">
      <w:start w:val="1"/>
      <w:numFmt w:val="bullet"/>
      <w:lvlText w:val="●"/>
      <w:lvlJc w:val="left"/>
      <w:pPr>
        <w:ind w:hanging="360" w:left="720"/>
      </w:pPr>
      <w:rPr>
        <w:rFonts w:ascii="Noto Sans Symbols" w:cs="Noto Sans Symbols" w:eastAsia="Noto Sans Symbols" w:hAnsi="Noto Sans Symbols"/>
        <w:sz w:val="20"/>
        <w:szCs w:val="20"/>
      </w:rPr>
    </w:lvl>
    <w:lvl w:ilvl="1">
      <w:start w:val="1"/>
      <w:numFmt w:val="bullet"/>
      <w:lvlText w:val="o"/>
      <w:lvlJc w:val="left"/>
      <w:pPr>
        <w:ind w:hanging="360" w:left="1440"/>
      </w:pPr>
      <w:rPr>
        <w:rFonts w:ascii="Courier New" w:cs="Courier New" w:eastAsia="Courier New" w:hAnsi="Courier New"/>
        <w:sz w:val="20"/>
        <w:szCs w:val="20"/>
      </w:rPr>
    </w:lvl>
    <w:lvl w:ilvl="2">
      <w:start w:val="1"/>
      <w:numFmt w:val="bullet"/>
      <w:lvlText w:val="▪"/>
      <w:lvlJc w:val="left"/>
      <w:pPr>
        <w:ind w:hanging="360" w:left="2160"/>
      </w:pPr>
      <w:rPr>
        <w:rFonts w:ascii="Noto Sans Symbols" w:cs="Noto Sans Symbols" w:eastAsia="Noto Sans Symbols" w:hAnsi="Noto Sans Symbols"/>
        <w:sz w:val="20"/>
        <w:szCs w:val="20"/>
      </w:rPr>
    </w:lvl>
    <w:lvl w:ilvl="3">
      <w:start w:val="1"/>
      <w:numFmt w:val="bullet"/>
      <w:lvlText w:val="▪"/>
      <w:lvlJc w:val="left"/>
      <w:pPr>
        <w:ind w:hanging="360" w:left="2880"/>
      </w:pPr>
      <w:rPr>
        <w:rFonts w:ascii="Noto Sans Symbols" w:cs="Noto Sans Symbols" w:eastAsia="Noto Sans Symbols" w:hAnsi="Noto Sans Symbols"/>
        <w:sz w:val="20"/>
        <w:szCs w:val="20"/>
      </w:rPr>
    </w:lvl>
    <w:lvl w:ilvl="4">
      <w:start w:val="1"/>
      <w:numFmt w:val="bullet"/>
      <w:lvlText w:val="▪"/>
      <w:lvlJc w:val="left"/>
      <w:pPr>
        <w:ind w:hanging="360" w:left="3600"/>
      </w:pPr>
      <w:rPr>
        <w:rFonts w:ascii="Noto Sans Symbols" w:cs="Noto Sans Symbols" w:eastAsia="Noto Sans Symbols" w:hAnsi="Noto Sans Symbols"/>
        <w:sz w:val="20"/>
        <w:szCs w:val="20"/>
      </w:rPr>
    </w:lvl>
    <w:lvl w:ilvl="5">
      <w:start w:val="1"/>
      <w:numFmt w:val="bullet"/>
      <w:lvlText w:val="▪"/>
      <w:lvlJc w:val="left"/>
      <w:pPr>
        <w:ind w:hanging="360" w:left="4320"/>
      </w:pPr>
      <w:rPr>
        <w:rFonts w:ascii="Noto Sans Symbols" w:cs="Noto Sans Symbols" w:eastAsia="Noto Sans Symbols" w:hAnsi="Noto Sans Symbols"/>
        <w:sz w:val="20"/>
        <w:szCs w:val="20"/>
      </w:rPr>
    </w:lvl>
    <w:lvl w:ilvl="6">
      <w:start w:val="1"/>
      <w:numFmt w:val="bullet"/>
      <w:lvlText w:val="▪"/>
      <w:lvlJc w:val="left"/>
      <w:pPr>
        <w:ind w:hanging="360" w:left="5040"/>
      </w:pPr>
      <w:rPr>
        <w:rFonts w:ascii="Noto Sans Symbols" w:cs="Noto Sans Symbols" w:eastAsia="Noto Sans Symbols" w:hAnsi="Noto Sans Symbols"/>
        <w:sz w:val="20"/>
        <w:szCs w:val="20"/>
      </w:rPr>
    </w:lvl>
    <w:lvl w:ilvl="7">
      <w:start w:val="1"/>
      <w:numFmt w:val="bullet"/>
      <w:lvlText w:val="▪"/>
      <w:lvlJc w:val="left"/>
      <w:pPr>
        <w:ind w:hanging="360" w:left="5760"/>
      </w:pPr>
      <w:rPr>
        <w:rFonts w:ascii="Noto Sans Symbols" w:cs="Noto Sans Symbols" w:eastAsia="Noto Sans Symbols" w:hAnsi="Noto Sans Symbols"/>
        <w:sz w:val="20"/>
        <w:szCs w:val="20"/>
      </w:rPr>
    </w:lvl>
    <w:lvl w:ilvl="8">
      <w:start w:val="1"/>
      <w:numFmt w:val="bullet"/>
      <w:lvlText w:val="▪"/>
      <w:lvlJc w:val="left"/>
      <w:pPr>
        <w:ind w:hanging="360" w:left="6480"/>
      </w:pPr>
      <w:rPr>
        <w:rFonts w:ascii="Noto Sans Symbols" w:cs="Noto Sans Symbols" w:eastAsia="Noto Sans Symbols" w:hAnsi="Noto Sans Symbols"/>
        <w:sz w:val="20"/>
        <w:szCs w:val="20"/>
      </w:rPr>
    </w:lvl>
  </w:abstractNum>
  <w:abstractNum w:abstractNumId="7">
    <w:lvl w:ilvl="0">
      <w:start w:val="1"/>
      <w:numFmt w:val="bullet"/>
      <w:lvlText w:val="●"/>
      <w:lvlJc w:val="left"/>
      <w:pPr>
        <w:ind w:hanging="360" w:left="720"/>
      </w:pPr>
      <w:rPr>
        <w:rFonts w:ascii="Noto Sans Symbols" w:cs="Noto Sans Symbols" w:eastAsia="Noto Sans Symbols" w:hAnsi="Noto Sans Symbols"/>
        <w:sz w:val="20"/>
        <w:szCs w:val="20"/>
      </w:rPr>
    </w:lvl>
    <w:lvl w:ilvl="1">
      <w:start w:val="1"/>
      <w:numFmt w:val="bullet"/>
      <w:lvlText w:val="o"/>
      <w:lvlJc w:val="left"/>
      <w:pPr>
        <w:ind w:hanging="360" w:left="1440"/>
      </w:pPr>
      <w:rPr>
        <w:rFonts w:ascii="Courier New" w:cs="Courier New" w:eastAsia="Courier New" w:hAnsi="Courier New"/>
        <w:sz w:val="20"/>
        <w:szCs w:val="20"/>
      </w:rPr>
    </w:lvl>
    <w:lvl w:ilvl="2">
      <w:start w:val="1"/>
      <w:numFmt w:val="bullet"/>
      <w:lvlText w:val="▪"/>
      <w:lvlJc w:val="left"/>
      <w:pPr>
        <w:ind w:hanging="360" w:left="2160"/>
      </w:pPr>
      <w:rPr>
        <w:rFonts w:ascii="Noto Sans Symbols" w:cs="Noto Sans Symbols" w:eastAsia="Noto Sans Symbols" w:hAnsi="Noto Sans Symbols"/>
        <w:sz w:val="20"/>
        <w:szCs w:val="20"/>
      </w:rPr>
    </w:lvl>
    <w:lvl w:ilvl="3">
      <w:start w:val="1"/>
      <w:numFmt w:val="bullet"/>
      <w:lvlText w:val="▪"/>
      <w:lvlJc w:val="left"/>
      <w:pPr>
        <w:ind w:hanging="360" w:left="2880"/>
      </w:pPr>
      <w:rPr>
        <w:rFonts w:ascii="Noto Sans Symbols" w:cs="Noto Sans Symbols" w:eastAsia="Noto Sans Symbols" w:hAnsi="Noto Sans Symbols"/>
        <w:sz w:val="20"/>
        <w:szCs w:val="20"/>
      </w:rPr>
    </w:lvl>
    <w:lvl w:ilvl="4">
      <w:start w:val="1"/>
      <w:numFmt w:val="bullet"/>
      <w:lvlText w:val="▪"/>
      <w:lvlJc w:val="left"/>
      <w:pPr>
        <w:ind w:hanging="360" w:left="3600"/>
      </w:pPr>
      <w:rPr>
        <w:rFonts w:ascii="Noto Sans Symbols" w:cs="Noto Sans Symbols" w:eastAsia="Noto Sans Symbols" w:hAnsi="Noto Sans Symbols"/>
        <w:sz w:val="20"/>
        <w:szCs w:val="20"/>
      </w:rPr>
    </w:lvl>
    <w:lvl w:ilvl="5">
      <w:start w:val="1"/>
      <w:numFmt w:val="bullet"/>
      <w:lvlText w:val="▪"/>
      <w:lvlJc w:val="left"/>
      <w:pPr>
        <w:ind w:hanging="360" w:left="4320"/>
      </w:pPr>
      <w:rPr>
        <w:rFonts w:ascii="Noto Sans Symbols" w:cs="Noto Sans Symbols" w:eastAsia="Noto Sans Symbols" w:hAnsi="Noto Sans Symbols"/>
        <w:sz w:val="20"/>
        <w:szCs w:val="20"/>
      </w:rPr>
    </w:lvl>
    <w:lvl w:ilvl="6">
      <w:start w:val="1"/>
      <w:numFmt w:val="bullet"/>
      <w:lvlText w:val="▪"/>
      <w:lvlJc w:val="left"/>
      <w:pPr>
        <w:ind w:hanging="360" w:left="5040"/>
      </w:pPr>
      <w:rPr>
        <w:rFonts w:ascii="Noto Sans Symbols" w:cs="Noto Sans Symbols" w:eastAsia="Noto Sans Symbols" w:hAnsi="Noto Sans Symbols"/>
        <w:sz w:val="20"/>
        <w:szCs w:val="20"/>
      </w:rPr>
    </w:lvl>
    <w:lvl w:ilvl="7">
      <w:start w:val="1"/>
      <w:numFmt w:val="bullet"/>
      <w:lvlText w:val="▪"/>
      <w:lvlJc w:val="left"/>
      <w:pPr>
        <w:ind w:hanging="360" w:left="5760"/>
      </w:pPr>
      <w:rPr>
        <w:rFonts w:ascii="Noto Sans Symbols" w:cs="Noto Sans Symbols" w:eastAsia="Noto Sans Symbols" w:hAnsi="Noto Sans Symbols"/>
        <w:sz w:val="20"/>
        <w:szCs w:val="20"/>
      </w:rPr>
    </w:lvl>
    <w:lvl w:ilvl="8">
      <w:start w:val="1"/>
      <w:numFmt w:val="bullet"/>
      <w:lvlText w:val="▪"/>
      <w:lvlJc w:val="left"/>
      <w:pPr>
        <w:ind w:hanging="360" w:left="6480"/>
      </w:pPr>
      <w:rPr>
        <w:rFonts w:ascii="Noto Sans Symbols" w:cs="Noto Sans Symbols" w:eastAsia="Noto Sans Symbols" w:hAnsi="Noto Sans Symbols"/>
        <w:sz w:val="20"/>
        <w:szCs w:val="20"/>
      </w:rPr>
    </w:lvl>
  </w:abstractNum>
  <w:abstractNum w:abstractNumId="8">
    <w:lvl w:ilvl="0">
      <w:start w:val="1"/>
      <w:numFmt w:val="bullet"/>
      <w:lvlText w:val="●"/>
      <w:lvlJc w:val="left"/>
      <w:pPr>
        <w:ind w:hanging="360" w:left="720"/>
      </w:pPr>
      <w:rPr>
        <w:rFonts w:ascii="Verdana" w:cs="Verdana" w:eastAsia="Verdana" w:hAnsi="Verdana"/>
        <w:sz w:val="18"/>
        <w:szCs w:val="18"/>
        <w:u w:val="none"/>
      </w:rPr>
    </w:lvl>
    <w:lvl w:ilvl="1">
      <w:start w:val="1"/>
      <w:numFmt w:val="bullet"/>
      <w:lvlText w:val="○"/>
      <w:lvlJc w:val="left"/>
      <w:pPr>
        <w:ind w:hanging="22"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9">
    <w:lvl w:ilvl="0">
      <w:start w:val="1"/>
      <w:numFmt w:val="bullet"/>
      <w:lvlText w:val="●"/>
      <w:lvlJc w:val="left"/>
      <w:pPr>
        <w:ind w:hanging="360" w:left="60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hanging="360" w:left="120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hanging="360" w:left="21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hanging="360" w:left="288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hanging="360" w:left="360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hanging="360" w:left="432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hanging="360" w:left="504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hanging="360" w:left="57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hanging="360" w:left="648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0">
    <w:lvl w:ilvl="0">
      <w:start w:val="1"/>
      <w:numFmt w:val="bullet"/>
      <w:lvlText w:val="●"/>
      <w:lvlJc w:val="left"/>
      <w:pPr>
        <w:ind w:hanging="360" w:left="360"/>
      </w:pPr>
      <w:rPr>
        <w:rFonts w:ascii="Noto Sans Symbols" w:cs="Noto Sans Symbols" w:eastAsia="Noto Sans Symbols" w:hAnsi="Noto Sans Symbols"/>
        <w:sz w:val="20"/>
        <w:szCs w:val="20"/>
      </w:rPr>
    </w:lvl>
    <w:lvl w:ilvl="1">
      <w:start w:val="1"/>
      <w:numFmt w:val="bullet"/>
      <w:lvlText w:val="o"/>
      <w:lvlJc w:val="left"/>
      <w:pPr>
        <w:ind w:hanging="360" w:left="1080"/>
      </w:pPr>
      <w:rPr>
        <w:rFonts w:ascii="Courier New" w:cs="Courier New" w:eastAsia="Courier New" w:hAnsi="Courier New"/>
        <w:sz w:val="20"/>
        <w:szCs w:val="20"/>
      </w:rPr>
    </w:lvl>
    <w:lvl w:ilvl="2">
      <w:start w:val="1"/>
      <w:numFmt w:val="bullet"/>
      <w:lvlText w:val="▪"/>
      <w:lvlJc w:val="left"/>
      <w:pPr>
        <w:ind w:hanging="360" w:left="1800"/>
      </w:pPr>
      <w:rPr>
        <w:rFonts w:ascii="Noto Sans Symbols" w:cs="Noto Sans Symbols" w:eastAsia="Noto Sans Symbols" w:hAnsi="Noto Sans Symbols"/>
        <w:sz w:val="20"/>
        <w:szCs w:val="20"/>
      </w:rPr>
    </w:lvl>
    <w:lvl w:ilvl="3">
      <w:start w:val="1"/>
      <w:numFmt w:val="bullet"/>
      <w:lvlText w:val="▪"/>
      <w:lvlJc w:val="left"/>
      <w:pPr>
        <w:ind w:hanging="360" w:left="2520"/>
      </w:pPr>
      <w:rPr>
        <w:rFonts w:ascii="Noto Sans Symbols" w:cs="Noto Sans Symbols" w:eastAsia="Noto Sans Symbols" w:hAnsi="Noto Sans Symbols"/>
        <w:sz w:val="20"/>
        <w:szCs w:val="20"/>
      </w:rPr>
    </w:lvl>
    <w:lvl w:ilvl="4">
      <w:start w:val="1"/>
      <w:numFmt w:val="bullet"/>
      <w:lvlText w:val="▪"/>
      <w:lvlJc w:val="left"/>
      <w:pPr>
        <w:ind w:hanging="360" w:left="3240"/>
      </w:pPr>
      <w:rPr>
        <w:rFonts w:ascii="Noto Sans Symbols" w:cs="Noto Sans Symbols" w:eastAsia="Noto Sans Symbols" w:hAnsi="Noto Sans Symbols"/>
        <w:sz w:val="20"/>
        <w:szCs w:val="20"/>
      </w:rPr>
    </w:lvl>
    <w:lvl w:ilvl="5">
      <w:start w:val="1"/>
      <w:numFmt w:val="bullet"/>
      <w:lvlText w:val="▪"/>
      <w:lvlJc w:val="left"/>
      <w:pPr>
        <w:ind w:hanging="360" w:left="3960"/>
      </w:pPr>
      <w:rPr>
        <w:rFonts w:ascii="Noto Sans Symbols" w:cs="Noto Sans Symbols" w:eastAsia="Noto Sans Symbols" w:hAnsi="Noto Sans Symbols"/>
        <w:sz w:val="20"/>
        <w:szCs w:val="20"/>
      </w:rPr>
    </w:lvl>
    <w:lvl w:ilvl="6">
      <w:start w:val="1"/>
      <w:numFmt w:val="bullet"/>
      <w:lvlText w:val="▪"/>
      <w:lvlJc w:val="left"/>
      <w:pPr>
        <w:ind w:hanging="360" w:left="4680"/>
      </w:pPr>
      <w:rPr>
        <w:rFonts w:ascii="Noto Sans Symbols" w:cs="Noto Sans Symbols" w:eastAsia="Noto Sans Symbols" w:hAnsi="Noto Sans Symbols"/>
        <w:sz w:val="20"/>
        <w:szCs w:val="20"/>
      </w:rPr>
    </w:lvl>
    <w:lvl w:ilvl="7">
      <w:start w:val="1"/>
      <w:numFmt w:val="bullet"/>
      <w:lvlText w:val="▪"/>
      <w:lvlJc w:val="left"/>
      <w:pPr>
        <w:ind w:hanging="360" w:left="5400"/>
      </w:pPr>
      <w:rPr>
        <w:rFonts w:ascii="Noto Sans Symbols" w:cs="Noto Sans Symbols" w:eastAsia="Noto Sans Symbols" w:hAnsi="Noto Sans Symbols"/>
        <w:sz w:val="20"/>
        <w:szCs w:val="20"/>
      </w:rPr>
    </w:lvl>
    <w:lvl w:ilvl="8">
      <w:start w:val="1"/>
      <w:numFmt w:val="bullet"/>
      <w:lvlText w:val="▪"/>
      <w:lvlJc w:val="left"/>
      <w:pPr>
        <w:ind w:hanging="360" w:left="6120"/>
      </w:pPr>
      <w:rPr>
        <w:rFonts w:ascii="Noto Sans Symbols" w:cs="Noto Sans Symbols" w:eastAsia="Noto Sans Symbols" w:hAnsi="Noto Sans Symbols"/>
        <w:sz w:val="20"/>
        <w:szCs w:val="20"/>
      </w:rPr>
    </w:lvl>
  </w:abstractNum>
  <w:abstractNum w:abstractNumId="11">
    <w:lvl w:ilvl="0">
      <w:start w:val="1"/>
      <w:numFmt w:val="bullet"/>
      <w:lvlText w:val="●"/>
      <w:lvlJc w:val="left"/>
      <w:pPr>
        <w:ind w:hanging="360" w:left="720"/>
      </w:pPr>
      <w:rPr>
        <w:rFonts w:ascii="Verdana" w:cs="Verdana" w:eastAsia="Verdana" w:hAnsi="Verdana"/>
        <w:sz w:val="18"/>
        <w:szCs w:val="18"/>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12">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TrueTypeFonts w:val="1"/>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docDefaults>
    <w:rPrDefault>
      <w:rPr>
        <w:rFonts w:ascii="Arial" w:cs="Arial" w:eastAsia="Arial" w:hAnsi="Arial"/>
        <w:sz w:val="22"/>
        <w:szCs w:val="22"/>
        <w:lang w:val="en"/>
      </w:rPr>
    </w:rPrDefault>
    <w:pPrDefault>
      <w:pPr>
        <w:spacing w:line="276" w:lineRule="auto"/>
      </w:pPr>
    </w:pPrDefault>
  </w:docDefaults>
  <w:style w:default="1" w:styleId="TableNormal" w:type="table">
    <w:name w:val="TableNormal"/>
    <w:tblPr>
      <w:tblCellMar>
        <w:top w:type="dxa" w:w="100.0"/>
        <w:left w:type="dxa" w:w="100.0"/>
        <w:bottom w:type="dxa" w:w="100.0"/>
        <w:right w:type="dxa" w:w="100.0"/>
      </w:tblCellMar>
    </w:tblPr>
  </w:style>
  <w:style w:default="1" w:styleId="Normal" w:type="paragraph">
    <w:name w:val="normal"/>
  </w:style>
  <w:style w:styleId="Heading1" w:type="paragraph">
    <w:name w:val="heading 1"/>
    <w:basedOn w:val="Normal"/>
    <w:next w:val="Normal"/>
    <w:pPr>
      <w:keepNext w:val="1"/>
      <w:keepLines w:val="1"/>
      <w:spacing w:after="120" w:before="400" w:lineRule="auto"/>
    </w:pPr>
    <w:rPr>
      <w:sz w:val="40"/>
      <w:szCs w:val="40"/>
    </w:rPr>
  </w:style>
  <w:style w:styleId="Heading2" w:type="paragraph">
    <w:name w:val="heading 2"/>
    <w:basedOn w:val="Normal"/>
    <w:next w:val="Normal"/>
    <w:pPr>
      <w:keepNext w:val="1"/>
      <w:keepLines w:val="1"/>
      <w:spacing w:after="120" w:before="360" w:lineRule="auto"/>
    </w:pPr>
    <w:rPr>
      <w:sz w:val="32"/>
      <w:szCs w:val="32"/>
    </w:rPr>
  </w:style>
  <w:style w:styleId="Heading3" w:type="paragraph">
    <w:name w:val="heading 3"/>
    <w:basedOn w:val="Normal"/>
    <w:next w:val="Normal"/>
    <w:pPr>
      <w:keepNext w:val="1"/>
      <w:keepLines w:val="1"/>
      <w:spacing w:after="80" w:before="320" w:lineRule="auto"/>
    </w:pPr>
    <w:rPr>
      <w:color w:val="434343"/>
      <w:sz w:val="28"/>
      <w:szCs w:val="28"/>
    </w:rPr>
  </w:style>
  <w:style w:styleId="Heading4" w:type="paragraph">
    <w:name w:val="heading 4"/>
    <w:basedOn w:val="Normal"/>
    <w:next w:val="Normal"/>
    <w:pPr>
      <w:keepNext w:val="1"/>
      <w:keepLines w:val="1"/>
      <w:spacing w:after="80" w:before="280" w:lineRule="auto"/>
    </w:pPr>
    <w:rPr>
      <w:color w:val="666666"/>
      <w:sz w:val="24"/>
      <w:szCs w:val="24"/>
    </w:rPr>
  </w:style>
  <w:style w:styleId="Heading5" w:type="paragraph">
    <w:name w:val="heading 5"/>
    <w:basedOn w:val="Normal"/>
    <w:next w:val="Normal"/>
    <w:pPr>
      <w:keepNext w:val="1"/>
      <w:keepLines w:val="1"/>
      <w:spacing w:after="80" w:before="240" w:lineRule="auto"/>
    </w:pPr>
    <w:rPr>
      <w:color w:val="666666"/>
    </w:rPr>
  </w:style>
  <w:style w:styleId="Heading6" w:type="paragraph">
    <w:name w:val="heading 6"/>
    <w:basedOn w:val="Normal"/>
    <w:next w:val="Normal"/>
    <w:pPr>
      <w:keepNext w:val="1"/>
      <w:keepLines w:val="1"/>
      <w:spacing w:after="80" w:before="240" w:lineRule="auto"/>
    </w:pPr>
    <w:rPr>
      <w:i w:val="1"/>
      <w:iCs w:val="1"/>
      <w:color w:val="666666"/>
    </w:rPr>
  </w:style>
  <w:style w:styleId="Title" w:type="paragraph">
    <w:name w:val="Title"/>
    <w:basedOn w:val="Normal"/>
    <w:next w:val="Normal"/>
    <w:pPr>
      <w:keepNext w:val="1"/>
      <w:keepLines w:val="1"/>
      <w:spacing w:after="60" w:lineRule="auto"/>
    </w:pPr>
    <w:rPr>
      <w:sz w:val="52"/>
      <w:szCs w:val="52"/>
    </w:rPr>
  </w:style>
  <w:style w:styleId="Subtitle" w:type="paragraph">
    <w:name w:val="Subtitle"/>
    <w:basedOn w:val="Normal"/>
    <w:next w:val="Normal"/>
    <w:pPr>
      <w:keepNext w:val="1"/>
      <w:keepLines w:val="1"/>
      <w:spacing w:after="320" w:lineRule="auto"/>
    </w:pPr>
    <w:rPr>
      <w:color w:val="666666"/>
      <w:sz w:val="30"/>
      <w:szCs w:val="30"/>
    </w:rPr>
  </w:style>
  <w:style w:styleId="Table1" w:type="table">
    <w:basedOn w:val="TableNormal"/>
    <w:tblPr>
      <w:tblStyleRowBandSize w:val="1"/>
      <w:tblStyleColBandSize w:val="1"/>
      <w:tblCellMar>
        <w:top w:type="dxa" w:w="0.0"/>
        <w:left w:type="dxa" w:w="108.0"/>
        <w:bottom w:type="dxa" w:w="0.0"/>
        <w:right w:type="dxa" w:w="108.0"/>
      </w:tblCellMar>
    </w:tblPr>
  </w:style>
  <w:style w:styleId="Table2" w:type="table">
    <w:basedOn w:val="TableNormal"/>
    <w:tblPr>
      <w:tblStyleRowBandSize w:val="1"/>
      <w:tblStyleColBandSize w:val="1"/>
      <w:tblCellMar>
        <w:top w:type="dxa" w:w="0.0"/>
        <w:left w:type="dxa" w:w="108.0"/>
        <w:bottom w:type="dxa" w:w="0.0"/>
        <w:right w:type="dxa" w:w="108.0"/>
      </w:tblCellMar>
    </w:tblPr>
  </w:style>
  <w:style w:styleId="Table3" w:type="table">
    <w:basedOn w:val="TableNormal"/>
    <w:tblPr>
      <w:tblStyleRowBandSize w:val="1"/>
      <w:tblStyleColBandSize w:val="1"/>
      <w:tblCellMar>
        <w:top w:type="dxa" w:w="0.0"/>
        <w:left w:type="dxa" w:w="108.0"/>
        <w:bottom w:type="dxa" w:w="0.0"/>
        <w:right w:type="dxa" w:w="108.0"/>
      </w:tblCellMar>
    </w:tbl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0" Target="media/rId20.png" /></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2026-10-02T19:24:45Z</dcterms:created>
  <dcterms:modified xsi:type="dcterms:W3CDTF">2026-10-02T19:24:45Z</dcterms:modified>
</cp:coreProperties>
</file>

<file path=docProps/custom.xml><?xml version="1.0" encoding="utf-8"?>
<Properties xmlns="http://schemas.openxmlformats.org/officeDocument/2006/custom-properties" xmlns:vt="http://schemas.openxmlformats.org/officeDocument/2006/docPropsVTypes"/>
</file>