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  <w:t>版本控制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  <w:t>AcceptHeaderVersioning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68595" cy="143129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默认不开启版本号（即request.version默认为None）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根据不同的版本，用不同的序列化类处理数据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settings常见配置</w:t>
      </w:r>
    </w:p>
    <w:p>
      <w:r>
        <w:drawing>
          <wp:inline distT="0" distB="0" distL="114300" distR="114300">
            <wp:extent cx="5270500" cy="59372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VERSION_PARAM是指在url显示的名称如：/hosts/?</w:t>
      </w:r>
      <w:bookmarkStart w:id="0" w:name="_GoBack"/>
      <w:bookmarkEnd w:id="0"/>
      <w:r>
        <w:rPr>
          <w:rFonts w:hint="eastAsia"/>
          <w:lang w:val="en-US" w:eastAsia="zh-CN"/>
        </w:rPr>
        <w:t>vs=1</w:t>
      </w:r>
    </w:p>
    <w:p>
      <w:r>
        <w:drawing>
          <wp:inline distT="0" distB="0" distL="114300" distR="114300">
            <wp:extent cx="5269230" cy="286194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Postman发送数据（需要在头部指定版本）</w:t>
      </w:r>
    </w:p>
    <w:p>
      <w:r>
        <w:drawing>
          <wp:inline distT="0" distB="0" distL="114300" distR="114300">
            <wp:extent cx="6170295" cy="151130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0EDDD"/>
    <w:multiLevelType w:val="singleLevel"/>
    <w:tmpl w:val="CC10ED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4142"/>
    <w:rsid w:val="602942E4"/>
    <w:rsid w:val="6E8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2019-08-08T16:03:39Z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