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***Laiholh version for magazine: really describe and explain the Common Voice project, app, etc***</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Explain the project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What concrete steps/types of work we did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Challenges and Insights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accents/vowel length--when to write long vowels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Stuff to include: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Yourself in 2 states of mind: how did you feel about it when you first heard about it? </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Feels excited  with a little doubt.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Excitement: Talk to phone for translation for transaction interactions:  hospital (checking in/out--interpreters usually become available for the rest), paying bills (insurance, especially in case of car accidents, words like ‘deductable’ and ‘premium’ often need explanation), BMV (address change, plate renewal, IDs), car dealership (negotiation, sales), dentist (doctor-patient translation), post office (address change, sending mail), jail (bail, getting a lawyer), court (once translated pre-trial hearing, probably still needs in-person translation), work (contracts and policies, talking to HR, requesting time off (FMLA)), school information (parent-school (such as parent-teacher) interaction, messages from principal for example about school attendance, </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Excitement: Talk to phone for information on weather (Church sends out voicemail to congregation), driving directions, voting information (and candidate information), </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In some cases, Peng would not be able to translate in person and would write a note to hand to someone at, say, the BMV for an address change, but the person in need has no ability to adapt to the situation.</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Doubt: Too good to be true--too large of a project, lots of work, once a database exists will it really be used to make tools for the community, community participation. Will the institution (government,hospital ect.) make use of the technology</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What were your concerns, what made you nervous, what were you excited about?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AND, now--what seems valuable now, what are your concerns now, etc.</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(One thing to think about: how did you feel when we described it to you, and how do you feel when you describe it to others?)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What are specific situations/places where people have asked for your help (with translation, navigating, etc)?</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What *haven’t* we done yet?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stories!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