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DEFINICIÓN IDEA BANCO DE ALIMENTOS</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La idea general es la de informatizar y automatizar la infraestructura organizativa de un banco de alimentos proporcionando una base de datos mediante la cual se maneje, no solo el inventario del almacén de alimentos, sino también el tráfico de alimentos y dinero entre proveedores, banco y beneficiarios. Logrando de esta forma poder aplicar al mismo tiempo, una serie de algoritmos de automatización, mediante los cuales aplicar sistemas de inventariado como LIFO de manera que los alimentos de menor vida útil, que por lo general coinciden con los alimentos almacenados durante  un mayor tiempo, se envíen antes que el resto a fin de aprovechar lo máximo posible  todos los recursos.</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De igual manera se podrán definir una serie de alertas o avisos referentes a proveedores o beneficiarios que coincidan con criterios preestablecidos, como alergias en el caso de los beneficiarios y largos periodos sin donaciones en el de los proveedores. Esta característica también se aplicaría en el caso de los alimentos, con alertas respectivas a productos próximos a la expiración o pedidos cuya fecha de envío se aproxime al margen de tiempo mínimo imprescindible para asegurar la fecha de entrega.</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Por otra parte, a modo de conexión con la base de datos y con el objetivo de minimizar el gasto en ordenadores u otros dispositivos de alto coste económico así como de simplificar la manipulación de la misma base de datos, se proveerá a la empresa y por ende a sus trabajadores de un dispositivo con conexión directa al servidor. El cual mediante un lector podrá identificar los paquetes y lotes previamente etiquetados y referenciados en la base de datos, para posteriormente mediante el menú integrado en el dispositivo especificar qué acción se va a realizar con el paquete seleccionado.</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Para poder implementar estos dispositivos, se utilizará un software que permitirá registrar la entrada de productos en sus diferentes formatos, por lo general cajas o lotes, en el almacén del banco. Al mismo tiempo esta información se almacenará de forma automática en la base de datos teniendo en cuenta los diferentes parámetros introducidos. Tras guardar la información y generados los nuevos identificadores referentes a la entrada registrada, se imprimirá un código de barras que contendrá la información más relevante, para mediante los lectores poder identificar tanto el paquete como su contenido y otros aspectos relevantes para su gestión.</w:t>
      </w:r>
    </w:p>
    <w:p w:rsidR="00000000" w:rsidDel="00000000" w:rsidP="00000000" w:rsidRDefault="00000000" w:rsidRPr="00000000" w14:paraId="0000000A">
      <w:pPr>
        <w:jc w:val="left"/>
        <w:rPr>
          <w:sz w:val="24"/>
          <w:szCs w:val="24"/>
        </w:rPr>
      </w:pPr>
      <w:r w:rsidDel="00000000" w:rsidR="00000000" w:rsidRPr="00000000">
        <w:rPr>
          <w:rtl w:val="0"/>
        </w:rPr>
      </w:r>
    </w:p>
    <w:p w:rsidR="00000000" w:rsidDel="00000000" w:rsidP="00000000" w:rsidRDefault="00000000" w:rsidRPr="00000000" w14:paraId="0000000B">
      <w:pPr>
        <w:jc w:val="left"/>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