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ind w:left="1140" w:hanging="360"/>
        <w:rPr>
          <w:b w:val="1"/>
        </w:rPr>
      </w:pPr>
      <w:bookmarkStart w:colFirst="0" w:colLast="0" w:name="_jxb4lh51sel5" w:id="0"/>
      <w:bookmarkEnd w:id="0"/>
      <w:r w:rsidDel="00000000" w:rsidR="00000000" w:rsidRPr="00000000">
        <w:rPr>
          <w:b w:val="1"/>
          <w:rtl w:val="0"/>
        </w:rPr>
        <w:t xml:space="preserve">1.</w:t>
      </w:r>
      <w:r w:rsidDel="00000000" w:rsidR="00000000" w:rsidRPr="00000000">
        <w:rPr>
          <w:sz w:val="14"/>
          <w:szCs w:val="14"/>
          <w:rtl w:val="0"/>
        </w:rPr>
        <w:tab/>
      </w:r>
      <w:r w:rsidDel="00000000" w:rsidR="00000000" w:rsidRPr="00000000">
        <w:rPr>
          <w:b w:val="1"/>
          <w:rtl w:val="0"/>
        </w:rPr>
        <w:t xml:space="preserve">Introducción</w:t>
      </w:r>
    </w:p>
    <w:p w:rsidR="00000000" w:rsidDel="00000000" w:rsidP="00000000" w:rsidRDefault="00000000" w:rsidRPr="00000000" w14:paraId="00000002">
      <w:pPr>
        <w:spacing w:after="240" w:before="240" w:line="276" w:lineRule="auto"/>
        <w:jc w:val="both"/>
        <w:rPr/>
      </w:pPr>
      <w:r w:rsidDel="00000000" w:rsidR="00000000" w:rsidRPr="00000000">
        <w:rPr>
          <w:rtl w:val="0"/>
        </w:rPr>
        <w:t xml:space="preserve">En este documento, se pretende enumerar los diferentes ODS u objetivos de desarrollo sostenible en los que nuestro proyecto TidyFood influye de forma directa o indirectamente, positiva o negativa. Así como las bases y fundamentos que justifican dicha influencia, de forma que se determine la magnitud del impacto con independencia del tipo de influencia y la posible correlación entre los diferentes objetivos.</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Al mismo tiempo, se pretende justificar la realización del proyecto en base a los resultados esperados para cada uno de los objetivos en los que se influye de forma positiva. De esta forma se pretende valorar la rentabilidad, tanto económica como social en base a los hipotéticos costes de desarrollo.</w:t>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ind w:left="1140" w:hanging="360"/>
        <w:rPr>
          <w:b w:val="1"/>
          <w:sz w:val="46"/>
          <w:szCs w:val="46"/>
        </w:rPr>
      </w:pPr>
      <w:bookmarkStart w:colFirst="0" w:colLast="0" w:name="_9b96rytywt6h"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Objetivo principal</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El objetivo general del proyecto TidyFood es el de desarrollar un software logístico que sirva tanto para facilitar la labor de los empleados, como la eficiencia y el control del almacén en el ámbito de los bancos de alimentos. Lo cual,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dado que la demanda de alimentos por parte de los bancos, es mayor a la oferta actual</w:t>
        </w:r>
      </w:hyperlink>
      <w:r w:rsidDel="00000000" w:rsidR="00000000" w:rsidRPr="00000000">
        <w:rPr>
          <w:rtl w:val="0"/>
        </w:rPr>
        <w:t xml:space="preserve">, deriva en que gracias a la mayor eficiencia de la gestión interna, el aprovechamiento del stock es mayor, lo que equivale a mas comida o por lo menos mejor repartida. No solo eso, además, mediante el propio software también se pretende llevar a cabo un control periódico de los proveedores registrados, con el fin de recolectar los posibles productos aprovechables que se pretendan desechar.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En resumen y de forma general, el objetivo es disminuir a cantidad de productos desaprovechados o desperdiciados, facilitando el aprovechamiento de estos mediante un control más exhaustivo de la logística de los bancos de alimentos, principal organismo para el aprovechamiento de alimentos potencialmente desperdiciados en lo referente a supermercados y hostelería.</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A este respecto, se influye de una forma directamente positiva en el objetivo de desarrollo 12, producción y consumo responsables, el cual busca garantizar modalidades de consumo y producción sostenibles. En nuestro caso, se destaca el consumo sostenible, el cual como se explica a continuación es especialmente relevante en materia de sostenibilidad, pues existe una gran tendencia a desperdiciar alimentos tanto en hogares a nivel individual o familiar, como en supermercados y hostelería a nivel de sociedad.</w:t>
      </w:r>
    </w:p>
    <w:p w:rsidR="00000000" w:rsidDel="00000000" w:rsidP="00000000" w:rsidRDefault="00000000" w:rsidRPr="00000000" w14:paraId="00000009">
      <w:pPr>
        <w:spacing w:after="240" w:before="240" w:line="276" w:lineRule="auto"/>
        <w:jc w:val="both"/>
        <w:rPr/>
      </w:pPr>
      <w:r w:rsidDel="00000000" w:rsidR="00000000" w:rsidRPr="00000000">
        <w:rPr>
          <w:rtl w:val="0"/>
        </w:rPr>
        <w:t xml:space="preserve">Las siguientes conclusiones, derivan directamente de los reportes mas recientes de la</w:t>
      </w:r>
      <w:hyperlink r:id="rId8">
        <w:r w:rsidDel="00000000" w:rsidR="00000000" w:rsidRPr="00000000">
          <w:rPr>
            <w:rtl w:val="0"/>
          </w:rPr>
          <w:t xml:space="preserve"> </w:t>
        </w:r>
      </w:hyperlink>
      <w:hyperlink r:id="rId9">
        <w:r w:rsidDel="00000000" w:rsidR="00000000" w:rsidRPr="00000000">
          <w:rPr>
            <w:color w:val="1155cc"/>
            <w:u w:val="single"/>
            <w:rtl w:val="0"/>
          </w:rPr>
          <w:t xml:space="preserve">FAO</w:t>
        </w:r>
      </w:hyperlink>
      <w:r w:rsidDel="00000000" w:rsidR="00000000" w:rsidRPr="00000000">
        <w:rPr>
          <w:rtl w:val="0"/>
        </w:rPr>
        <w:t xml:space="preserve"> (Organización de las naciones unidas para la alimentación y la agricultura ) y la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UNEP</w:t>
        </w:r>
      </w:hyperlink>
      <w:r w:rsidDel="00000000" w:rsidR="00000000" w:rsidRPr="00000000">
        <w:rPr>
          <w:rtl w:val="0"/>
        </w:rPr>
        <w:t xml:space="preserve"> (Programa de las naciones unidas para el medio ambiente) respecto a la problemática que nos ocupa. Según los cuales, la cantidad de kg per cápita anuales de alimento desperdiciados, no solo varía en función de la geografía sino también dependiendo de la renta, donde los países de mayor y menor renta se encuentran en encuentran por encima del espectro intermedio del resto de países, en lo que se asemeja a una campana de Gauss invertida, refiriéndose siempre al ámbito familiar.</w:t>
      </w:r>
    </w:p>
    <w:p w:rsidR="00000000" w:rsidDel="00000000" w:rsidP="00000000" w:rsidRDefault="00000000" w:rsidRPr="00000000" w14:paraId="0000000A">
      <w:pPr>
        <w:spacing w:after="240" w:before="240" w:line="276" w:lineRule="auto"/>
        <w:jc w:val="both"/>
        <w:rPr/>
      </w:pPr>
      <w:r w:rsidDel="00000000" w:rsidR="00000000" w:rsidRPr="00000000">
        <w:rPr>
          <w:rtl w:val="0"/>
        </w:rPr>
        <w:t xml:space="preserve">En un contexto mas especifico, como lo es el de los países del sur de  Europa entre los que se encuentra España</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nep.org/resources/report/unep-food-waste-index-report-2021" TargetMode="External"/><Relationship Id="rId10" Type="http://schemas.openxmlformats.org/officeDocument/2006/relationships/hyperlink" Target="https://www.unep.org/resources/report/unep-food-waste-index-report-2021" TargetMode="External"/><Relationship Id="rId9" Type="http://schemas.openxmlformats.org/officeDocument/2006/relationships/hyperlink" Target="https://www.fao.org/platform-food-loss-waste/flw-data/en/" TargetMode="External"/><Relationship Id="rId5" Type="http://schemas.openxmlformats.org/officeDocument/2006/relationships/styles" Target="styles.xml"/><Relationship Id="rId6" Type="http://schemas.openxmlformats.org/officeDocument/2006/relationships/hyperlink" Target="https://elpais.com/sociedad/2021-04-19/la-demanda-de-los-bancos-de-alimentos-se-dispara-un-50-en-espana-por-la-pandemia.html" TargetMode="External"/><Relationship Id="rId7" Type="http://schemas.openxmlformats.org/officeDocument/2006/relationships/hyperlink" Target="https://elpais.com/sociedad/2021-04-19/la-demanda-de-los-bancos-de-alimentos-se-dispara-un-50-en-espana-por-la-pandemia.html" TargetMode="External"/><Relationship Id="rId8" Type="http://schemas.openxmlformats.org/officeDocument/2006/relationships/hyperlink" Target="https://www.fao.org/platform-food-loss-waste/flw-dat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