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Bock v. Pressler &amp; Pressler, LLP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19, 2017, Decided; October 19,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 No. 11-7593 (KM) (SCM)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174241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4711472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DANIEL BOCK, JR., Plaintiff, v. PRESSLER &amp; PRESSLER, LLP,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Bock v. Pressler &amp; Pressler, LLP, 254 F. Supp. 3d 724, 2017 U.S. Dist. LEXIS 81058 (D.N.J., May 25,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summary judgment, new evidence, reconsideration motion, reconsideration, amend, summary judgment motion, expert testimony, misrepresentation, intervening, malpractice, grounds, summary judgment ruling, Supplemental, reconsider, merits, district court, clear error, involvement, issues, manifest injustice, law of the case, debt collector, attorney's, misleading, possessed, ethical, cases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DANIEL BOCK, JR., Plaintiff: ANDREW T. THOMASSON, LEAD ATTORNEY, PHILIP D. STERN, Stern Thomasson LLP, Springfield, NJ; ANDREW M. MILZ, CARY L. FLITTER, FLITTER MILZ, P.C., Marlton,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PRESSLER AND PRESSLER, LLP, Defendant: MICHAEL JON PETERS, LEAD ATTORNEY, PRESSLER &amp; PRESSLER LLP, PARSIPPANY, NJ; MITCHELL L WILLIAMSON, LEAD ATTORNEY, Barron &amp; Newburger, P.C., Somerset, NJ.</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KEVIN MCNULTY,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KEVIN MCNULTY</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single"/>
          <w:vertAlign w:val="baseline"/>
        </w:rPr>
        <w:t>KEVIN MCNULTY. U.S.D.J.</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Before the court is the motion (ECF no. 100) of the defendant, Pressler and Pressler, LLP ("Pressler"), pursuant to </w:t>
      </w:r>
      <w:hyperlink r:id="rId12" w:history="1">
        <w:r>
          <w:rPr>
            <w:rFonts w:ascii="arial" w:eastAsia="arial" w:hAnsi="arial" w:cs="arial"/>
            <w:b w:val="0"/>
            <w:i/>
            <w:strike w:val="0"/>
            <w:noProof w:val="0"/>
            <w:color w:val="0077CC"/>
            <w:position w:val="0"/>
            <w:sz w:val="20"/>
            <w:u w:val="single"/>
            <w:vertAlign w:val="baseline"/>
          </w:rPr>
          <w:t>Loc. Civ. R. 7.1(i)</w:t>
        </w:r>
      </w:hyperlink>
      <w:hyperlink r:id="rId13" w:history="1">
        <w:r>
          <w:rPr>
            <w:rFonts w:ascii="arial" w:eastAsia="arial" w:hAnsi="arial" w:cs="arial"/>
            <w:b w:val="0"/>
            <w:i/>
            <w:strike w:val="0"/>
            <w:noProof w:val="0"/>
            <w:color w:val="0077CC"/>
            <w:position w:val="0"/>
            <w:sz w:val="20"/>
            <w:u w:val="single"/>
            <w:vertAlign w:val="baseline"/>
          </w:rPr>
          <w:t>, Fed. R. Civ. P. 59(e)</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Fed. R. Civ. P. 60(b)(2)</w:t>
        </w:r>
      </w:hyperlink>
      <w:r>
        <w:rPr>
          <w:rFonts w:ascii="arial" w:eastAsia="arial" w:hAnsi="arial" w:cs="arial"/>
          <w:b w:val="0"/>
          <w:i w:val="0"/>
          <w:strike w:val="0"/>
          <w:noProof w:val="0"/>
          <w:color w:val="000000"/>
          <w:position w:val="0"/>
          <w:sz w:val="20"/>
          <w:u w:val="none"/>
          <w:vertAlign w:val="baseline"/>
        </w:rPr>
        <w:t>, to reconsider, alter, or otherwise amend the Court's award of summary judgment to the plaintiff, Daniel Bock, Jr. (For convenience, I will refer to it as a "motion for reconsideration.") For the reasons stated herein, the motion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Familiarity with my prior written opinions in this action is assumed. In particular, I do not repeat the facts or analysis in my original opinion granting summary judgment to the plaintiff, Bock (ECF no. 59 [as amended ECF nos. 61, 62], cited as "Op.") or my opinion on remand, finding that the plaintiff possessed Article III standing and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reinstating summary judgment (ECF no. 97, cited as "Remand Op.").</w:t>
      </w:r>
    </w:p>
    <w:p>
      <w:pPr>
        <w:keepNext w:val="0"/>
        <w:widowControl w:val="0"/>
        <w:spacing w:before="24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In this action, Bock alleged that Pressler made false or misleading representations in violation of the </w:t>
      </w:r>
      <w:hyperlink r:id="rId15" w:history="1">
        <w:r>
          <w:rPr>
            <w:rFonts w:ascii="arial" w:eastAsia="arial" w:hAnsi="arial" w:cs="arial"/>
            <w:b w:val="0"/>
            <w:i/>
            <w:strike w:val="0"/>
            <w:noProof w:val="0"/>
            <w:color w:val="0077CC"/>
            <w:position w:val="0"/>
            <w:sz w:val="20"/>
            <w:u w:val="single"/>
            <w:vertAlign w:val="baseline"/>
          </w:rPr>
          <w:t>Fair Debt Collections Practice Act</w:t>
        </w:r>
      </w:hyperlink>
      <w:r>
        <w:rPr>
          <w:rFonts w:ascii="arial" w:eastAsia="arial" w:hAnsi="arial" w:cs="arial"/>
          <w:b w:val="0"/>
          <w:i w:val="0"/>
          <w:strike w:val="0"/>
          <w:noProof w:val="0"/>
          <w:color w:val="000000"/>
          <w:position w:val="0"/>
          <w:sz w:val="20"/>
          <w:u w:val="none"/>
          <w:vertAlign w:val="baseline"/>
        </w:rPr>
        <w:t xml:space="preserve"> (the "FDCPA"), </w:t>
      </w:r>
      <w:hyperlink r:id="rId16" w:history="1">
        <w:r>
          <w:rPr>
            <w:rFonts w:ascii="arial" w:eastAsia="arial" w:hAnsi="arial" w:cs="arial"/>
            <w:b w:val="0"/>
            <w:i/>
            <w:strike w:val="0"/>
            <w:noProof w:val="0"/>
            <w:color w:val="0077CC"/>
            <w:position w:val="0"/>
            <w:sz w:val="20"/>
            <w:u w:val="single"/>
            <w:vertAlign w:val="baseline"/>
          </w:rPr>
          <w:t>15 U.S.C. § 1692e</w:t>
        </w:r>
      </w:hyperlink>
      <w:r>
        <w:rPr>
          <w:rFonts w:ascii="arial" w:eastAsia="arial" w:hAnsi="arial" w:cs="arial"/>
          <w:b w:val="0"/>
          <w:i w:val="0"/>
          <w:strike w:val="0"/>
          <w:noProof w:val="0"/>
          <w:color w:val="000000"/>
          <w:position w:val="0"/>
          <w:sz w:val="20"/>
          <w:u w:val="none"/>
          <w:vertAlign w:val="baseline"/>
        </w:rPr>
        <w:t>. On June 30, 2014, I filed an exhaustive opinion on the merits ("Op."), denied Pressler's summary judgment motion, and granted Bock's summary judgment motion. I entered judgment for Bock in the amount of $1000. (ECF no. 67)</w:t>
      </w:r>
    </w:p>
    <w:p>
      <w:pPr>
        <w:keepNext w:val="0"/>
        <w:widowControl w:val="0"/>
        <w:spacing w:before="240" w:after="0" w:line="260" w:lineRule="atLeast"/>
        <w:ind w:left="0" w:right="0" w:firstLine="0"/>
        <w:jc w:val="both"/>
      </w:pPr>
      <w:bookmarkStart w:id="12" w:name="Bookmark_para_5"/>
      <w:bookmarkEnd w:id="12"/>
      <w:bookmarkStart w:id="13" w:name="Bookmark_I5PYJSRD2HM6YD0020000400"/>
      <w:bookmarkEnd w:id="13"/>
      <w:bookmarkStart w:id="14" w:name="Bookmark_I5PYJSRD2HM6YD0040000400"/>
      <w:bookmarkEnd w:id="14"/>
      <w:r>
        <w:rPr>
          <w:rFonts w:ascii="arial" w:eastAsia="arial" w:hAnsi="arial" w:cs="arial"/>
          <w:b w:val="0"/>
          <w:i w:val="0"/>
          <w:strike w:val="0"/>
          <w:noProof w:val="0"/>
          <w:color w:val="000000"/>
          <w:position w:val="0"/>
          <w:sz w:val="20"/>
          <w:u w:val="none"/>
          <w:vertAlign w:val="baseline"/>
        </w:rPr>
        <w:t xml:space="preserve">Pressler appealed. On appeal, the United States Court of Appeals for the Third Circuit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raised the issue of Bock's Article III standing in light of the intervening case of </w:t>
      </w:r>
      <w:bookmarkStart w:id="15" w:name="Bookmark_I5PYJSRD2HM6YD0010000400"/>
      <w:bookmarkEnd w:id="15"/>
      <w:hyperlink r:id="rId17" w:history="1">
        <w:r>
          <w:rPr>
            <w:rFonts w:ascii="arial" w:eastAsia="arial" w:hAnsi="arial" w:cs="arial"/>
            <w:b w:val="0"/>
            <w:i/>
            <w:strike w:val="0"/>
            <w:noProof w:val="0"/>
            <w:color w:val="0077CC"/>
            <w:position w:val="0"/>
            <w:sz w:val="20"/>
            <w:u w:val="single"/>
            <w:vertAlign w:val="baseline"/>
          </w:rPr>
          <w:t>Spokeo, Inc. v. Robins</w:t>
        </w:r>
      </w:hyperlink>
      <w:hyperlink r:id="rId17" w:history="1">
        <w:r>
          <w:rPr>
            <w:rFonts w:ascii="arial" w:eastAsia="arial" w:hAnsi="arial" w:cs="arial"/>
            <w:b w:val="0"/>
            <w:i/>
            <w:strike w:val="0"/>
            <w:noProof w:val="0"/>
            <w:color w:val="0077CC"/>
            <w:position w:val="0"/>
            <w:sz w:val="20"/>
            <w:u w:val="single"/>
            <w:vertAlign w:val="baseline"/>
          </w:rPr>
          <w:t>, 136 S. Ct. 1540, 194 L. Ed. 2d 635 (2016)</w:t>
        </w:r>
      </w:hyperlink>
      <w:r>
        <w:rPr>
          <w:rFonts w:ascii="arial" w:eastAsia="arial" w:hAnsi="arial" w:cs="arial"/>
          <w:b w:val="0"/>
          <w:i w:val="0"/>
          <w:strike w:val="0"/>
          <w:noProof w:val="0"/>
          <w:color w:val="000000"/>
          <w:position w:val="0"/>
          <w:sz w:val="20"/>
          <w:u w:val="none"/>
          <w:vertAlign w:val="baseline"/>
        </w:rPr>
        <w:t xml:space="preserve">, decided by the Supreme Court after my decision but while the Third Circuit appeal was pending. </w:t>
      </w:r>
      <w:bookmarkStart w:id="16" w:name="Bookmark_I5PYJSRD2D6MSH0010000400"/>
      <w:bookmarkEnd w:id="16"/>
      <w:bookmarkStart w:id="17" w:name="Bookmark_I5PYJSRD2HM6YD0030000400"/>
      <w:bookmarkEnd w:id="17"/>
      <w:hyperlink r:id="rId18" w:history="1">
        <w:r>
          <w:rPr>
            <w:rFonts w:ascii="arial" w:eastAsia="arial" w:hAnsi="arial" w:cs="arial"/>
            <w:b w:val="0"/>
            <w:i/>
            <w:strike w:val="0"/>
            <w:noProof w:val="0"/>
            <w:color w:val="0077CC"/>
            <w:position w:val="0"/>
            <w:sz w:val="20"/>
            <w:u w:val="single"/>
            <w:vertAlign w:val="baseline"/>
          </w:rPr>
          <w:t>Bock v. Pressler &amp; Pressler, LLP</w:t>
        </w:r>
      </w:hyperlink>
      <w:hyperlink r:id="rId18" w:history="1">
        <w:r>
          <w:rPr>
            <w:rFonts w:ascii="arial" w:eastAsia="arial" w:hAnsi="arial" w:cs="arial"/>
            <w:b w:val="0"/>
            <w:i/>
            <w:strike w:val="0"/>
            <w:noProof w:val="0"/>
            <w:color w:val="0077CC"/>
            <w:position w:val="0"/>
            <w:sz w:val="20"/>
            <w:u w:val="single"/>
            <w:vertAlign w:val="baseline"/>
          </w:rPr>
          <w:t>, 658 F. App'x 63 (3d Cir. 2016)</w:t>
        </w:r>
      </w:hyperlink>
      <w:r>
        <w:rPr>
          <w:rFonts w:ascii="arial" w:eastAsia="arial" w:hAnsi="arial" w:cs="arial"/>
          <w:b w:val="0"/>
          <w:i w:val="0"/>
          <w:strike w:val="0"/>
          <w:noProof w:val="0"/>
          <w:color w:val="000000"/>
          <w:position w:val="0"/>
          <w:sz w:val="20"/>
          <w:u w:val="none"/>
          <w:vertAlign w:val="baseline"/>
        </w:rPr>
        <w:t xml:space="preserve">. </w:t>
      </w:r>
      <w:bookmarkStart w:id="18" w:name="Bookmark_I5PYJSRD2D6MSH0010000400_2"/>
      <w:bookmarkEnd w:id="18"/>
      <w:r>
        <w:rPr>
          <w:rFonts w:ascii="arial" w:eastAsia="arial" w:hAnsi="arial" w:cs="arial"/>
          <w:b w:val="0"/>
          <w:i w:val="0"/>
          <w:strike w:val="0"/>
          <w:noProof w:val="0"/>
          <w:color w:val="000000"/>
          <w:position w:val="0"/>
          <w:sz w:val="20"/>
          <w:u w:val="none"/>
          <w:vertAlign w:val="baseline"/>
        </w:rPr>
        <w:t xml:space="preserve">The Third Circuit remanded the case so that this Court could determine in the first instance whether Bock's alleged harm was sufficiently concrete and particularized to satisfy the injury-in-fact requirement for Article III standing that was enunciated in </w:t>
      </w:r>
      <w:r>
        <w:rPr>
          <w:rFonts w:ascii="arial" w:eastAsia="arial" w:hAnsi="arial" w:cs="arial"/>
          <w:b w:val="0"/>
          <w:i/>
          <w:strike w:val="0"/>
          <w:noProof w:val="0"/>
          <w:color w:val="000000"/>
          <w:position w:val="0"/>
          <w:sz w:val="20"/>
          <w:u w:val="none"/>
          <w:vertAlign w:val="baseline"/>
        </w:rPr>
        <w:t xml:space="preserve">Spokeo. </w:t>
      </w:r>
      <w:bookmarkStart w:id="19" w:name="Bookmark_I5PYJSRD2HM6YD0050000400"/>
      <w:bookmarkEnd w:id="19"/>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 w:name="Bookmark_para_6"/>
      <w:bookmarkEnd w:id="20"/>
      <w:r>
        <w:rPr>
          <w:rFonts w:ascii="arial" w:eastAsia="arial" w:hAnsi="arial" w:cs="arial"/>
          <w:b w:val="0"/>
          <w:i w:val="0"/>
          <w:strike w:val="0"/>
          <w:noProof w:val="0"/>
          <w:color w:val="000000"/>
          <w:position w:val="0"/>
          <w:sz w:val="20"/>
          <w:u w:val="none"/>
          <w:vertAlign w:val="baseline"/>
        </w:rPr>
        <w:t xml:space="preserve">On remand, I authorized supplemental briefing on the subject of </w:t>
      </w:r>
      <w:r>
        <w:rPr>
          <w:rFonts w:ascii="arial" w:eastAsia="arial" w:hAnsi="arial" w:cs="arial"/>
          <w:b w:val="0"/>
          <w:i/>
          <w:strike w:val="0"/>
          <w:noProof w:val="0"/>
          <w:color w:val="000000"/>
          <w:position w:val="0"/>
          <w:sz w:val="20"/>
          <w:u w:val="none"/>
          <w:vertAlign w:val="baseline"/>
        </w:rPr>
        <w:t>Spokeo</w:t>
      </w:r>
      <w:r>
        <w:rPr>
          <w:rFonts w:ascii="arial" w:eastAsia="arial" w:hAnsi="arial" w:cs="arial"/>
          <w:b w:val="0"/>
          <w:i w:val="0"/>
          <w:strike w:val="0"/>
          <w:noProof w:val="0"/>
          <w:color w:val="000000"/>
          <w:position w:val="0"/>
          <w:sz w:val="20"/>
          <w:u w:val="none"/>
          <w:vertAlign w:val="baseline"/>
        </w:rPr>
        <w:t xml:space="preserve"> and standing (ECF no. 82). The parties briefed the matter. ((ECF nos. 85, 86, 87, 88, 89, 93, 96)</w:t>
      </w:r>
    </w:p>
    <w:p>
      <w:pPr>
        <w:keepNext w:val="0"/>
        <w:widowControl w:val="0"/>
        <w:spacing w:before="200" w:after="0" w:line="260" w:lineRule="atLeast"/>
        <w:ind w:left="0" w:right="0" w:firstLine="0"/>
        <w:jc w:val="both"/>
      </w:pPr>
      <w:bookmarkStart w:id="21" w:name="Bookmark_para_7"/>
      <w:bookmarkEnd w:id="21"/>
      <w:r>
        <w:rPr>
          <w:rFonts w:ascii="arial" w:eastAsia="arial" w:hAnsi="arial" w:cs="arial"/>
          <w:b w:val="0"/>
          <w:i w:val="0"/>
          <w:strike w:val="0"/>
          <w:noProof w:val="0"/>
          <w:color w:val="000000"/>
          <w:position w:val="0"/>
          <w:sz w:val="20"/>
          <w:u w:val="none"/>
          <w:vertAlign w:val="baseline"/>
        </w:rPr>
        <w:t>On May 25, 2017, I filed an Opinion (ECF no. 97) holding that Bock had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established Article III standing. I simultaneously entered an order (ECF no. 98) that the summary judgment motion of Bock again be granted, and that of Pressler denied, "for the reasons stated in the Court's prior Opinion (ECF no. 59)." I further ordered that "Judgment in the amount of $1000 shall again be entered in favor of Plaintiff, in substantially the same form as the prior Judgment (ECF no. 67), updated to include subsequent procedural history." (ECF no. 98) Accordingly, also on May 25, 2017, I re-entered final judgment on substantially the same terms as before.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99)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SCOPE OF REMAND AND OF RECONSIDERATION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Implementation of the Court of Appeals' Mandate</w:t>
      </w:r>
    </w:p>
    <w:p>
      <w:pPr>
        <w:keepNext w:val="0"/>
        <w:widowControl w:val="0"/>
        <w:spacing w:before="200" w:after="0" w:line="260" w:lineRule="atLeast"/>
        <w:ind w:left="0" w:right="0" w:firstLine="0"/>
        <w:jc w:val="both"/>
      </w:pPr>
      <w:bookmarkStart w:id="22" w:name="Bookmark_para_8"/>
      <w:bookmarkEnd w:id="22"/>
      <w:r>
        <w:rPr>
          <w:rFonts w:ascii="arial" w:eastAsia="arial" w:hAnsi="arial" w:cs="arial"/>
          <w:b w:val="0"/>
          <w:i w:val="0"/>
          <w:strike w:val="0"/>
          <w:noProof w:val="0"/>
          <w:color w:val="000000"/>
          <w:position w:val="0"/>
          <w:sz w:val="20"/>
          <w:u w:val="none"/>
          <w:vertAlign w:val="baseline"/>
        </w:rPr>
        <w:t>Before reaching the merits of Pressler's motion, it is necessary to clarify this Court's view of its task on remand. The Court of Appeals never reached the merits of Pressler's appeal from my original grant of summary judgment, but remanded for a jurisdictional determination. I therefore consider whether, consistent with the Court's mandate, I must, or even may, accept Pressler's invitation to revisit the merits of the summary judgment motion.</w:t>
      </w:r>
    </w:p>
    <w:p>
      <w:pPr>
        <w:keepNext w:val="0"/>
        <w:widowControl w:val="0"/>
        <w:spacing w:before="200" w:after="0" w:line="260" w:lineRule="atLeast"/>
        <w:ind w:left="0" w:right="0" w:firstLine="0"/>
        <w:jc w:val="both"/>
      </w:pPr>
      <w:bookmarkStart w:id="23" w:name="Bookmark_para_9"/>
      <w:bookmarkEnd w:id="23"/>
      <w:r>
        <w:rPr>
          <w:rFonts w:ascii="arial" w:eastAsia="arial" w:hAnsi="arial" w:cs="arial"/>
          <w:b w:val="0"/>
          <w:i w:val="0"/>
          <w:strike w:val="0"/>
          <w:noProof w:val="0"/>
          <w:color w:val="000000"/>
          <w:position w:val="0"/>
          <w:sz w:val="20"/>
          <w:u w:val="none"/>
          <w:vertAlign w:val="baseline"/>
        </w:rPr>
        <w:t xml:space="preserve">In light of the intervening </w:t>
      </w:r>
      <w:r>
        <w:rPr>
          <w:rFonts w:ascii="arial" w:eastAsia="arial" w:hAnsi="arial" w:cs="arial"/>
          <w:b w:val="0"/>
          <w:i/>
          <w:strike w:val="0"/>
          <w:noProof w:val="0"/>
          <w:color w:val="000000"/>
          <w:position w:val="0"/>
          <w:sz w:val="20"/>
          <w:u w:val="none"/>
          <w:vertAlign w:val="baseline"/>
        </w:rPr>
        <w:t>Spokeo</w:t>
      </w:r>
      <w:r>
        <w:rPr>
          <w:rFonts w:ascii="arial" w:eastAsia="arial" w:hAnsi="arial" w:cs="arial"/>
          <w:b w:val="0"/>
          <w:i w:val="0"/>
          <w:strike w:val="0"/>
          <w:noProof w:val="0"/>
          <w:color w:val="000000"/>
          <w:position w:val="0"/>
          <w:sz w:val="20"/>
          <w:u w:val="none"/>
          <w:vertAlign w:val="baseline"/>
        </w:rPr>
        <w:t xml:space="preserve"> decision, the Court of Appeals </w:t>
      </w:r>
      <w:r>
        <w:rPr>
          <w:rFonts w:ascii="arial" w:eastAsia="arial" w:hAnsi="arial" w:cs="arial"/>
          <w:b w:val="0"/>
          <w:i/>
          <w:strike w:val="0"/>
          <w:noProof w:val="0"/>
          <w:color w:val="000000"/>
          <w:position w:val="0"/>
          <w:sz w:val="20"/>
          <w:u w:val="none"/>
          <w:vertAlign w:val="baseline"/>
        </w:rPr>
        <w:t>sua</w:t>
      </w:r>
      <w:r>
        <w:rPr>
          <w:rFonts w:ascii="arial" w:eastAsia="arial" w:hAnsi="arial" w:cs="arial"/>
          <w:b/>
          <w:i/>
          <w:strike w:val="0"/>
          <w:noProof w:val="0"/>
          <w:color w:val="000000"/>
          <w:position w:val="0"/>
          <w:sz w:val="20"/>
          <w:u w:val="none"/>
          <w:vertAlign w:val="baseline"/>
        </w:rPr>
        <w:t> [*4] </w:t>
      </w:r>
      <w:r>
        <w:rPr>
          <w:rFonts w:ascii="arial" w:eastAsia="arial" w:hAnsi="arial" w:cs="arial"/>
          <w:b w:val="0"/>
          <w:i/>
          <w:strike w:val="0"/>
          <w:noProof w:val="0"/>
          <w:color w:val="000000"/>
          <w:position w:val="0"/>
          <w:sz w:val="20"/>
          <w:u w:val="none"/>
          <w:vertAlign w:val="baseline"/>
        </w:rPr>
        <w:t xml:space="preserve"> sponte</w:t>
      </w:r>
      <w:r>
        <w:rPr>
          <w:rFonts w:ascii="arial" w:eastAsia="arial" w:hAnsi="arial" w:cs="arial"/>
          <w:b w:val="0"/>
          <w:i w:val="0"/>
          <w:strike w:val="0"/>
          <w:noProof w:val="0"/>
          <w:color w:val="000000"/>
          <w:position w:val="0"/>
          <w:sz w:val="20"/>
          <w:u w:val="none"/>
          <w:vertAlign w:val="baseline"/>
        </w:rPr>
        <w:t xml:space="preserve"> raised the issue of Article III standing. </w:t>
      </w:r>
      <w:bookmarkStart w:id="24" w:name="Bookmark_I5PYJSRD2D6MSH0030000400"/>
      <w:bookmarkEnd w:id="24"/>
      <w:r>
        <w:rPr>
          <w:rFonts w:ascii="arial" w:eastAsia="arial" w:hAnsi="arial" w:cs="arial"/>
          <w:b w:val="0"/>
          <w:i w:val="0"/>
          <w:strike w:val="0"/>
          <w:noProof w:val="0"/>
          <w:color w:val="000000"/>
          <w:position w:val="0"/>
          <w:sz w:val="20"/>
          <w:u w:val="none"/>
          <w:vertAlign w:val="baseline"/>
        </w:rPr>
        <w:t>Its opinion, after reviewing the applicable law on standing, concluded as follows:</w:t>
      </w:r>
    </w:p>
    <w:p>
      <w:pPr>
        <w:keepNext w:val="0"/>
        <w:widowControl w:val="0"/>
        <w:spacing w:before="200" w:after="0" w:line="260" w:lineRule="atLeast"/>
        <w:ind w:left="400" w:right="0" w:firstLine="0"/>
        <w:jc w:val="both"/>
      </w:pPr>
      <w:bookmarkStart w:id="25" w:name="Bookmark_para_10"/>
      <w:bookmarkEnd w:id="25"/>
      <w:bookmarkStart w:id="26" w:name="Bookmark_I5PYJSRD2D6MSH0030000400_2"/>
      <w:bookmarkEnd w:id="26"/>
      <w:r>
        <w:rPr>
          <w:rFonts w:ascii="arial" w:eastAsia="arial" w:hAnsi="arial" w:cs="arial"/>
          <w:b w:val="0"/>
          <w:i w:val="0"/>
          <w:strike w:val="0"/>
          <w:noProof w:val="0"/>
          <w:color w:val="000000"/>
          <w:position w:val="0"/>
          <w:sz w:val="20"/>
          <w:u w:val="none"/>
          <w:vertAlign w:val="baseline"/>
        </w:rPr>
        <w:t xml:space="preserve">Given the Supreme Court's directive in </w:t>
      </w:r>
      <w:r>
        <w:rPr>
          <w:rFonts w:ascii="arial" w:eastAsia="arial" w:hAnsi="arial" w:cs="arial"/>
          <w:b w:val="0"/>
          <w:i/>
          <w:strike w:val="0"/>
          <w:noProof w:val="0"/>
          <w:color w:val="000000"/>
          <w:position w:val="0"/>
          <w:sz w:val="20"/>
          <w:u w:val="none"/>
          <w:vertAlign w:val="baseline"/>
        </w:rPr>
        <w:t>Spokeo</w:t>
      </w:r>
      <w:r>
        <w:rPr>
          <w:rFonts w:ascii="arial" w:eastAsia="arial" w:hAnsi="arial" w:cs="arial"/>
          <w:b w:val="0"/>
          <w:i w:val="0"/>
          <w:strike w:val="0"/>
          <w:noProof w:val="0"/>
          <w:color w:val="000000"/>
          <w:position w:val="0"/>
          <w:sz w:val="20"/>
          <w:u w:val="none"/>
          <w:vertAlign w:val="baseline"/>
        </w:rPr>
        <w:t xml:space="preserve"> regarding the need for a court to specifically address concreteness and particularization, we will remand this case to the District court to determine in the first instance whether Bock has Article HI standing.</w:t>
      </w:r>
    </w:p>
    <w:p>
      <w:pPr>
        <w:keepNext w:val="0"/>
        <w:widowControl w:val="0"/>
        <w:spacing w:before="240" w:after="0" w:line="260" w:lineRule="atLeast"/>
        <w:ind w:left="0" w:right="0" w:firstLine="0"/>
        <w:jc w:val="both"/>
      </w:pPr>
      <w:bookmarkStart w:id="27" w:name="Bookmark_I5PYJSRD2D6MSH0030000400_3"/>
      <w:bookmarkEnd w:id="27"/>
      <w:r>
        <w:rPr>
          <w:rFonts w:ascii="arial" w:eastAsia="arial" w:hAnsi="arial" w:cs="arial"/>
          <w:b w:val="0"/>
          <w:i w:val="0"/>
          <w:strike w:val="0"/>
          <w:noProof w:val="0"/>
          <w:color w:val="000000"/>
          <w:position w:val="0"/>
          <w:sz w:val="20"/>
          <w:u w:val="none"/>
          <w:vertAlign w:val="baseline"/>
        </w:rPr>
        <w:t xml:space="preserve">(3d Cir. Op. 5 (copy filed at ECF no. 74-2, reported as </w:t>
      </w:r>
      <w:bookmarkStart w:id="28" w:name="Bookmark_I5PYJSRD2D6MSH0020000400"/>
      <w:bookmarkEnd w:id="28"/>
      <w:hyperlink r:id="rId18" w:history="1">
        <w:r>
          <w:rPr>
            <w:rFonts w:ascii="arial" w:eastAsia="arial" w:hAnsi="arial" w:cs="arial"/>
            <w:b w:val="0"/>
            <w:i/>
            <w:strike w:val="0"/>
            <w:noProof w:val="0"/>
            <w:color w:val="0077CC"/>
            <w:position w:val="0"/>
            <w:sz w:val="20"/>
            <w:u w:val="single"/>
            <w:vertAlign w:val="baseline"/>
          </w:rPr>
          <w:t>Bock v. Pressler &amp; Pressler, LLP</w:t>
        </w:r>
      </w:hyperlink>
      <w:hyperlink r:id="rId18" w:history="1">
        <w:r>
          <w:rPr>
            <w:rFonts w:ascii="arial" w:eastAsia="arial" w:hAnsi="arial" w:cs="arial"/>
            <w:b w:val="0"/>
            <w:i/>
            <w:strike w:val="0"/>
            <w:noProof w:val="0"/>
            <w:color w:val="0077CC"/>
            <w:position w:val="0"/>
            <w:sz w:val="20"/>
            <w:u w:val="single"/>
            <w:vertAlign w:val="baseline"/>
          </w:rPr>
          <w:t>, 658 Fed. Appx. 63 (3d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 w:name="Bookmark_para_11"/>
      <w:bookmarkEnd w:id="29"/>
      <w:r>
        <w:rPr>
          <w:rFonts w:ascii="arial" w:eastAsia="arial" w:hAnsi="arial" w:cs="arial"/>
          <w:b w:val="0"/>
          <w:i w:val="0"/>
          <w:strike w:val="0"/>
          <w:noProof w:val="0"/>
          <w:color w:val="000000"/>
          <w:position w:val="0"/>
          <w:sz w:val="20"/>
          <w:u w:val="none"/>
          <w:vertAlign w:val="baseline"/>
        </w:rPr>
        <w:t>The formal judgment, which also constitutes the appellate court's mandate, stated as follows:</w:t>
      </w:r>
    </w:p>
    <w:p>
      <w:pPr>
        <w:keepNext w:val="0"/>
        <w:widowControl w:val="0"/>
        <w:spacing w:before="200" w:after="0" w:line="260" w:lineRule="atLeast"/>
        <w:ind w:left="400" w:right="0" w:firstLine="0"/>
        <w:jc w:val="both"/>
      </w:pPr>
      <w:bookmarkStart w:id="30" w:name="Bookmark_para_12"/>
      <w:bookmarkEnd w:id="30"/>
      <w:r>
        <w:rPr>
          <w:rFonts w:ascii="arial" w:eastAsia="arial" w:hAnsi="arial" w:cs="arial"/>
          <w:b/>
          <w:i w:val="0"/>
          <w:strike w:val="0"/>
          <w:noProof w:val="0"/>
          <w:color w:val="000000"/>
          <w:position w:val="0"/>
          <w:sz w:val="20"/>
          <w:u w:val="none"/>
          <w:vertAlign w:val="baseline"/>
        </w:rPr>
        <w:t>IT IS ORDERED AND ADJUDGED BY THIS COURT</w:t>
      </w:r>
      <w:r>
        <w:rPr>
          <w:rFonts w:ascii="arial" w:eastAsia="arial" w:hAnsi="arial" w:cs="arial"/>
          <w:b w:val="0"/>
          <w:i w:val="0"/>
          <w:strike w:val="0"/>
          <w:noProof w:val="0"/>
          <w:color w:val="000000"/>
          <w:position w:val="0"/>
          <w:sz w:val="20"/>
          <w:u w:val="none"/>
          <w:vertAlign w:val="baseline"/>
        </w:rPr>
        <w:t xml:space="preserve"> that the judgment of the District Court entered December 4, 2014, be and the same is hereby vacated and remanded to the District court for further proceedings consistent with this Opinion.</w:t>
      </w:r>
    </w:p>
    <w:p>
      <w:pPr>
        <w:keepNext w:val="0"/>
        <w:widowControl w:val="0"/>
        <w:spacing w:after="0" w:line="260" w:lineRule="atLeast"/>
        <w:ind w:left="0" w:right="0" w:firstLine="0"/>
        <w:jc w:val="both"/>
      </w:pPr>
      <w:bookmarkStart w:id="31" w:name="Bookmark_I5PYJSRD2D6MSH0050000400"/>
      <w:bookmarkEnd w:id="31"/>
      <w:r>
        <w:rPr>
          <w:rFonts w:ascii="arial" w:eastAsia="arial" w:hAnsi="arial" w:cs="arial"/>
          <w:b w:val="0"/>
          <w:i w:val="0"/>
          <w:strike w:val="0"/>
          <w:noProof w:val="0"/>
          <w:color w:val="000000"/>
          <w:position w:val="0"/>
          <w:sz w:val="20"/>
          <w:u w:val="none"/>
          <w:vertAlign w:val="baseline"/>
        </w:rPr>
        <w:t>(3d Cir. Judgment and Mandate (copy filed at ECF no. 74))</w:t>
      </w:r>
    </w:p>
    <w:p>
      <w:pPr>
        <w:keepNext w:val="0"/>
        <w:widowControl w:val="0"/>
        <w:spacing w:before="200" w:after="0" w:line="260" w:lineRule="atLeast"/>
        <w:ind w:left="400" w:right="0" w:firstLine="0"/>
        <w:jc w:val="both"/>
      </w:pPr>
      <w:bookmarkStart w:id="32" w:name="Bookmark_para_13"/>
      <w:bookmarkEnd w:id="32"/>
      <w:bookmarkStart w:id="33" w:name="Bookmark_I5PYJSRD2D6MSH0050000400_2"/>
      <w:bookmarkEnd w:id="33"/>
      <w:r>
        <w:rPr>
          <w:rFonts w:ascii="arial" w:eastAsia="arial" w:hAnsi="arial" w:cs="arial"/>
          <w:b w:val="0"/>
          <w:i w:val="0"/>
          <w:strike w:val="0"/>
          <w:noProof w:val="0"/>
          <w:color w:val="000000"/>
          <w:position w:val="0"/>
          <w:sz w:val="20"/>
          <w:u w:val="none"/>
          <w:vertAlign w:val="baseline"/>
        </w:rPr>
        <w:t xml:space="preserve">[A] district court must adhere to the mandate and the law of the case as it is established on appeal. </w:t>
      </w:r>
      <w:bookmarkStart w:id="34" w:name="Bookmark_I5PYJSRD2D6MSJ0020000400"/>
      <w:bookmarkEnd w:id="34"/>
      <w:bookmarkStart w:id="35" w:name="Bookmark_I5PYJSRD2D6MSH0040000400"/>
      <w:bookmarkEnd w:id="35"/>
      <w:r>
        <w:rPr>
          <w:rFonts w:ascii="arial" w:eastAsia="arial" w:hAnsi="arial" w:cs="arial"/>
          <w:b w:val="0"/>
          <w:i/>
          <w:strike w:val="0"/>
          <w:noProof w:val="0"/>
          <w:color w:val="000000"/>
          <w:position w:val="0"/>
          <w:sz w:val="20"/>
          <w:u w:val="none"/>
          <w:vertAlign w:val="baseline"/>
        </w:rPr>
        <w:t>Bankers Trust Co. v. Bethlehem Steel Corp.</w:t>
      </w:r>
      <w:r>
        <w:rPr>
          <w:rFonts w:ascii="arial" w:eastAsia="arial" w:hAnsi="arial" w:cs="arial"/>
          <w:b w:val="0"/>
          <w:i/>
          <w:strike w:val="0"/>
          <w:noProof w:val="0"/>
          <w:color w:val="000000"/>
          <w:position w:val="0"/>
          <w:sz w:val="20"/>
          <w:u w:val="none"/>
          <w:vertAlign w:val="baseline"/>
        </w:rPr>
        <w:t>, 761 F.2d 943, 949 (3d Cir.1985)</w:t>
      </w:r>
      <w:r>
        <w:rPr>
          <w:rFonts w:ascii="arial" w:eastAsia="arial" w:hAnsi="arial" w:cs="arial"/>
          <w:b w:val="0"/>
          <w:i w:val="0"/>
          <w:strike w:val="0"/>
          <w:noProof w:val="0"/>
          <w:color w:val="000000"/>
          <w:position w:val="0"/>
          <w:sz w:val="20"/>
          <w:u w:val="none"/>
          <w:vertAlign w:val="baseline"/>
        </w:rPr>
        <w:t xml:space="preserve">. </w:t>
      </w:r>
      <w:bookmarkStart w:id="36" w:name="Bookmark_I5PYJSRD2D6MSJ0020000400_2"/>
      <w:bookmarkEnd w:id="36"/>
      <w:bookmarkStart w:id="37" w:name="Bookmark_I5PYJSRD28T46F0030000400"/>
      <w:bookmarkEnd w:id="37"/>
      <w:r>
        <w:rPr>
          <w:rFonts w:ascii="arial" w:eastAsia="arial" w:hAnsi="arial" w:cs="arial"/>
          <w:b w:val="0"/>
          <w:i w:val="0"/>
          <w:strike w:val="0"/>
          <w:noProof w:val="0"/>
          <w:color w:val="000000"/>
          <w:position w:val="0"/>
          <w:sz w:val="20"/>
          <w:u w:val="none"/>
          <w:vertAlign w:val="baseline"/>
        </w:rPr>
        <w:t xml:space="preserve">At the same time, a district court is free to decide any issue that was not explicitly or implicitly decided on a prior appeal. </w:t>
      </w:r>
      <w:r>
        <w:rPr>
          <w:rFonts w:ascii="arial" w:eastAsia="arial" w:hAnsi="arial" w:cs="arial"/>
          <w:b w:val="0"/>
          <w:i/>
          <w:strike w:val="0"/>
          <w:noProof w:val="0"/>
          <w:color w:val="000000"/>
          <w:position w:val="0"/>
          <w:sz w:val="20"/>
          <w:u w:val="none"/>
          <w:vertAlign w:val="baseline"/>
        </w:rPr>
        <w:t xml:space="preserve">See </w:t>
      </w:r>
      <w:bookmarkStart w:id="38" w:name="Bookmark_I5PYJSRD2D6MSJ0010000400"/>
      <w:bookmarkEnd w:id="38"/>
      <w:hyperlink r:id="rId19" w:history="1">
        <w:r>
          <w:rPr>
            <w:rFonts w:ascii="arial" w:eastAsia="arial" w:hAnsi="arial" w:cs="arial"/>
            <w:b w:val="0"/>
            <w:i/>
            <w:strike w:val="0"/>
            <w:noProof w:val="0"/>
            <w:color w:val="0077CC"/>
            <w:position w:val="0"/>
            <w:sz w:val="20"/>
            <w:u w:val="single"/>
            <w:vertAlign w:val="baseline"/>
          </w:rPr>
          <w:t>Quern v. Jordan</w:t>
        </w:r>
      </w:hyperlink>
      <w:hyperlink r:id="rId19" w:history="1">
        <w:r>
          <w:rPr>
            <w:rFonts w:ascii="arial" w:eastAsia="arial" w:hAnsi="arial" w:cs="arial"/>
            <w:b w:val="0"/>
            <w:i/>
            <w:strike w:val="0"/>
            <w:noProof w:val="0"/>
            <w:color w:val="0077CC"/>
            <w:position w:val="0"/>
            <w:sz w:val="20"/>
            <w:u w:val="single"/>
            <w:vertAlign w:val="baseline"/>
          </w:rPr>
          <w:t>, 440 U.S. 332, 347 n. 18, 99 S. Ct. 1139, 1148 n. 18, 59 L.Ed.2d 358 (1979)</w:t>
        </w:r>
      </w:hyperlink>
      <w:r>
        <w:rPr>
          <w:rFonts w:ascii="arial" w:eastAsia="arial" w:hAnsi="arial" w:cs="arial"/>
          <w:b w:val="0"/>
          <w:i w:val="0"/>
          <w:strike w:val="0"/>
          <w:noProof w:val="0"/>
          <w:color w:val="000000"/>
          <w:position w:val="0"/>
          <w:sz w:val="20"/>
          <w:u w:val="none"/>
          <w:vertAlign w:val="baseline"/>
        </w:rPr>
        <w:t xml:space="preserve">; </w:t>
      </w:r>
      <w:bookmarkStart w:id="39" w:name="Bookmark_I5PYJSRD2D6MSJ0030000400"/>
      <w:bookmarkEnd w:id="39"/>
      <w:hyperlink r:id="rId20" w:history="1">
        <w:r>
          <w:rPr>
            <w:rFonts w:ascii="arial" w:eastAsia="arial" w:hAnsi="arial" w:cs="arial"/>
            <w:b w:val="0"/>
            <w:i/>
            <w:strike w:val="0"/>
            <w:noProof w:val="0"/>
            <w:color w:val="0077CC"/>
            <w:position w:val="0"/>
            <w:sz w:val="20"/>
            <w:u w:val="single"/>
            <w:vertAlign w:val="baseline"/>
          </w:rPr>
          <w:t>Sprague v. Ticonic Bank</w:t>
        </w:r>
      </w:hyperlink>
      <w:hyperlink r:id="rId20" w:history="1">
        <w:r>
          <w:rPr>
            <w:rFonts w:ascii="arial" w:eastAsia="arial" w:hAnsi="arial" w:cs="arial"/>
            <w:b w:val="0"/>
            <w:i/>
            <w:strike w:val="0"/>
            <w:noProof w:val="0"/>
            <w:color w:val="0077CC"/>
            <w:position w:val="0"/>
            <w:sz w:val="20"/>
            <w:u w:val="single"/>
            <w:vertAlign w:val="baseline"/>
          </w:rPr>
          <w:t>, 307 U.S. 161, 168, 59 S.Ct. 777, 780, 83 L.Ed. 1184 (1939)</w:t>
        </w:r>
      </w:hyperlink>
      <w:r>
        <w:rPr>
          <w:rFonts w:ascii="arial" w:eastAsia="arial" w:hAnsi="arial" w:cs="arial"/>
          <w:b w:val="0"/>
          <w:i w:val="0"/>
          <w:strike w:val="0"/>
          <w:noProof w:val="0"/>
          <w:color w:val="000000"/>
          <w:position w:val="0"/>
          <w:sz w:val="20"/>
          <w:u w:val="none"/>
          <w:vertAlign w:val="baseline"/>
        </w:rPr>
        <w:t xml:space="preserve">; </w:t>
      </w:r>
      <w:bookmarkStart w:id="40" w:name="Bookmark_I5PYJSRD2D6MSJ0050000400"/>
      <w:bookmarkEnd w:id="40"/>
      <w:r>
        <w:rPr>
          <w:rFonts w:ascii="arial" w:eastAsia="arial" w:hAnsi="arial" w:cs="arial"/>
          <w:b w:val="0"/>
          <w:i/>
          <w:strike w:val="0"/>
          <w:noProof w:val="0"/>
          <w:color w:val="000000"/>
          <w:position w:val="0"/>
          <w:sz w:val="20"/>
          <w:u w:val="none"/>
          <w:vertAlign w:val="baseline"/>
        </w:rPr>
        <w:t>Bankers Trust Co., supra</w:t>
      </w:r>
      <w:r>
        <w:rPr>
          <w:rFonts w:ascii="arial" w:eastAsia="arial" w:hAnsi="arial" w:cs="arial"/>
          <w:b w:val="0"/>
          <w:i/>
          <w:strike w:val="0"/>
          <w:noProof w:val="0"/>
          <w:color w:val="000000"/>
          <w:position w:val="0"/>
          <w:sz w:val="20"/>
          <w:u w:val="none"/>
          <w:vertAlign w:val="baseline"/>
        </w:rPr>
        <w:t>, 761 F.2d at 950</w:t>
      </w:r>
      <w:r>
        <w:rPr>
          <w:rFonts w:ascii="arial" w:eastAsia="arial" w:hAnsi="arial" w:cs="arial"/>
          <w:b w:val="0"/>
          <w:i w:val="0"/>
          <w:strike w:val="0"/>
          <w:noProof w:val="0"/>
          <w:color w:val="000000"/>
          <w:position w:val="0"/>
          <w:sz w:val="20"/>
          <w:u w:val="none"/>
          <w:vertAlign w:val="baseline"/>
        </w:rPr>
        <w:t>. . . .</w:t>
      </w:r>
    </w:p>
    <w:p>
      <w:pPr>
        <w:keepNext w:val="0"/>
        <w:widowControl w:val="0"/>
        <w:spacing w:before="240" w:after="0" w:line="260" w:lineRule="atLeast"/>
        <w:ind w:left="0" w:right="0" w:firstLine="0"/>
        <w:jc w:val="both"/>
      </w:pPr>
      <w:bookmarkStart w:id="41" w:name="Bookmark_I5PYJSRD28T46F0030000400_2"/>
      <w:bookmarkEnd w:id="41"/>
      <w:bookmarkStart w:id="42" w:name="Bookmark_I5PYJSRD28T46F0020000400"/>
      <w:bookmarkEnd w:id="42"/>
      <w:hyperlink r:id="rId21" w:history="1">
        <w:r>
          <w:rPr>
            <w:rFonts w:ascii="arial" w:eastAsia="arial" w:hAnsi="arial" w:cs="arial"/>
            <w:b w:val="0"/>
            <w:i/>
            <w:strike w:val="0"/>
            <w:color w:val="0077CC"/>
            <w:sz w:val="20"/>
            <w:u w:val="single"/>
            <w:vertAlign w:val="baseline"/>
          </w:rPr>
          <w:t>Taylor v. United States</w:t>
        </w:r>
      </w:hyperlink>
      <w:hyperlink r:id="rId21" w:history="1">
        <w:r>
          <w:rPr>
            <w:rFonts w:ascii="arial" w:eastAsia="arial" w:hAnsi="arial" w:cs="arial"/>
            <w:b w:val="0"/>
            <w:i/>
            <w:strike w:val="0"/>
            <w:color w:val="0077CC"/>
            <w:sz w:val="20"/>
            <w:u w:val="single"/>
            <w:vertAlign w:val="baseline"/>
          </w:rPr>
          <w:t>, 815 F.2d 249, 252 (3d Cir.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 w:name="Bookmark_para_14"/>
      <w:bookmarkEnd w:id="43"/>
      <w:r>
        <w:rPr>
          <w:rFonts w:ascii="arial" w:eastAsia="arial" w:hAnsi="arial" w:cs="arial"/>
          <w:b w:val="0"/>
          <w:i w:val="0"/>
          <w:strike w:val="0"/>
          <w:noProof w:val="0"/>
          <w:color w:val="000000"/>
          <w:position w:val="0"/>
          <w:sz w:val="20"/>
          <w:u w:val="none"/>
          <w:vertAlign w:val="baseline"/>
        </w:rPr>
        <w:t>Here, the Court of Appeals did not reach the merits of the prior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summary judgment order, and did not explicitly or implicitly rule on the substantive issues presented by Pressler's appeal. Rather, in light of intervening Supreme Court authority, it raised an issue as to whether the plaintiff had possessed Article III standing to pursue his claim in the first place. It remanded for a determination on that standing issue. All the mandate </w:t>
      </w:r>
      <w:r>
        <w:rPr>
          <w:rFonts w:ascii="arial" w:eastAsia="arial" w:hAnsi="arial" w:cs="arial"/>
          <w:b w:val="0"/>
          <w:i/>
          <w:strike w:val="0"/>
          <w:noProof w:val="0"/>
          <w:color w:val="000000"/>
          <w:position w:val="0"/>
          <w:sz w:val="20"/>
          <w:u w:val="none"/>
          <w:vertAlign w:val="baseline"/>
        </w:rPr>
        <w:t>required</w:t>
      </w:r>
      <w:r>
        <w:rPr>
          <w:rFonts w:ascii="arial" w:eastAsia="arial" w:hAnsi="arial" w:cs="arial"/>
          <w:b w:val="0"/>
          <w:i w:val="0"/>
          <w:strike w:val="0"/>
          <w:noProof w:val="0"/>
          <w:color w:val="000000"/>
          <w:position w:val="0"/>
          <w:sz w:val="20"/>
          <w:u w:val="none"/>
          <w:vertAlign w:val="baseline"/>
        </w:rPr>
        <w:t>, then, was that this Court make a determination as to the plaintiff's standing. If I did not find standing, that would of course end the matter; such a ruling would imply that the court does not have, and never had, subject matter jurisdiction.</w:t>
      </w:r>
    </w:p>
    <w:p>
      <w:pPr>
        <w:keepNext w:val="0"/>
        <w:widowControl w:val="0"/>
        <w:spacing w:before="200" w:after="0" w:line="260" w:lineRule="atLeast"/>
        <w:ind w:left="0" w:right="0" w:firstLine="0"/>
        <w:jc w:val="both"/>
      </w:pPr>
      <w:bookmarkStart w:id="44" w:name="Bookmark_para_15"/>
      <w:bookmarkEnd w:id="44"/>
      <w:r>
        <w:rPr>
          <w:rFonts w:ascii="arial" w:eastAsia="arial" w:hAnsi="arial" w:cs="arial"/>
          <w:b w:val="0"/>
          <w:i w:val="0"/>
          <w:strike w:val="0"/>
          <w:noProof w:val="0"/>
          <w:color w:val="000000"/>
          <w:position w:val="0"/>
          <w:sz w:val="20"/>
          <w:u w:val="none"/>
          <w:vertAlign w:val="baseline"/>
        </w:rPr>
        <w:t xml:space="preserve">The question here arises from the alternative outcome, in which I did find standing (as in fact I did). The Court of Appeals vacated the original judgment; obviously it could not stand or remain enforceable for so long as there was a cloud on this court's subject matter jurisdiction. So at a minimum, having found that the court had jurisdiction, I was required to (and did) re-enter judgment to restore the </w:t>
      </w:r>
      <w:r>
        <w:rPr>
          <w:rFonts w:ascii="arial" w:eastAsia="arial" w:hAnsi="arial" w:cs="arial"/>
          <w:b w:val="0"/>
          <w:i/>
          <w:strike w:val="0"/>
          <w:noProof w:val="0"/>
          <w:color w:val="000000"/>
          <w:position w:val="0"/>
          <w:sz w:val="20"/>
          <w:u w:val="none"/>
          <w:vertAlign w:val="baseline"/>
        </w:rPr>
        <w:t>status quo</w:t>
      </w:r>
      <w:r>
        <w:rPr>
          <w:rFonts w:ascii="arial" w:eastAsia="arial" w:hAnsi="arial" w:cs="arial"/>
          <w:b w:val="0"/>
          <w:i w:val="0"/>
          <w:strike w:val="0"/>
          <w:noProof w:val="0"/>
          <w:color w:val="000000"/>
          <w:position w:val="0"/>
          <w:sz w:val="20"/>
          <w:u w:val="none"/>
          <w:vertAlign w:val="baseline"/>
        </w:rPr>
        <w:t>. That is the narrowest view of the mandate: that this Court should do no more than remove the jurisdictional cloud on its prior judgment, and reinstate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that judgment. That was a permissible course of action.</w:t>
      </w:r>
    </w:p>
    <w:p>
      <w:pPr>
        <w:keepNext w:val="0"/>
        <w:widowControl w:val="0"/>
        <w:spacing w:before="200" w:after="0" w:line="260" w:lineRule="atLeast"/>
        <w:ind w:left="0" w:right="0" w:firstLine="0"/>
        <w:jc w:val="both"/>
      </w:pPr>
      <w:bookmarkStart w:id="45" w:name="Bookmark_para_16"/>
      <w:bookmarkEnd w:id="45"/>
      <w:r>
        <w:rPr>
          <w:rFonts w:ascii="arial" w:eastAsia="arial" w:hAnsi="arial" w:cs="arial"/>
          <w:b w:val="0"/>
          <w:i w:val="0"/>
          <w:strike w:val="0"/>
          <w:noProof w:val="0"/>
          <w:color w:val="000000"/>
          <w:position w:val="0"/>
          <w:sz w:val="20"/>
          <w:u w:val="none"/>
          <w:vertAlign w:val="baseline"/>
        </w:rPr>
        <w:t>It was not, however, the only permissible course of action. Nothing about the mandate of the Court of Appeals constrains this Court as to the substantive merits. I may, then, entertain Pressler's motion for reconsideration to the same extent I could have done if the jurisdictional issue had not intervened. Insofar as this motion is concerned, the mandate is transparent.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Scope of Reconsideration Motion</w:t>
      </w:r>
    </w:p>
    <w:p>
      <w:pPr>
        <w:keepNext w:val="0"/>
        <w:widowControl w:val="0"/>
        <w:spacing w:before="200" w:after="0" w:line="260" w:lineRule="atLeast"/>
        <w:ind w:left="0" w:right="0" w:firstLine="0"/>
        <w:jc w:val="both"/>
      </w:pPr>
      <w:bookmarkStart w:id="46" w:name="Bookmark_para_17"/>
      <w:bookmarkEnd w:id="46"/>
      <w:r>
        <w:rPr>
          <w:rFonts w:ascii="arial" w:eastAsia="arial" w:hAnsi="arial" w:cs="arial"/>
          <w:b w:val="0"/>
          <w:i w:val="0"/>
          <w:strike w:val="0"/>
          <w:noProof w:val="0"/>
          <w:color w:val="000000"/>
          <w:position w:val="0"/>
          <w:sz w:val="20"/>
          <w:u w:val="none"/>
          <w:vertAlign w:val="baseline"/>
        </w:rPr>
        <w:t xml:space="preserve">A motion under </w:t>
      </w:r>
      <w:hyperlink r:id="rId12" w:history="1">
        <w:r>
          <w:rPr>
            <w:rFonts w:ascii="arial" w:eastAsia="arial" w:hAnsi="arial" w:cs="arial"/>
            <w:b w:val="0"/>
            <w:i/>
            <w:strike w:val="0"/>
            <w:noProof w:val="0"/>
            <w:color w:val="0077CC"/>
            <w:position w:val="0"/>
            <w:sz w:val="20"/>
            <w:u w:val="single"/>
            <w:vertAlign w:val="baseline"/>
          </w:rPr>
          <w:t>Local Rule 7.1(i)</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or </w:t>
      </w:r>
      <w:hyperlink r:id="rId14" w:history="1">
        <w:r>
          <w:rPr>
            <w:rFonts w:ascii="arial" w:eastAsia="arial" w:hAnsi="arial" w:cs="arial"/>
            <w:b w:val="0"/>
            <w:i/>
            <w:strike w:val="0"/>
            <w:noProof w:val="0"/>
            <w:color w:val="0077CC"/>
            <w:position w:val="0"/>
            <w:sz w:val="20"/>
            <w:u w:val="single"/>
            <w:vertAlign w:val="baseline"/>
          </w:rPr>
          <w:t>Rule 60(b)(2)</w:t>
        </w:r>
      </w:hyperlink>
      <w:r>
        <w:rPr>
          <w:rFonts w:ascii="arial" w:eastAsia="arial" w:hAnsi="arial" w:cs="arial"/>
          <w:b w:val="0"/>
          <w:i w:val="0"/>
          <w:strike w:val="0"/>
          <w:noProof w:val="0"/>
          <w:color w:val="000000"/>
          <w:position w:val="0"/>
          <w:sz w:val="20"/>
          <w:u w:val="none"/>
          <w:vertAlign w:val="baseline"/>
        </w:rPr>
        <w:t xml:space="preserve"> would ordinarily require a substantial threshold showing before a court will consider reopening matters already decided.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Because the procedural context is somewhat convoluted, however, I must clarify what is being "reconsidered." In particular, I state that Pressler will not be procedurally disadvantaged for having asserted these substantive grounds in a motion filed after, rather than before, May 25, 2017, the date I re-entered judgment on remand.</w:t>
      </w:r>
    </w:p>
    <w:p>
      <w:pPr>
        <w:keepNext w:val="0"/>
        <w:widowControl w:val="0"/>
        <w:spacing w:before="200" w:after="0" w:line="260" w:lineRule="atLeast"/>
        <w:ind w:left="0" w:right="0" w:firstLine="0"/>
        <w:jc w:val="both"/>
      </w:pPr>
      <w:bookmarkStart w:id="47" w:name="Bookmark_para_18"/>
      <w:bookmarkEnd w:id="47"/>
      <w:r>
        <w:rPr>
          <w:rFonts w:ascii="arial" w:eastAsia="arial" w:hAnsi="arial" w:cs="arial"/>
          <w:b w:val="0"/>
          <w:i w:val="0"/>
          <w:strike w:val="0"/>
          <w:noProof w:val="0"/>
          <w:color w:val="000000"/>
          <w:position w:val="0"/>
          <w:sz w:val="20"/>
          <w:u w:val="none"/>
          <w:vertAlign w:val="baseline"/>
        </w:rPr>
        <w:t>While my decision on remand was pending, Pressler's counsel filed a letter ("Supplemental Letter", ECF no. 90) proffering new substantive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non-standing) arguments. The Supplemental Letter argued that the court had "reversed the burden of proof' in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its original summary judgment ruling, and that the FDCPA, at least as applied by the Court, would violate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The letter also attached "new evidence" in the form of an expert report by Prof. Michael Ambrosio. Reasonably, the Supplemental Letter proposed that nothing further be filed on those issues unless and until the Court found that it possessed subject matter jurisdiction.</w:t>
      </w:r>
    </w:p>
    <w:p>
      <w:pPr>
        <w:keepNext w:val="0"/>
        <w:widowControl w:val="0"/>
        <w:spacing w:before="200" w:after="0" w:line="260" w:lineRule="atLeast"/>
        <w:ind w:left="0" w:right="0" w:firstLine="0"/>
        <w:jc w:val="both"/>
      </w:pPr>
      <w:bookmarkStart w:id="48" w:name="Bookmark_para_19"/>
      <w:bookmarkEnd w:id="48"/>
      <w:r>
        <w:rPr>
          <w:rFonts w:ascii="arial" w:eastAsia="arial" w:hAnsi="arial" w:cs="arial"/>
          <w:b w:val="0"/>
          <w:i w:val="0"/>
          <w:strike w:val="0"/>
          <w:noProof w:val="0"/>
          <w:color w:val="000000"/>
          <w:position w:val="0"/>
          <w:sz w:val="20"/>
          <w:u w:val="none"/>
          <w:vertAlign w:val="baseline"/>
        </w:rPr>
        <w:t xml:space="preserve">In response, I entered a text order stating that I would decide first whether the Court possessed subject matter jurisdiction under </w:t>
      </w:r>
      <w:r>
        <w:rPr>
          <w:rFonts w:ascii="arial" w:eastAsia="arial" w:hAnsi="arial" w:cs="arial"/>
          <w:b w:val="0"/>
          <w:i/>
          <w:strike w:val="0"/>
          <w:noProof w:val="0"/>
          <w:color w:val="000000"/>
          <w:position w:val="0"/>
          <w:sz w:val="20"/>
          <w:u w:val="none"/>
          <w:vertAlign w:val="baseline"/>
        </w:rPr>
        <w:t>Spokeo</w:t>
      </w:r>
      <w:r>
        <w:rPr>
          <w:rFonts w:ascii="arial" w:eastAsia="arial" w:hAnsi="arial" w:cs="arial"/>
          <w:b w:val="0"/>
          <w:i w:val="0"/>
          <w:strike w:val="0"/>
          <w:noProof w:val="0"/>
          <w:color w:val="000000"/>
          <w:position w:val="0"/>
          <w:sz w:val="20"/>
          <w:u w:val="none"/>
          <w:vertAlign w:val="baseline"/>
        </w:rPr>
        <w:t>. (ECF no. 92) That text order also provided that "any reopening of discovery or supplementation of the earlier summary judgment record will not be granted as a matter of course, but must be sought by motion."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 w:name="Bookmark_para_20"/>
      <w:bookmarkEnd w:id="49"/>
      <w:r>
        <w:rPr>
          <w:rFonts w:ascii="arial" w:eastAsia="arial" w:hAnsi="arial" w:cs="arial"/>
          <w:b w:val="0"/>
          <w:i w:val="0"/>
          <w:strike w:val="0"/>
          <w:noProof w:val="0"/>
          <w:color w:val="000000"/>
          <w:position w:val="0"/>
          <w:sz w:val="20"/>
          <w:u w:val="none"/>
          <w:vertAlign w:val="baseline"/>
        </w:rPr>
        <w:t>It was presumably in response to my text order that Pressler filed the current motion for reconsideration. (ECF no. 100) In it, Pressler seeks to reopen the judgment and assert the additional substantive arguments that were raised in its Supplemental Letter. I accept that it was not practical for such a motion to be filed in advance of my ruling on standing, and I accept the Supplemental Letter as a sufficient reservation of Pressler's position.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 will therefore consider this motion on its own terms—</w:t>
      </w:r>
      <w:r>
        <w:rPr>
          <w:rFonts w:ascii="arial" w:eastAsia="arial" w:hAnsi="arial" w:cs="arial"/>
          <w:b w:val="0"/>
          <w:i/>
          <w:strike w:val="0"/>
          <w:noProof w:val="0"/>
          <w:color w:val="000000"/>
          <w:position w:val="0"/>
          <w:sz w:val="20"/>
          <w:u w:val="none"/>
          <w:vertAlign w:val="baseline"/>
        </w:rPr>
        <w:t>i.e., nunc pro tunc</w:t>
      </w:r>
      <w:r>
        <w:rPr>
          <w:rFonts w:ascii="arial" w:eastAsia="arial" w:hAnsi="arial" w:cs="arial"/>
          <w:b w:val="0"/>
          <w:i w:val="0"/>
          <w:strike w:val="0"/>
          <w:noProof w:val="0"/>
          <w:color w:val="000000"/>
          <w:position w:val="0"/>
          <w:sz w:val="20"/>
          <w:u w:val="none"/>
          <w:vertAlign w:val="baseline"/>
        </w:rPr>
        <w:t>, as if it had been filed at the time of the Supplemental Letter—without imposing any additional threshold barrier to consideration.</w:t>
      </w:r>
    </w:p>
    <w:p>
      <w:pPr>
        <w:keepNext w:val="0"/>
        <w:widowControl w:val="0"/>
        <w:spacing w:before="200" w:after="0" w:line="260" w:lineRule="atLeast"/>
        <w:ind w:left="0" w:right="0" w:firstLine="0"/>
        <w:jc w:val="both"/>
      </w:pPr>
      <w:bookmarkStart w:id="50" w:name="Bookmark_para_21"/>
      <w:bookmarkEnd w:id="50"/>
      <w:r>
        <w:rPr>
          <w:rFonts w:ascii="arial" w:eastAsia="arial" w:hAnsi="arial" w:cs="arial"/>
          <w:b w:val="0"/>
          <w:i w:val="0"/>
          <w:strike w:val="0"/>
          <w:noProof w:val="0"/>
          <w:color w:val="000000"/>
          <w:position w:val="0"/>
          <w:sz w:val="20"/>
          <w:u w:val="none"/>
          <w:vertAlign w:val="baseline"/>
        </w:rPr>
        <w:t xml:space="preserve">That said, the motion (even considered </w:t>
      </w:r>
      <w:r>
        <w:rPr>
          <w:rFonts w:ascii="arial" w:eastAsia="arial" w:hAnsi="arial" w:cs="arial"/>
          <w:b w:val="0"/>
          <w:i/>
          <w:strike w:val="0"/>
          <w:noProof w:val="0"/>
          <w:color w:val="000000"/>
          <w:position w:val="0"/>
          <w:sz w:val="20"/>
          <w:u w:val="none"/>
          <w:vertAlign w:val="baseline"/>
        </w:rPr>
        <w:t>nunc pro tunc</w:t>
      </w:r>
      <w:r>
        <w:rPr>
          <w:rFonts w:ascii="arial" w:eastAsia="arial" w:hAnsi="arial" w:cs="arial"/>
          <w:b w:val="0"/>
          <w:i w:val="0"/>
          <w:strike w:val="0"/>
          <w:noProof w:val="0"/>
          <w:color w:val="000000"/>
          <w:position w:val="0"/>
          <w:sz w:val="20"/>
          <w:u w:val="none"/>
          <w:vertAlign w:val="baseline"/>
        </w:rPr>
        <w:t>) does seek reconsideration of matters decided in 2014, in connection with the original summary judgment ruling. It therefore does implicate law of the case doctrine and the standards for reconsideration of a previously entered order.</w:t>
      </w:r>
    </w:p>
    <w:p>
      <w:pPr>
        <w:keepNext w:val="0"/>
        <w:widowControl w:val="0"/>
        <w:spacing w:before="200" w:after="0" w:line="260" w:lineRule="atLeast"/>
        <w:ind w:left="0" w:right="0" w:firstLine="0"/>
        <w:jc w:val="both"/>
      </w:pPr>
      <w:bookmarkStart w:id="51" w:name="Bookmark_para_22"/>
      <w:bookmarkEnd w:id="51"/>
      <w:r>
        <w:rPr>
          <w:rFonts w:ascii="arial" w:eastAsia="arial" w:hAnsi="arial" w:cs="arial"/>
          <w:b w:val="0"/>
          <w:i w:val="0"/>
          <w:strike w:val="0"/>
          <w:noProof w:val="0"/>
          <w:color w:val="000000"/>
          <w:position w:val="0"/>
          <w:sz w:val="20"/>
          <w:u w:val="none"/>
          <w:vertAlign w:val="baseline"/>
        </w:rPr>
        <w:t>On remand, by re-entering judgment on the same basis as before, I intended to incorporate and preserve the grounds that Pressler raised in opposition to Bock's original motion for summary judgment motion, which I granted in 2014. Such grounds, I believe, are fair game on any subsequent appeal. As to Pressler's newly-asserted grounds, however, the narrow issue is whether the court should deny reconsideration, or hew to the law of the case. It is on that basis that I analyze Pressler's current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Motion to Reconsider or Amend Order or Judgment</w:t>
      </w:r>
    </w:p>
    <w:p>
      <w:pPr>
        <w:keepNext w:val="0"/>
        <w:widowControl w:val="0"/>
        <w:spacing w:before="240" w:after="0" w:line="260" w:lineRule="atLeast"/>
        <w:ind w:left="0" w:right="0" w:firstLine="0"/>
        <w:jc w:val="both"/>
      </w:pPr>
      <w:bookmarkStart w:id="52" w:name="Bookmark_para_23"/>
      <w:bookmarkEnd w:id="52"/>
      <w:bookmarkStart w:id="53" w:name="Bookmark_I5PYJSRD28T46F0050000400"/>
      <w:bookmarkEnd w:id="53"/>
      <w:r>
        <w:rPr>
          <w:rFonts w:ascii="arial" w:eastAsia="arial" w:hAnsi="arial" w:cs="arial"/>
          <w:b w:val="0"/>
          <w:i w:val="0"/>
          <w:strike w:val="0"/>
          <w:noProof w:val="0"/>
          <w:color w:val="000000"/>
          <w:position w:val="0"/>
          <w:sz w:val="20"/>
          <w:u w:val="none"/>
          <w:vertAlign w:val="baseline"/>
        </w:rPr>
        <w:t xml:space="preserve">A motion under </w:t>
      </w:r>
      <w:hyperlink r:id="rId12" w:history="1">
        <w:r>
          <w:rPr>
            <w:rFonts w:ascii="arial" w:eastAsia="arial" w:hAnsi="arial" w:cs="arial"/>
            <w:b w:val="0"/>
            <w:i/>
            <w:strike w:val="0"/>
            <w:noProof w:val="0"/>
            <w:color w:val="0077CC"/>
            <w:position w:val="0"/>
            <w:sz w:val="20"/>
            <w:u w:val="single"/>
            <w:vertAlign w:val="baseline"/>
          </w:rPr>
          <w:t>Local Rule 7.1(i)</w:t>
        </w:r>
      </w:hyperlink>
      <w:r>
        <w:rPr>
          <w:rFonts w:ascii="arial" w:eastAsia="arial" w:hAnsi="arial" w:cs="arial"/>
          <w:b w:val="0"/>
          <w:i w:val="0"/>
          <w:strike w:val="0"/>
          <w:noProof w:val="0"/>
          <w:color w:val="000000"/>
          <w:position w:val="0"/>
          <w:sz w:val="20"/>
          <w:u w:val="none"/>
          <w:vertAlign w:val="baseline"/>
        </w:rPr>
        <w:t xml:space="preserve"> or </w:t>
      </w:r>
      <w:hyperlink r:id="rId13"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to reconsider, alter, or amend a judgment or order is granted sparingly, generally only in one of three situations: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(1) when there has been an intervening change in the law; (2) when new evidence has become available; or (3) when necessary to correct a clear error of law or to prevent manifest injustice. </w:t>
      </w:r>
      <w:r>
        <w:rPr>
          <w:rFonts w:ascii="arial" w:eastAsia="arial" w:hAnsi="arial" w:cs="arial"/>
          <w:b w:val="0"/>
          <w:i/>
          <w:strike w:val="0"/>
          <w:noProof w:val="0"/>
          <w:color w:val="000000"/>
          <w:position w:val="0"/>
          <w:sz w:val="20"/>
          <w:u w:val="none"/>
          <w:vertAlign w:val="baseline"/>
        </w:rPr>
        <w:t xml:space="preserve">See </w:t>
      </w:r>
      <w:bookmarkStart w:id="54" w:name="Bookmark_I5PYJSRD28T46F0040000400"/>
      <w:bookmarkEnd w:id="54"/>
      <w:hyperlink r:id="rId22" w:history="1">
        <w:r>
          <w:rPr>
            <w:rFonts w:ascii="arial" w:eastAsia="arial" w:hAnsi="arial" w:cs="arial"/>
            <w:b w:val="0"/>
            <w:i/>
            <w:strike w:val="0"/>
            <w:noProof w:val="0"/>
            <w:color w:val="0077CC"/>
            <w:position w:val="0"/>
            <w:sz w:val="20"/>
            <w:u w:val="single"/>
            <w:vertAlign w:val="baseline"/>
          </w:rPr>
          <w:t>North River Ins. Co. v. CIGNA Reinsurance Co.</w:t>
        </w:r>
      </w:hyperlink>
      <w:hyperlink r:id="rId22" w:history="1">
        <w:r>
          <w:rPr>
            <w:rFonts w:ascii="arial" w:eastAsia="arial" w:hAnsi="arial" w:cs="arial"/>
            <w:b w:val="0"/>
            <w:i/>
            <w:strike w:val="0"/>
            <w:noProof w:val="0"/>
            <w:color w:val="0077CC"/>
            <w:position w:val="0"/>
            <w:sz w:val="20"/>
            <w:u w:val="single"/>
            <w:vertAlign w:val="baseline"/>
          </w:rPr>
          <w:t>, 52 F.3d 1194, 1218 (3d Cir. 1995)</w:t>
        </w:r>
      </w:hyperlink>
      <w:r>
        <w:rPr>
          <w:rFonts w:ascii="arial" w:eastAsia="arial" w:hAnsi="arial" w:cs="arial"/>
          <w:b w:val="0"/>
          <w:i w:val="0"/>
          <w:strike w:val="0"/>
          <w:noProof w:val="0"/>
          <w:color w:val="000000"/>
          <w:position w:val="0"/>
          <w:sz w:val="20"/>
          <w:u w:val="none"/>
          <w:vertAlign w:val="baseline"/>
        </w:rPr>
        <w:t xml:space="preserve"> (reconsideration motion); </w:t>
      </w:r>
      <w:bookmarkStart w:id="55" w:name="Bookmark_I5PYJSRD28T46G0010000400"/>
      <w:bookmarkEnd w:id="55"/>
      <w:hyperlink r:id="rId23" w:history="1">
        <w:r>
          <w:rPr>
            <w:rFonts w:ascii="arial" w:eastAsia="arial" w:hAnsi="arial" w:cs="arial"/>
            <w:b w:val="0"/>
            <w:i/>
            <w:strike w:val="0"/>
            <w:noProof w:val="0"/>
            <w:color w:val="0077CC"/>
            <w:position w:val="0"/>
            <w:sz w:val="20"/>
            <w:u w:val="single"/>
            <w:vertAlign w:val="baseline"/>
          </w:rPr>
          <w:t>Carmichael v. Everson</w:t>
        </w:r>
      </w:hyperlink>
      <w:hyperlink r:id="rId23" w:history="1">
        <w:r>
          <w:rPr>
            <w:rFonts w:ascii="arial" w:eastAsia="arial" w:hAnsi="arial" w:cs="arial"/>
            <w:b w:val="0"/>
            <w:i/>
            <w:strike w:val="0"/>
            <w:noProof w:val="0"/>
            <w:color w:val="0077CC"/>
            <w:position w:val="0"/>
            <w:sz w:val="20"/>
            <w:u w:val="single"/>
            <w:vertAlign w:val="baseline"/>
          </w:rPr>
          <w:t>, 2004 U.S. Dist. LEXIS 11742, 2004 WL 1587894 (D.N.J. May 21, 2004)</w:t>
        </w:r>
      </w:hyperlink>
      <w:r>
        <w:rPr>
          <w:rFonts w:ascii="arial" w:eastAsia="arial" w:hAnsi="arial" w:cs="arial"/>
          <w:b w:val="0"/>
          <w:i w:val="0"/>
          <w:strike w:val="0"/>
          <w:noProof w:val="0"/>
          <w:color w:val="000000"/>
          <w:position w:val="0"/>
          <w:sz w:val="20"/>
          <w:u w:val="none"/>
          <w:vertAlign w:val="baseline"/>
        </w:rPr>
        <w:t xml:space="preserve"> (reconsideration motion); </w:t>
      </w:r>
      <w:bookmarkStart w:id="56" w:name="Bookmark_I5PYJSRD28T46G0030000400"/>
      <w:bookmarkEnd w:id="56"/>
      <w:hyperlink r:id="rId24" w:history="1">
        <w:r>
          <w:rPr>
            <w:rFonts w:ascii="arial" w:eastAsia="arial" w:hAnsi="arial" w:cs="arial"/>
            <w:b w:val="0"/>
            <w:i/>
            <w:strike w:val="0"/>
            <w:noProof w:val="0"/>
            <w:color w:val="0077CC"/>
            <w:position w:val="0"/>
            <w:sz w:val="20"/>
            <w:u w:val="single"/>
            <w:vertAlign w:val="baseline"/>
          </w:rPr>
          <w:t>Blystone v. Horn</w:t>
        </w:r>
      </w:hyperlink>
      <w:hyperlink r:id="rId24" w:history="1">
        <w:r>
          <w:rPr>
            <w:rFonts w:ascii="arial" w:eastAsia="arial" w:hAnsi="arial" w:cs="arial"/>
            <w:b w:val="0"/>
            <w:i/>
            <w:strike w:val="0"/>
            <w:noProof w:val="0"/>
            <w:color w:val="0077CC"/>
            <w:position w:val="0"/>
            <w:sz w:val="20"/>
            <w:u w:val="single"/>
            <w:vertAlign w:val="baseline"/>
          </w:rPr>
          <w:t>, 664 F.3d 397, 415-16 (3d Cir. 2011)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motion) (citing </w:t>
      </w:r>
      <w:bookmarkStart w:id="57" w:name="Bookmark_I5PYJSRD28T46G0050000400"/>
      <w:bookmarkEnd w:id="57"/>
      <w:hyperlink r:id="rId25" w:history="1">
        <w:r>
          <w:rPr>
            <w:rFonts w:ascii="arial" w:eastAsia="arial" w:hAnsi="arial" w:cs="arial"/>
            <w:b w:val="0"/>
            <w:i/>
            <w:strike w:val="0"/>
            <w:noProof w:val="0"/>
            <w:color w:val="0077CC"/>
            <w:position w:val="0"/>
            <w:sz w:val="20"/>
            <w:u w:val="single"/>
            <w:vertAlign w:val="baseline"/>
          </w:rPr>
          <w:t>Howard Hess Dental Labs., Inc. v. Dentsply Int'l Inc.</w:t>
        </w:r>
      </w:hyperlink>
      <w:hyperlink r:id="rId25" w:history="1">
        <w:r>
          <w:rPr>
            <w:rFonts w:ascii="arial" w:eastAsia="arial" w:hAnsi="arial" w:cs="arial"/>
            <w:b w:val="0"/>
            <w:i/>
            <w:strike w:val="0"/>
            <w:noProof w:val="0"/>
            <w:color w:val="0077CC"/>
            <w:position w:val="0"/>
            <w:sz w:val="20"/>
            <w:u w:val="single"/>
            <w:vertAlign w:val="baseline"/>
          </w:rPr>
          <w:t>, 602 F.3d 237, 251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 w:name="Bookmark_para_24"/>
      <w:bookmarkEnd w:id="58"/>
      <w:bookmarkStart w:id="59" w:name="Bookmark_I5PYJSRF2N1PPP0030000400"/>
      <w:bookmarkEnd w:id="59"/>
      <w:r>
        <w:rPr>
          <w:rFonts w:ascii="arial" w:eastAsia="arial" w:hAnsi="arial" w:cs="arial"/>
          <w:b w:val="0"/>
          <w:i w:val="0"/>
          <w:strike w:val="0"/>
          <w:noProof w:val="0"/>
          <w:color w:val="000000"/>
          <w:position w:val="0"/>
          <w:sz w:val="20"/>
          <w:u w:val="none"/>
          <w:vertAlign w:val="baseline"/>
        </w:rPr>
        <w:t xml:space="preserve">Evidence or arguments that were available at the time of the original decision will not support a motion to reconsider or amend an order. </w:t>
      </w:r>
      <w:bookmarkStart w:id="60" w:name="Bookmark_I5PYJSRF2N1PPP0020000400"/>
      <w:bookmarkEnd w:id="60"/>
      <w:r>
        <w:rPr>
          <w:rFonts w:ascii="arial" w:eastAsia="arial" w:hAnsi="arial" w:cs="arial"/>
          <w:b w:val="0"/>
          <w:i/>
          <w:strike w:val="0"/>
          <w:noProof w:val="0"/>
          <w:color w:val="000000"/>
          <w:position w:val="0"/>
          <w:sz w:val="20"/>
          <w:u w:val="none"/>
          <w:vertAlign w:val="baseline"/>
        </w:rPr>
        <w:t>Damiano v. Sony Music Entm't, Inc.</w:t>
      </w:r>
      <w:r>
        <w:rPr>
          <w:rFonts w:ascii="arial" w:eastAsia="arial" w:hAnsi="arial" w:cs="arial"/>
          <w:b w:val="0"/>
          <w:i/>
          <w:strike w:val="0"/>
          <w:noProof w:val="0"/>
          <w:color w:val="000000"/>
          <w:position w:val="0"/>
          <w:sz w:val="20"/>
          <w:u w:val="none"/>
          <w:vertAlign w:val="baseline"/>
        </w:rPr>
        <w:t>, 975 F. Supp. 623, 636 (D.N.J. 1997)</w:t>
      </w:r>
      <w:r>
        <w:rPr>
          <w:rFonts w:ascii="arial" w:eastAsia="arial" w:hAnsi="arial" w:cs="arial"/>
          <w:b w:val="0"/>
          <w:i w:val="0"/>
          <w:strike w:val="0"/>
          <w:noProof w:val="0"/>
          <w:color w:val="000000"/>
          <w:position w:val="0"/>
          <w:sz w:val="20"/>
          <w:u w:val="none"/>
          <w:vertAlign w:val="baseline"/>
        </w:rPr>
        <w:t xml:space="preserve"> (reconsideration motion); </w:t>
      </w:r>
      <w:bookmarkStart w:id="61" w:name="Bookmark_I5PYJSRF2N1PPP0040000400"/>
      <w:bookmarkEnd w:id="61"/>
      <w:hyperlink r:id="rId26" w:history="1">
        <w:r>
          <w:rPr>
            <w:rFonts w:ascii="arial" w:eastAsia="arial" w:hAnsi="arial" w:cs="arial"/>
            <w:b w:val="0"/>
            <w:i/>
            <w:strike w:val="0"/>
            <w:noProof w:val="0"/>
            <w:color w:val="0077CC"/>
            <w:position w:val="0"/>
            <w:sz w:val="20"/>
            <w:u w:val="single"/>
            <w:vertAlign w:val="baseline"/>
          </w:rPr>
          <w:t>Bapu Corp. v. Choice Hotels Int'l, Inc.</w:t>
        </w:r>
      </w:hyperlink>
      <w:hyperlink r:id="rId26" w:history="1">
        <w:r>
          <w:rPr>
            <w:rFonts w:ascii="arial" w:eastAsia="arial" w:hAnsi="arial" w:cs="arial"/>
            <w:b w:val="0"/>
            <w:i/>
            <w:strike w:val="0"/>
            <w:noProof w:val="0"/>
            <w:color w:val="0077CC"/>
            <w:position w:val="0"/>
            <w:sz w:val="20"/>
            <w:u w:val="single"/>
            <w:vertAlign w:val="baseline"/>
          </w:rPr>
          <w:t>, 2010 U.S. Dist. LEXIS 135844, 2010 WL 5418972, at *4 (D.N.J. Dec. 23, 2010)</w:t>
        </w:r>
      </w:hyperlink>
      <w:r>
        <w:rPr>
          <w:rFonts w:ascii="arial" w:eastAsia="arial" w:hAnsi="arial" w:cs="arial"/>
          <w:b w:val="0"/>
          <w:i w:val="0"/>
          <w:strike w:val="0"/>
          <w:noProof w:val="0"/>
          <w:color w:val="000000"/>
          <w:position w:val="0"/>
          <w:sz w:val="20"/>
          <w:u w:val="none"/>
          <w:vertAlign w:val="baseline"/>
        </w:rPr>
        <w:t xml:space="preserve"> (reconsideration motion) (citing </w:t>
      </w:r>
      <w:bookmarkStart w:id="62" w:name="Bookmark_I5PYJSRF2N1PPR0010000400"/>
      <w:bookmarkEnd w:id="62"/>
      <w:hyperlink r:id="rId27" w:history="1">
        <w:r>
          <w:rPr>
            <w:rFonts w:ascii="arial" w:eastAsia="arial" w:hAnsi="arial" w:cs="arial"/>
            <w:b w:val="0"/>
            <w:i/>
            <w:strike w:val="0"/>
            <w:noProof w:val="0"/>
            <w:color w:val="0077CC"/>
            <w:position w:val="0"/>
            <w:sz w:val="20"/>
            <w:u w:val="single"/>
            <w:vertAlign w:val="baseline"/>
          </w:rPr>
          <w:t>P. Schoenfeld Asset Mgmt. LLC v. Cendant Corp.</w:t>
        </w:r>
      </w:hyperlink>
      <w:hyperlink r:id="rId27" w:history="1">
        <w:r>
          <w:rPr>
            <w:rFonts w:ascii="arial" w:eastAsia="arial" w:hAnsi="arial" w:cs="arial"/>
            <w:b w:val="0"/>
            <w:i/>
            <w:strike w:val="0"/>
            <w:noProof w:val="0"/>
            <w:color w:val="0077CC"/>
            <w:position w:val="0"/>
            <w:sz w:val="20"/>
            <w:u w:val="single"/>
            <w:vertAlign w:val="baseline"/>
          </w:rPr>
          <w:t>, 161 F. Supp. 2d 349, 352 (D.N.J. 2001))</w:t>
        </w:r>
      </w:hyperlink>
      <w:r>
        <w:rPr>
          <w:rFonts w:ascii="arial" w:eastAsia="arial" w:hAnsi="arial" w:cs="arial"/>
          <w:b w:val="0"/>
          <w:i w:val="0"/>
          <w:strike w:val="0"/>
          <w:noProof w:val="0"/>
          <w:color w:val="000000"/>
          <w:position w:val="0"/>
          <w:sz w:val="20"/>
          <w:u w:val="none"/>
          <w:vertAlign w:val="baseline"/>
        </w:rPr>
        <w:t xml:space="preserve">. </w:t>
      </w:r>
      <w:bookmarkStart w:id="63" w:name="Bookmark_I5PYJSRF2N1PPR0040000400"/>
      <w:bookmarkEnd w:id="63"/>
      <w:r>
        <w:rPr>
          <w:rFonts w:ascii="arial" w:eastAsia="arial" w:hAnsi="arial" w:cs="arial"/>
          <w:b w:val="0"/>
          <w:i w:val="0"/>
          <w:strike w:val="0"/>
          <w:noProof w:val="0"/>
          <w:color w:val="000000"/>
          <w:position w:val="0"/>
          <w:sz w:val="20"/>
          <w:u w:val="none"/>
          <w:vertAlign w:val="baseline"/>
        </w:rPr>
        <w:t>Newly presented evidence, in particular, will not be considered if it was or reasonably could have been available at the time of the original motion:</w:t>
      </w:r>
    </w:p>
    <w:p>
      <w:pPr>
        <w:keepNext w:val="0"/>
        <w:widowControl w:val="0"/>
        <w:spacing w:before="240" w:after="0" w:line="260" w:lineRule="atLeast"/>
        <w:ind w:left="400" w:right="0" w:firstLine="0"/>
        <w:jc w:val="both"/>
      </w:pPr>
      <w:bookmarkStart w:id="64" w:name="Bookmark_para_25"/>
      <w:bookmarkEnd w:id="64"/>
      <w:bookmarkStart w:id="65" w:name="Bookmark_I5PYJSRF2N1PPR0040000400_2"/>
      <w:bookmarkEnd w:id="65"/>
      <w:bookmarkStart w:id="66" w:name="Bookmark_I5PYJSRF2SF8RF0010000400"/>
      <w:bookmarkEnd w:id="66"/>
      <w:r>
        <w:rPr>
          <w:rFonts w:ascii="arial" w:eastAsia="arial" w:hAnsi="arial" w:cs="arial"/>
          <w:b w:val="0"/>
          <w:i w:val="0"/>
          <w:strike w:val="0"/>
          <w:noProof w:val="0"/>
          <w:color w:val="000000"/>
          <w:position w:val="0"/>
          <w:sz w:val="20"/>
          <w:u w:val="none"/>
          <w:vertAlign w:val="baseline"/>
        </w:rPr>
        <w:t xml:space="preserve">We have made clear that "'new evidence,' for reconsideration purposes, does not refer to evidence that a party ... submits to the court after an adverse ruling. </w:t>
      </w:r>
      <w:bookmarkStart w:id="67" w:name="Bookmark_I5PYJSRF2SF8RF0030000400"/>
      <w:bookmarkEnd w:id="67"/>
      <w:r>
        <w:rPr>
          <w:rFonts w:ascii="arial" w:eastAsia="arial" w:hAnsi="arial" w:cs="arial"/>
          <w:b w:val="0"/>
          <w:i w:val="0"/>
          <w:strike w:val="0"/>
          <w:noProof w:val="0"/>
          <w:color w:val="000000"/>
          <w:position w:val="0"/>
          <w:sz w:val="20"/>
          <w:u w:val="none"/>
          <w:vertAlign w:val="baseline"/>
        </w:rPr>
        <w:t xml:space="preserve">Rather, new evidence in this context means evidence that a party could not earlier submit to the court because that evidence was not previously available." [quoting </w:t>
      </w:r>
      <w:bookmarkStart w:id="68" w:name="Bookmark_I5PYJSRF2N1PPR0030000400"/>
      <w:bookmarkEnd w:id="68"/>
      <w:hyperlink r:id="rId25" w:history="1">
        <w:r>
          <w:rPr>
            <w:rFonts w:ascii="arial" w:eastAsia="arial" w:hAnsi="arial" w:cs="arial"/>
            <w:b w:val="0"/>
            <w:i/>
            <w:strike w:val="0"/>
            <w:noProof w:val="0"/>
            <w:color w:val="0077CC"/>
            <w:position w:val="0"/>
            <w:sz w:val="20"/>
            <w:u w:val="single"/>
            <w:vertAlign w:val="baseline"/>
          </w:rPr>
          <w:t>Howard Hess Dental Labs., Inc. v. Dentsply Int'l Inc.</w:t>
        </w:r>
      </w:hyperlink>
      <w:hyperlink r:id="rId25" w:history="1">
        <w:r>
          <w:rPr>
            <w:rFonts w:ascii="arial" w:eastAsia="arial" w:hAnsi="arial" w:cs="arial"/>
            <w:b w:val="0"/>
            <w:i/>
            <w:strike w:val="0"/>
            <w:noProof w:val="0"/>
            <w:color w:val="0077CC"/>
            <w:position w:val="0"/>
            <w:sz w:val="20"/>
            <w:u w:val="single"/>
            <w:vertAlign w:val="baseline"/>
          </w:rPr>
          <w:t>, 602 F.3d 237, 252 (3d Cir.2010)</w:t>
        </w:r>
      </w:hyperlink>
      <w:r>
        <w:rPr>
          <w:rFonts w:ascii="arial" w:eastAsia="arial" w:hAnsi="arial" w:cs="arial"/>
          <w:b w:val="0"/>
          <w:i w:val="0"/>
          <w:strike w:val="0"/>
          <w:noProof w:val="0"/>
          <w:color w:val="000000"/>
          <w:position w:val="0"/>
          <w:sz w:val="20"/>
          <w:u w:val="none"/>
          <w:vertAlign w:val="baseline"/>
        </w:rPr>
        <w:t xml:space="preserve">I Evidence that is not newly discovered, as so defined, cannot provide the basis for a successful motion for reconsideration. </w:t>
      </w:r>
      <w:bookmarkStart w:id="69" w:name="Bookmark_I5PYJSRF2SF8RF0030000400_2"/>
      <w:bookmarkEnd w:id="69"/>
      <w:bookmarkStart w:id="70" w:name="Bookmark_I5PYJSRF2SF8RF0010000400_2"/>
      <w:bookmarkEnd w:id="70"/>
      <w:bookmarkStart w:id="71" w:name="Bookmark_I5PYJSRF2N1PPR0050000400"/>
      <w:bookmarkEnd w:id="71"/>
      <w:hyperlink r:id="rId28" w:history="1">
        <w:r>
          <w:rPr>
            <w:rFonts w:ascii="arial" w:eastAsia="arial" w:hAnsi="arial" w:cs="arial"/>
            <w:b w:val="0"/>
            <w:i/>
            <w:strike w:val="0"/>
            <w:noProof w:val="0"/>
            <w:color w:val="0077CC"/>
            <w:position w:val="0"/>
            <w:sz w:val="20"/>
            <w:u w:val="single"/>
            <w:vertAlign w:val="baseline"/>
          </w:rPr>
          <w:t>Harsco Corp. v. Zlotnicki</w:t>
        </w:r>
      </w:hyperlink>
      <w:hyperlink r:id="rId28" w:history="1">
        <w:r>
          <w:rPr>
            <w:rFonts w:ascii="arial" w:eastAsia="arial" w:hAnsi="arial" w:cs="arial"/>
            <w:b w:val="0"/>
            <w:i/>
            <w:strike w:val="0"/>
            <w:noProof w:val="0"/>
            <w:color w:val="0077CC"/>
            <w:position w:val="0"/>
            <w:sz w:val="20"/>
            <w:u w:val="single"/>
            <w:vertAlign w:val="baseline"/>
          </w:rPr>
          <w:t>, 779 F.2d 906, 909 (3d Cir.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 w:name="Bookmark_I5PYJSRF2SF8RF0030000400_3"/>
      <w:bookmarkEnd w:id="72"/>
      <w:bookmarkStart w:id="73" w:name="Bookmark_I5PYJSRF2SF8RF0020000400"/>
      <w:bookmarkEnd w:id="73"/>
      <w:hyperlink r:id="rId24" w:history="1">
        <w:r>
          <w:rPr>
            <w:rFonts w:ascii="arial" w:eastAsia="arial" w:hAnsi="arial" w:cs="arial"/>
            <w:b w:val="0"/>
            <w:i/>
            <w:strike w:val="0"/>
            <w:color w:val="0077CC"/>
            <w:sz w:val="20"/>
            <w:u w:val="single"/>
            <w:vertAlign w:val="baseline"/>
          </w:rPr>
          <w:t>Blystone</w:t>
        </w:r>
      </w:hyperlink>
      <w:hyperlink r:id="rId24" w:history="1">
        <w:r>
          <w:rPr>
            <w:rFonts w:ascii="arial" w:eastAsia="arial" w:hAnsi="arial" w:cs="arial"/>
            <w:b w:val="0"/>
            <w:i/>
            <w:strike w:val="0"/>
            <w:color w:val="0077CC"/>
            <w:sz w:val="20"/>
            <w:u w:val="single"/>
            <w:vertAlign w:val="baseline"/>
          </w:rPr>
          <w:t>, 664 F.3d at 415-16</w:t>
        </w:r>
      </w:hyperlink>
      <w:r>
        <w:rPr>
          <w:rFonts w:ascii="arial" w:eastAsia="arial" w:hAnsi="arial" w:cs="arial"/>
          <w:b w:val="0"/>
          <w:i w:val="0"/>
          <w:strike w:val="0"/>
          <w:noProof w:val="0"/>
          <w:color w:val="000000"/>
          <w:position w:val="0"/>
          <w:sz w:val="20"/>
          <w:u w:val="none"/>
          <w:vertAlign w:val="baseline"/>
        </w:rPr>
        <w:t xml:space="preserve">. A reconsideration motion must be filed within 14 days, and a </w:t>
      </w:r>
      <w:hyperlink r:id="rId13"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motion to amend within 28 days, after the entry of the challenged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order. </w:t>
      </w:r>
      <w:hyperlink r:id="rId12" w:history="1">
        <w:r>
          <w:rPr>
            <w:rFonts w:ascii="arial" w:eastAsia="arial" w:hAnsi="arial" w:cs="arial"/>
            <w:b w:val="0"/>
            <w:i/>
            <w:strike w:val="0"/>
            <w:noProof w:val="0"/>
            <w:color w:val="0077CC"/>
            <w:position w:val="0"/>
            <w:sz w:val="20"/>
            <w:u w:val="single"/>
            <w:vertAlign w:val="baseline"/>
          </w:rPr>
          <w:t>Loc. Civ. R. 7.1(i)</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Fed. R. Civ. P. 59(e)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 w:name="Bookmark_para_26"/>
      <w:bookmarkEnd w:id="74"/>
      <w:bookmarkStart w:id="75" w:name="Bookmark_I5PYJSRF2SF8RF0050000400"/>
      <w:bookmarkEnd w:id="75"/>
      <w:bookmarkStart w:id="76" w:name="Bookmark_I5PYJSRF2SF8RG0040000400"/>
      <w:bookmarkEnd w:id="76"/>
      <w:hyperlink r:id="rId14" w:history="1">
        <w:r>
          <w:rPr>
            <w:rFonts w:ascii="arial" w:eastAsia="arial" w:hAnsi="arial" w:cs="arial"/>
            <w:b w:val="0"/>
            <w:i/>
            <w:strike w:val="0"/>
            <w:color w:val="0077CC"/>
            <w:sz w:val="20"/>
            <w:u w:val="single"/>
            <w:vertAlign w:val="baseline"/>
          </w:rPr>
          <w:t>Rule 60(b)(2)</w:t>
        </w:r>
      </w:hyperlink>
      <w:r>
        <w:rPr>
          <w:rFonts w:ascii="arial" w:eastAsia="arial" w:hAnsi="arial" w:cs="arial"/>
          <w:b w:val="0"/>
          <w:i w:val="0"/>
          <w:strike w:val="0"/>
          <w:noProof w:val="0"/>
          <w:color w:val="000000"/>
          <w:position w:val="0"/>
          <w:sz w:val="20"/>
          <w:u w:val="none"/>
          <w:vertAlign w:val="baseline"/>
        </w:rPr>
        <w:t xml:space="preserve">, also cited in Pressler's motion, authorizes a motion for relief from a judgment or order "based on newly discovered evidence that, with reasonable diligence, could not have been discovered in time to more for a new trial under </w:t>
      </w:r>
      <w:hyperlink r:id="rId13" w:history="1">
        <w:r>
          <w:rPr>
            <w:rFonts w:ascii="arial" w:eastAsia="arial" w:hAnsi="arial" w:cs="arial"/>
            <w:b w:val="0"/>
            <w:i/>
            <w:strike w:val="0"/>
            <w:noProof w:val="0"/>
            <w:color w:val="0077CC"/>
            <w:position w:val="0"/>
            <w:sz w:val="20"/>
            <w:u w:val="single"/>
            <w:vertAlign w:val="baseline"/>
          </w:rPr>
          <w:t>Rule 59(b)</w:t>
        </w:r>
      </w:hyperlink>
      <w:r>
        <w:rPr>
          <w:rFonts w:ascii="arial" w:eastAsia="arial" w:hAnsi="arial" w:cs="arial"/>
          <w:b w:val="0"/>
          <w:i w:val="0"/>
          <w:strike w:val="0"/>
          <w:noProof w:val="0"/>
          <w:color w:val="000000"/>
          <w:position w:val="0"/>
          <w:sz w:val="20"/>
          <w:u w:val="none"/>
          <w:vertAlign w:val="baseline"/>
        </w:rPr>
        <w:t xml:space="preserve">." "The 'standard for granting relief on the basis of newly discovered evidence' is the same' whether relief is sought under </w:t>
      </w:r>
      <w:hyperlink r:id="rId14" w:history="1">
        <w:r>
          <w:rPr>
            <w:rFonts w:ascii="arial" w:eastAsia="arial" w:hAnsi="arial" w:cs="arial"/>
            <w:b w:val="0"/>
            <w:i/>
            <w:strike w:val="0"/>
            <w:noProof w:val="0"/>
            <w:color w:val="0077CC"/>
            <w:position w:val="0"/>
            <w:sz w:val="20"/>
            <w:u w:val="single"/>
            <w:vertAlign w:val="baseline"/>
          </w:rPr>
          <w:t>Rule 60(b)(2)</w:t>
        </w:r>
      </w:hyperlink>
      <w:r>
        <w:rPr>
          <w:rFonts w:ascii="arial" w:eastAsia="arial" w:hAnsi="arial" w:cs="arial"/>
          <w:b w:val="0"/>
          <w:i w:val="0"/>
          <w:strike w:val="0"/>
          <w:noProof w:val="0"/>
          <w:color w:val="000000"/>
          <w:position w:val="0"/>
          <w:sz w:val="20"/>
          <w:u w:val="none"/>
          <w:vertAlign w:val="baseline"/>
        </w:rPr>
        <w:t xml:space="preserve"> or pursuant to a motion for a new trial under </w:t>
      </w:r>
      <w:hyperlink r:id="rId13"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 . . ." </w:t>
      </w:r>
      <w:bookmarkStart w:id="77" w:name="Bookmark_I5PYJSRF2SF8RF0040000400"/>
      <w:bookmarkEnd w:id="77"/>
      <w:hyperlink r:id="rId29" w:history="1">
        <w:r>
          <w:rPr>
            <w:rFonts w:ascii="arial" w:eastAsia="arial" w:hAnsi="arial" w:cs="arial"/>
            <w:b w:val="0"/>
            <w:i/>
            <w:strike w:val="0"/>
            <w:noProof w:val="0"/>
            <w:color w:val="0077CC"/>
            <w:position w:val="0"/>
            <w:sz w:val="20"/>
            <w:u w:val="single"/>
            <w:vertAlign w:val="baseline"/>
          </w:rPr>
          <w:t>Colyer v. Consol. Rail Corp.</w:t>
        </w:r>
      </w:hyperlink>
      <w:hyperlink r:id="rId29" w:history="1">
        <w:r>
          <w:rPr>
            <w:rFonts w:ascii="arial" w:eastAsia="arial" w:hAnsi="arial" w:cs="arial"/>
            <w:b w:val="0"/>
            <w:i/>
            <w:strike w:val="0"/>
            <w:noProof w:val="0"/>
            <w:color w:val="0077CC"/>
            <w:position w:val="0"/>
            <w:sz w:val="20"/>
            <w:u w:val="single"/>
            <w:vertAlign w:val="baseline"/>
          </w:rPr>
          <w:t>, 114 F. App'x 473, 480 (3d Cir. 2004)</w:t>
        </w:r>
      </w:hyperlink>
      <w:r>
        <w:rPr>
          <w:rFonts w:ascii="arial" w:eastAsia="arial" w:hAnsi="arial" w:cs="arial"/>
          <w:b w:val="0"/>
          <w:i w:val="0"/>
          <w:strike w:val="0"/>
          <w:noProof w:val="0"/>
          <w:color w:val="000000"/>
          <w:position w:val="0"/>
          <w:sz w:val="20"/>
          <w:u w:val="none"/>
          <w:vertAlign w:val="baseline"/>
        </w:rPr>
        <w:t xml:space="preserve"> (quoting </w:t>
      </w:r>
      <w:bookmarkStart w:id="78" w:name="Bookmark_I5PYJSRF2SF8RG0010000400"/>
      <w:bookmarkEnd w:id="78"/>
      <w:hyperlink r:id="rId30" w:history="1">
        <w:r>
          <w:rPr>
            <w:rFonts w:ascii="arial" w:eastAsia="arial" w:hAnsi="arial" w:cs="arial"/>
            <w:b w:val="0"/>
            <w:i/>
            <w:strike w:val="0"/>
            <w:noProof w:val="0"/>
            <w:color w:val="0077CC"/>
            <w:position w:val="0"/>
            <w:sz w:val="20"/>
            <w:u w:val="single"/>
            <w:vertAlign w:val="baseline"/>
          </w:rPr>
          <w:t>Compass Tech., Inc. v. Tseng Labs., Inc.</w:t>
        </w:r>
      </w:hyperlink>
      <w:hyperlink r:id="rId30" w:history="1">
        <w:r>
          <w:rPr>
            <w:rFonts w:ascii="arial" w:eastAsia="arial" w:hAnsi="arial" w:cs="arial"/>
            <w:b w:val="0"/>
            <w:i/>
            <w:strike w:val="0"/>
            <w:noProof w:val="0"/>
            <w:color w:val="0077CC"/>
            <w:position w:val="0"/>
            <w:sz w:val="20"/>
            <w:u w:val="single"/>
            <w:vertAlign w:val="baseline"/>
          </w:rPr>
          <w:t>, 71 F.3d 1125, 1130 (3d Cir. 1995))</w:t>
        </w:r>
      </w:hyperlink>
      <w:r>
        <w:rPr>
          <w:rFonts w:ascii="arial" w:eastAsia="arial" w:hAnsi="arial" w:cs="arial"/>
          <w:b w:val="0"/>
          <w:i w:val="0"/>
          <w:strike w:val="0"/>
          <w:noProof w:val="0"/>
          <w:color w:val="000000"/>
          <w:position w:val="0"/>
          <w:sz w:val="20"/>
          <w:u w:val="none"/>
          <w:vertAlign w:val="baseline"/>
        </w:rPr>
        <w:t xml:space="preserve">. </w:t>
      </w:r>
      <w:bookmarkStart w:id="79" w:name="Bookmark_I5PYJSRF2HM6YF0010000400"/>
      <w:bookmarkEnd w:id="79"/>
      <w:r>
        <w:rPr>
          <w:rFonts w:ascii="arial" w:eastAsia="arial" w:hAnsi="arial" w:cs="arial"/>
          <w:b w:val="0"/>
          <w:i w:val="0"/>
          <w:strike w:val="0"/>
          <w:noProof w:val="0"/>
          <w:color w:val="000000"/>
          <w:position w:val="0"/>
          <w:sz w:val="20"/>
          <w:u w:val="none"/>
          <w:vertAlign w:val="baseline"/>
        </w:rPr>
        <w:t>That standard, most commonly stated in relation to a motion for a new trial, is as follows:</w:t>
      </w:r>
    </w:p>
    <w:p>
      <w:pPr>
        <w:keepNext w:val="0"/>
        <w:widowControl w:val="0"/>
        <w:spacing w:before="240" w:after="0" w:line="260" w:lineRule="atLeast"/>
        <w:ind w:left="400" w:right="0" w:firstLine="0"/>
        <w:jc w:val="both"/>
      </w:pPr>
      <w:bookmarkStart w:id="80" w:name="Bookmark_para_27"/>
      <w:bookmarkEnd w:id="80"/>
      <w:bookmarkStart w:id="81" w:name="Bookmark_I5PYJSRF2HM6YF0010000400_2"/>
      <w:bookmarkEnd w:id="81"/>
      <w:bookmarkStart w:id="82" w:name="Bookmark_I5PYJSRF2SF8RG0040000400_2"/>
      <w:bookmarkEnd w:id="82"/>
      <w:bookmarkStart w:id="83" w:name="Bookmark_I5PYJSRF2SF8RF0050000400_2"/>
      <w:bookmarkEnd w:id="83"/>
      <w:r>
        <w:rPr>
          <w:rFonts w:ascii="arial" w:eastAsia="arial" w:hAnsi="arial" w:cs="arial"/>
          <w:b w:val="0"/>
          <w:i w:val="0"/>
          <w:strike w:val="0"/>
          <w:noProof w:val="0"/>
          <w:color w:val="000000"/>
          <w:position w:val="0"/>
          <w:sz w:val="20"/>
          <w:u w:val="none"/>
          <w:vertAlign w:val="baseline"/>
        </w:rPr>
        <w:t>[It] requires that the new evidence (1) be material and not merely cumulative, (2) could not have been discovered before trial through the exercise of reasonable diligence and (3) would probably have changed the outcome of the trial (</w:t>
      </w:r>
      <w:bookmarkStart w:id="84" w:name="Bookmark_I5PYJSRF2SF8RG0030000400"/>
      <w:bookmarkEnd w:id="84"/>
      <w:hyperlink r:id="rId31" w:history="1">
        <w:r>
          <w:rPr>
            <w:rFonts w:ascii="arial" w:eastAsia="arial" w:hAnsi="arial" w:cs="arial"/>
            <w:b w:val="0"/>
            <w:i/>
            <w:strike w:val="0"/>
            <w:noProof w:val="0"/>
            <w:color w:val="0077CC"/>
            <w:position w:val="0"/>
            <w:sz w:val="20"/>
            <w:u w:val="single"/>
            <w:vertAlign w:val="baseline"/>
          </w:rPr>
          <w:t>Bohus v. Beloff</w:t>
        </w:r>
      </w:hyperlink>
      <w:hyperlink r:id="rId31" w:history="1">
        <w:r>
          <w:rPr>
            <w:rFonts w:ascii="arial" w:eastAsia="arial" w:hAnsi="arial" w:cs="arial"/>
            <w:b w:val="0"/>
            <w:i/>
            <w:strike w:val="0"/>
            <w:noProof w:val="0"/>
            <w:color w:val="0077CC"/>
            <w:position w:val="0"/>
            <w:sz w:val="20"/>
            <w:u w:val="single"/>
            <w:vertAlign w:val="baseline"/>
          </w:rPr>
          <w:t>, 950 F.2d 919, 930 (3d Cir.1991))</w:t>
        </w:r>
      </w:hyperlink>
      <w:r>
        <w:rPr>
          <w:rFonts w:ascii="arial" w:eastAsia="arial" w:hAnsi="arial" w:cs="arial"/>
          <w:b w:val="0"/>
          <w:i w:val="0"/>
          <w:strike w:val="0"/>
          <w:noProof w:val="0"/>
          <w:color w:val="000000"/>
          <w:position w:val="0"/>
          <w:sz w:val="20"/>
          <w:u w:val="none"/>
          <w:vertAlign w:val="baseline"/>
        </w:rPr>
        <w:t>. Any party requesting such relief "bears a heavy burden"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85" w:name="Bookmark_I5PYJSRF2SF8RG0050000400"/>
      <w:bookmarkEnd w:id="85"/>
      <w:hyperlink r:id="rId32" w:history="1">
        <w:r>
          <w:rPr>
            <w:rFonts w:ascii="arial" w:eastAsia="arial" w:hAnsi="arial" w:cs="arial"/>
            <w:b w:val="0"/>
            <w:i/>
            <w:strike w:val="0"/>
            <w:noProof w:val="0"/>
            <w:color w:val="0077CC"/>
            <w:position w:val="0"/>
            <w:sz w:val="20"/>
            <w:u w:val="single"/>
            <w:vertAlign w:val="baseline"/>
          </w:rPr>
          <w:t>Plisco v. Union R. Co.</w:t>
        </w:r>
      </w:hyperlink>
      <w:hyperlink r:id="rId32" w:history="1">
        <w:r>
          <w:rPr>
            <w:rFonts w:ascii="arial" w:eastAsia="arial" w:hAnsi="arial" w:cs="arial"/>
            <w:b w:val="0"/>
            <w:i/>
            <w:strike w:val="0"/>
            <w:noProof w:val="0"/>
            <w:color w:val="0077CC"/>
            <w:position w:val="0"/>
            <w:sz w:val="20"/>
            <w:u w:val="single"/>
            <w:vertAlign w:val="baseline"/>
          </w:rPr>
          <w:t>, 379 F.2d 15, 17 (3d Cir.1967))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6" w:name="Bookmark_I5PYJSRF2HM6YF0020000400"/>
      <w:bookmarkEnd w:id="86"/>
      <w:hyperlink r:id="rId30" w:history="1">
        <w:r>
          <w:rPr>
            <w:rFonts w:ascii="arial" w:eastAsia="arial" w:hAnsi="arial" w:cs="arial"/>
            <w:b w:val="0"/>
            <w:i/>
            <w:strike w:val="0"/>
            <w:color w:val="0077CC"/>
            <w:sz w:val="20"/>
            <w:u w:val="single"/>
            <w:vertAlign w:val="baseline"/>
          </w:rPr>
          <w:t>Compass Tech.</w:t>
        </w:r>
      </w:hyperlink>
      <w:hyperlink r:id="rId30" w:history="1">
        <w:r>
          <w:rPr>
            <w:rFonts w:ascii="arial" w:eastAsia="arial" w:hAnsi="arial" w:cs="arial"/>
            <w:b w:val="0"/>
            <w:i/>
            <w:strike w:val="0"/>
            <w:color w:val="0077CC"/>
            <w:sz w:val="20"/>
            <w:u w:val="single"/>
            <w:vertAlign w:val="baseline"/>
          </w:rPr>
          <w:t>, 71 F.3d at 1130</w:t>
        </w:r>
      </w:hyperlink>
      <w:r>
        <w:rPr>
          <w:rFonts w:ascii="arial" w:eastAsia="arial" w:hAnsi="arial" w:cs="arial"/>
          <w:b w:val="0"/>
          <w:i w:val="0"/>
          <w:strike w:val="0"/>
          <w:noProof w:val="0"/>
          <w:color w:val="000000"/>
          <w:position w:val="0"/>
          <w:sz w:val="20"/>
          <w:u w:val="none"/>
          <w:vertAlign w:val="baseline"/>
        </w:rPr>
        <w:t xml:space="preserve">. A </w:t>
      </w:r>
      <w:hyperlink r:id="rId14" w:history="1">
        <w:r>
          <w:rPr>
            <w:rFonts w:ascii="arial" w:eastAsia="arial" w:hAnsi="arial" w:cs="arial"/>
            <w:b w:val="0"/>
            <w:i/>
            <w:strike w:val="0"/>
            <w:noProof w:val="0"/>
            <w:color w:val="0077CC"/>
            <w:position w:val="0"/>
            <w:sz w:val="20"/>
            <w:u w:val="single"/>
            <w:vertAlign w:val="baseline"/>
          </w:rPr>
          <w:t>Rule 60(b)(2)</w:t>
        </w:r>
      </w:hyperlink>
      <w:r>
        <w:rPr>
          <w:rFonts w:ascii="arial" w:eastAsia="arial" w:hAnsi="arial" w:cs="arial"/>
          <w:b w:val="0"/>
          <w:i w:val="0"/>
          <w:strike w:val="0"/>
          <w:noProof w:val="0"/>
          <w:color w:val="000000"/>
          <w:position w:val="0"/>
          <w:sz w:val="20"/>
          <w:u w:val="none"/>
          <w:vertAlign w:val="baseline"/>
        </w:rPr>
        <w:t xml:space="preserve"> motion must be brought within one year after the entry of the judgment or order that is challenged. </w:t>
      </w:r>
      <w:hyperlink r:id="rId14" w:history="1">
        <w:r>
          <w:rPr>
            <w:rFonts w:ascii="arial" w:eastAsia="arial" w:hAnsi="arial" w:cs="arial"/>
            <w:b w:val="0"/>
            <w:i/>
            <w:strike w:val="0"/>
            <w:noProof w:val="0"/>
            <w:color w:val="0077CC"/>
            <w:position w:val="0"/>
            <w:sz w:val="20"/>
            <w:u w:val="single"/>
            <w:vertAlign w:val="baseline"/>
          </w:rPr>
          <w:t>Fed. R. Civ. P. 60(c)(1)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Law of the Case</w:t>
      </w:r>
    </w:p>
    <w:p>
      <w:pPr>
        <w:keepNext w:val="0"/>
        <w:widowControl w:val="0"/>
        <w:spacing w:before="240" w:after="0" w:line="260" w:lineRule="atLeast"/>
        <w:ind w:left="0" w:right="0" w:firstLine="0"/>
        <w:jc w:val="both"/>
      </w:pPr>
      <w:bookmarkStart w:id="87" w:name="Bookmark_para_28"/>
      <w:bookmarkEnd w:id="87"/>
      <w:bookmarkStart w:id="88" w:name="Bookmark_I5PYJSRF2HM6YF0050000400"/>
      <w:bookmarkEnd w:id="88"/>
      <w:bookmarkStart w:id="89" w:name="Bookmark_I5PYJSRF2HM6YG0020000400"/>
      <w:bookmarkEnd w:id="89"/>
      <w:r>
        <w:rPr>
          <w:rFonts w:ascii="arial" w:eastAsia="arial" w:hAnsi="arial" w:cs="arial"/>
          <w:b w:val="0"/>
          <w:i w:val="0"/>
          <w:strike w:val="0"/>
          <w:noProof w:val="0"/>
          <w:color w:val="000000"/>
          <w:position w:val="0"/>
          <w:sz w:val="20"/>
          <w:u w:val="none"/>
          <w:vertAlign w:val="baseline"/>
        </w:rPr>
        <w:t xml:space="preserve">Also implicated by Pressler's motion, though not cited by any party, is the law-of-the-case doctrine. </w:t>
      </w:r>
      <w:bookmarkStart w:id="90" w:name="Bookmark_I5PYJSRF2D6MSK0010000400"/>
      <w:bookmarkEnd w:id="90"/>
      <w:r>
        <w:rPr>
          <w:rFonts w:ascii="arial" w:eastAsia="arial" w:hAnsi="arial" w:cs="arial"/>
          <w:b w:val="0"/>
          <w:i w:val="0"/>
          <w:strike w:val="0"/>
          <w:noProof w:val="0"/>
          <w:color w:val="000000"/>
          <w:position w:val="0"/>
          <w:sz w:val="20"/>
          <w:u w:val="none"/>
          <w:vertAlign w:val="baseline"/>
        </w:rPr>
        <w:t>That doctrine, as applicable here, governs serial decisions by the same court in the same case: "As most commonly defined, the doctrine posits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that when a court decides upon a rule of law, that decision should continue to govern the same issues in subsequent stages in the same case." </w:t>
      </w:r>
      <w:bookmarkStart w:id="91" w:name="Bookmark_I5PYJSRF2HM6YF0040000400"/>
      <w:bookmarkEnd w:id="91"/>
      <w:hyperlink r:id="rId33" w:history="1">
        <w:r>
          <w:rPr>
            <w:rFonts w:ascii="arial" w:eastAsia="arial" w:hAnsi="arial" w:cs="arial"/>
            <w:b w:val="0"/>
            <w:i/>
            <w:strike w:val="0"/>
            <w:noProof w:val="0"/>
            <w:color w:val="0077CC"/>
            <w:position w:val="0"/>
            <w:sz w:val="20"/>
            <w:u w:val="single"/>
            <w:vertAlign w:val="baseline"/>
          </w:rPr>
          <w:t>Arizona v. California</w:t>
        </w:r>
      </w:hyperlink>
      <w:hyperlink r:id="rId33" w:history="1">
        <w:r>
          <w:rPr>
            <w:rFonts w:ascii="arial" w:eastAsia="arial" w:hAnsi="arial" w:cs="arial"/>
            <w:b w:val="0"/>
            <w:i/>
            <w:strike w:val="0"/>
            <w:noProof w:val="0"/>
            <w:color w:val="0077CC"/>
            <w:position w:val="0"/>
            <w:sz w:val="20"/>
            <w:u w:val="single"/>
            <w:vertAlign w:val="baseline"/>
          </w:rPr>
          <w:t>, 460 U.S. 605, 618, 103 S. Ct. 1382, 75 L. Ed. 2d 318 (1983)</w:t>
        </w:r>
      </w:hyperlink>
      <w:r>
        <w:rPr>
          <w:rFonts w:ascii="arial" w:eastAsia="arial" w:hAnsi="arial" w:cs="arial"/>
          <w:b w:val="0"/>
          <w:i w:val="0"/>
          <w:strike w:val="0"/>
          <w:noProof w:val="0"/>
          <w:color w:val="000000"/>
          <w:position w:val="0"/>
          <w:sz w:val="20"/>
          <w:u w:val="none"/>
          <w:vertAlign w:val="baseline"/>
        </w:rPr>
        <w:t xml:space="preserve">. </w:t>
      </w:r>
      <w:bookmarkStart w:id="92" w:name="Bookmark_I5PYJSRF2D6MSK0030000400"/>
      <w:bookmarkEnd w:id="92"/>
      <w:r>
        <w:rPr>
          <w:rFonts w:ascii="arial" w:eastAsia="arial" w:hAnsi="arial" w:cs="arial"/>
          <w:b w:val="0"/>
          <w:i w:val="0"/>
          <w:strike w:val="0"/>
          <w:noProof w:val="0"/>
          <w:color w:val="000000"/>
          <w:position w:val="0"/>
          <w:sz w:val="20"/>
          <w:u w:val="none"/>
          <w:vertAlign w:val="baseline"/>
        </w:rPr>
        <w:t xml:space="preserve">The doctrine "'limits relitigation of an issue once it has been decided' in an earlier stage of the same litigation." </w:t>
      </w:r>
      <w:bookmarkStart w:id="93" w:name="Bookmark_I5PYJSRF2HM6YG0010000400"/>
      <w:bookmarkEnd w:id="93"/>
      <w:hyperlink r:id="rId34" w:history="1">
        <w:r>
          <w:rPr>
            <w:rFonts w:ascii="arial" w:eastAsia="arial" w:hAnsi="arial" w:cs="arial"/>
            <w:b w:val="0"/>
            <w:i/>
            <w:strike w:val="0"/>
            <w:noProof w:val="0"/>
            <w:color w:val="0077CC"/>
            <w:position w:val="0"/>
            <w:sz w:val="20"/>
            <w:u w:val="single"/>
            <w:vertAlign w:val="baseline"/>
          </w:rPr>
          <w:t>Hamilton v. Leavy</w:t>
        </w:r>
      </w:hyperlink>
      <w:hyperlink r:id="rId34" w:history="1">
        <w:r>
          <w:rPr>
            <w:rFonts w:ascii="arial" w:eastAsia="arial" w:hAnsi="arial" w:cs="arial"/>
            <w:b w:val="0"/>
            <w:i/>
            <w:strike w:val="0"/>
            <w:noProof w:val="0"/>
            <w:color w:val="0077CC"/>
            <w:position w:val="0"/>
            <w:sz w:val="20"/>
            <w:u w:val="single"/>
            <w:vertAlign w:val="baseline"/>
          </w:rPr>
          <w:t>, 322 F.3d 776, 786 (3d Cir. 2003)</w:t>
        </w:r>
      </w:hyperlink>
      <w:r>
        <w:rPr>
          <w:rFonts w:ascii="arial" w:eastAsia="arial" w:hAnsi="arial" w:cs="arial"/>
          <w:b w:val="0"/>
          <w:i w:val="0"/>
          <w:strike w:val="0"/>
          <w:noProof w:val="0"/>
          <w:color w:val="000000"/>
          <w:position w:val="0"/>
          <w:sz w:val="20"/>
          <w:u w:val="none"/>
          <w:vertAlign w:val="baseline"/>
        </w:rPr>
        <w:t xml:space="preserve"> (quoting </w:t>
      </w:r>
      <w:bookmarkStart w:id="94" w:name="Bookmark_I5PYJSRF2HM6YG0030000400"/>
      <w:bookmarkEnd w:id="94"/>
      <w:hyperlink r:id="rId35" w:history="1">
        <w:r>
          <w:rPr>
            <w:rFonts w:ascii="arial" w:eastAsia="arial" w:hAnsi="arial" w:cs="arial"/>
            <w:b w:val="0"/>
            <w:i/>
            <w:strike w:val="0"/>
            <w:noProof w:val="0"/>
            <w:color w:val="0077CC"/>
            <w:position w:val="0"/>
            <w:sz w:val="20"/>
            <w:u w:val="single"/>
            <w:vertAlign w:val="baseline"/>
          </w:rPr>
          <w:t>In re Continental Airlines, Inc.</w:t>
        </w:r>
      </w:hyperlink>
      <w:hyperlink r:id="rId35" w:history="1">
        <w:r>
          <w:rPr>
            <w:rFonts w:ascii="arial" w:eastAsia="arial" w:hAnsi="arial" w:cs="arial"/>
            <w:b w:val="0"/>
            <w:i/>
            <w:strike w:val="0"/>
            <w:noProof w:val="0"/>
            <w:color w:val="0077CC"/>
            <w:position w:val="0"/>
            <w:sz w:val="20"/>
            <w:u w:val="single"/>
            <w:vertAlign w:val="baseline"/>
          </w:rPr>
          <w:t>, 279 F.3d 226, 232 (3d Cir. 2002))</w:t>
        </w:r>
      </w:hyperlink>
      <w:r>
        <w:rPr>
          <w:rFonts w:ascii="arial" w:eastAsia="arial" w:hAnsi="arial" w:cs="arial"/>
          <w:b w:val="0"/>
          <w:i w:val="0"/>
          <w:strike w:val="0"/>
          <w:noProof w:val="0"/>
          <w:color w:val="000000"/>
          <w:position w:val="0"/>
          <w:sz w:val="20"/>
          <w:u w:val="none"/>
          <w:vertAlign w:val="baseline"/>
        </w:rPr>
        <w:t xml:space="preserve">. </w:t>
      </w:r>
      <w:bookmarkStart w:id="95" w:name="Bookmark_I5PYJSRF2D6MSK0030000400_2"/>
      <w:bookmarkEnd w:id="95"/>
      <w:bookmarkStart w:id="96" w:name="Bookmark_I5PYJSRF2D6MSK0010000400_2"/>
      <w:bookmarkEnd w:id="96"/>
      <w:r>
        <w:rPr>
          <w:rFonts w:ascii="arial" w:eastAsia="arial" w:hAnsi="arial" w:cs="arial"/>
          <w:b w:val="0"/>
          <w:i w:val="0"/>
          <w:strike w:val="0"/>
          <w:noProof w:val="0"/>
          <w:color w:val="000000"/>
          <w:position w:val="0"/>
          <w:sz w:val="20"/>
          <w:u w:val="none"/>
          <w:vertAlign w:val="baseline"/>
        </w:rPr>
        <w:t xml:space="preserve">The doctrine is designed to "promote finality, consistency, and judicial economy." </w:t>
      </w:r>
      <w:bookmarkStart w:id="97" w:name="Bookmark_I5PYJSRF2HM6YG0050000400"/>
      <w:bookmarkEnd w:id="97"/>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787</w:t>
        </w:r>
      </w:hyperlink>
      <w:r>
        <w:rPr>
          <w:rFonts w:ascii="arial" w:eastAsia="arial" w:hAnsi="arial" w:cs="arial"/>
          <w:b w:val="0"/>
          <w:i w:val="0"/>
          <w:strike w:val="0"/>
          <w:noProof w:val="0"/>
          <w:color w:val="000000"/>
          <w:position w:val="0"/>
          <w:sz w:val="20"/>
          <w:u w:val="none"/>
          <w:vertAlign w:val="baseline"/>
        </w:rPr>
        <w:t xml:space="preserve">. </w:t>
      </w:r>
      <w:bookmarkStart w:id="98" w:name="Bookmark_I5PYJSRF2D6MSK0020000400"/>
      <w:bookmarkEnd w:id="98"/>
      <w:hyperlink r:id="rId36" w:history="1">
        <w:r>
          <w:rPr>
            <w:rFonts w:ascii="arial" w:eastAsia="arial" w:hAnsi="arial" w:cs="arial"/>
            <w:b w:val="0"/>
            <w:i/>
            <w:strike w:val="0"/>
            <w:noProof w:val="0"/>
            <w:color w:val="0077CC"/>
            <w:position w:val="0"/>
            <w:sz w:val="20"/>
            <w:u w:val="single"/>
            <w:vertAlign w:val="baseline"/>
          </w:rPr>
          <w:t>Accord Farmer v. Lanigan</w:t>
        </w:r>
      </w:hyperlink>
      <w:hyperlink r:id="rId36" w:history="1">
        <w:r>
          <w:rPr>
            <w:rFonts w:ascii="arial" w:eastAsia="arial" w:hAnsi="arial" w:cs="arial"/>
            <w:b w:val="0"/>
            <w:i/>
            <w:strike w:val="0"/>
            <w:noProof w:val="0"/>
            <w:color w:val="0077CC"/>
            <w:position w:val="0"/>
            <w:sz w:val="20"/>
            <w:u w:val="single"/>
            <w:vertAlign w:val="baseline"/>
          </w:rPr>
          <w:t>, No. CV 12-5716 (SDW), 2016 U.S. Dist. LEXIS 99992, 2016 WL 4107693, at *3 (D.N.J. Aug. 1,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9" w:name="Bookmark_I5PYJSRF2D6MSK0040000400"/>
      <w:bookmarkEnd w:id="99"/>
      <w:hyperlink r:id="rId37" w:history="1">
        <w:r>
          <w:rPr>
            <w:rFonts w:ascii="arial" w:eastAsia="arial" w:hAnsi="arial" w:cs="arial"/>
            <w:b w:val="0"/>
            <w:i/>
            <w:strike w:val="0"/>
            <w:noProof w:val="0"/>
            <w:color w:val="0077CC"/>
            <w:position w:val="0"/>
            <w:sz w:val="20"/>
            <w:u w:val="single"/>
            <w:vertAlign w:val="baseline"/>
          </w:rPr>
          <w:t>United States ex rel. Petratos v. Genentech Inc.</w:t>
        </w:r>
      </w:hyperlink>
      <w:hyperlink r:id="rId37" w:history="1">
        <w:r>
          <w:rPr>
            <w:rFonts w:ascii="arial" w:eastAsia="arial" w:hAnsi="arial" w:cs="arial"/>
            <w:b w:val="0"/>
            <w:i/>
            <w:strike w:val="0"/>
            <w:noProof w:val="0"/>
            <w:color w:val="0077CC"/>
            <w:position w:val="0"/>
            <w:sz w:val="20"/>
            <w:u w:val="single"/>
            <w:vertAlign w:val="baseline"/>
          </w:rPr>
          <w:t>, 855 F.3d 481, 493 (3d Cir.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0" w:name="Bookmark_para_29"/>
      <w:bookmarkEnd w:id="100"/>
      <w:bookmarkStart w:id="101" w:name="Bookmark_I5PYJSRF28T46H0020000400"/>
      <w:bookmarkEnd w:id="101"/>
      <w:bookmarkStart w:id="102" w:name="Bookmark_I5PYJSRF2D6MSM0010000400"/>
      <w:bookmarkEnd w:id="102"/>
      <w:r>
        <w:rPr>
          <w:rFonts w:ascii="arial" w:eastAsia="arial" w:hAnsi="arial" w:cs="arial"/>
          <w:b w:val="0"/>
          <w:i w:val="0"/>
          <w:strike w:val="0"/>
          <w:noProof w:val="0"/>
          <w:color w:val="000000"/>
          <w:position w:val="0"/>
          <w:sz w:val="20"/>
          <w:u w:val="none"/>
          <w:vertAlign w:val="baseline"/>
        </w:rPr>
        <w:t xml:space="preserve">Unlike the more rigid post-judgment rules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the law of the case doctrine is directed to the court's exercise of its discretion to reconsider issues </w:t>
      </w:r>
      <w:r>
        <w:rPr>
          <w:rFonts w:ascii="arial" w:eastAsia="arial" w:hAnsi="arial" w:cs="arial"/>
          <w:b w:val="0"/>
          <w:i/>
          <w:strike w:val="0"/>
          <w:noProof w:val="0"/>
          <w:color w:val="000000"/>
          <w:position w:val="0"/>
          <w:sz w:val="20"/>
          <w:u w:val="none"/>
          <w:vertAlign w:val="baseline"/>
        </w:rPr>
        <w:t>during</w:t>
      </w:r>
      <w:r>
        <w:rPr>
          <w:rFonts w:ascii="arial" w:eastAsia="arial" w:hAnsi="arial" w:cs="arial"/>
          <w:b w:val="0"/>
          <w:i w:val="0"/>
          <w:strike w:val="0"/>
          <w:noProof w:val="0"/>
          <w:color w:val="000000"/>
          <w:position w:val="0"/>
          <w:sz w:val="20"/>
          <w:u w:val="none"/>
          <w:vertAlign w:val="baseline"/>
        </w:rPr>
        <w:t xml:space="preserve"> a pending case. </w:t>
      </w:r>
      <w:bookmarkStart w:id="103" w:name="Bookmark_I5PYJSRF28T46H0010000400"/>
      <w:bookmarkEnd w:id="103"/>
      <w:hyperlink r:id="rId38" w:history="1">
        <w:r>
          <w:rPr>
            <w:rFonts w:ascii="arial" w:eastAsia="arial" w:hAnsi="arial" w:cs="arial"/>
            <w:b w:val="0"/>
            <w:i/>
            <w:strike w:val="0"/>
            <w:noProof w:val="0"/>
            <w:color w:val="0077CC"/>
            <w:position w:val="0"/>
            <w:sz w:val="20"/>
            <w:u w:val="single"/>
            <w:vertAlign w:val="baseline"/>
          </w:rPr>
          <w:t>Motamed v. Chubb Corp.</w:t>
        </w:r>
      </w:hyperlink>
      <w:hyperlink r:id="rId38" w:history="1">
        <w:r>
          <w:rPr>
            <w:rFonts w:ascii="arial" w:eastAsia="arial" w:hAnsi="arial" w:cs="arial"/>
            <w:b w:val="0"/>
            <w:i/>
            <w:strike w:val="0"/>
            <w:noProof w:val="0"/>
            <w:color w:val="0077CC"/>
            <w:position w:val="0"/>
            <w:sz w:val="20"/>
            <w:u w:val="single"/>
            <w:vertAlign w:val="baseline"/>
          </w:rPr>
          <w:t>, No. 15-7262, 2016 U.S. Dist. LEXIS 118427, 2016 WL 4581409, at *3 (D.N.J. Sept. 1, 2016)</w:t>
        </w:r>
      </w:hyperlink>
      <w:r>
        <w:rPr>
          <w:rFonts w:ascii="arial" w:eastAsia="arial" w:hAnsi="arial" w:cs="arial"/>
          <w:b w:val="0"/>
          <w:i w:val="0"/>
          <w:strike w:val="0"/>
          <w:noProof w:val="0"/>
          <w:color w:val="000000"/>
          <w:position w:val="0"/>
          <w:sz w:val="20"/>
          <w:u w:val="none"/>
          <w:vertAlign w:val="baseline"/>
        </w:rPr>
        <w:t xml:space="preserve"> (citing </w:t>
      </w:r>
      <w:bookmarkStart w:id="104" w:name="Bookmark_I5PYJSRF28T46H0030000400"/>
      <w:bookmarkEnd w:id="104"/>
      <w:hyperlink r:id="rId39" w:history="1">
        <w:r>
          <w:rPr>
            <w:rFonts w:ascii="arial" w:eastAsia="arial" w:hAnsi="arial" w:cs="arial"/>
            <w:b w:val="0"/>
            <w:i/>
            <w:strike w:val="0"/>
            <w:noProof w:val="0"/>
            <w:color w:val="0077CC"/>
            <w:position w:val="0"/>
            <w:sz w:val="20"/>
            <w:u w:val="single"/>
            <w:vertAlign w:val="baseline"/>
          </w:rPr>
          <w:t>Public Interest Research Group of N.J., Inc. v. Magnesium Elektron, Inc.</w:t>
        </w:r>
      </w:hyperlink>
      <w:hyperlink r:id="rId39" w:history="1">
        <w:r>
          <w:rPr>
            <w:rFonts w:ascii="arial" w:eastAsia="arial" w:hAnsi="arial" w:cs="arial"/>
            <w:b w:val="0"/>
            <w:i/>
            <w:strike w:val="0"/>
            <w:noProof w:val="0"/>
            <w:color w:val="0077CC"/>
            <w:position w:val="0"/>
            <w:sz w:val="20"/>
            <w:u w:val="single"/>
            <w:vertAlign w:val="baseline"/>
          </w:rPr>
          <w:t>, 123 F.3d 111, 117 (3d Cir. 1997))</w:t>
        </w:r>
      </w:hyperlink>
      <w:r>
        <w:rPr>
          <w:rFonts w:ascii="arial" w:eastAsia="arial" w:hAnsi="arial" w:cs="arial"/>
          <w:b w:val="0"/>
          <w:i w:val="0"/>
          <w:strike w:val="0"/>
          <w:noProof w:val="0"/>
          <w:color w:val="000000"/>
          <w:position w:val="0"/>
          <w:sz w:val="20"/>
          <w:u w:val="none"/>
          <w:vertAlign w:val="baseline"/>
        </w:rPr>
        <w:t xml:space="preserve">. Thus, for example, a court may opt to revisit a legal issue already decided where "(1) there has been an intervening change in the law; (2) new evidence has become available; or (3) reconsideration is necessary to prevent clear error or a manifest injustice." </w:t>
      </w:r>
      <w:bookmarkStart w:id="105" w:name="Bookmark_I5PYJSRF28T46H0050000400"/>
      <w:bookmarkEnd w:id="105"/>
      <w:hyperlink r:id="rId40" w:history="1">
        <w:r>
          <w:rPr>
            <w:rFonts w:ascii="arial" w:eastAsia="arial" w:hAnsi="arial" w:cs="arial"/>
            <w:b w:val="0"/>
            <w:i/>
            <w:strike w:val="0"/>
            <w:noProof w:val="0"/>
            <w:color w:val="0077CC"/>
            <w:position w:val="0"/>
            <w:sz w:val="20"/>
            <w:u w:val="single"/>
            <w:vertAlign w:val="baseline"/>
          </w:rPr>
          <w:t>Minard Run Oil Co. v. U.S. Forest Serv.</w:t>
        </w:r>
      </w:hyperlink>
      <w:hyperlink r:id="rId40" w:history="1">
        <w:r>
          <w:rPr>
            <w:rFonts w:ascii="arial" w:eastAsia="arial" w:hAnsi="arial" w:cs="arial"/>
            <w:b w:val="0"/>
            <w:i/>
            <w:strike w:val="0"/>
            <w:noProof w:val="0"/>
            <w:color w:val="0077CC"/>
            <w:position w:val="0"/>
            <w:sz w:val="20"/>
            <w:u w:val="single"/>
            <w:vertAlign w:val="baseline"/>
          </w:rPr>
          <w:t>, 549 F. App'x 93, 98 (3d Cir. 2013)</w:t>
        </w:r>
      </w:hyperlink>
      <w:r>
        <w:rPr>
          <w:rFonts w:ascii="arial" w:eastAsia="arial" w:hAnsi="arial" w:cs="arial"/>
          <w:b w:val="0"/>
          <w:i w:val="0"/>
          <w:strike w:val="0"/>
          <w:noProof w:val="0"/>
          <w:color w:val="000000"/>
          <w:position w:val="0"/>
          <w:sz w:val="20"/>
          <w:u w:val="none"/>
          <w:vertAlign w:val="baseline"/>
        </w:rPr>
        <w:t xml:space="preserve"> (quoting </w:t>
      </w:r>
      <w:bookmarkStart w:id="106" w:name="Bookmark_I5PYJSRF2D6MSM0020000400"/>
      <w:bookmarkEnd w:id="106"/>
      <w:hyperlink r:id="rId41" w:history="1">
        <w:r>
          <w:rPr>
            <w:rFonts w:ascii="arial" w:eastAsia="arial" w:hAnsi="arial" w:cs="arial"/>
            <w:b w:val="0"/>
            <w:i/>
            <w:strike w:val="0"/>
            <w:noProof w:val="0"/>
            <w:color w:val="0077CC"/>
            <w:position w:val="0"/>
            <w:sz w:val="20"/>
            <w:u w:val="single"/>
            <w:vertAlign w:val="baseline"/>
          </w:rPr>
          <w:t>ACLU v. Mukasey</w:t>
        </w:r>
      </w:hyperlink>
      <w:hyperlink r:id="rId41" w:history="1">
        <w:r>
          <w:rPr>
            <w:rFonts w:ascii="arial" w:eastAsia="arial" w:hAnsi="arial" w:cs="arial"/>
            <w:b w:val="0"/>
            <w:i/>
            <w:strike w:val="0"/>
            <w:noProof w:val="0"/>
            <w:color w:val="0077CC"/>
            <w:position w:val="0"/>
            <w:sz w:val="20"/>
            <w:u w:val="single"/>
            <w:vertAlign w:val="baseline"/>
          </w:rPr>
          <w:t>, 534 F.3d 181, 188 (3d Cir. 2008)</w:t>
        </w:r>
      </w:hyperlink>
      <w:r>
        <w:rPr>
          <w:rFonts w:ascii="arial" w:eastAsia="arial" w:hAnsi="arial" w:cs="arial"/>
          <w:b w:val="0"/>
          <w:i w:val="0"/>
          <w:strike w:val="0"/>
          <w:noProof w:val="0"/>
          <w:color w:val="000000"/>
          <w:position w:val="0"/>
          <w:sz w:val="20"/>
          <w:u w:val="none"/>
          <w:vertAlign w:val="baseline"/>
        </w:rPr>
        <w:t xml:space="preserve"> (quoting </w:t>
      </w:r>
      <w:bookmarkStart w:id="107" w:name="Bookmark_I5PYJSRF2D6MSM0040000400"/>
      <w:bookmarkEnd w:id="107"/>
      <w:hyperlink r:id="rId42" w:history="1">
        <w:r>
          <w:rPr>
            <w:rFonts w:ascii="arial" w:eastAsia="arial" w:hAnsi="arial" w:cs="arial"/>
            <w:b w:val="0"/>
            <w:i/>
            <w:strike w:val="0"/>
            <w:noProof w:val="0"/>
            <w:color w:val="0077CC"/>
            <w:position w:val="0"/>
            <w:sz w:val="20"/>
            <w:u w:val="single"/>
            <w:vertAlign w:val="baseline"/>
          </w:rPr>
          <w:t>Council of Alternative Political Parties v. Hooks</w:t>
        </w:r>
      </w:hyperlink>
      <w:hyperlink r:id="rId42" w:history="1">
        <w:r>
          <w:rPr>
            <w:rFonts w:ascii="arial" w:eastAsia="arial" w:hAnsi="arial" w:cs="arial"/>
            <w:b w:val="0"/>
            <w:i/>
            <w:strike w:val="0"/>
            <w:noProof w:val="0"/>
            <w:color w:val="0077CC"/>
            <w:position w:val="0"/>
            <w:sz w:val="20"/>
            <w:u w:val="single"/>
            <w:vertAlign w:val="baseline"/>
          </w:rPr>
          <w:t>, 179 F.3d 64, 69 (3d Cir. 1999))</w:t>
        </w:r>
      </w:hyperlink>
      <w:r>
        <w:rPr>
          <w:rFonts w:ascii="arial" w:eastAsia="arial" w:hAnsi="arial" w:cs="arial"/>
          <w:b w:val="0"/>
          <w:i w:val="0"/>
          <w:strike w:val="0"/>
          <w:noProof w:val="0"/>
          <w:color w:val="000000"/>
          <w:position w:val="0"/>
          <w:sz w:val="20"/>
          <w:u w:val="none"/>
          <w:vertAlign w:val="baseline"/>
        </w:rPr>
        <w:t xml:space="preserve">. </w:t>
      </w:r>
      <w:bookmarkStart w:id="108" w:name="Bookmark_I5PYJSRF2N1PPS0020000400"/>
      <w:bookmarkEnd w:id="108"/>
      <w:r>
        <w:rPr>
          <w:rFonts w:ascii="arial" w:eastAsia="arial" w:hAnsi="arial" w:cs="arial"/>
          <w:b w:val="0"/>
          <w:i w:val="0"/>
          <w:strike w:val="0"/>
          <w:noProof w:val="0"/>
          <w:color w:val="000000"/>
          <w:position w:val="0"/>
          <w:sz w:val="20"/>
          <w:u w:val="none"/>
          <w:vertAlign w:val="baseline"/>
        </w:rPr>
        <w:t xml:space="preserve">These three factors, of course, are familiar; they duplicate those cited under </w:t>
      </w:r>
      <w:hyperlink r:id="rId12" w:history="1">
        <w:r>
          <w:rPr>
            <w:rFonts w:ascii="arial" w:eastAsia="arial" w:hAnsi="arial" w:cs="arial"/>
            <w:b w:val="0"/>
            <w:i/>
            <w:strike w:val="0"/>
            <w:noProof w:val="0"/>
            <w:color w:val="0077CC"/>
            <w:position w:val="0"/>
            <w:sz w:val="20"/>
            <w:u w:val="single"/>
            <w:vertAlign w:val="baseline"/>
          </w:rPr>
          <w:t>Local Rule 7.1</w:t>
        </w:r>
      </w:hyperlink>
      <w:r>
        <w:rPr>
          <w:rFonts w:ascii="arial" w:eastAsia="arial" w:hAnsi="arial" w:cs="arial"/>
          <w:b w:val="0"/>
          <w:i w:val="0"/>
          <w:strike w:val="0"/>
          <w:noProof w:val="0"/>
          <w:color w:val="000000"/>
          <w:position w:val="0"/>
          <w:sz w:val="20"/>
          <w:u w:val="none"/>
          <w:vertAlign w:val="baseline"/>
        </w:rPr>
        <w:t xml:space="preserve"> or </w:t>
      </w:r>
      <w:hyperlink r:id="rId13"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w:t>
      </w:r>
      <w:bookmarkStart w:id="109" w:name="Bookmark_I5PYJSRF2N1PPS0020000400_2"/>
      <w:bookmarkEnd w:id="109"/>
      <w:r>
        <w:rPr>
          <w:rFonts w:ascii="arial" w:eastAsia="arial" w:hAnsi="arial" w:cs="arial"/>
          <w:b w:val="0"/>
          <w:i w:val="0"/>
          <w:strike w:val="0"/>
          <w:noProof w:val="0"/>
          <w:color w:val="000000"/>
          <w:position w:val="0"/>
          <w:sz w:val="20"/>
          <w:u w:val="none"/>
          <w:vertAlign w:val="baseline"/>
        </w:rPr>
        <w:t xml:space="preserve">Nevertheless, the law of the case doctrine reserves to the Court a broader measure of discretion to reconsider its own decisions. </w:t>
      </w:r>
      <w:r>
        <w:rPr>
          <w:rFonts w:ascii="arial" w:eastAsia="arial" w:hAnsi="arial" w:cs="arial"/>
          <w:b w:val="0"/>
          <w:i/>
          <w:strike w:val="0"/>
          <w:noProof w:val="0"/>
          <w:color w:val="000000"/>
          <w:position w:val="0"/>
          <w:sz w:val="20"/>
          <w:u w:val="none"/>
          <w:vertAlign w:val="baseline"/>
        </w:rPr>
        <w:t xml:space="preserve">See </w:t>
      </w:r>
      <w:bookmarkStart w:id="110" w:name="Bookmark_I5PYJSRF2N1PPS0010000400"/>
      <w:bookmarkEnd w:id="110"/>
      <w:hyperlink r:id="rId37" w:history="1">
        <w:r>
          <w:rPr>
            <w:rFonts w:ascii="arial" w:eastAsia="arial" w:hAnsi="arial" w:cs="arial"/>
            <w:b w:val="0"/>
            <w:i/>
            <w:strike w:val="0"/>
            <w:noProof w:val="0"/>
            <w:color w:val="0077CC"/>
            <w:position w:val="0"/>
            <w:sz w:val="20"/>
            <w:u w:val="single"/>
            <w:vertAlign w:val="baseline"/>
          </w:rPr>
          <w:t>United States ex rel. Petratos v. Genentech Inc.</w:t>
        </w:r>
      </w:hyperlink>
      <w:hyperlink r:id="rId37" w:history="1">
        <w:r>
          <w:rPr>
            <w:rFonts w:ascii="arial" w:eastAsia="arial" w:hAnsi="arial" w:cs="arial"/>
            <w:b w:val="0"/>
            <w:i/>
            <w:strike w:val="0"/>
            <w:noProof w:val="0"/>
            <w:color w:val="0077CC"/>
            <w:position w:val="0"/>
            <w:sz w:val="20"/>
            <w:u w:val="single"/>
            <w:vertAlign w:val="baseline"/>
          </w:rPr>
          <w:t>, 855 F.3d 481, 493 (3d Cir. 2017)</w:t>
        </w:r>
      </w:hyperlink>
      <w:r>
        <w:rPr>
          <w:rFonts w:ascii="arial" w:eastAsia="arial" w:hAnsi="arial" w:cs="arial"/>
          <w:b w:val="0"/>
          <w:i w:val="0"/>
          <w:strike w:val="0"/>
          <w:noProof w:val="0"/>
          <w:color w:val="000000"/>
          <w:position w:val="0"/>
          <w:sz w:val="20"/>
          <w:u w:val="none"/>
          <w:vertAlign w:val="baseline"/>
        </w:rPr>
        <w:t xml:space="preserve"> (citing </w:t>
      </w:r>
      <w:bookmarkStart w:id="111" w:name="Bookmark_I5PYJSRF2N1PPS0030000400"/>
      <w:bookmarkEnd w:id="111"/>
      <w:hyperlink r:id="rId43" w:history="1">
        <w:r>
          <w:rPr>
            <w:rFonts w:ascii="arial" w:eastAsia="arial" w:hAnsi="arial" w:cs="arial"/>
            <w:b w:val="0"/>
            <w:i/>
            <w:strike w:val="0"/>
            <w:noProof w:val="0"/>
            <w:color w:val="0077CC"/>
            <w:position w:val="0"/>
            <w:sz w:val="20"/>
            <w:u w:val="single"/>
            <w:vertAlign w:val="baseline"/>
          </w:rPr>
          <w:t>Williams v. Runyon</w:t>
        </w:r>
      </w:hyperlink>
      <w:hyperlink r:id="rId43" w:history="1">
        <w:r>
          <w:rPr>
            <w:rFonts w:ascii="arial" w:eastAsia="arial" w:hAnsi="arial" w:cs="arial"/>
            <w:b w:val="0"/>
            <w:i/>
            <w:strike w:val="0"/>
            <w:noProof w:val="0"/>
            <w:color w:val="0077CC"/>
            <w:position w:val="0"/>
            <w:sz w:val="20"/>
            <w:u w:val="single"/>
            <w:vertAlign w:val="baseline"/>
          </w:rPr>
          <w:t>, 130 F.3d 568, 573 (3d Cir. 1997))</w:t>
        </w:r>
      </w:hyperlink>
      <w:r>
        <w:rPr>
          <w:rFonts w:ascii="arial" w:eastAsia="arial" w:hAnsi="arial" w:cs="arial"/>
          <w:b w:val="0"/>
          <w:i w:val="0"/>
          <w:strike w:val="0"/>
          <w:noProof w:val="0"/>
          <w:color w:val="000000"/>
          <w:position w:val="0"/>
          <w:sz w:val="20"/>
          <w:u w:val="none"/>
          <w:vertAlign w:val="baseline"/>
        </w:rPr>
        <w:t>. The court is not obligated to persist in a mistake.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 OF MERITS</w:t>
      </w:r>
    </w:p>
    <w:p>
      <w:pPr>
        <w:keepNext w:val="0"/>
        <w:widowControl w:val="0"/>
        <w:spacing w:before="200" w:after="0" w:line="260" w:lineRule="atLeast"/>
        <w:ind w:left="0" w:right="0" w:firstLine="0"/>
        <w:jc w:val="both"/>
      </w:pPr>
      <w:bookmarkStart w:id="112" w:name="Bookmark_para_30"/>
      <w:bookmarkEnd w:id="112"/>
      <w:r>
        <w:rPr>
          <w:rFonts w:ascii="arial" w:eastAsia="arial" w:hAnsi="arial" w:cs="arial"/>
          <w:b w:val="0"/>
          <w:i w:val="0"/>
          <w:strike w:val="0"/>
          <w:noProof w:val="0"/>
          <w:color w:val="000000"/>
          <w:position w:val="0"/>
          <w:sz w:val="20"/>
          <w:u w:val="none"/>
          <w:vertAlign w:val="baseline"/>
        </w:rPr>
        <w:t>Pressler's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motion rests on two of the three standard grounds for reconsideration.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Pressler proffers</w:t>
      </w:r>
    </w:p>
    <w:p>
      <w:pPr>
        <w:keepNext w:val="0"/>
        <w:widowControl w:val="0"/>
        <w:spacing w:before="200" w:after="0" w:line="260" w:lineRule="atLeast"/>
        <w:ind w:left="0" w:right="0" w:firstLine="0"/>
        <w:jc w:val="both"/>
      </w:pPr>
      <w:bookmarkStart w:id="114" w:name="Bookmark_para_31"/>
      <w:bookmarkEnd w:id="114"/>
      <w:r>
        <w:rPr>
          <w:rFonts w:ascii="arial" w:eastAsia="arial" w:hAnsi="arial" w:cs="arial"/>
          <w:b w:val="0"/>
          <w:i w:val="0"/>
          <w:strike w:val="0"/>
          <w:noProof w:val="0"/>
          <w:color w:val="000000"/>
          <w:position w:val="0"/>
          <w:sz w:val="20"/>
          <w:u w:val="none"/>
          <w:vertAlign w:val="baseline"/>
        </w:rPr>
        <w:t>(A) a clear error of law, in that the court improperly shifted the burden of proof on summary judgment;</w:t>
      </w:r>
    </w:p>
    <w:p>
      <w:pPr>
        <w:keepNext w:val="0"/>
        <w:widowControl w:val="0"/>
        <w:spacing w:before="200" w:after="0" w:line="260" w:lineRule="atLeast"/>
        <w:ind w:left="0" w:right="0" w:firstLine="0"/>
        <w:jc w:val="both"/>
      </w:pPr>
      <w:bookmarkStart w:id="115" w:name="Bookmark_para_32"/>
      <w:bookmarkEnd w:id="115"/>
      <w:r>
        <w:rPr>
          <w:rFonts w:ascii="arial" w:eastAsia="arial" w:hAnsi="arial" w:cs="arial"/>
          <w:b w:val="0"/>
          <w:i w:val="0"/>
          <w:strike w:val="0"/>
          <w:noProof w:val="0"/>
          <w:color w:val="000000"/>
          <w:position w:val="0"/>
          <w:sz w:val="20"/>
          <w:u w:val="none"/>
          <w:vertAlign w:val="baseline"/>
        </w:rPr>
        <w:t>(B) new evidence, in the form of an expert report by Professor Michael Ambrosio; and</w:t>
      </w:r>
    </w:p>
    <w:p>
      <w:pPr>
        <w:keepNext w:val="0"/>
        <w:widowControl w:val="0"/>
        <w:spacing w:before="200" w:after="0" w:line="260" w:lineRule="atLeast"/>
        <w:ind w:left="0" w:right="0" w:firstLine="0"/>
        <w:jc w:val="both"/>
      </w:pPr>
      <w:bookmarkStart w:id="116" w:name="Bookmark_para_33"/>
      <w:bookmarkEnd w:id="116"/>
      <w:r>
        <w:rPr>
          <w:rFonts w:ascii="arial" w:eastAsia="arial" w:hAnsi="arial" w:cs="arial"/>
          <w:b w:val="0"/>
          <w:i w:val="0"/>
          <w:strike w:val="0"/>
          <w:noProof w:val="0"/>
          <w:color w:val="000000"/>
          <w:position w:val="0"/>
          <w:sz w:val="20"/>
          <w:u w:val="none"/>
          <w:vertAlign w:val="baseline"/>
        </w:rPr>
        <w:t xml:space="preserve">(C) manifest injustice, in that the Court's interpretation of FDCPA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of petition 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w:t>
      </w:r>
    </w:p>
    <w:p>
      <w:pPr>
        <w:keepNext w:val="0"/>
        <w:widowControl w:val="0"/>
        <w:spacing w:before="200" w:after="0" w:line="260" w:lineRule="atLeast"/>
        <w:ind w:left="0" w:right="0" w:firstLine="0"/>
        <w:jc w:val="both"/>
      </w:pPr>
      <w:bookmarkStart w:id="117" w:name="Bookmark_para_34"/>
      <w:bookmarkEnd w:id="117"/>
      <w:r>
        <w:rPr>
          <w:rFonts w:ascii="arial" w:eastAsia="arial" w:hAnsi="arial" w:cs="arial"/>
          <w:b w:val="0"/>
          <w:i w:val="0"/>
          <w:strike w:val="0"/>
          <w:noProof w:val="0"/>
          <w:color w:val="000000"/>
          <w:position w:val="0"/>
          <w:sz w:val="20"/>
          <w:u w:val="none"/>
          <w:vertAlign w:val="baseline"/>
        </w:rPr>
        <w:t>I consider those contentions in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Shifting the Burden of Proof</w:t>
      </w:r>
    </w:p>
    <w:p>
      <w:pPr>
        <w:keepNext w:val="0"/>
        <w:widowControl w:val="0"/>
        <w:spacing w:before="200" w:after="0" w:line="260" w:lineRule="atLeast"/>
        <w:ind w:left="0" w:right="0" w:firstLine="0"/>
        <w:jc w:val="both"/>
      </w:pPr>
      <w:bookmarkStart w:id="118" w:name="Bookmark_para_35"/>
      <w:bookmarkEnd w:id="118"/>
      <w:bookmarkStart w:id="119" w:name="Bookmark_I5PYJSRF28T46J0010000400"/>
      <w:bookmarkEnd w:id="119"/>
      <w:r>
        <w:rPr>
          <w:rFonts w:ascii="arial" w:eastAsia="arial" w:hAnsi="arial" w:cs="arial"/>
          <w:b w:val="0"/>
          <w:i w:val="0"/>
          <w:strike w:val="0"/>
          <w:noProof w:val="0"/>
          <w:color w:val="000000"/>
          <w:position w:val="0"/>
          <w:sz w:val="20"/>
          <w:u w:val="none"/>
          <w:vertAlign w:val="baseline"/>
        </w:rPr>
        <w:t xml:space="preserve">The claim that the Court, in awarding summary judgment to Bock, "shifted the burden of proof" is something of a miscue. Pressler does not mean that the Court miscited or misapplied the standards governing summary judgment under </w:t>
      </w:r>
      <w:hyperlink r:id="rId44" w:history="1">
        <w:r>
          <w:rPr>
            <w:rFonts w:ascii="arial" w:eastAsia="arial" w:hAnsi="arial" w:cs="arial"/>
            <w:b w:val="0"/>
            <w:i/>
            <w:strike w:val="0"/>
            <w:noProof w:val="0"/>
            <w:color w:val="0077CC"/>
            <w:position w:val="0"/>
            <w:sz w:val="20"/>
            <w:u w:val="single"/>
            <w:vertAlign w:val="baseline"/>
          </w:rPr>
          <w:t>Fed. R. Civ. P. 56</w:t>
        </w:r>
      </w:hyperlink>
      <w:r>
        <w:rPr>
          <w:rFonts w:ascii="arial" w:eastAsia="arial" w:hAnsi="arial" w:cs="arial"/>
          <w:b w:val="0"/>
          <w:i w:val="0"/>
          <w:strike w:val="0"/>
          <w:noProof w:val="0"/>
          <w:color w:val="000000"/>
          <w:position w:val="0"/>
          <w:sz w:val="20"/>
          <w:u w:val="none"/>
          <w:vertAlign w:val="baseline"/>
        </w:rPr>
        <w:t xml:space="preserve">, which are well-settled.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 8-9 (citing, </w:t>
      </w:r>
      <w:r>
        <w:rPr>
          <w:rFonts w:ascii="arial" w:eastAsia="arial" w:hAnsi="arial" w:cs="arial"/>
          <w:b w:val="0"/>
          <w:i/>
          <w:strike w:val="0"/>
          <w:noProof w:val="0"/>
          <w:color w:val="000000"/>
          <w:position w:val="0"/>
          <w:sz w:val="20"/>
          <w:u w:val="none"/>
          <w:vertAlign w:val="baseline"/>
        </w:rPr>
        <w:t xml:space="preserve">e.g., </w:t>
      </w:r>
      <w:bookmarkStart w:id="120" w:name="Bookmark_I5PYJSRF2N1PPS0050000400"/>
      <w:bookmarkEnd w:id="120"/>
      <w:hyperlink r:id="rId45" w:history="1">
        <w:r>
          <w:rPr>
            <w:rFonts w:ascii="arial" w:eastAsia="arial" w:hAnsi="arial" w:cs="arial"/>
            <w:b w:val="0"/>
            <w:i/>
            <w:strike w:val="0"/>
            <w:noProof w:val="0"/>
            <w:color w:val="0077CC"/>
            <w:position w:val="0"/>
            <w:sz w:val="20"/>
            <w:u w:val="single"/>
            <w:vertAlign w:val="baseline"/>
          </w:rPr>
          <w:t>Anderson v. Liberty Lobby, Inc.</w:t>
        </w:r>
      </w:hyperlink>
      <w:hyperlink r:id="rId45"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121" w:name="Bookmark_I5PYJSRF28T46J0020000400"/>
      <w:bookmarkEnd w:id="121"/>
      <w:hyperlink r:id="rId46" w:history="1">
        <w:r>
          <w:rPr>
            <w:rFonts w:ascii="arial" w:eastAsia="arial" w:hAnsi="arial" w:cs="arial"/>
            <w:b w:val="0"/>
            <w:i/>
            <w:strike w:val="0"/>
            <w:noProof w:val="0"/>
            <w:color w:val="0077CC"/>
            <w:position w:val="0"/>
            <w:sz w:val="20"/>
            <w:u w:val="single"/>
            <w:vertAlign w:val="baseline"/>
          </w:rPr>
          <w:t>Celotex Corp. v. Catrett</w:t>
        </w:r>
      </w:hyperlink>
      <w:hyperlink r:id="rId46" w:history="1">
        <w:r>
          <w:rPr>
            <w:rFonts w:ascii="arial" w:eastAsia="arial" w:hAnsi="arial" w:cs="arial"/>
            <w:b w:val="0"/>
            <w:i/>
            <w:strike w:val="0"/>
            <w:noProof w:val="0"/>
            <w:color w:val="0077CC"/>
            <w:position w:val="0"/>
            <w:sz w:val="20"/>
            <w:u w:val="single"/>
            <w:vertAlign w:val="baseline"/>
          </w:rPr>
          <w:t>, 477 U.S. 317, 322-23,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122" w:name="Bookmark_I5PYJSRF28T46J0050000400"/>
      <w:bookmarkEnd w:id="122"/>
      <w:r>
        <w:rPr>
          <w:rFonts w:ascii="arial" w:eastAsia="arial" w:hAnsi="arial" w:cs="arial"/>
          <w:b w:val="0"/>
          <w:i w:val="0"/>
          <w:strike w:val="0"/>
          <w:noProof w:val="0"/>
          <w:color w:val="000000"/>
          <w:position w:val="0"/>
          <w:sz w:val="20"/>
          <w:u w:val="none"/>
          <w:vertAlign w:val="baseline"/>
        </w:rPr>
        <w:t xml:space="preserve">Rather, Pressler argues that, as a matter of State law, the plaintiff could not prevail without marshaling expert opinion testimony, and that therefore the Court, by awarding summary judgment to plaintiff, in </w:t>
      </w:r>
      <w:r>
        <w:rPr>
          <w:rFonts w:ascii="arial" w:eastAsia="arial" w:hAnsi="arial" w:cs="arial"/>
          <w:b w:val="0"/>
          <w:i/>
          <w:strike w:val="0"/>
          <w:noProof w:val="0"/>
          <w:color w:val="000000"/>
          <w:position w:val="0"/>
          <w:sz w:val="20"/>
          <w:u w:val="none"/>
          <w:vertAlign w:val="baseline"/>
        </w:rPr>
        <w:t>effect</w:t>
      </w:r>
      <w:r>
        <w:rPr>
          <w:rFonts w:ascii="arial" w:eastAsia="arial" w:hAnsi="arial" w:cs="arial"/>
          <w:b w:val="0"/>
          <w:i w:val="0"/>
          <w:strike w:val="0"/>
          <w:noProof w:val="0"/>
          <w:color w:val="000000"/>
          <w:position w:val="0"/>
          <w:sz w:val="20"/>
          <w:u w:val="none"/>
          <w:vertAlign w:val="baseline"/>
        </w:rPr>
        <w:t xml:space="preserve"> reversed the burden of proof:</w:t>
      </w:r>
    </w:p>
    <w:p>
      <w:pPr>
        <w:keepNext w:val="0"/>
        <w:widowControl w:val="0"/>
        <w:spacing w:before="240" w:after="0" w:line="260" w:lineRule="atLeast"/>
        <w:ind w:left="400" w:right="0" w:firstLine="0"/>
        <w:jc w:val="both"/>
      </w:pPr>
      <w:bookmarkStart w:id="123" w:name="Bookmark_para_36"/>
      <w:bookmarkEnd w:id="123"/>
      <w:bookmarkStart w:id="124" w:name="Bookmark_I5PYJSRF28T46J0050000400_2"/>
      <w:bookmarkEnd w:id="124"/>
      <w:r>
        <w:rPr>
          <w:rFonts w:ascii="arial" w:eastAsia="arial" w:hAnsi="arial" w:cs="arial"/>
          <w:b w:val="0"/>
          <w:i w:val="0"/>
          <w:strike w:val="0"/>
          <w:noProof w:val="0"/>
          <w:color w:val="000000"/>
          <w:position w:val="0"/>
          <w:sz w:val="20"/>
          <w:u w:val="none"/>
          <w:vertAlign w:val="baseline"/>
        </w:rPr>
        <w:t>"'Meaningful attorney involvement' is a theory that pertains only to lawyer debt collectors and not lay collectors, as the focus of the theory is attorney involvement. However, "</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[a]s the duties a lawyer owes to his client are not known by the average juror,' expert testimony must necessarily set forth that duty and explain the breach." </w:t>
      </w:r>
      <w:bookmarkStart w:id="125" w:name="Bookmark_I5PYJSRF28T46J0040000400"/>
      <w:bookmarkEnd w:id="125"/>
      <w:hyperlink r:id="rId47" w:history="1">
        <w:r>
          <w:rPr>
            <w:rFonts w:ascii="arial" w:eastAsia="arial" w:hAnsi="arial" w:cs="arial"/>
            <w:b w:val="0"/>
            <w:i/>
            <w:strike w:val="0"/>
            <w:noProof w:val="0"/>
            <w:color w:val="0077CC"/>
            <w:position w:val="0"/>
            <w:sz w:val="20"/>
            <w:u w:val="single"/>
            <w:vertAlign w:val="baseline"/>
          </w:rPr>
          <w:t>Carbis Sales, Inc. v. Eisenberg</w:t>
        </w:r>
      </w:hyperlink>
      <w:hyperlink r:id="rId47" w:history="1">
        <w:r>
          <w:rPr>
            <w:rFonts w:ascii="arial" w:eastAsia="arial" w:hAnsi="arial" w:cs="arial"/>
            <w:b w:val="0"/>
            <w:i/>
            <w:strike w:val="0"/>
            <w:noProof w:val="0"/>
            <w:color w:val="0077CC"/>
            <w:position w:val="0"/>
            <w:sz w:val="20"/>
            <w:u w:val="single"/>
            <w:vertAlign w:val="baseline"/>
          </w:rPr>
          <w:t>, 397 N.J. Super. 64, 78, 935 A.2d 1236 (N.J. Super. Ct. App. Div. 2007)</w:t>
        </w:r>
      </w:hyperlink>
      <w:r>
        <w:rPr>
          <w:rFonts w:ascii="arial" w:eastAsia="arial" w:hAnsi="arial" w:cs="arial"/>
          <w:b w:val="0"/>
          <w:i w:val="0"/>
          <w:strike w:val="0"/>
          <w:noProof w:val="0"/>
          <w:color w:val="000000"/>
          <w:position w:val="0"/>
          <w:sz w:val="20"/>
          <w:u w:val="none"/>
          <w:vertAlign w:val="baseline"/>
        </w:rPr>
        <w:t xml:space="preserve"> (quoting </w:t>
      </w:r>
      <w:bookmarkStart w:id="126" w:name="Bookmark_I5PYJSRF2N1PPT0010000400"/>
      <w:bookmarkEnd w:id="126"/>
      <w:hyperlink r:id="rId48" w:history="1">
        <w:r>
          <w:rPr>
            <w:rFonts w:ascii="arial" w:eastAsia="arial" w:hAnsi="arial" w:cs="arial"/>
            <w:b w:val="0"/>
            <w:i/>
            <w:strike w:val="0"/>
            <w:noProof w:val="0"/>
            <w:color w:val="0077CC"/>
            <w:position w:val="0"/>
            <w:sz w:val="20"/>
            <w:u w:val="single"/>
            <w:vertAlign w:val="baseline"/>
          </w:rPr>
          <w:t>Stoeckel v. Twp. of Knowlton</w:t>
        </w:r>
      </w:hyperlink>
      <w:hyperlink r:id="rId48" w:history="1">
        <w:r>
          <w:rPr>
            <w:rFonts w:ascii="arial" w:eastAsia="arial" w:hAnsi="arial" w:cs="arial"/>
            <w:b w:val="0"/>
            <w:i/>
            <w:strike w:val="0"/>
            <w:noProof w:val="0"/>
            <w:color w:val="0077CC"/>
            <w:position w:val="0"/>
            <w:sz w:val="20"/>
            <w:u w:val="single"/>
            <w:vertAlign w:val="baseline"/>
          </w:rPr>
          <w:t>, 387 N.J. Super. 1, 14, 902 A.2d 930 (N.J. Super. Ct. App. Div.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188 N.J. 489, 909 A.2d 724 (N.J 2006)</w:t>
      </w:r>
      <w:r>
        <w:rPr>
          <w:rFonts w:ascii="arial" w:eastAsia="arial" w:hAnsi="arial" w:cs="arial"/>
          <w:b w:val="0"/>
          <w:i w:val="0"/>
          <w:strike w:val="0"/>
          <w:noProof w:val="0"/>
          <w:color w:val="000000"/>
          <w:position w:val="0"/>
          <w:sz w:val="20"/>
          <w:u w:val="none"/>
          <w:vertAlign w:val="baseline"/>
        </w:rPr>
        <w:t xml:space="preserve">. Bock offered no expert testimony in support of his </w:t>
      </w:r>
      <w:hyperlink r:id="rId49" w:history="1">
        <w:r>
          <w:rPr>
            <w:rFonts w:ascii="arial" w:eastAsia="arial" w:hAnsi="arial" w:cs="arial"/>
            <w:b w:val="0"/>
            <w:i/>
            <w:strike w:val="0"/>
            <w:noProof w:val="0"/>
            <w:color w:val="0077CC"/>
            <w:position w:val="0"/>
            <w:sz w:val="20"/>
            <w:u w:val="single"/>
            <w:vertAlign w:val="baseline"/>
          </w:rPr>
          <w:t>Rule 1:4-8</w:t>
        </w:r>
      </w:hyperlink>
      <w:r>
        <w:rPr>
          <w:rFonts w:ascii="arial" w:eastAsia="arial" w:hAnsi="arial" w:cs="arial"/>
          <w:b w:val="0"/>
          <w:i w:val="0"/>
          <w:strike w:val="0"/>
          <w:noProof w:val="0"/>
          <w:color w:val="000000"/>
          <w:position w:val="0"/>
          <w:sz w:val="20"/>
          <w:u w:val="none"/>
          <w:vertAlign w:val="baseline"/>
        </w:rPr>
        <w:t xml:space="preserve"> theory, thereby failing to meet his burden of proof. In granting summary judgment to Bock, the Court has erroneously shifted the burden of proof, requiring Defendant to negate facts on which Plaintiff has offered no evidence.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100-1, Brief in support of motion ("Pressler Brf.") 3)</w:t>
      </w:r>
    </w:p>
    <w:p>
      <w:pPr>
        <w:keepNext w:val="0"/>
        <w:widowControl w:val="0"/>
        <w:spacing w:before="200" w:after="0" w:line="260" w:lineRule="atLeast"/>
        <w:ind w:left="0" w:right="0" w:firstLine="0"/>
        <w:jc w:val="both"/>
      </w:pPr>
      <w:bookmarkStart w:id="127" w:name="Bookmark_para_37"/>
      <w:bookmarkEnd w:id="127"/>
      <w:r>
        <w:rPr>
          <w:rFonts w:ascii="arial" w:eastAsia="arial" w:hAnsi="arial" w:cs="arial"/>
          <w:b w:val="0"/>
          <w:i w:val="0"/>
          <w:strike w:val="0"/>
          <w:noProof w:val="0"/>
          <w:color w:val="000000"/>
          <w:position w:val="0"/>
          <w:sz w:val="20"/>
          <w:u w:val="none"/>
          <w:vertAlign w:val="baseline"/>
        </w:rPr>
        <w:t>To this contention, there are two answers.</w:t>
      </w:r>
    </w:p>
    <w:p>
      <w:pPr>
        <w:keepNext w:val="0"/>
        <w:widowControl w:val="0"/>
        <w:spacing w:before="200" w:after="0" w:line="260" w:lineRule="atLeast"/>
        <w:ind w:left="0" w:right="0" w:firstLine="0"/>
        <w:jc w:val="both"/>
      </w:pPr>
      <w:bookmarkStart w:id="128" w:name="Bookmark_para_38"/>
      <w:bookmarkEnd w:id="128"/>
      <w:r>
        <w:rPr>
          <w:rFonts w:ascii="arial" w:eastAsia="arial" w:hAnsi="arial" w:cs="arial"/>
          <w:b w:val="0"/>
          <w:i w:val="0"/>
          <w:strike w:val="0"/>
          <w:noProof w:val="0"/>
          <w:color w:val="000000"/>
          <w:position w:val="0"/>
          <w:sz w:val="20"/>
          <w:u w:val="none"/>
          <w:vertAlign w:val="baseline"/>
        </w:rPr>
        <w:t>First, this argument should have been raised three years ago, in response to the motion for summary judgment. At its heart it is a contention that the plaintiff's proofs lacked a critical element: expert opinion testimony. If failure to require such expert testimony was a "clear error of law," then the need for such testimony, and its absence from plaintiff's presentation, should have been equally clear to Pressler at the time. Pressler offers no justification for failing to raise this argument before.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On this basis alone, Pressler's argument is properly rejected; it is an insufficient basis for reconsideration of the Court's summary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judgment ruling, or for departure from the law of the case.</w:t>
      </w:r>
    </w:p>
    <w:p>
      <w:pPr>
        <w:keepNext w:val="0"/>
        <w:widowControl w:val="0"/>
        <w:spacing w:before="200" w:after="0" w:line="260" w:lineRule="atLeast"/>
        <w:ind w:left="0" w:right="0" w:firstLine="0"/>
        <w:jc w:val="both"/>
      </w:pPr>
      <w:bookmarkStart w:id="130" w:name="Bookmark_para_39"/>
      <w:bookmarkEnd w:id="130"/>
      <w:r>
        <w:rPr>
          <w:rFonts w:ascii="arial" w:eastAsia="arial" w:hAnsi="arial" w:cs="arial"/>
          <w:b w:val="0"/>
          <w:i w:val="0"/>
          <w:strike w:val="0"/>
          <w:noProof w:val="0"/>
          <w:color w:val="000000"/>
          <w:position w:val="0"/>
          <w:sz w:val="20"/>
          <w:u w:val="none"/>
          <w:vertAlign w:val="baseline"/>
        </w:rPr>
        <w:t>Second, this argument, even if considered, would fail on its own terms. By considering it in the alternative, however, I do not mean to suggest that this argument was properly raised or preserved in connection with an appeal of my earlier summary judgment ruling.</w:t>
      </w:r>
    </w:p>
    <w:p>
      <w:pPr>
        <w:keepNext w:val="0"/>
        <w:widowControl w:val="0"/>
        <w:spacing w:before="200" w:after="0" w:line="260" w:lineRule="atLeast"/>
        <w:ind w:left="0" w:right="0" w:firstLine="0"/>
        <w:jc w:val="both"/>
      </w:pPr>
      <w:bookmarkStart w:id="131" w:name="Bookmark_para_40"/>
      <w:bookmarkEnd w:id="131"/>
      <w:bookmarkStart w:id="132" w:name="Bookmark_I6Y87WV369S0006DSBM0000J"/>
      <w:bookmarkEnd w:id="132"/>
      <w:bookmarkStart w:id="133" w:name="Bookmark_I5PYJSRF2N1PPT0040000400"/>
      <w:bookmarkEnd w:id="133"/>
      <w:r>
        <w:rPr>
          <w:rFonts w:ascii="arial" w:eastAsia="arial" w:hAnsi="arial" w:cs="arial"/>
          <w:b w:val="0"/>
          <w:i w:val="0"/>
          <w:strike w:val="0"/>
          <w:noProof w:val="0"/>
          <w:color w:val="000000"/>
          <w:position w:val="0"/>
          <w:sz w:val="20"/>
          <w:u w:val="none"/>
          <w:vertAlign w:val="baseline"/>
        </w:rPr>
        <w:t xml:space="preserve">The cited case of </w:t>
      </w:r>
      <w:bookmarkStart w:id="134" w:name="Bookmark_I5PYJSRF2N1PPT0030000400"/>
      <w:bookmarkEnd w:id="134"/>
      <w:hyperlink r:id="rId47" w:history="1">
        <w:r>
          <w:rPr>
            <w:rFonts w:ascii="arial" w:eastAsia="arial" w:hAnsi="arial" w:cs="arial"/>
            <w:b w:val="0"/>
            <w:i/>
            <w:strike w:val="0"/>
            <w:noProof w:val="0"/>
            <w:color w:val="0077CC"/>
            <w:position w:val="0"/>
            <w:sz w:val="20"/>
            <w:u w:val="single"/>
            <w:vertAlign w:val="baseline"/>
          </w:rPr>
          <w:t>Carbis, supra</w:t>
        </w:r>
      </w:hyperlink>
      <w:r>
        <w:rPr>
          <w:rFonts w:ascii="arial" w:eastAsia="arial" w:hAnsi="arial" w:cs="arial"/>
          <w:b w:val="0"/>
          <w:i w:val="0"/>
          <w:strike w:val="0"/>
          <w:noProof w:val="0"/>
          <w:color w:val="000000"/>
          <w:position w:val="0"/>
          <w:sz w:val="20"/>
          <w:u w:val="none"/>
          <w:vertAlign w:val="baseline"/>
        </w:rPr>
        <w:t xml:space="preserve">, has nothing to do with a debt collector's misrepresentation that "meaningful attorney review" preceded a communication to the debtor. Rather, </w:t>
      </w:r>
      <w:r>
        <w:rPr>
          <w:rFonts w:ascii="arial" w:eastAsia="arial" w:hAnsi="arial" w:cs="arial"/>
          <w:b w:val="0"/>
          <w:i/>
          <w:strike w:val="0"/>
          <w:noProof w:val="0"/>
          <w:color w:val="000000"/>
          <w:position w:val="0"/>
          <w:sz w:val="20"/>
          <w:u w:val="none"/>
          <w:vertAlign w:val="baseline"/>
        </w:rPr>
        <w:t>Carbis</w:t>
      </w:r>
      <w:r>
        <w:rPr>
          <w:rFonts w:ascii="arial" w:eastAsia="arial" w:hAnsi="arial" w:cs="arial"/>
          <w:b w:val="0"/>
          <w:i w:val="0"/>
          <w:strike w:val="0"/>
          <w:noProof w:val="0"/>
          <w:color w:val="000000"/>
          <w:position w:val="0"/>
          <w:sz w:val="20"/>
          <w:u w:val="none"/>
          <w:vertAlign w:val="baseline"/>
        </w:rPr>
        <w:t xml:space="preserve"> concerned the tort of attorney negligence, also known as legal malpractice:</w:t>
      </w:r>
    </w:p>
    <w:p>
      <w:pPr>
        <w:keepNext w:val="0"/>
        <w:widowControl w:val="0"/>
        <w:spacing w:before="200" w:after="0" w:line="260" w:lineRule="atLeast"/>
        <w:ind w:left="400" w:right="0" w:firstLine="0"/>
        <w:jc w:val="both"/>
      </w:pPr>
      <w:bookmarkStart w:id="135" w:name="Bookmark_para_41"/>
      <w:bookmarkEnd w:id="135"/>
      <w:bookmarkStart w:id="136" w:name="Bookmark_I5PYJSRF2N1PPT0040000400_2"/>
      <w:bookmarkEnd w:id="136"/>
      <w:r>
        <w:rPr>
          <w:rFonts w:ascii="arial" w:eastAsia="arial" w:hAnsi="arial" w:cs="arial"/>
          <w:b w:val="0"/>
          <w:i w:val="0"/>
          <w:strike w:val="0"/>
          <w:noProof w:val="0"/>
          <w:color w:val="000000"/>
          <w:position w:val="0"/>
          <w:sz w:val="20"/>
          <w:u w:val="none"/>
          <w:vertAlign w:val="baseline"/>
        </w:rPr>
        <w:t xml:space="preserve">Legal malpractice is a variation on the tort of negligence. . . . </w:t>
      </w:r>
      <w:bookmarkStart w:id="137" w:name="Bookmark_I5PYJSRF2SF8RH0010000400"/>
      <w:bookmarkEnd w:id="137"/>
      <w:r>
        <w:rPr>
          <w:rFonts w:ascii="arial" w:eastAsia="arial" w:hAnsi="arial" w:cs="arial"/>
          <w:b w:val="0"/>
          <w:i w:val="0"/>
          <w:strike w:val="0"/>
          <w:noProof w:val="0"/>
          <w:color w:val="000000"/>
          <w:position w:val="0"/>
          <w:sz w:val="20"/>
          <w:u w:val="none"/>
          <w:vertAlign w:val="baseline"/>
        </w:rPr>
        <w:t xml:space="preserve">To establish legal malpractice, a plaintiff must show: "(1) the existence of an attorney-client relationship creating a duty of care upon the attorney; (2) the breach of that duty; and (3) proximate causation.'" . . . . </w:t>
      </w:r>
      <w:bookmarkStart w:id="138" w:name="Bookmark_I5PYJSRF2SF8RH0030000400"/>
      <w:bookmarkEnd w:id="138"/>
      <w:r>
        <w:rPr>
          <w:rFonts w:ascii="arial" w:eastAsia="arial" w:hAnsi="arial" w:cs="arial"/>
          <w:b w:val="0"/>
          <w:i w:val="0"/>
          <w:strike w:val="0"/>
          <w:noProof w:val="0"/>
          <w:color w:val="000000"/>
          <w:position w:val="0"/>
          <w:sz w:val="20"/>
          <w:u w:val="none"/>
          <w:vertAlign w:val="baseline"/>
        </w:rPr>
        <w:t xml:space="preserve">As "the duties a lawyer owes to his client are not known by the average juror," expert testimony must necessarily set forth that duty and explain the breach. </w:t>
      </w:r>
      <w:bookmarkStart w:id="139" w:name="Bookmark_I5PYJSRF2N1PPT0050000400"/>
      <w:bookmarkEnd w:id="139"/>
      <w:hyperlink r:id="rId48" w:history="1">
        <w:r>
          <w:rPr>
            <w:rFonts w:ascii="arial" w:eastAsia="arial" w:hAnsi="arial" w:cs="arial"/>
            <w:b w:val="0"/>
            <w:i/>
            <w:strike w:val="0"/>
            <w:noProof w:val="0"/>
            <w:color w:val="0077CC"/>
            <w:position w:val="0"/>
            <w:sz w:val="20"/>
            <w:u w:val="single"/>
            <w:vertAlign w:val="baseline"/>
          </w:rPr>
          <w:t>Stoeckel v. Twp. of Knowlton</w:t>
        </w:r>
      </w:hyperlink>
      <w:hyperlink r:id="rId48" w:history="1">
        <w:r>
          <w:rPr>
            <w:rFonts w:ascii="arial" w:eastAsia="arial" w:hAnsi="arial" w:cs="arial"/>
            <w:b w:val="0"/>
            <w:i/>
            <w:strike w:val="0"/>
            <w:noProof w:val="0"/>
            <w:color w:val="0077CC"/>
            <w:position w:val="0"/>
            <w:sz w:val="20"/>
            <w:u w:val="single"/>
            <w:vertAlign w:val="baseline"/>
          </w:rPr>
          <w:t>, 387 N.J. Super. 1, 14, 902 A.2d 930 (App. Div.)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certif.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188 N.J. 489, 909 A.2d 724 (2006)</w:t>
      </w:r>
      <w:r>
        <w:rPr>
          <w:rFonts w:ascii="arial" w:eastAsia="arial" w:hAnsi="arial" w:cs="arial"/>
          <w:b w:val="0"/>
          <w:i w:val="0"/>
          <w:strike w:val="0"/>
          <w:noProof w:val="0"/>
          <w:color w:val="000000"/>
          <w:position w:val="0"/>
          <w:sz w:val="20"/>
          <w:u w:val="none"/>
          <w:vertAlign w:val="baseline"/>
        </w:rPr>
        <w:t xml:space="preserve"> . . . .</w:t>
      </w:r>
    </w:p>
    <w:p>
      <w:pPr>
        <w:keepNext w:val="0"/>
        <w:widowControl w:val="0"/>
        <w:spacing w:before="240" w:after="0" w:line="260" w:lineRule="atLeast"/>
        <w:ind w:left="0" w:right="0" w:firstLine="0"/>
        <w:jc w:val="both"/>
      </w:pPr>
      <w:bookmarkStart w:id="140" w:name="Bookmark_I5PYJSRF2SF8RH0030000400_2"/>
      <w:bookmarkEnd w:id="140"/>
      <w:bookmarkStart w:id="141" w:name="Bookmark_I5PYJSRF2SF8RH0020000400"/>
      <w:bookmarkEnd w:id="141"/>
      <w:hyperlink r:id="rId47" w:history="1">
        <w:r>
          <w:rPr>
            <w:rFonts w:ascii="arial" w:eastAsia="arial" w:hAnsi="arial" w:cs="arial"/>
            <w:b w:val="0"/>
            <w:i/>
            <w:strike w:val="0"/>
            <w:color w:val="0077CC"/>
            <w:sz w:val="20"/>
            <w:u w:val="single"/>
            <w:vertAlign w:val="baseline"/>
          </w:rPr>
          <w:t>Carbis Sales, Inc.</w:t>
        </w:r>
      </w:hyperlink>
      <w:hyperlink r:id="rId47" w:history="1">
        <w:r>
          <w:rPr>
            <w:rFonts w:ascii="arial" w:eastAsia="arial" w:hAnsi="arial" w:cs="arial"/>
            <w:b w:val="0"/>
            <w:i/>
            <w:strike w:val="0"/>
            <w:color w:val="0077CC"/>
            <w:sz w:val="20"/>
            <w:u w:val="single"/>
            <w:vertAlign w:val="baseline"/>
          </w:rPr>
          <w:t>, 397 N.J. Super. at 78, 935 A.2d at 1244-45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2" w:name="Bookmark_para_42"/>
      <w:bookmarkEnd w:id="142"/>
      <w:r>
        <w:rPr>
          <w:rFonts w:ascii="arial" w:eastAsia="arial" w:hAnsi="arial" w:cs="arial"/>
          <w:b w:val="0"/>
          <w:i w:val="0"/>
          <w:strike w:val="0"/>
          <w:noProof w:val="0"/>
          <w:color w:val="000000"/>
          <w:position w:val="0"/>
          <w:sz w:val="20"/>
          <w:u w:val="none"/>
          <w:vertAlign w:val="baseline"/>
        </w:rPr>
        <w:t>This is not a state-law malpractice action by a client against that client's lawyer, alleging deficient performance. It is a federal-law FDCPA action by a debtor against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 debt collector who also happens to be the </w:t>
      </w:r>
      <w:r>
        <w:rPr>
          <w:rFonts w:ascii="arial" w:eastAsia="arial" w:hAnsi="arial" w:cs="arial"/>
          <w:b w:val="0"/>
          <w:i/>
          <w:strike w:val="0"/>
          <w:noProof w:val="0"/>
          <w:color w:val="000000"/>
          <w:position w:val="0"/>
          <w:sz w:val="20"/>
          <w:u w:val="none"/>
          <w:vertAlign w:val="baseline"/>
        </w:rPr>
        <w:t>creditor</w:t>
      </w:r>
      <w:r>
        <w:rPr>
          <w:rFonts w:ascii="arial" w:eastAsia="arial" w:hAnsi="arial" w:cs="arial"/>
          <w:b w:val="0"/>
          <w:i w:val="0"/>
          <w:strike w:val="0"/>
          <w:noProof w:val="0"/>
          <w:color w:val="000000"/>
          <w:position w:val="0"/>
          <w:sz w:val="20"/>
          <w:u w:val="none"/>
          <w:vertAlign w:val="baseline"/>
        </w:rPr>
        <w:t>'s lawyer, alleging misrepresentation. Pressler cites no case holding that an FDCPA cause of action regarding a misrepresentation of meaningful attorney involvement requires expert testimony. Failure to cite or follow state-court rules of proof regarding attorney malpractice is very far from being an error, let alone a clear error, of law.</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Ambrosio Report</w:t>
      </w:r>
    </w:p>
    <w:p>
      <w:pPr>
        <w:keepNext w:val="0"/>
        <w:widowControl w:val="0"/>
        <w:spacing w:before="200" w:after="0" w:line="260" w:lineRule="atLeast"/>
        <w:ind w:left="0" w:right="0" w:firstLine="0"/>
        <w:jc w:val="both"/>
      </w:pPr>
      <w:bookmarkStart w:id="151" w:name="Bookmark_para_43"/>
      <w:bookmarkEnd w:id="151"/>
      <w:r>
        <w:rPr>
          <w:rFonts w:ascii="arial" w:eastAsia="arial" w:hAnsi="arial" w:cs="arial"/>
          <w:b w:val="0"/>
          <w:i w:val="0"/>
          <w:strike w:val="0"/>
          <w:noProof w:val="0"/>
          <w:color w:val="000000"/>
          <w:position w:val="0"/>
          <w:sz w:val="20"/>
          <w:u w:val="none"/>
          <w:vertAlign w:val="baseline"/>
        </w:rPr>
        <w:t>Pressler proffers as "new evidence" a Declaration (ECF no. 100-2 at 1) and Report (ECF no. 100-2 at 4 ("Ambrosio Report") of Michael P. Ambrosio, a professor at the Seton Hall University School of Law. Prof. Ambrosio, an experienced practitioner and teacher with many publications to his credit, is surely qualified to speak on matters of legal ethics. In his Report, he opines that Pressler's review process was "in accord with Mr. Gulko's and the Pressler firm's professional obligations to clients and the requirement of the New Jersey Rules of Professional Conduct and other law." (Ambrosio Report 1)</w:t>
      </w:r>
    </w:p>
    <w:p>
      <w:pPr>
        <w:keepNext w:val="0"/>
        <w:widowControl w:val="0"/>
        <w:spacing w:before="200" w:after="0" w:line="260" w:lineRule="atLeast"/>
        <w:ind w:left="0" w:right="0" w:firstLine="0"/>
        <w:jc w:val="both"/>
      </w:pPr>
      <w:bookmarkStart w:id="152" w:name="Bookmark_para_44"/>
      <w:bookmarkEnd w:id="152"/>
      <w:r>
        <w:rPr>
          <w:rFonts w:ascii="arial" w:eastAsia="arial" w:hAnsi="arial" w:cs="arial"/>
          <w:b w:val="0"/>
          <w:i w:val="0"/>
          <w:strike w:val="0"/>
          <w:noProof w:val="0"/>
          <w:color w:val="000000"/>
          <w:position w:val="0"/>
          <w:sz w:val="20"/>
          <w:u w:val="none"/>
          <w:vertAlign w:val="baseline"/>
        </w:rPr>
        <w:t>The Ambrosio Report is dated October 6, 2016; it came into existence because Pressler retained Prof. Ambrosio to prepare it. Pressler states that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it constitutes "new evidence" because it was prepared after the Court granted summary judgment and after the Court of Appeals remanded for consideration of standing.</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This is not primary evidence, however, uncovered after some exhaustive search; it is an expert opinion, created at a date of the defendant's choosing, I therefore do not find the date of preparation very significant in the analysis of whether it constitutes "new evidence." Under any of the standards cited above, new evidence must be truly new; that is, it must be evidence that the party did not obtain and could not reasonably have obtained in advance of the original ruling. Prof. Ambrosia's Report does not remotely qualify as new evidence under that standard.</w:t>
      </w:r>
    </w:p>
    <w:p>
      <w:pPr>
        <w:keepNext w:val="0"/>
        <w:widowControl w:val="0"/>
        <w:spacing w:before="200" w:after="0" w:line="260" w:lineRule="atLeast"/>
        <w:ind w:left="0" w:right="0" w:firstLine="0"/>
        <w:jc w:val="both"/>
      </w:pPr>
      <w:bookmarkStart w:id="154" w:name="Bookmark_para_45"/>
      <w:bookmarkEnd w:id="154"/>
      <w:r>
        <w:rPr>
          <w:rFonts w:ascii="arial" w:eastAsia="arial" w:hAnsi="arial" w:cs="arial"/>
          <w:b w:val="0"/>
          <w:i w:val="0"/>
          <w:strike w:val="0"/>
          <w:noProof w:val="0"/>
          <w:color w:val="000000"/>
          <w:position w:val="0"/>
          <w:sz w:val="20"/>
          <w:u w:val="none"/>
          <w:vertAlign w:val="baseline"/>
        </w:rPr>
        <w:t>The Ambrosio Report analyzes the Pressler firm's (and Mr. Gulko's) process for review of complaints. Those facts were well in hand at the time of the original motion and ruling; indeed the summary judgment papers (and my summary of them) are the source of the facts to which Prof. Ambrosio applied his expertise. Prof. Ambrosio consciously and deliberately confined his analysis to those facts, and introduced no new ones. It follows that if Pressler had wished to retain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 expert to opine on those (largely undisputed) facts, it could have done so at the time of the summary judgment motion. Prof. Ambrosio's opinion also to some degree simply disagrees with the reasoning of my summary judgment opinion. He opines, for example, that cases cited in support of the ruling are distinguishable, and so on. While his learned analysis deserves, and has received, a respectful reading, to call it "new evidence" stretches the definition past the breaking point. This Report is not "new evidence," and on that basis I decline to consider it.</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Noerr-Pennington</w:t>
      </w:r>
    </w:p>
    <w:p>
      <w:pPr>
        <w:keepNext w:val="0"/>
        <w:widowControl w:val="0"/>
        <w:spacing w:before="200" w:after="0" w:line="260" w:lineRule="atLeast"/>
        <w:ind w:left="0" w:right="0" w:firstLine="0"/>
        <w:jc w:val="both"/>
      </w:pPr>
      <w:bookmarkStart w:id="165" w:name="Bookmark_para_49"/>
      <w:bookmarkEnd w:id="165"/>
      <w:bookmarkStart w:id="166" w:name="Bookmark_I5PYJSRF2SF8RJ0050000400"/>
      <w:bookmarkEnd w:id="166"/>
      <w:bookmarkStart w:id="167" w:name="Bookmark_I5PYJSRF2D6MSN0040000400"/>
      <w:bookmarkEnd w:id="167"/>
      <w:r>
        <w:rPr>
          <w:rFonts w:ascii="arial" w:eastAsia="arial" w:hAnsi="arial" w:cs="arial"/>
          <w:b w:val="0"/>
          <w:i w:val="0"/>
          <w:strike w:val="0"/>
          <w:noProof w:val="0"/>
          <w:color w:val="000000"/>
          <w:position w:val="0"/>
          <w:sz w:val="20"/>
          <w:u w:val="none"/>
          <w:vertAlign w:val="baseline"/>
        </w:rPr>
        <w:t>Finally, Pressler argues that the summary judgment ruling should be overturned on grounds of "manifest injustice." The Court's application of FDCPA</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to court filings, says Pressler, infringes on its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petition the Government for a redress of grievances." </w:t>
      </w:r>
      <w:r>
        <w:rPr>
          <w:rFonts w:ascii="arial" w:eastAsia="arial" w:hAnsi="arial" w:cs="arial"/>
          <w:b w:val="0"/>
          <w:i/>
          <w:strike w:val="0"/>
          <w:noProof w:val="0"/>
          <w:color w:val="000000"/>
          <w:position w:val="0"/>
          <w:sz w:val="20"/>
          <w:u w:val="none"/>
          <w:vertAlign w:val="baseline"/>
        </w:rPr>
        <w:t>U.S. Const. amend. I</w:t>
      </w:r>
      <w:r>
        <w:rPr>
          <w:rFonts w:ascii="arial" w:eastAsia="arial" w:hAnsi="arial" w:cs="arial"/>
          <w:b w:val="0"/>
          <w:i w:val="0"/>
          <w:strike w:val="0"/>
          <w:noProof w:val="0"/>
          <w:color w:val="000000"/>
          <w:position w:val="0"/>
          <w:sz w:val="20"/>
          <w:u w:val="none"/>
          <w:vertAlign w:val="baseline"/>
        </w:rPr>
        <w:t xml:space="preserve">. In particular, Pressler invokes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t>
      </w:r>
      <w:bookmarkStart w:id="168" w:name="Bookmark_I5PYJSRF2HM6YJ0010000400"/>
      <w:bookmarkEnd w:id="168"/>
      <w:r>
        <w:rPr>
          <w:rFonts w:ascii="arial" w:eastAsia="arial" w:hAnsi="arial" w:cs="arial"/>
          <w:b w:val="0"/>
          <w:i/>
          <w:strike w:val="0"/>
          <w:noProof w:val="0"/>
          <w:color w:val="000000"/>
          <w:position w:val="0"/>
          <w:sz w:val="20"/>
          <w:u w:val="none"/>
          <w:vertAlign w:val="baseline"/>
        </w:rPr>
        <w:t xml:space="preserve">See </w:t>
      </w:r>
      <w:bookmarkStart w:id="169" w:name="Bookmark_I5PYJSRF2SF8RJ0040000400"/>
      <w:bookmarkEnd w:id="169"/>
      <w:hyperlink r:id="rId50" w:history="1">
        <w:r>
          <w:rPr>
            <w:rFonts w:ascii="arial" w:eastAsia="arial" w:hAnsi="arial" w:cs="arial"/>
            <w:b w:val="0"/>
            <w:i/>
            <w:strike w:val="0"/>
            <w:noProof w:val="0"/>
            <w:color w:val="0077CC"/>
            <w:position w:val="0"/>
            <w:sz w:val="20"/>
            <w:u w:val="single"/>
            <w:vertAlign w:val="baseline"/>
          </w:rPr>
          <w:t>Eastern Railroad Presidents Conference v. Noerr Motor Freight, Inc.</w:t>
        </w:r>
      </w:hyperlink>
      <w:hyperlink r:id="rId50" w:history="1">
        <w:r>
          <w:rPr>
            <w:rFonts w:ascii="arial" w:eastAsia="arial" w:hAnsi="arial" w:cs="arial"/>
            <w:b w:val="0"/>
            <w:i/>
            <w:strike w:val="0"/>
            <w:noProof w:val="0"/>
            <w:color w:val="0077CC"/>
            <w:position w:val="0"/>
            <w:sz w:val="20"/>
            <w:u w:val="single"/>
            <w:vertAlign w:val="baseline"/>
          </w:rPr>
          <w:t>, 365 U.S. 127, 81 S. Ct. 523, 5 L. Ed. 2d 464 (1961)</w:t>
        </w:r>
      </w:hyperlink>
      <w:r>
        <w:rPr>
          <w:rFonts w:ascii="arial" w:eastAsia="arial" w:hAnsi="arial" w:cs="arial"/>
          <w:b w:val="0"/>
          <w:i w:val="0"/>
          <w:strike w:val="0"/>
          <w:noProof w:val="0"/>
          <w:color w:val="000000"/>
          <w:position w:val="0"/>
          <w:sz w:val="20"/>
          <w:u w:val="none"/>
          <w:vertAlign w:val="baseline"/>
        </w:rPr>
        <w:t xml:space="preserve">; </w:t>
      </w:r>
      <w:bookmarkStart w:id="170" w:name="Bookmark_I5PYJSRF2D6MSN0010000400"/>
      <w:bookmarkEnd w:id="170"/>
      <w:hyperlink r:id="rId51" w:history="1">
        <w:r>
          <w:rPr>
            <w:rFonts w:ascii="arial" w:eastAsia="arial" w:hAnsi="arial" w:cs="arial"/>
            <w:b w:val="0"/>
            <w:i/>
            <w:strike w:val="0"/>
            <w:noProof w:val="0"/>
            <w:color w:val="0077CC"/>
            <w:position w:val="0"/>
            <w:sz w:val="20"/>
            <w:u w:val="single"/>
            <w:vertAlign w:val="baseline"/>
          </w:rPr>
          <w:t>United Mine Workers v. Pennington</w:t>
        </w:r>
      </w:hyperlink>
      <w:hyperlink r:id="rId51" w:history="1">
        <w:r>
          <w:rPr>
            <w:rFonts w:ascii="arial" w:eastAsia="arial" w:hAnsi="arial" w:cs="arial"/>
            <w:b w:val="0"/>
            <w:i/>
            <w:strike w:val="0"/>
            <w:noProof w:val="0"/>
            <w:color w:val="0077CC"/>
            <w:position w:val="0"/>
            <w:sz w:val="20"/>
            <w:u w:val="single"/>
            <w:vertAlign w:val="baseline"/>
          </w:rPr>
          <w:t>, 381 U.S. 657, 85 S. Ct. 1585, 14 L. Ed. 2d 626 (1965)</w:t>
        </w:r>
      </w:hyperlink>
      <w:r>
        <w:rPr>
          <w:rFonts w:ascii="arial" w:eastAsia="arial" w:hAnsi="arial" w:cs="arial"/>
          <w:b w:val="0"/>
          <w:i w:val="0"/>
          <w:strike w:val="0"/>
          <w:noProof w:val="0"/>
          <w:color w:val="000000"/>
          <w:position w:val="0"/>
          <w:sz w:val="20"/>
          <w:u w:val="none"/>
          <w:vertAlign w:val="baseline"/>
        </w:rPr>
        <w:t xml:space="preserve">. </w:t>
      </w:r>
      <w:bookmarkStart w:id="171" w:name="Bookmark_I5PYJSRF28T46K0020000400"/>
      <w:bookmarkEnd w:id="171"/>
      <w:r>
        <w:rPr>
          <w:rFonts w:ascii="arial" w:eastAsia="arial" w:hAnsi="arial" w:cs="arial"/>
          <w:b w:val="0"/>
          <w:i/>
          <w:strike w:val="0"/>
          <w:noProof w:val="0"/>
          <w:color w:val="000000"/>
          <w:position w:val="0"/>
          <w:sz w:val="20"/>
          <w:u w:val="none"/>
          <w:vertAlign w:val="baseline"/>
        </w:rPr>
        <w:t xml:space="preserve">See also </w:t>
      </w:r>
      <w:bookmarkStart w:id="172" w:name="Bookmark_I5PYJSRF2D6MSN0030000400"/>
      <w:bookmarkEnd w:id="172"/>
      <w:hyperlink r:id="rId52" w:history="1">
        <w:r>
          <w:rPr>
            <w:rFonts w:ascii="arial" w:eastAsia="arial" w:hAnsi="arial" w:cs="arial"/>
            <w:b w:val="0"/>
            <w:i/>
            <w:strike w:val="0"/>
            <w:noProof w:val="0"/>
            <w:color w:val="0077CC"/>
            <w:position w:val="0"/>
            <w:sz w:val="20"/>
            <w:u w:val="single"/>
            <w:vertAlign w:val="baseline"/>
          </w:rPr>
          <w:t>Mariana v. Fisher</w:t>
        </w:r>
      </w:hyperlink>
      <w:hyperlink r:id="rId52" w:history="1">
        <w:r>
          <w:rPr>
            <w:rFonts w:ascii="arial" w:eastAsia="arial" w:hAnsi="arial" w:cs="arial"/>
            <w:b w:val="0"/>
            <w:i/>
            <w:strike w:val="0"/>
            <w:noProof w:val="0"/>
            <w:color w:val="0077CC"/>
            <w:position w:val="0"/>
            <w:sz w:val="20"/>
            <w:u w:val="single"/>
            <w:vertAlign w:val="baseline"/>
          </w:rPr>
          <w:t>, 338 F.3d 189, 199 (3d Cir. 2003)</w:t>
        </w:r>
      </w:hyperlink>
      <w:r>
        <w:rPr>
          <w:rFonts w:ascii="arial" w:eastAsia="arial" w:hAnsi="arial" w:cs="arial"/>
          <w:b w:val="0"/>
          <w:i w:val="0"/>
          <w:strike w:val="0"/>
          <w:noProof w:val="0"/>
          <w:color w:val="000000"/>
          <w:position w:val="0"/>
          <w:sz w:val="20"/>
          <w:u w:val="none"/>
          <w:vertAlign w:val="baseline"/>
        </w:rPr>
        <w:t xml:space="preserve">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seeking government action that would disadvantage a competitor).</w:t>
      </w:r>
    </w:p>
    <w:p>
      <w:pPr>
        <w:keepNext w:val="0"/>
        <w:widowControl w:val="0"/>
        <w:spacing w:before="200" w:after="0" w:line="260" w:lineRule="atLeast"/>
        <w:ind w:left="400" w:right="0" w:firstLine="0"/>
        <w:jc w:val="both"/>
      </w:pPr>
      <w:bookmarkStart w:id="173" w:name="Bookmark_para_50"/>
      <w:bookmarkEnd w:id="173"/>
      <w:bookmarkStart w:id="174" w:name="Bookmark_I5PYJSRF28T46K0020000400_2"/>
      <w:bookmarkEnd w:id="174"/>
      <w:bookmarkStart w:id="175" w:name="Bookmark_I5PYJSRF2HM6YJ0010000400_2"/>
      <w:bookmarkEnd w:id="175"/>
      <w:r>
        <w:rPr>
          <w:rFonts w:ascii="arial" w:eastAsia="arial" w:hAnsi="arial" w:cs="arial"/>
          <w:b w:val="0"/>
          <w:i w:val="0"/>
          <w:strike w:val="0"/>
          <w:noProof w:val="0"/>
          <w:color w:val="000000"/>
          <w:position w:val="0"/>
          <w:sz w:val="20"/>
          <w:u w:val="none"/>
          <w:vertAlign w:val="baseline"/>
        </w:rPr>
        <w:t xml:space="preserve">Although the doctrine originated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it has been extended on a limited basis "to offer protection to citizens' petitioning activities in contexts outside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area as well." </w:t>
      </w:r>
      <w:bookmarkStart w:id="176" w:name="Bookmark_I5PYJSRF2D6MSN0050000400"/>
      <w:bookmarkEnd w:id="176"/>
      <w:hyperlink r:id="rId53" w:history="1">
        <w:r>
          <w:rPr>
            <w:rFonts w:ascii="arial" w:eastAsia="arial" w:hAnsi="arial" w:cs="arial"/>
            <w:b w:val="0"/>
            <w:i/>
            <w:strike w:val="0"/>
            <w:noProof w:val="0"/>
            <w:color w:val="0077CC"/>
            <w:position w:val="0"/>
            <w:sz w:val="20"/>
            <w:u w:val="single"/>
            <w:vertAlign w:val="baseline"/>
          </w:rPr>
          <w:t>We, Inc. v. City of Philadelphia</w:t>
        </w:r>
      </w:hyperlink>
      <w:hyperlink r:id="rId53" w:history="1">
        <w:r>
          <w:rPr>
            <w:rFonts w:ascii="arial" w:eastAsia="arial" w:hAnsi="arial" w:cs="arial"/>
            <w:b w:val="0"/>
            <w:i/>
            <w:strike w:val="0"/>
            <w:noProof w:val="0"/>
            <w:color w:val="0077CC"/>
            <w:position w:val="0"/>
            <w:sz w:val="20"/>
            <w:u w:val="single"/>
            <w:vertAlign w:val="baseline"/>
          </w:rPr>
          <w:t>, 174 F.3d 322, 326-27 (3d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7" w:name="Bookmark_I5PYJSRF2HM6YJ0020000400"/>
      <w:bookmarkEnd w:id="177"/>
      <w:hyperlink r:id="rId54" w:history="1">
        <w:r>
          <w:rPr>
            <w:rFonts w:ascii="arial" w:eastAsia="arial" w:hAnsi="arial" w:cs="arial"/>
            <w:b w:val="0"/>
            <w:i/>
            <w:strike w:val="0"/>
            <w:noProof w:val="0"/>
            <w:color w:val="0077CC"/>
            <w:position w:val="0"/>
            <w:sz w:val="20"/>
            <w:u w:val="single"/>
            <w:vertAlign w:val="baseline"/>
          </w:rPr>
          <w:t>BE&amp;K Constr. Co. v. NLRB</w:t>
        </w:r>
      </w:hyperlink>
      <w:hyperlink r:id="rId54" w:history="1">
        <w:r>
          <w:rPr>
            <w:rFonts w:ascii="arial" w:eastAsia="arial" w:hAnsi="arial" w:cs="arial"/>
            <w:b w:val="0"/>
            <w:i/>
            <w:strike w:val="0"/>
            <w:noProof w:val="0"/>
            <w:color w:val="0077CC"/>
            <w:position w:val="0"/>
            <w:sz w:val="20"/>
            <w:u w:val="single"/>
            <w:vertAlign w:val="baseline"/>
          </w:rPr>
          <w:t>, 536 U.S. 516, 122 S. Ct. 2390, 153 L. Ed. 2d 499 (2002)</w:t>
        </w:r>
      </w:hyperlink>
      <w:r>
        <w:rPr>
          <w:rFonts w:ascii="arial" w:eastAsia="arial" w:hAnsi="arial" w:cs="arial"/>
          <w:b w:val="0"/>
          <w:i w:val="0"/>
          <w:strike w:val="0"/>
          <w:noProof w:val="0"/>
          <w:color w:val="000000"/>
          <w:position w:val="0"/>
          <w:sz w:val="20"/>
          <w:u w:val="none"/>
          <w:vertAlign w:val="baseline"/>
        </w:rPr>
        <w:t xml:space="preserve"> (applying the doctrine to the </w:t>
      </w:r>
      <w:hyperlink r:id="rId55" w:history="1">
        <w:r>
          <w:rPr>
            <w:rFonts w:ascii="arial" w:eastAsia="arial" w:hAnsi="arial" w:cs="arial"/>
            <w:b w:val="0"/>
            <w:i/>
            <w:strike w:val="0"/>
            <w:noProof w:val="0"/>
            <w:color w:val="0077CC"/>
            <w:position w:val="0"/>
            <w:sz w:val="20"/>
            <w:u w:val="single"/>
            <w:vertAlign w:val="baseline"/>
          </w:rPr>
          <w:t>National Labor Relations Act</w:t>
        </w:r>
      </w:hyperlink>
      <w:r>
        <w:rPr>
          <w:rFonts w:ascii="arial" w:eastAsia="arial" w:hAnsi="arial" w:cs="arial"/>
          <w:b w:val="0"/>
          <w:i w:val="0"/>
          <w:strike w:val="0"/>
          <w:noProof w:val="0"/>
          <w:color w:val="000000"/>
          <w:position w:val="0"/>
          <w:sz w:val="20"/>
          <w:u w:val="none"/>
          <w:vertAlign w:val="baseline"/>
        </w:rPr>
        <w:t xml:space="preserve">); </w:t>
      </w:r>
      <w:bookmarkStart w:id="178" w:name="Bookmark_I5PYJSRF2HM6YJ0040000400"/>
      <w:bookmarkEnd w:id="178"/>
      <w:hyperlink r:id="rId56" w:history="1">
        <w:r>
          <w:rPr>
            <w:rFonts w:ascii="arial" w:eastAsia="arial" w:hAnsi="arial" w:cs="arial"/>
            <w:b w:val="0"/>
            <w:i/>
            <w:strike w:val="0"/>
            <w:noProof w:val="0"/>
            <w:color w:val="0077CC"/>
            <w:position w:val="0"/>
            <w:sz w:val="20"/>
            <w:u w:val="single"/>
            <w:vertAlign w:val="baseline"/>
          </w:rPr>
          <w:t>Brownsville Golden Age Nursing Home, Inc. v. Wells</w:t>
        </w:r>
      </w:hyperlink>
      <w:hyperlink r:id="rId56" w:history="1">
        <w:r>
          <w:rPr>
            <w:rFonts w:ascii="arial" w:eastAsia="arial" w:hAnsi="arial" w:cs="arial"/>
            <w:b w:val="0"/>
            <w:i/>
            <w:strike w:val="0"/>
            <w:noProof w:val="0"/>
            <w:color w:val="0077CC"/>
            <w:position w:val="0"/>
            <w:sz w:val="20"/>
            <w:u w:val="single"/>
            <w:vertAlign w:val="baseline"/>
          </w:rPr>
          <w:t>, 839 F.2d 155, 160 (3d Cir. 1988)</w:t>
        </w:r>
      </w:hyperlink>
      <w:r>
        <w:rPr>
          <w:rFonts w:ascii="arial" w:eastAsia="arial" w:hAnsi="arial" w:cs="arial"/>
          <w:b w:val="0"/>
          <w:i w:val="0"/>
          <w:strike w:val="0"/>
          <w:noProof w:val="0"/>
          <w:color w:val="000000"/>
          <w:position w:val="0"/>
          <w:sz w:val="20"/>
          <w:u w:val="none"/>
          <w:vertAlign w:val="baseline"/>
        </w:rPr>
        <w:t xml:space="preserve"> (doctrine applied to tort liability for actions based on petitions to the government to shut down a nursing home that was in violation of various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9" w:name="Bookmark_I5PYJSRF28T46K0020000400_3"/>
      <w:bookmarkEnd w:id="179"/>
      <w:bookmarkStart w:id="180" w:name="Bookmark_I5PYJSRF28T46K0010000400"/>
      <w:bookmarkEnd w:id="180"/>
      <w:hyperlink r:id="rId57" w:history="1">
        <w:r>
          <w:rPr>
            <w:rFonts w:ascii="arial" w:eastAsia="arial" w:hAnsi="arial" w:cs="arial"/>
            <w:b w:val="0"/>
            <w:i/>
            <w:strike w:val="0"/>
            <w:color w:val="0077CC"/>
            <w:sz w:val="20"/>
            <w:u w:val="single"/>
            <w:vertAlign w:val="baseline"/>
          </w:rPr>
          <w:t>Ontel Prods. Corp. v. Zuru Ltd.</w:t>
        </w:r>
      </w:hyperlink>
      <w:hyperlink r:id="rId57" w:history="1">
        <w:r>
          <w:rPr>
            <w:rFonts w:ascii="arial" w:eastAsia="arial" w:hAnsi="arial" w:cs="arial"/>
            <w:b w:val="0"/>
            <w:i/>
            <w:strike w:val="0"/>
            <w:color w:val="0077CC"/>
            <w:sz w:val="20"/>
            <w:u w:val="single"/>
            <w:vertAlign w:val="baseline"/>
          </w:rPr>
          <w:t>, No. 17CV3658PGSLHG, 2017 U.S. Dist. LEXIS 165020, 2017 WL 4444198, at *2 (D.N.J. Oct. 5,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1" w:name="Bookmark_para_51"/>
      <w:bookmarkEnd w:id="181"/>
      <w:r>
        <w:rPr>
          <w:rFonts w:ascii="arial" w:eastAsia="arial" w:hAnsi="arial" w:cs="arial"/>
          <w:b w:val="0"/>
          <w:i w:val="0"/>
          <w:strike w:val="0"/>
          <w:noProof w:val="0"/>
          <w:color w:val="000000"/>
          <w:position w:val="0"/>
          <w:sz w:val="20"/>
          <w:u w:val="none"/>
          <w:vertAlign w:val="baseline"/>
        </w:rPr>
        <w:t>Once again, the claimed injustice, although supposedly "manifest," does not seem to have occurred to Pressler in connection with the litigation of the summary judgment motions. The Court, within its discretion, is not inclined to entertain this argument, made three years after the fact and assertable only through the happenstance of a remand to ensure that the plaintiff possessed standing.</w:t>
      </w:r>
    </w:p>
    <w:p>
      <w:pPr>
        <w:keepNext w:val="0"/>
        <w:widowControl w:val="0"/>
        <w:spacing w:before="200" w:after="0" w:line="260" w:lineRule="atLeast"/>
        <w:ind w:left="0" w:right="0" w:firstLine="0"/>
        <w:jc w:val="both"/>
      </w:pPr>
      <w:bookmarkStart w:id="182" w:name="Bookmark_para_52"/>
      <w:bookmarkEnd w:id="182"/>
      <w:r>
        <w:rPr>
          <w:rFonts w:ascii="arial" w:eastAsia="arial" w:hAnsi="arial" w:cs="arial"/>
          <w:b w:val="0"/>
          <w:i w:val="0"/>
          <w:strike w:val="0"/>
          <w:noProof w:val="0"/>
          <w:color w:val="000000"/>
          <w:position w:val="0"/>
          <w:sz w:val="20"/>
          <w:u w:val="none"/>
          <w:vertAlign w:val="baseline"/>
        </w:rPr>
        <w:t>In the alternative, however,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 briefly discuss the substance of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argument, without implying that this unraised argument could have played any part in my earlier summary judgment ruling.</w:t>
      </w:r>
    </w:p>
    <w:p>
      <w:pPr>
        <w:keepNext w:val="0"/>
        <w:widowControl w:val="0"/>
        <w:spacing w:before="200" w:after="0" w:line="260" w:lineRule="atLeast"/>
        <w:ind w:left="0" w:right="0" w:firstLine="0"/>
        <w:jc w:val="both"/>
      </w:pPr>
      <w:bookmarkStart w:id="183" w:name="Bookmark_para_53"/>
      <w:bookmarkEnd w:id="183"/>
      <w:bookmarkStart w:id="184" w:name="Bookmark_I6Y87WV3JHG0006DSBM0000M"/>
      <w:bookmarkEnd w:id="184"/>
      <w:bookmarkStart w:id="185" w:name="Bookmark_I5PYJSRF28T46K0040000400"/>
      <w:bookmarkEnd w:id="185"/>
      <w:bookmarkStart w:id="186" w:name="Bookmark_I5PYJSRF2D6MSP0010000400"/>
      <w:bookmarkEnd w:id="186"/>
      <w:r>
        <w:rPr>
          <w:rFonts w:ascii="arial" w:eastAsia="arial" w:hAnsi="arial" w:cs="arial"/>
          <w:b w:val="0"/>
          <w:i w:val="0"/>
          <w:strike w:val="0"/>
          <w:noProof w:val="0"/>
          <w:color w:val="000000"/>
          <w:position w:val="0"/>
          <w:sz w:val="20"/>
          <w:u w:val="none"/>
          <w:vertAlign w:val="baseline"/>
        </w:rPr>
        <w:t xml:space="preserve">Pressler relies primarily on </w:t>
      </w:r>
      <w:bookmarkStart w:id="187" w:name="Bookmark_I5PYJSRF28T46K0030000400"/>
      <w:bookmarkEnd w:id="187"/>
      <w:hyperlink r:id="rId58" w:history="1">
        <w:r>
          <w:rPr>
            <w:rFonts w:ascii="arial" w:eastAsia="arial" w:hAnsi="arial" w:cs="arial"/>
            <w:b w:val="0"/>
            <w:i/>
            <w:strike w:val="0"/>
            <w:noProof w:val="0"/>
            <w:color w:val="0077CC"/>
            <w:position w:val="0"/>
            <w:sz w:val="20"/>
            <w:u w:val="single"/>
            <w:vertAlign w:val="baseline"/>
          </w:rPr>
          <w:t>Hemmingsen v. Messerli &amp; Kramer, P.A.</w:t>
        </w:r>
      </w:hyperlink>
      <w:hyperlink r:id="rId58" w:history="1">
        <w:r>
          <w:rPr>
            <w:rFonts w:ascii="arial" w:eastAsia="arial" w:hAnsi="arial" w:cs="arial"/>
            <w:b w:val="0"/>
            <w:i/>
            <w:strike w:val="0"/>
            <w:noProof w:val="0"/>
            <w:color w:val="0077CC"/>
            <w:position w:val="0"/>
            <w:sz w:val="20"/>
            <w:u w:val="single"/>
            <w:vertAlign w:val="baseline"/>
          </w:rPr>
          <w:t>, 674 F.3d 814, 817-20 (8th Cir. 2012)</w:t>
        </w:r>
      </w:hyperlink>
      <w:r>
        <w:rPr>
          <w:rFonts w:ascii="arial" w:eastAsia="arial" w:hAnsi="arial" w:cs="arial"/>
          <w:b w:val="0"/>
          <w:i w:val="0"/>
          <w:strike w:val="0"/>
          <w:noProof w:val="0"/>
          <w:color w:val="000000"/>
          <w:position w:val="0"/>
          <w:sz w:val="20"/>
          <w:u w:val="none"/>
          <w:vertAlign w:val="baseline"/>
        </w:rPr>
        <w:t xml:space="preserve">. </w:t>
      </w:r>
      <w:bookmarkStart w:id="188" w:name="Bookmark_I5PYJSRF2D6MSP0030000400"/>
      <w:bookmarkEnd w:id="188"/>
      <w:r>
        <w:rPr>
          <w:rFonts w:ascii="arial" w:eastAsia="arial" w:hAnsi="arial" w:cs="arial"/>
          <w:b w:val="0"/>
          <w:i/>
          <w:strike w:val="0"/>
          <w:noProof w:val="0"/>
          <w:color w:val="000000"/>
          <w:position w:val="0"/>
          <w:sz w:val="20"/>
          <w:u w:val="none"/>
          <w:vertAlign w:val="baseline"/>
        </w:rPr>
        <w:t>Hemmingsen</w:t>
      </w:r>
      <w:r>
        <w:rPr>
          <w:rFonts w:ascii="arial" w:eastAsia="arial" w:hAnsi="arial" w:cs="arial"/>
          <w:b w:val="0"/>
          <w:i w:val="0"/>
          <w:strike w:val="0"/>
          <w:noProof w:val="0"/>
          <w:color w:val="000000"/>
          <w:position w:val="0"/>
          <w:sz w:val="20"/>
          <w:u w:val="none"/>
          <w:vertAlign w:val="baseline"/>
        </w:rPr>
        <w:t xml:space="preserve"> merely rejected the proposition that the FDCPA was violated whenever a court rejected the creditor's position in a collection suit. The court had several rationales for its holding, one of which was that it was "consistent with the principle" that access to the courts is "an aspect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petition the Government." </w:t>
      </w:r>
      <w:bookmarkStart w:id="189" w:name="Bookmark_I5PYJSRF28T46K0050000400"/>
      <w:bookmarkEnd w:id="189"/>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819</w:t>
        </w:r>
      </w:hyperlink>
      <w:r>
        <w:rPr>
          <w:rFonts w:ascii="arial" w:eastAsia="arial" w:hAnsi="arial" w:cs="arial"/>
          <w:b w:val="0"/>
          <w:i w:val="0"/>
          <w:strike w:val="0"/>
          <w:noProof w:val="0"/>
          <w:color w:val="000000"/>
          <w:position w:val="0"/>
          <w:sz w:val="20"/>
          <w:u w:val="none"/>
          <w:vertAlign w:val="baseline"/>
        </w:rPr>
        <w:t xml:space="preserve">. The court also held that the statements at issue were not false or misleading. </w:t>
      </w:r>
      <w:bookmarkStart w:id="190" w:name="Bookmark_I5PYJSRF2D6MSP0030000400_2"/>
      <w:bookmarkEnd w:id="190"/>
      <w:r>
        <w:rPr>
          <w:rFonts w:ascii="arial" w:eastAsia="arial" w:hAnsi="arial" w:cs="arial"/>
          <w:b w:val="0"/>
          <w:i w:val="0"/>
          <w:strike w:val="0"/>
          <w:noProof w:val="0"/>
          <w:color w:val="000000"/>
          <w:position w:val="0"/>
          <w:sz w:val="20"/>
          <w:u w:val="none"/>
          <w:vertAlign w:val="baseline"/>
        </w:rPr>
        <w:t xml:space="preserve">Although the creditor's position failed on summary judgment, the court held that "we do not see how the fact that a lawsuit turns out ultimately to be unsuccessful could, by itself, make the bringing of it an 'action that cannot legally be taken.'" </w:t>
      </w:r>
      <w:bookmarkStart w:id="191" w:name="Bookmark_I5PYJSRF2D6MSP0020000400"/>
      <w:bookmarkEnd w:id="191"/>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820</w:t>
        </w:r>
      </w:hyperlink>
      <w:r>
        <w:rPr>
          <w:rFonts w:ascii="arial" w:eastAsia="arial" w:hAnsi="arial" w:cs="arial"/>
          <w:b w:val="0"/>
          <w:i w:val="0"/>
          <w:strike w:val="0"/>
          <w:noProof w:val="0"/>
          <w:color w:val="000000"/>
          <w:position w:val="0"/>
          <w:sz w:val="20"/>
          <w:u w:val="none"/>
          <w:vertAlign w:val="baseline"/>
        </w:rPr>
        <w:t xml:space="preserve"> (quoting </w:t>
      </w:r>
      <w:bookmarkStart w:id="192" w:name="Bookmark_I5PYJSRF2D6MSP0040000400"/>
      <w:bookmarkEnd w:id="192"/>
      <w:hyperlink r:id="rId59" w:history="1">
        <w:r>
          <w:rPr>
            <w:rFonts w:ascii="arial" w:eastAsia="arial" w:hAnsi="arial" w:cs="arial"/>
            <w:b w:val="0"/>
            <w:i/>
            <w:strike w:val="0"/>
            <w:noProof w:val="0"/>
            <w:color w:val="0077CC"/>
            <w:position w:val="0"/>
            <w:sz w:val="20"/>
            <w:u w:val="single"/>
            <w:vertAlign w:val="baseline"/>
          </w:rPr>
          <w:t>Heintz v. Jenkins</w:t>
        </w:r>
      </w:hyperlink>
      <w:hyperlink r:id="rId59" w:history="1">
        <w:r>
          <w:rPr>
            <w:rFonts w:ascii="arial" w:eastAsia="arial" w:hAnsi="arial" w:cs="arial"/>
            <w:b w:val="0"/>
            <w:i/>
            <w:strike w:val="0"/>
            <w:noProof w:val="0"/>
            <w:color w:val="0077CC"/>
            <w:position w:val="0"/>
            <w:sz w:val="20"/>
            <w:u w:val="single"/>
            <w:vertAlign w:val="baseline"/>
          </w:rPr>
          <w:t>, 514 U.S. 291, 295-96, 115 S. Ct. 1489, 131 L. Ed. 2d 395 (1995))</w:t>
        </w:r>
      </w:hyperlink>
      <w:r>
        <w:rPr>
          <w:rFonts w:ascii="arial" w:eastAsia="arial" w:hAnsi="arial" w:cs="arial"/>
          <w:b w:val="0"/>
          <w:i w:val="0"/>
          <w:strike w:val="0"/>
          <w:noProof w:val="0"/>
          <w:color w:val="000000"/>
          <w:position w:val="0"/>
          <w:sz w:val="20"/>
          <w:u w:val="none"/>
          <w:vertAlign w:val="baseline"/>
        </w:rPr>
        <w:t>. Here, by contrast, the allegation is that the communication of the complaint to the plaintiff was itself wrongful—</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misleading and unconscionable because it carried the implied misrepresentation of attorney review.</w:t>
      </w:r>
    </w:p>
    <w:p>
      <w:pPr>
        <w:keepNext w:val="0"/>
        <w:widowControl w:val="0"/>
        <w:spacing w:before="200" w:after="0" w:line="260" w:lineRule="atLeast"/>
        <w:ind w:left="0" w:right="0" w:firstLine="0"/>
        <w:jc w:val="both"/>
      </w:pPr>
      <w:bookmarkStart w:id="193" w:name="Bookmark_para_54"/>
      <w:bookmarkEnd w:id="193"/>
      <w:bookmarkStart w:id="194" w:name="Bookmark_I6Y87WV3RMB0006DSBM0000N"/>
      <w:bookmarkEnd w:id="194"/>
      <w:bookmarkStart w:id="195" w:name="Bookmark_I5PYJSRF2N1PPV0020000400"/>
      <w:bookmarkEnd w:id="195"/>
      <w:r>
        <w:rPr>
          <w:rFonts w:ascii="arial" w:eastAsia="arial" w:hAnsi="arial" w:cs="arial"/>
          <w:b w:val="0"/>
          <w:i w:val="0"/>
          <w:strike w:val="0"/>
          <w:noProof w:val="0"/>
          <w:color w:val="000000"/>
          <w:position w:val="0"/>
          <w:sz w:val="20"/>
          <w:u w:val="none"/>
          <w:vertAlign w:val="baseline"/>
        </w:rPr>
        <w:t xml:space="preserve">I conclude that </w:t>
      </w:r>
      <w:bookmarkStart w:id="196" w:name="Bookmark_I5PYJSRF2N1PPV0010000400"/>
      <w:bookmarkEnd w:id="196"/>
      <w:hyperlink r:id="rId58" w:history="1">
        <w:r>
          <w:rPr>
            <w:rFonts w:ascii="arial" w:eastAsia="arial" w:hAnsi="arial" w:cs="arial"/>
            <w:b w:val="0"/>
            <w:i/>
            <w:strike w:val="0"/>
            <w:noProof w:val="0"/>
            <w:color w:val="0077CC"/>
            <w:position w:val="0"/>
            <w:sz w:val="20"/>
            <w:u w:val="single"/>
            <w:vertAlign w:val="baseline"/>
          </w:rPr>
          <w:t>Hemmingsen</w:t>
        </w:r>
      </w:hyperlink>
      <w:r>
        <w:rPr>
          <w:rFonts w:ascii="arial" w:eastAsia="arial" w:hAnsi="arial" w:cs="arial"/>
          <w:b w:val="0"/>
          <w:i w:val="0"/>
          <w:strike w:val="0"/>
          <w:noProof w:val="0"/>
          <w:color w:val="000000"/>
          <w:position w:val="0"/>
          <w:sz w:val="20"/>
          <w:u w:val="none"/>
          <w:vertAlign w:val="baseline"/>
        </w:rPr>
        <w:t xml:space="preserve"> does not stand for any broad principle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bars any FDCPA claim</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based on litigation-related communications. Many cases have so held; typical of these is </w:t>
      </w:r>
      <w:r>
        <w:rPr>
          <w:rFonts w:ascii="arial" w:eastAsia="arial" w:hAnsi="arial" w:cs="arial"/>
          <w:b w:val="0"/>
          <w:i/>
          <w:strike w:val="0"/>
          <w:noProof w:val="0"/>
          <w:color w:val="000000"/>
          <w:position w:val="0"/>
          <w:sz w:val="20"/>
          <w:u w:val="none"/>
          <w:vertAlign w:val="baseline"/>
        </w:rPr>
        <w:t>Wise v. Zwicker &amp; Assocs., P.C.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97" w:name="Bookmark_para_55"/>
      <w:bookmarkEnd w:id="197"/>
      <w:bookmarkStart w:id="198" w:name="Bookmark_I5PYJSRF2N1PPV0040000400"/>
      <w:bookmarkEnd w:id="198"/>
      <w:r>
        <w:rPr>
          <w:rFonts w:ascii="arial" w:eastAsia="arial" w:hAnsi="arial" w:cs="arial"/>
          <w:b w:val="0"/>
          <w:i w:val="0"/>
          <w:strike w:val="0"/>
          <w:noProof w:val="0"/>
          <w:color w:val="000000"/>
          <w:position w:val="0"/>
          <w:sz w:val="20"/>
          <w:u w:val="none"/>
          <w:vertAlign w:val="baseline"/>
        </w:rPr>
        <w:t xml:space="preserve">The defendants' argument that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limits the application of the FDCPA to their activities is inapposite. The FDCPA specifically includes lawyers and litigation activities within its purview. </w:t>
      </w:r>
      <w:bookmarkStart w:id="199" w:name="Bookmark_I5PYJSRF2SF8RK0010000400"/>
      <w:bookmarkEnd w:id="199"/>
      <w:r>
        <w:rPr>
          <w:rFonts w:ascii="arial" w:eastAsia="arial" w:hAnsi="arial" w:cs="arial"/>
          <w:b w:val="0"/>
          <w:i/>
          <w:strike w:val="0"/>
          <w:noProof w:val="0"/>
          <w:color w:val="000000"/>
          <w:position w:val="0"/>
          <w:sz w:val="20"/>
          <w:u w:val="none"/>
          <w:vertAlign w:val="baseline"/>
        </w:rPr>
        <w:t xml:space="preserve">See </w:t>
      </w:r>
      <w:bookmarkStart w:id="200" w:name="Bookmark_I5PYJSRF2N1PPV0030000400"/>
      <w:bookmarkEnd w:id="200"/>
      <w:hyperlink r:id="rId59" w:history="1">
        <w:r>
          <w:rPr>
            <w:rFonts w:ascii="arial" w:eastAsia="arial" w:hAnsi="arial" w:cs="arial"/>
            <w:b w:val="0"/>
            <w:i/>
            <w:strike w:val="0"/>
            <w:noProof w:val="0"/>
            <w:color w:val="0077CC"/>
            <w:position w:val="0"/>
            <w:sz w:val="20"/>
            <w:u w:val="single"/>
            <w:vertAlign w:val="baseline"/>
          </w:rPr>
          <w:t>Heintz v. Jenkins</w:t>
        </w:r>
      </w:hyperlink>
      <w:hyperlink r:id="rId59" w:history="1">
        <w:r>
          <w:rPr>
            <w:rFonts w:ascii="arial" w:eastAsia="arial" w:hAnsi="arial" w:cs="arial"/>
            <w:b w:val="0"/>
            <w:i/>
            <w:strike w:val="0"/>
            <w:noProof w:val="0"/>
            <w:color w:val="0077CC"/>
            <w:position w:val="0"/>
            <w:sz w:val="20"/>
            <w:u w:val="single"/>
            <w:vertAlign w:val="baseline"/>
          </w:rPr>
          <w:t>, 514 U.S. 291, 115 S. Ct. 1489, 131 L. Ed. 2d 395 (1995)</w:t>
        </w:r>
      </w:hyperlink>
      <w:r>
        <w:rPr>
          <w:rFonts w:ascii="arial" w:eastAsia="arial" w:hAnsi="arial" w:cs="arial"/>
          <w:b w:val="0"/>
          <w:i w:val="0"/>
          <w:strike w:val="0"/>
          <w:noProof w:val="0"/>
          <w:color w:val="000000"/>
          <w:position w:val="0"/>
          <w:sz w:val="20"/>
          <w:u w:val="none"/>
          <w:vertAlign w:val="baseline"/>
        </w:rPr>
        <w:t xml:space="preserve">. </w:t>
      </w:r>
      <w:bookmarkStart w:id="201" w:name="Bookmark_I5PYJSRF2SF8RK0010000400_2"/>
      <w:bookmarkEnd w:id="201"/>
      <w:r>
        <w:rPr>
          <w:rFonts w:ascii="arial" w:eastAsia="arial" w:hAnsi="arial" w:cs="arial"/>
          <w:b w:val="0"/>
          <w:i w:val="0"/>
          <w:strike w:val="0"/>
          <w:noProof w:val="0"/>
          <w:color w:val="000000"/>
          <w:position w:val="0"/>
          <w:sz w:val="20"/>
          <w:u w:val="none"/>
          <w:vertAlign w:val="baseline"/>
        </w:rPr>
        <w:t xml:space="preserve">The defendants present no cases in which a court has applied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to FDCPA claims. In fact, this circuit has already rejected Noerr-Pennington protection for false statements in a debt-collector's complaint, recognizing that the </w:t>
      </w:r>
      <w:r>
        <w:rPr>
          <w:rFonts w:ascii="arial" w:eastAsia="arial" w:hAnsi="arial" w:cs="arial"/>
          <w:b w:val="0"/>
          <w:i/>
          <w:strike w:val="0"/>
          <w:noProof w:val="0"/>
          <w:color w:val="000000"/>
          <w:position w:val="0"/>
          <w:sz w:val="20"/>
          <w:u w:val="none"/>
          <w:vertAlign w:val="baseline"/>
        </w:rPr>
        <w:t>Petition Clause</w:t>
      </w:r>
      <w:r>
        <w:rPr>
          <w:rFonts w:ascii="arial" w:eastAsia="arial" w:hAnsi="arial" w:cs="arial"/>
          <w:b w:val="0"/>
          <w:i w:val="0"/>
          <w:strike w:val="0"/>
          <w:noProof w:val="0"/>
          <w:color w:val="000000"/>
          <w:position w:val="0"/>
          <w:sz w:val="20"/>
          <w:u w:val="none"/>
          <w:vertAlign w:val="baseline"/>
        </w:rPr>
        <w:t xml:space="preserve"> does not protect "sham petitions, baseless litigation, or petitions containing 'intentional and reckless falsehoods.'" </w:t>
      </w:r>
      <w:bookmarkStart w:id="202" w:name="Bookmark_I5PYJSRF2N1PPV0050000400"/>
      <w:bookmarkEnd w:id="202"/>
      <w:hyperlink r:id="rId60" w:history="1">
        <w:r>
          <w:rPr>
            <w:rFonts w:ascii="arial" w:eastAsia="arial" w:hAnsi="arial" w:cs="arial"/>
            <w:b w:val="0"/>
            <w:i/>
            <w:strike w:val="0"/>
            <w:noProof w:val="0"/>
            <w:color w:val="0077CC"/>
            <w:position w:val="0"/>
            <w:sz w:val="20"/>
            <w:u w:val="single"/>
            <w:vertAlign w:val="baseline"/>
          </w:rPr>
          <w:t>Hartman v. Great Seneca Fin. Corp.</w:t>
        </w:r>
      </w:hyperlink>
      <w:hyperlink r:id="rId60" w:history="1">
        <w:r>
          <w:rPr>
            <w:rFonts w:ascii="arial" w:eastAsia="arial" w:hAnsi="arial" w:cs="arial"/>
            <w:b w:val="0"/>
            <w:i/>
            <w:strike w:val="0"/>
            <w:noProof w:val="0"/>
            <w:color w:val="0077CC"/>
            <w:position w:val="0"/>
            <w:sz w:val="20"/>
            <w:u w:val="single"/>
            <w:vertAlign w:val="baseline"/>
          </w:rPr>
          <w:t>, 569 F.3d 606, 616 (6th Cir.2009)</w:t>
        </w:r>
      </w:hyperlink>
      <w:r>
        <w:rPr>
          <w:rFonts w:ascii="arial" w:eastAsia="arial" w:hAnsi="arial" w:cs="arial"/>
          <w:b w:val="0"/>
          <w:i w:val="0"/>
          <w:strike w:val="0"/>
          <w:noProof w:val="0"/>
          <w:color w:val="000000"/>
          <w:position w:val="0"/>
          <w:sz w:val="20"/>
          <w:u w:val="none"/>
          <w:vertAlign w:val="baseline"/>
        </w:rPr>
        <w:t xml:space="preserve"> (quoting </w:t>
      </w:r>
      <w:bookmarkStart w:id="203" w:name="Bookmark_I5PYJSRF2SF8RK0020000400"/>
      <w:bookmarkEnd w:id="203"/>
      <w:hyperlink r:id="rId61" w:history="1">
        <w:r>
          <w:rPr>
            <w:rFonts w:ascii="arial" w:eastAsia="arial" w:hAnsi="arial" w:cs="arial"/>
            <w:b w:val="0"/>
            <w:i/>
            <w:strike w:val="0"/>
            <w:noProof w:val="0"/>
            <w:color w:val="0077CC"/>
            <w:position w:val="0"/>
            <w:sz w:val="20"/>
            <w:u w:val="single"/>
            <w:vertAlign w:val="baseline"/>
          </w:rPr>
          <w:t>McDonald v. Smith</w:t>
        </w:r>
      </w:hyperlink>
      <w:hyperlink r:id="rId61" w:history="1">
        <w:r>
          <w:rPr>
            <w:rFonts w:ascii="arial" w:eastAsia="arial" w:hAnsi="arial" w:cs="arial"/>
            <w:b w:val="0"/>
            <w:i/>
            <w:strike w:val="0"/>
            <w:noProof w:val="0"/>
            <w:color w:val="0077CC"/>
            <w:position w:val="0"/>
            <w:sz w:val="20"/>
            <w:u w:val="single"/>
            <w:vertAlign w:val="baseline"/>
          </w:rPr>
          <w:t>, 472 U.S. 479, 484, 105 S. Ct. 2787, 86 L.Ed.2d 384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4" w:name="Bookmark_I5PYJSRF2SF8RK0040000400"/>
      <w:bookmarkEnd w:id="204"/>
      <w:hyperlink r:id="rId62" w:history="1">
        <w:r>
          <w:rPr>
            <w:rFonts w:ascii="arial" w:eastAsia="arial" w:hAnsi="arial" w:cs="arial"/>
            <w:b w:val="0"/>
            <w:i/>
            <w:strike w:val="0"/>
            <w:color w:val="0077CC"/>
            <w:sz w:val="20"/>
            <w:u w:val="single"/>
            <w:vertAlign w:val="baseline"/>
          </w:rPr>
          <w:t>780 F.3d 710, 719 n.5 (6th Cir. 2015)</w:t>
        </w:r>
      </w:hyperlink>
      <w:r>
        <w:rPr>
          <w:rFonts w:ascii="arial" w:eastAsia="arial" w:hAnsi="arial" w:cs="arial"/>
          <w:b w:val="0"/>
          <w:i w:val="0"/>
          <w:strike w:val="0"/>
          <w:noProof w:val="0"/>
          <w:color w:val="000000"/>
          <w:position w:val="0"/>
          <w:sz w:val="20"/>
          <w:u w:val="none"/>
          <w:vertAlign w:val="baseline"/>
        </w:rPr>
        <w:t xml:space="preserve"> (demand for attorney's fees in complaint's prayer for relief),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136 S. Ct. 793, 193 L. Ed. 2d 709 (2016)</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227" w:name="Bookmark_para_57"/>
      <w:bookmarkEnd w:id="227"/>
      <w:bookmarkStart w:id="228" w:name="Bookmark_I5PYJSRF2SF8RM0030000400"/>
      <w:bookmarkEnd w:id="228"/>
      <w:bookmarkStart w:id="229" w:name="Bookmark_I5PYJSRF2SF8RM0020000400"/>
      <w:bookmarkEnd w:id="229"/>
      <w:hyperlink r:id="rId63" w:history="1">
        <w:r>
          <w:rPr>
            <w:rFonts w:ascii="arial" w:eastAsia="arial" w:hAnsi="arial" w:cs="arial"/>
            <w:b w:val="0"/>
            <w:i/>
            <w:strike w:val="0"/>
            <w:color w:val="0077CC"/>
            <w:sz w:val="20"/>
            <w:u w:val="single"/>
            <w:vertAlign w:val="baseline"/>
          </w:rPr>
          <w:t>Satre v. Wells Fargo Bank, NA</w:t>
        </w:r>
      </w:hyperlink>
      <w:hyperlink r:id="rId63" w:history="1">
        <w:r>
          <w:rPr>
            <w:rFonts w:ascii="arial" w:eastAsia="arial" w:hAnsi="arial" w:cs="arial"/>
            <w:b w:val="0"/>
            <w:i/>
            <w:strike w:val="0"/>
            <w:color w:val="0077CC"/>
            <w:sz w:val="20"/>
            <w:u w:val="single"/>
            <w:vertAlign w:val="baseline"/>
          </w:rPr>
          <w:t>, 507 F. App'x 655 (9th Cir. 2013)</w:t>
        </w:r>
      </w:hyperlink>
      <w:r>
        <w:rPr>
          <w:rFonts w:ascii="arial" w:eastAsia="arial" w:hAnsi="arial" w:cs="arial"/>
          <w:b w:val="0"/>
          <w:i w:val="0"/>
          <w:strike w:val="0"/>
          <w:noProof w:val="0"/>
          <w:color w:val="000000"/>
          <w:position w:val="0"/>
          <w:sz w:val="20"/>
          <w:u w:val="none"/>
          <w:vertAlign w:val="baseline"/>
        </w:rPr>
        <w:t>, is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not to the contrary. There, the Court of Appeals held only that "[t]he district court properly determined that Wechsler is immune from FDCPA liability 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because the Satres'[] factual allegations in their amended complaint failed to establish that Wechsler, who was defending his client from litigation initiated by the Satres, was a 'debt collector.'"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15 U.S.C. § 1692a(6)</w:t>
        </w:r>
      </w:hyperlink>
      <w:r>
        <w:rPr>
          <w:rFonts w:ascii="arial" w:eastAsia="arial" w:hAnsi="arial" w:cs="arial"/>
          <w:b w:val="0"/>
          <w:i w:val="0"/>
          <w:strike w:val="0"/>
          <w:noProof w:val="0"/>
          <w:color w:val="000000"/>
          <w:position w:val="0"/>
          <w:sz w:val="20"/>
          <w:u w:val="none"/>
          <w:vertAlign w:val="baseline"/>
        </w:rPr>
        <w:t xml:space="preserve">. Thus </w:t>
      </w:r>
      <w:r>
        <w:rPr>
          <w:rFonts w:ascii="arial" w:eastAsia="arial" w:hAnsi="arial" w:cs="arial"/>
          <w:b w:val="0"/>
          <w:i/>
          <w:strike w:val="0"/>
          <w:noProof w:val="0"/>
          <w:color w:val="000000"/>
          <w:position w:val="0"/>
          <w:sz w:val="20"/>
          <w:u w:val="none"/>
          <w:vertAlign w:val="baseline"/>
        </w:rPr>
        <w:t>Satre</w:t>
      </w:r>
      <w:r>
        <w:rPr>
          <w:rFonts w:ascii="arial" w:eastAsia="arial" w:hAnsi="arial" w:cs="arial"/>
          <w:b w:val="0"/>
          <w:i w:val="0"/>
          <w:strike w:val="0"/>
          <w:noProof w:val="0"/>
          <w:color w:val="000000"/>
          <w:position w:val="0"/>
          <w:sz w:val="20"/>
          <w:u w:val="none"/>
          <w:vertAlign w:val="baseline"/>
        </w:rPr>
        <w:t xml:space="preserve"> has little to say about the interplay between an FDCPA violation and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because it prefaced its holding with a finding that the prohibitions of the FDCPA did not apply at all.</w:t>
      </w:r>
    </w:p>
    <w:p>
      <w:pPr>
        <w:keepNext w:val="0"/>
        <w:widowControl w:val="0"/>
        <w:spacing w:before="200" w:after="0" w:line="260" w:lineRule="atLeast"/>
        <w:ind w:left="0" w:right="0" w:firstLine="0"/>
        <w:jc w:val="both"/>
      </w:pPr>
      <w:bookmarkStart w:id="230" w:name="Bookmark_para_58"/>
      <w:bookmarkEnd w:id="230"/>
      <w:r>
        <w:rPr>
          <w:rFonts w:ascii="arial" w:eastAsia="arial" w:hAnsi="arial" w:cs="arial"/>
          <w:b w:val="0"/>
          <w:i w:val="0"/>
          <w:strike w:val="0"/>
          <w:noProof w:val="0"/>
          <w:color w:val="000000"/>
          <w:position w:val="0"/>
          <w:sz w:val="20"/>
          <w:u w:val="none"/>
          <w:vertAlign w:val="baseline"/>
        </w:rPr>
        <w:t xml:space="preserve">In sum, even if I were inclined to entertain this belated citation of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could not find that Pressler has identified an error of law, let alone a clear error or manifest injustice.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231" w:name="Bookmark_para_59"/>
      <w:bookmarkEnd w:id="231"/>
      <w:r>
        <w:rPr>
          <w:rFonts w:ascii="arial" w:eastAsia="arial" w:hAnsi="arial" w:cs="arial"/>
          <w:b w:val="0"/>
          <w:i w:val="0"/>
          <w:strike w:val="0"/>
          <w:noProof w:val="0"/>
          <w:color w:val="000000"/>
          <w:position w:val="0"/>
          <w:sz w:val="20"/>
          <w:u w:val="none"/>
          <w:vertAlign w:val="baseline"/>
        </w:rPr>
        <w:t>For the foregoing reasons, I conclude that Pressler has not proffered sufficient grounds for the court to alter or amend its prior orders, or to depart from the law of the case. Pressler's motion for reconsideration (ECF no. 100) is therefore denied.</w:t>
      </w:r>
    </w:p>
    <w:p>
      <w:pPr>
        <w:keepNext w:val="0"/>
        <w:widowControl w:val="0"/>
        <w:spacing w:before="200" w:after="0" w:line="260" w:lineRule="atLeast"/>
        <w:ind w:left="0" w:right="0" w:firstLine="0"/>
        <w:jc w:val="both"/>
      </w:pPr>
      <w:bookmarkStart w:id="232" w:name="Bookmark_para_60"/>
      <w:bookmarkEnd w:id="232"/>
      <w:r>
        <w:rPr>
          <w:rFonts w:ascii="arial" w:eastAsia="arial" w:hAnsi="arial" w:cs="arial"/>
          <w:b w:val="0"/>
          <w:i w:val="0"/>
          <w:strike w:val="0"/>
          <w:noProof w:val="0"/>
          <w:color w:val="000000"/>
          <w:position w:val="0"/>
          <w:sz w:val="20"/>
          <w:u w:val="none"/>
          <w:vertAlign w:val="baseline"/>
        </w:rPr>
        <w:t>An appropriate Order accompanies this Opinion.</w:t>
      </w:r>
    </w:p>
    <w:p>
      <w:pPr>
        <w:keepNext w:val="0"/>
        <w:widowControl w:val="0"/>
        <w:spacing w:before="200" w:after="0" w:line="260" w:lineRule="atLeast"/>
        <w:ind w:left="0" w:right="0" w:firstLine="0"/>
        <w:jc w:val="both"/>
      </w:pPr>
      <w:bookmarkStart w:id="233" w:name="Bookmark_para_61"/>
      <w:bookmarkEnd w:id="233"/>
      <w:r>
        <w:rPr>
          <w:rFonts w:ascii="arial" w:eastAsia="arial" w:hAnsi="arial" w:cs="arial"/>
          <w:b w:val="0"/>
          <w:i w:val="0"/>
          <w:strike w:val="0"/>
          <w:noProof w:val="0"/>
          <w:color w:val="000000"/>
          <w:position w:val="0"/>
          <w:sz w:val="20"/>
          <w:u w:val="none"/>
          <w:vertAlign w:val="baseline"/>
        </w:rPr>
        <w:t>Dated: October 19, 2017</w:t>
      </w:r>
    </w:p>
    <w:p>
      <w:pPr>
        <w:keepNext w:val="0"/>
        <w:widowControl w:val="0"/>
        <w:spacing w:before="200" w:after="0" w:line="260" w:lineRule="atLeast"/>
        <w:ind w:left="0" w:right="0" w:firstLine="0"/>
        <w:jc w:val="both"/>
      </w:pPr>
      <w:bookmarkStart w:id="234" w:name="Bookmark_para_62"/>
      <w:bookmarkEnd w:id="234"/>
      <w:r>
        <w:rPr>
          <w:rFonts w:ascii="arial" w:eastAsia="arial" w:hAnsi="arial" w:cs="arial"/>
          <w:b w:val="0"/>
          <w:i w:val="0"/>
          <w:strike w:val="0"/>
          <w:noProof w:val="0"/>
          <w:color w:val="000000"/>
          <w:position w:val="0"/>
          <w:sz w:val="20"/>
          <w:u w:val="none"/>
          <w:vertAlign w:val="baseline"/>
        </w:rPr>
        <w:t>/s/ Kevin McNulty</w:t>
      </w:r>
    </w:p>
    <w:p>
      <w:pPr>
        <w:keepNext w:val="0"/>
        <w:widowControl w:val="0"/>
        <w:spacing w:before="200" w:after="0" w:line="260" w:lineRule="atLeast"/>
        <w:ind w:left="0" w:right="0" w:firstLine="0"/>
        <w:jc w:val="both"/>
      </w:pPr>
      <w:bookmarkStart w:id="235" w:name="Bookmark_para_63"/>
      <w:bookmarkEnd w:id="235"/>
      <w:r>
        <w:rPr>
          <w:rFonts w:ascii="arial" w:eastAsia="arial" w:hAnsi="arial" w:cs="arial"/>
          <w:b/>
          <w:i w:val="0"/>
          <w:strike w:val="0"/>
          <w:noProof w:val="0"/>
          <w:color w:val="000000"/>
          <w:position w:val="0"/>
          <w:sz w:val="20"/>
          <w:u w:val="none"/>
          <w:vertAlign w:val="baseline"/>
        </w:rPr>
        <w:t>HON. KEVIN MCNULTY, U.S.D.J.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40" w:after="0" w:line="260" w:lineRule="atLeast"/>
        <w:ind w:left="0" w:right="0" w:firstLine="0"/>
        <w:jc w:val="both"/>
      </w:pPr>
      <w:bookmarkStart w:id="236" w:name="Bookmark_para_64"/>
      <w:bookmarkEnd w:id="236"/>
      <w:r>
        <w:rPr>
          <w:rFonts w:ascii="arial" w:eastAsia="arial" w:hAnsi="arial" w:cs="arial"/>
          <w:b w:val="0"/>
          <w:i w:val="0"/>
          <w:strike w:val="0"/>
          <w:noProof w:val="0"/>
          <w:color w:val="000000"/>
          <w:position w:val="0"/>
          <w:sz w:val="20"/>
          <w:u w:val="none"/>
          <w:vertAlign w:val="baseline"/>
        </w:rPr>
        <w:t>The defendant, Pressler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and Pressler, LLP ("Pressler"), having filed a motion (ECF no. 100) pursuant to </w:t>
      </w:r>
      <w:hyperlink r:id="rId12" w:history="1">
        <w:r>
          <w:rPr>
            <w:rFonts w:ascii="arial" w:eastAsia="arial" w:hAnsi="arial" w:cs="arial"/>
            <w:b w:val="0"/>
            <w:i/>
            <w:strike w:val="0"/>
            <w:noProof w:val="0"/>
            <w:color w:val="0077CC"/>
            <w:position w:val="0"/>
            <w:sz w:val="20"/>
            <w:u w:val="single"/>
            <w:vertAlign w:val="baseline"/>
          </w:rPr>
          <w:t>Loc. Civ, R. 7.1(i)</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Fed. R. Civ. P. 59(e)</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Fed. R. Civ. P. 60(b)(2)</w:t>
        </w:r>
      </w:hyperlink>
      <w:r>
        <w:rPr>
          <w:rFonts w:ascii="arial" w:eastAsia="arial" w:hAnsi="arial" w:cs="arial"/>
          <w:b w:val="0"/>
          <w:i w:val="0"/>
          <w:strike w:val="0"/>
          <w:noProof w:val="0"/>
          <w:color w:val="000000"/>
          <w:position w:val="0"/>
          <w:sz w:val="20"/>
          <w:u w:val="none"/>
          <w:vertAlign w:val="baseline"/>
        </w:rPr>
        <w:t>, to reconsider, alter, or otherwise amend the Court's prior order and judgment; and the plaintiff, Daniel Bock, Jr., having filed an opposition (ECF no. 101); and the Court having considered the matter without oral argument based on the motion papers, and review of the entire case file; for the reasons stated in the accompanying Opinion, and good cause appearing therefor;</w:t>
      </w:r>
    </w:p>
    <w:p>
      <w:pPr>
        <w:keepNext w:val="0"/>
        <w:widowControl w:val="0"/>
        <w:spacing w:before="200" w:after="0" w:line="260" w:lineRule="atLeast"/>
        <w:ind w:left="0" w:right="0" w:firstLine="0"/>
        <w:jc w:val="both"/>
      </w:pPr>
      <w:bookmarkStart w:id="237" w:name="Bookmark_para_65"/>
      <w:bookmarkEnd w:id="237"/>
      <w:r>
        <w:rPr>
          <w:rFonts w:ascii="arial" w:eastAsia="arial" w:hAnsi="arial" w:cs="arial"/>
          <w:b w:val="0"/>
          <w:i w:val="0"/>
          <w:strike w:val="0"/>
          <w:noProof w:val="0"/>
          <w:color w:val="000000"/>
          <w:position w:val="0"/>
          <w:sz w:val="20"/>
          <w:u w:val="none"/>
          <w:vertAlign w:val="baseline"/>
        </w:rPr>
        <w:t>IT IS this 19th day of October, 2017</w:t>
      </w:r>
    </w:p>
    <w:p>
      <w:pPr>
        <w:keepNext w:val="0"/>
        <w:widowControl w:val="0"/>
        <w:spacing w:before="240" w:after="0" w:line="260" w:lineRule="atLeast"/>
        <w:ind w:left="0" w:right="0" w:firstLine="0"/>
        <w:jc w:val="both"/>
      </w:pPr>
      <w:bookmarkStart w:id="238" w:name="Bookmark_para_66"/>
      <w:bookmarkEnd w:id="238"/>
      <w:r>
        <w:rPr>
          <w:rFonts w:ascii="arial" w:eastAsia="arial" w:hAnsi="arial" w:cs="arial"/>
          <w:b w:val="0"/>
          <w:i w:val="0"/>
          <w:strike w:val="0"/>
          <w:noProof w:val="0"/>
          <w:color w:val="000000"/>
          <w:position w:val="0"/>
          <w:sz w:val="20"/>
          <w:u w:val="none"/>
          <w:vertAlign w:val="baseline"/>
        </w:rPr>
        <w:t xml:space="preserve">ORDERED that the defendant's motion (ECF no. 100) pursuant to </w:t>
      </w:r>
      <w:hyperlink r:id="rId12" w:history="1">
        <w:r>
          <w:rPr>
            <w:rFonts w:ascii="arial" w:eastAsia="arial" w:hAnsi="arial" w:cs="arial"/>
            <w:b w:val="0"/>
            <w:i/>
            <w:strike w:val="0"/>
            <w:noProof w:val="0"/>
            <w:color w:val="0077CC"/>
            <w:position w:val="0"/>
            <w:sz w:val="20"/>
            <w:u w:val="single"/>
            <w:vertAlign w:val="baseline"/>
          </w:rPr>
          <w:t xml:space="preserve">Loc. Civ. R. 7.1(i), </w:t>
        </w:r>
      </w:hyperlink>
      <w:hyperlink r:id="rId13" w:history="1">
        <w:r>
          <w:rPr>
            <w:rFonts w:ascii="arial" w:eastAsia="arial" w:hAnsi="arial" w:cs="arial"/>
            <w:b w:val="0"/>
            <w:i/>
            <w:strike w:val="0"/>
            <w:noProof w:val="0"/>
            <w:color w:val="0077CC"/>
            <w:position w:val="0"/>
            <w:sz w:val="20"/>
            <w:u w:val="single"/>
            <w:vertAlign w:val="baseline"/>
          </w:rPr>
          <w:t>Fed. R. Civ. P. 59(e)</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Fed. R. Civ. P. 60(b)(2)</w:t>
        </w:r>
      </w:hyperlink>
      <w:r>
        <w:rPr>
          <w:rFonts w:ascii="arial" w:eastAsia="arial" w:hAnsi="arial" w:cs="arial"/>
          <w:b w:val="0"/>
          <w:i w:val="0"/>
          <w:strike w:val="0"/>
          <w:noProof w:val="0"/>
          <w:color w:val="000000"/>
          <w:position w:val="0"/>
          <w:sz w:val="20"/>
          <w:u w:val="none"/>
          <w:vertAlign w:val="baseline"/>
        </w:rPr>
        <w:t>, to reconsider, alter, or otherwise amend the Court's prior order and judgment is DENIED.</w:t>
      </w:r>
    </w:p>
    <w:p>
      <w:pPr>
        <w:keepNext w:val="0"/>
        <w:widowControl w:val="0"/>
        <w:spacing w:before="200" w:after="0" w:line="260" w:lineRule="atLeast"/>
        <w:ind w:left="0" w:right="0" w:firstLine="0"/>
        <w:jc w:val="both"/>
      </w:pPr>
      <w:bookmarkStart w:id="239" w:name="Bookmark_para_67"/>
      <w:bookmarkEnd w:id="239"/>
      <w:r>
        <w:rPr>
          <w:rFonts w:ascii="arial" w:eastAsia="arial" w:hAnsi="arial" w:cs="arial"/>
          <w:b w:val="0"/>
          <w:i w:val="0"/>
          <w:strike w:val="0"/>
          <w:noProof w:val="0"/>
          <w:color w:val="000000"/>
          <w:position w:val="0"/>
          <w:sz w:val="20"/>
          <w:u w:val="none"/>
          <w:vertAlign w:val="baseline"/>
        </w:rPr>
        <w:t>The Court's decision is final as to all claims and parties. The Clerk shall close the file.</w:t>
      </w:r>
    </w:p>
    <w:p>
      <w:pPr>
        <w:keepNext w:val="0"/>
        <w:widowControl w:val="0"/>
        <w:spacing w:before="200" w:after="0" w:line="260" w:lineRule="atLeast"/>
        <w:ind w:left="0" w:right="0" w:firstLine="0"/>
        <w:jc w:val="both"/>
      </w:pPr>
      <w:bookmarkStart w:id="240" w:name="Bookmark_para_68"/>
      <w:bookmarkEnd w:id="240"/>
      <w:r>
        <w:rPr>
          <w:rFonts w:ascii="arial" w:eastAsia="arial" w:hAnsi="arial" w:cs="arial"/>
          <w:b w:val="0"/>
          <w:i w:val="0"/>
          <w:strike w:val="0"/>
          <w:noProof w:val="0"/>
          <w:color w:val="000000"/>
          <w:position w:val="0"/>
          <w:sz w:val="20"/>
          <w:u w:val="none"/>
          <w:vertAlign w:val="baseline"/>
        </w:rPr>
        <w:t>/s/ Kevin McNulty</w:t>
      </w:r>
    </w:p>
    <w:p>
      <w:pPr>
        <w:keepNext w:val="0"/>
        <w:widowControl w:val="0"/>
        <w:spacing w:before="200" w:after="0" w:line="260" w:lineRule="atLeast"/>
        <w:ind w:left="0" w:right="0" w:firstLine="0"/>
        <w:jc w:val="both"/>
      </w:pPr>
      <w:bookmarkStart w:id="241" w:name="Bookmark_para_69"/>
      <w:bookmarkEnd w:id="241"/>
      <w:r>
        <w:rPr>
          <w:rFonts w:ascii="arial" w:eastAsia="arial" w:hAnsi="arial" w:cs="arial"/>
          <w:b/>
          <w:i w:val="0"/>
          <w:strike w:val="0"/>
          <w:noProof w:val="0"/>
          <w:color w:val="000000"/>
          <w:position w:val="0"/>
          <w:sz w:val="20"/>
          <w:u w:val="none"/>
          <w:vertAlign w:val="baseline"/>
        </w:rPr>
        <w:t>HON. KEVIN MCNULTY, U.S.D.J.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3" w:name="Bookmark_fnpara_1"/>
      <w:bookmarkEnd w:id="113"/>
      <w:r>
        <w:rPr>
          <w:rFonts w:ascii="arial" w:eastAsia="arial" w:hAnsi="arial" w:cs="arial"/>
          <w:b w:val="0"/>
          <w:i w:val="0"/>
          <w:strike w:val="0"/>
          <w:noProof w:val="0"/>
          <w:color w:val="000000"/>
          <w:position w:val="0"/>
          <w:sz w:val="18"/>
          <w:u w:val="none"/>
          <w:vertAlign w:val="baseline"/>
        </w:rPr>
        <w:t xml:space="preserve">The third ground, an intervening change in the law, is not pressed here. There is of course one such intervening change in the law: the Supreme Court's decision on standing in </w:t>
      </w:r>
      <w:r>
        <w:rPr>
          <w:rFonts w:ascii="arial" w:eastAsia="arial" w:hAnsi="arial" w:cs="arial"/>
          <w:b w:val="0"/>
          <w:i/>
          <w:strike w:val="0"/>
          <w:noProof w:val="0"/>
          <w:color w:val="000000"/>
          <w:position w:val="0"/>
          <w:sz w:val="18"/>
          <w:u w:val="none"/>
          <w:vertAlign w:val="baseline"/>
        </w:rPr>
        <w:t>Spokeo</w:t>
      </w:r>
      <w:r>
        <w:rPr>
          <w:rFonts w:ascii="arial" w:eastAsia="arial" w:hAnsi="arial" w:cs="arial"/>
          <w:b w:val="0"/>
          <w:i w:val="0"/>
          <w:strike w:val="0"/>
          <w:noProof w:val="0"/>
          <w:color w:val="000000"/>
          <w:position w:val="0"/>
          <w:sz w:val="18"/>
          <w:u w:val="none"/>
          <w:vertAlign w:val="baseline"/>
        </w:rPr>
        <w:t xml:space="preserve">, which was filed after my original summary judgment decision. </w:t>
      </w:r>
      <w:r>
        <w:rPr>
          <w:rFonts w:ascii="arial" w:eastAsia="arial" w:hAnsi="arial" w:cs="arial"/>
          <w:b w:val="0"/>
          <w:i/>
          <w:strike w:val="0"/>
          <w:noProof w:val="0"/>
          <w:color w:val="000000"/>
          <w:position w:val="0"/>
          <w:sz w:val="18"/>
          <w:u w:val="none"/>
          <w:vertAlign w:val="baseline"/>
        </w:rPr>
        <w:t>Spokeo</w:t>
      </w:r>
      <w:r>
        <w:rPr>
          <w:rFonts w:ascii="arial" w:eastAsia="arial" w:hAnsi="arial" w:cs="arial"/>
          <w:b w:val="0"/>
          <w:i w:val="0"/>
          <w:strike w:val="0"/>
          <w:noProof w:val="0"/>
          <w:color w:val="000000"/>
          <w:position w:val="0"/>
          <w:sz w:val="18"/>
          <w:u w:val="none"/>
          <w:vertAlign w:val="baseline"/>
        </w:rPr>
        <w:t>, however, has been dealt with separately, in my most recent Opinion on remand (ECF no. 97).</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9" w:name="Bookmark_fnpara_2"/>
      <w:bookmarkEnd w:id="129"/>
      <w:r>
        <w:rPr>
          <w:rFonts w:ascii="arial" w:eastAsia="arial" w:hAnsi="arial" w:cs="arial"/>
          <w:b w:val="0"/>
          <w:i w:val="0"/>
          <w:strike w:val="0"/>
          <w:noProof w:val="0"/>
          <w:color w:val="000000"/>
          <w:position w:val="0"/>
          <w:sz w:val="18"/>
          <w:u w:val="none"/>
          <w:vertAlign w:val="baseline"/>
        </w:rPr>
        <w:t>The awkward recasting of the argument as the court's "reversal of the burden of proof' may be Pressler's attempt to imply that it could not have been raised until after the Court rendered its original summary judgment opinion. Nevertheless, if the failure of proof was truly so glaring, it should have been noted by Pressler and argued to the Court. I note that Pressler made no motion for reconsideration of the original order on this or any other ground.</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3" w:name="Bookmark_fnpara_3"/>
      <w:bookmarkEnd w:id="143"/>
      <w:bookmarkStart w:id="144" w:name="Bookmark_I5PYJSRF2SF8RH0050000400"/>
      <w:bookmarkEnd w:id="144"/>
      <w:bookmarkStart w:id="145" w:name="Bookmark_I5PYJSRF2HM6YH0040000400"/>
      <w:bookmarkEnd w:id="145"/>
      <w:r>
        <w:rPr>
          <w:rFonts w:ascii="arial" w:eastAsia="arial" w:hAnsi="arial" w:cs="arial"/>
          <w:b w:val="0"/>
          <w:i w:val="0"/>
          <w:strike w:val="0"/>
          <w:noProof w:val="0"/>
          <w:color w:val="000000"/>
          <w:position w:val="0"/>
          <w:sz w:val="18"/>
          <w:u w:val="none"/>
          <w:vertAlign w:val="baseline"/>
        </w:rPr>
        <w:t xml:space="preserve">Indeed, even in a malpractice case, expert testimony may be forgone where the deviation from a reasonable standard of care is within a "layperson's common knowledge," or an issue is "so basic that it may be determined by the court as a matter of law." </w:t>
      </w:r>
      <w:r>
        <w:rPr>
          <w:rFonts w:ascii="arial" w:eastAsia="arial" w:hAnsi="arial" w:cs="arial"/>
          <w:b w:val="0"/>
          <w:i/>
          <w:strike w:val="0"/>
          <w:noProof w:val="0"/>
          <w:color w:val="000000"/>
          <w:position w:val="0"/>
          <w:sz w:val="18"/>
          <w:u w:val="none"/>
          <w:vertAlign w:val="baseline"/>
        </w:rPr>
        <w:t xml:space="preserve">E.g., </w:t>
      </w:r>
      <w:bookmarkStart w:id="146" w:name="Bookmark_I5PYJSRF2SF8RH0040000400"/>
      <w:bookmarkEnd w:id="146"/>
      <w:hyperlink r:id="rId1" w:history="1">
        <w:r>
          <w:rPr>
            <w:rFonts w:ascii="arial" w:eastAsia="arial" w:hAnsi="arial" w:cs="arial"/>
            <w:b w:val="0"/>
            <w:i/>
            <w:strike w:val="0"/>
            <w:noProof w:val="0"/>
            <w:color w:val="0077CC"/>
            <w:position w:val="0"/>
            <w:sz w:val="18"/>
            <w:u w:val="single"/>
            <w:vertAlign w:val="baseline"/>
          </w:rPr>
          <w:t>Sommers v. McKinney</w:t>
        </w:r>
      </w:hyperlink>
      <w:hyperlink r:id="rId1" w:history="1">
        <w:r>
          <w:rPr>
            <w:rFonts w:ascii="arial" w:eastAsia="arial" w:hAnsi="arial" w:cs="arial"/>
            <w:b w:val="0"/>
            <w:i/>
            <w:strike w:val="0"/>
            <w:noProof w:val="0"/>
            <w:color w:val="0077CC"/>
            <w:position w:val="0"/>
            <w:sz w:val="18"/>
            <w:u w:val="single"/>
            <w:vertAlign w:val="baseline"/>
          </w:rPr>
          <w:t>, 287 N.J. Super. 1, 11, 670 A.2d 99, 104 (App. Div. 1996)</w:t>
        </w:r>
      </w:hyperlink>
      <w:r>
        <w:rPr>
          <w:rFonts w:ascii="arial" w:eastAsia="arial" w:hAnsi="arial" w:cs="arial"/>
          <w:b w:val="0"/>
          <w:i w:val="0"/>
          <w:strike w:val="0"/>
          <w:noProof w:val="0"/>
          <w:color w:val="000000"/>
          <w:position w:val="0"/>
          <w:sz w:val="18"/>
          <w:u w:val="none"/>
          <w:vertAlign w:val="baseline"/>
        </w:rPr>
        <w:t xml:space="preserve"> (no expert opinion required where attorney inadequately prepared, failed to submit legal argument, and misrepresented state of case to client); </w:t>
      </w:r>
      <w:bookmarkStart w:id="147" w:name="Bookmark_I5PYJSRF2HM6YH0010000400"/>
      <w:bookmarkEnd w:id="147"/>
      <w:hyperlink r:id="rId2" w:history="1">
        <w:r>
          <w:rPr>
            <w:rFonts w:ascii="arial" w:eastAsia="arial" w:hAnsi="arial" w:cs="arial"/>
            <w:b w:val="0"/>
            <w:i/>
            <w:strike w:val="0"/>
            <w:noProof w:val="0"/>
            <w:color w:val="0077CC"/>
            <w:position w:val="0"/>
            <w:sz w:val="18"/>
            <w:u w:val="single"/>
            <w:vertAlign w:val="baseline"/>
          </w:rPr>
          <w:t>Stewart v. Sbarro</w:t>
        </w:r>
      </w:hyperlink>
      <w:hyperlink r:id="rId2" w:history="1">
        <w:r>
          <w:rPr>
            <w:rFonts w:ascii="arial" w:eastAsia="arial" w:hAnsi="arial" w:cs="arial"/>
            <w:b w:val="0"/>
            <w:i/>
            <w:strike w:val="0"/>
            <w:noProof w:val="0"/>
            <w:color w:val="0077CC"/>
            <w:position w:val="0"/>
            <w:sz w:val="18"/>
            <w:u w:val="single"/>
            <w:vertAlign w:val="baseline"/>
          </w:rPr>
          <w:t>, 142 N.J.Super. 581, 591, 362 A.2d 581 (App.Div.)</w:t>
        </w:r>
      </w:hyperlink>
      <w:r>
        <w:rPr>
          <w:rFonts w:ascii="arial" w:eastAsia="arial" w:hAnsi="arial" w:cs="arial"/>
          <w:b w:val="0"/>
          <w:i w:val="0"/>
          <w:strike w:val="0"/>
          <w:noProof w:val="0"/>
          <w:color w:val="000000"/>
          <w:position w:val="0"/>
          <w:sz w:val="18"/>
          <w:u w:val="none"/>
          <w:vertAlign w:val="baseline"/>
        </w:rPr>
        <w:t xml:space="preserve"> (failure to execute and record bond and mortgage), </w:t>
      </w:r>
      <w:r>
        <w:rPr>
          <w:rFonts w:ascii="arial" w:eastAsia="arial" w:hAnsi="arial" w:cs="arial"/>
          <w:b w:val="0"/>
          <w:i/>
          <w:strike w:val="0"/>
          <w:noProof w:val="0"/>
          <w:color w:val="000000"/>
          <w:position w:val="0"/>
          <w:sz w:val="18"/>
          <w:u w:val="none"/>
          <w:vertAlign w:val="baseline"/>
        </w:rPr>
        <w:t>certif. 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72 N.J. 459, 371 A.2d 63 (1976)</w:t>
      </w:r>
      <w:r>
        <w:rPr>
          <w:rFonts w:ascii="arial" w:eastAsia="arial" w:hAnsi="arial" w:cs="arial"/>
          <w:b w:val="0"/>
          <w:i w:val="0"/>
          <w:strike w:val="0"/>
          <w:noProof w:val="0"/>
          <w:color w:val="000000"/>
          <w:position w:val="0"/>
          <w:sz w:val="18"/>
          <w:u w:val="none"/>
          <w:vertAlign w:val="baseline"/>
        </w:rPr>
        <w:t xml:space="preserve">; </w:t>
      </w:r>
      <w:bookmarkStart w:id="148" w:name="Bookmark_I5PYJSRF2HM6YH0030000400"/>
      <w:bookmarkEnd w:id="148"/>
      <w:hyperlink r:id="rId3" w:history="1">
        <w:r>
          <w:rPr>
            <w:rFonts w:ascii="arial" w:eastAsia="arial" w:hAnsi="arial" w:cs="arial"/>
            <w:b w:val="0"/>
            <w:i/>
            <w:strike w:val="0"/>
            <w:noProof w:val="0"/>
            <w:color w:val="0077CC"/>
            <w:position w:val="0"/>
            <w:sz w:val="18"/>
            <w:u w:val="single"/>
            <w:vertAlign w:val="baseline"/>
          </w:rPr>
          <w:t>Fuschetti v. Bierman</w:t>
        </w:r>
      </w:hyperlink>
      <w:hyperlink r:id="rId3" w:history="1">
        <w:r>
          <w:rPr>
            <w:rFonts w:ascii="arial" w:eastAsia="arial" w:hAnsi="arial" w:cs="arial"/>
            <w:b w:val="0"/>
            <w:i/>
            <w:strike w:val="0"/>
            <w:noProof w:val="0"/>
            <w:color w:val="0077CC"/>
            <w:position w:val="0"/>
            <w:sz w:val="18"/>
            <w:u w:val="single"/>
            <w:vertAlign w:val="baseline"/>
          </w:rPr>
          <w:t>, 128 N.J. Super. 290, 295, 319 A.2d 781 (Law Div.1974)</w:t>
        </w:r>
      </w:hyperlink>
      <w:r>
        <w:rPr>
          <w:rFonts w:ascii="arial" w:eastAsia="arial" w:hAnsi="arial" w:cs="arial"/>
          <w:b w:val="0"/>
          <w:i w:val="0"/>
          <w:strike w:val="0"/>
          <w:noProof w:val="0"/>
          <w:color w:val="000000"/>
          <w:position w:val="0"/>
          <w:sz w:val="18"/>
          <w:u w:val="none"/>
          <w:vertAlign w:val="baseline"/>
        </w:rPr>
        <w:t xml:space="preserve"> (blowing statute of limitations); </w:t>
      </w:r>
      <w:r>
        <w:rPr>
          <w:rFonts w:ascii="arial" w:eastAsia="arial" w:hAnsi="arial" w:cs="arial"/>
          <w:b w:val="0"/>
          <w:i/>
          <w:strike w:val="0"/>
          <w:noProof w:val="0"/>
          <w:color w:val="000000"/>
          <w:position w:val="0"/>
          <w:sz w:val="18"/>
          <w:u w:val="none"/>
          <w:vertAlign w:val="baseline"/>
        </w:rPr>
        <w:t xml:space="preserve">cf. </w:t>
      </w:r>
      <w:bookmarkStart w:id="149" w:name="Bookmark_I5PYJSRF2HM6YH0050000400"/>
      <w:bookmarkEnd w:id="149"/>
      <w:hyperlink r:id="rId4" w:history="1">
        <w:r>
          <w:rPr>
            <w:rFonts w:ascii="arial" w:eastAsia="arial" w:hAnsi="arial" w:cs="arial"/>
            <w:b w:val="0"/>
            <w:i/>
            <w:strike w:val="0"/>
            <w:noProof w:val="0"/>
            <w:color w:val="0077CC"/>
            <w:position w:val="0"/>
            <w:sz w:val="18"/>
            <w:u w:val="single"/>
            <w:vertAlign w:val="baseline"/>
          </w:rPr>
          <w:t>Roper v. Blumenfeld</w:t>
        </w:r>
      </w:hyperlink>
      <w:hyperlink r:id="rId4" w:history="1">
        <w:r>
          <w:rPr>
            <w:rFonts w:ascii="arial" w:eastAsia="arial" w:hAnsi="arial" w:cs="arial"/>
            <w:b w:val="0"/>
            <w:i/>
            <w:strike w:val="0"/>
            <w:noProof w:val="0"/>
            <w:color w:val="0077CC"/>
            <w:position w:val="0"/>
            <w:sz w:val="18"/>
            <w:u w:val="single"/>
            <w:vertAlign w:val="baseline"/>
          </w:rPr>
          <w:t>, 309 N.J. Super. 219, 231, 706 A.2d 1151, 1156 (App. Div. 1998)</w:t>
        </w:r>
      </w:hyperlink>
      <w:r>
        <w:rPr>
          <w:rFonts w:ascii="arial" w:eastAsia="arial" w:hAnsi="arial" w:cs="arial"/>
          <w:b w:val="0"/>
          <w:i w:val="0"/>
          <w:strike w:val="0"/>
          <w:noProof w:val="0"/>
          <w:color w:val="000000"/>
          <w:position w:val="0"/>
          <w:sz w:val="18"/>
          <w:u w:val="none"/>
          <w:vertAlign w:val="baseline"/>
        </w:rPr>
        <w:t xml:space="preserve"> (reviewing applicability of </w:t>
      </w:r>
      <w:r>
        <w:rPr>
          <w:rFonts w:ascii="arial" w:eastAsia="arial" w:hAnsi="arial" w:cs="arial"/>
          <w:b w:val="0"/>
          <w:i/>
          <w:strike w:val="0"/>
          <w:noProof w:val="0"/>
          <w:color w:val="000000"/>
          <w:position w:val="0"/>
          <w:sz w:val="18"/>
          <w:u w:val="none"/>
          <w:vertAlign w:val="baseline"/>
        </w:rPr>
        <w:t>res ipsa loquitur</w:t>
      </w:r>
      <w:r>
        <w:rPr>
          <w:rFonts w:ascii="arial" w:eastAsia="arial" w:hAnsi="arial" w:cs="arial"/>
          <w:b w:val="0"/>
          <w:i w:val="0"/>
          <w:strike w:val="0"/>
          <w:noProof w:val="0"/>
          <w:color w:val="000000"/>
          <w:position w:val="0"/>
          <w:sz w:val="18"/>
          <w:u w:val="none"/>
          <w:vertAlign w:val="baseline"/>
        </w:rPr>
        <w:t xml:space="preserve"> in medical malpractice action).</w:t>
      </w:r>
    </w:p>
    <w:p>
      <w:pPr>
        <w:keepNext w:val="0"/>
        <w:widowControl w:val="0"/>
        <w:spacing w:before="120" w:after="0" w:line="240" w:lineRule="atLeast"/>
        <w:ind w:left="0" w:right="0" w:firstLine="0"/>
        <w:jc w:val="both"/>
      </w:pPr>
      <w:bookmarkStart w:id="150" w:name="Bookmark_fnpara_4"/>
      <w:bookmarkEnd w:id="150"/>
      <w:r>
        <w:rPr>
          <w:rFonts w:ascii="arial" w:eastAsia="arial" w:hAnsi="arial" w:cs="arial"/>
          <w:b w:val="0"/>
          <w:i w:val="0"/>
          <w:strike w:val="0"/>
          <w:noProof w:val="0"/>
          <w:color w:val="000000"/>
          <w:position w:val="0"/>
          <w:sz w:val="18"/>
          <w:u w:val="none"/>
          <w:vertAlign w:val="baseline"/>
        </w:rPr>
        <w:t>Consider, for example, a case in which a client sued his attorney for malpractice, claiming that the attorney gave his case only four seconds of attention before filing the complaint. Such facts might well speak for themselves, or meet the "common knowledge" standard for dispensing with expert testimony.</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53" w:name="Bookmark_fnpara_5"/>
      <w:bookmarkEnd w:id="153"/>
      <w:r>
        <w:rPr>
          <w:rFonts w:ascii="arial" w:eastAsia="arial" w:hAnsi="arial" w:cs="arial"/>
          <w:b w:val="0"/>
          <w:i w:val="0"/>
          <w:strike w:val="0"/>
          <w:noProof w:val="0"/>
          <w:color w:val="000000"/>
          <w:position w:val="0"/>
          <w:sz w:val="18"/>
          <w:u w:val="none"/>
          <w:vertAlign w:val="baseline"/>
        </w:rPr>
        <w:t>No implication should be drawn, however, that this Report bears on the basis for the Court of Appeals' remand. The Report has nothing to do with the issue of standing. The record will bear the interpretation that Pressler has opportunistically taken advantage of a jurisdictional remand to salt the record with new substantive issues in anticipation of a second appeal.</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55" w:name="Bookmark_fnpara_6"/>
      <w:bookmarkEnd w:id="155"/>
      <w:r>
        <w:rPr>
          <w:rFonts w:ascii="arial" w:eastAsia="arial" w:hAnsi="arial" w:cs="arial"/>
          <w:b w:val="0"/>
          <w:i w:val="0"/>
          <w:strike w:val="0"/>
          <w:noProof w:val="0"/>
          <w:color w:val="000000"/>
          <w:position w:val="0"/>
          <w:sz w:val="18"/>
          <w:u w:val="none"/>
          <w:vertAlign w:val="baseline"/>
        </w:rPr>
        <w:t>At any rate, the Report, if considered, would be unlikely to alter the Court's view. In so stating, I repeat that these grounds were were not raised or preserved in connection with my prior summary judgment ruling. [fn. cont'd on next page]</w:t>
      </w:r>
    </w:p>
    <w:p>
      <w:pPr>
        <w:keepNext w:val="0"/>
        <w:widowControl w:val="0"/>
        <w:spacing w:before="240" w:after="0" w:line="240" w:lineRule="atLeast"/>
        <w:ind w:left="0" w:right="0" w:firstLine="0"/>
        <w:jc w:val="both"/>
      </w:pPr>
      <w:bookmarkStart w:id="156" w:name="Bookmark_fnpara_7"/>
      <w:bookmarkEnd w:id="156"/>
      <w:r>
        <w:rPr>
          <w:rFonts w:ascii="arial" w:eastAsia="arial" w:hAnsi="arial" w:cs="arial"/>
          <w:b w:val="0"/>
          <w:i w:val="0"/>
          <w:strike w:val="0"/>
          <w:noProof w:val="0"/>
          <w:color w:val="000000"/>
          <w:position w:val="0"/>
          <w:sz w:val="18"/>
          <w:u w:val="none"/>
          <w:vertAlign w:val="baseline"/>
        </w:rPr>
        <w:t xml:space="preserve">First, the issue is not whether Pressler or Gulko violated standards of ethical representation. At issue is the separate question of whether, under the FDCPA, they impliedly misrepresented the level of attorney review in communications to the debtor. That is not a matter of attorney ethics, but a matter of how a debtor would interpret the communication. </w:t>
      </w:r>
      <w:bookmarkStart w:id="157" w:name="Bookmark_I5PYJSRF2SF8RJ0030000400"/>
      <w:bookmarkEnd w:id="157"/>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Op. 10-14.) Court rules require that attorneys reasonably investigate, but such rules are not rooted in any concern that the mere hint of attorney involvement will up the ante or intimidate the court.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Op. 12-13 (citing, </w:t>
      </w:r>
      <w:r>
        <w:rPr>
          <w:rFonts w:ascii="arial" w:eastAsia="arial" w:hAnsi="arial" w:cs="arial"/>
          <w:b w:val="0"/>
          <w:i/>
          <w:strike w:val="0"/>
          <w:noProof w:val="0"/>
          <w:color w:val="000000"/>
          <w:position w:val="0"/>
          <w:sz w:val="18"/>
          <w:u w:val="none"/>
          <w:vertAlign w:val="baseline"/>
        </w:rPr>
        <w:t xml:space="preserve">e.g., </w:t>
      </w:r>
      <w:bookmarkStart w:id="158" w:name="Bookmark_I5PYJSRF2SF8RJ0020000400"/>
      <w:bookmarkEnd w:id="158"/>
      <w:hyperlink r:id="rId5" w:history="1">
        <w:r>
          <w:rPr>
            <w:rFonts w:ascii="arial" w:eastAsia="arial" w:hAnsi="arial" w:cs="arial"/>
            <w:b w:val="0"/>
            <w:i/>
            <w:strike w:val="0"/>
            <w:noProof w:val="0"/>
            <w:color w:val="0077CC"/>
            <w:position w:val="0"/>
            <w:sz w:val="18"/>
            <w:u w:val="single"/>
            <w:vertAlign w:val="baseline"/>
          </w:rPr>
          <w:t>Avila v. Rubin</w:t>
        </w:r>
      </w:hyperlink>
      <w:hyperlink r:id="rId5" w:history="1">
        <w:r>
          <w:rPr>
            <w:rFonts w:ascii="arial" w:eastAsia="arial" w:hAnsi="arial" w:cs="arial"/>
            <w:b w:val="0"/>
            <w:i/>
            <w:strike w:val="0"/>
            <w:noProof w:val="0"/>
            <w:color w:val="0077CC"/>
            <w:position w:val="0"/>
            <w:sz w:val="18"/>
            <w:u w:val="single"/>
            <w:vertAlign w:val="baseline"/>
          </w:rPr>
          <w:t>, 84 F.3d 222 (7th Cir. 1996)</w:t>
        </w:r>
      </w:hyperlink>
      <w:r>
        <w:rPr>
          <w:rFonts w:ascii="arial" w:eastAsia="arial" w:hAnsi="arial" w:cs="arial"/>
          <w:b w:val="0"/>
          <w:i w:val="0"/>
          <w:strike w:val="0"/>
          <w:noProof w:val="0"/>
          <w:color w:val="000000"/>
          <w:position w:val="0"/>
          <w:sz w:val="18"/>
          <w:u w:val="none"/>
          <w:vertAlign w:val="baseline"/>
        </w:rPr>
        <w:t xml:space="preserve"> (Finding FDCPA violation, in part because "Lain unsophisticated consumer, getting a letter from an 'attorney,' knows the price of poker has just gone up.. . . [T]he attorney. . . is better positioned to get the debtor's knees knocking.")) Thus I am wary of any simplistic equation between ethical rules and the dictates of the FDCPA.</w:t>
      </w:r>
    </w:p>
    <w:p>
      <w:pPr>
        <w:keepNext w:val="0"/>
        <w:widowControl w:val="0"/>
        <w:spacing w:before="240" w:after="0" w:line="240" w:lineRule="atLeast"/>
        <w:ind w:left="0" w:right="0" w:firstLine="0"/>
        <w:jc w:val="both"/>
      </w:pPr>
      <w:bookmarkStart w:id="159" w:name="Bookmark_fnpara_8"/>
      <w:bookmarkEnd w:id="159"/>
      <w:r>
        <w:rPr>
          <w:rFonts w:ascii="arial" w:eastAsia="arial" w:hAnsi="arial" w:cs="arial"/>
          <w:b w:val="0"/>
          <w:i w:val="0"/>
          <w:strike w:val="0"/>
          <w:noProof w:val="0"/>
          <w:color w:val="000000"/>
          <w:position w:val="0"/>
          <w:sz w:val="18"/>
          <w:u w:val="none"/>
          <w:vertAlign w:val="baseline"/>
        </w:rPr>
        <w:t>Second, and relatedly, although my Opinion cited rules of court (</w:t>
      </w:r>
      <w:hyperlink r:id="rId6" w:history="1">
        <w:r>
          <w:rPr>
            <w:rFonts w:ascii="arial" w:eastAsia="arial" w:hAnsi="arial" w:cs="arial"/>
            <w:b w:val="0"/>
            <w:i/>
            <w:strike w:val="0"/>
            <w:noProof w:val="0"/>
            <w:color w:val="0077CC"/>
            <w:position w:val="0"/>
            <w:sz w:val="18"/>
            <w:u w:val="single"/>
            <w:vertAlign w:val="baseline"/>
          </w:rPr>
          <w:t>Fed. R. Civ. P. 11(b)</w:t>
        </w:r>
      </w:hyperlink>
      <w:r>
        <w:rPr>
          <w:rFonts w:ascii="arial" w:eastAsia="arial" w:hAnsi="arial" w:cs="arial"/>
          <w:b w:val="0"/>
          <w:i w:val="0"/>
          <w:strike w:val="0"/>
          <w:noProof w:val="0"/>
          <w:color w:val="000000"/>
          <w:position w:val="0"/>
          <w:sz w:val="18"/>
          <w:u w:val="none"/>
          <w:vertAlign w:val="baseline"/>
        </w:rPr>
        <w:t xml:space="preserve"> and </w:t>
      </w:r>
      <w:hyperlink r:id="rId7" w:history="1">
        <w:r>
          <w:rPr>
            <w:rFonts w:ascii="arial" w:eastAsia="arial" w:hAnsi="arial" w:cs="arial"/>
            <w:b w:val="0"/>
            <w:i/>
            <w:strike w:val="0"/>
            <w:noProof w:val="0"/>
            <w:color w:val="0077CC"/>
            <w:position w:val="0"/>
            <w:sz w:val="18"/>
            <w:u w:val="single"/>
            <w:vertAlign w:val="baseline"/>
          </w:rPr>
          <w:t>N.J. R. Ct. 1:4-8(a)</w:t>
        </w:r>
      </w:hyperlink>
      <w:r>
        <w:rPr>
          <w:rFonts w:ascii="arial" w:eastAsia="arial" w:hAnsi="arial" w:cs="arial"/>
          <w:b w:val="0"/>
          <w:i w:val="0"/>
          <w:strike w:val="0"/>
          <w:noProof w:val="0"/>
          <w:color w:val="000000"/>
          <w:position w:val="0"/>
          <w:sz w:val="18"/>
          <w:u w:val="none"/>
          <w:vertAlign w:val="baseline"/>
        </w:rPr>
        <w:t>), I was careful to cite them as a guide, and to hold that the FDCPA does not "incorporate rules of court by reference or create a private cause of action for their violation." (Op. 19) I did not simply incorporate the court rules, but articulated a standard:</w:t>
      </w:r>
    </w:p>
    <w:p>
      <w:pPr>
        <w:keepNext w:val="0"/>
        <w:widowControl w:val="0"/>
        <w:spacing w:before="240" w:after="0" w:line="240" w:lineRule="atLeast"/>
        <w:ind w:left="400" w:right="0" w:firstLine="0"/>
        <w:jc w:val="both"/>
      </w:pPr>
      <w:bookmarkStart w:id="160" w:name="Bookmark_para_46"/>
      <w:bookmarkEnd w:id="160"/>
      <w:r>
        <w:rPr>
          <w:rFonts w:ascii="arial" w:eastAsia="arial" w:hAnsi="arial" w:cs="arial"/>
          <w:b w:val="0"/>
          <w:i w:val="0"/>
          <w:strike w:val="0"/>
          <w:noProof w:val="0"/>
          <w:color w:val="000000"/>
          <w:position w:val="0"/>
          <w:sz w:val="18"/>
          <w:u w:val="none"/>
          <w:vertAlign w:val="baseline"/>
        </w:rPr>
        <w:t xml:space="preserve">"Accordingly, I hold that a signed complaint is inherently false and misleading, in violation of </w:t>
      </w:r>
      <w:hyperlink r:id="rId8" w:history="1">
        <w:r>
          <w:rPr>
            <w:rFonts w:ascii="arial" w:eastAsia="arial" w:hAnsi="arial" w:cs="arial"/>
            <w:b w:val="0"/>
            <w:i/>
            <w:strike w:val="0"/>
            <w:noProof w:val="0"/>
            <w:color w:val="0077CC"/>
            <w:position w:val="0"/>
            <w:sz w:val="18"/>
            <w:u w:val="single"/>
            <w:vertAlign w:val="baseline"/>
          </w:rPr>
          <w:t>15 U.S.C. 1692e</w:t>
        </w:r>
      </w:hyperlink>
      <w:r>
        <w:rPr>
          <w:rFonts w:ascii="arial" w:eastAsia="arial" w:hAnsi="arial" w:cs="arial"/>
          <w:b w:val="0"/>
          <w:i w:val="0"/>
          <w:strike w:val="0"/>
          <w:noProof w:val="0"/>
          <w:color w:val="000000"/>
          <w:position w:val="0"/>
          <w:sz w:val="18"/>
          <w:u w:val="none"/>
          <w:vertAlign w:val="baseline"/>
        </w:rPr>
        <w:t>, where, at the time of signing, the attorney signing it has not</w:t>
      </w:r>
    </w:p>
    <w:p>
      <w:pPr>
        <w:keepNext w:val="0"/>
        <w:widowControl w:val="0"/>
        <w:spacing w:before="120" w:after="0" w:line="240" w:lineRule="atLeast"/>
        <w:ind w:left="800" w:right="0" w:firstLine="0"/>
        <w:jc w:val="both"/>
      </w:pPr>
      <w:bookmarkStart w:id="161" w:name="Bookmark_para_47"/>
      <w:bookmarkEnd w:id="161"/>
      <w:r>
        <w:rPr>
          <w:rFonts w:ascii="arial" w:eastAsia="arial" w:hAnsi="arial" w:cs="arial"/>
          <w:b w:val="0"/>
          <w:i w:val="0"/>
          <w:strike w:val="0"/>
          <w:noProof w:val="0"/>
          <w:color w:val="000000"/>
          <w:position w:val="0"/>
          <w:sz w:val="18"/>
          <w:u w:val="none"/>
          <w:vertAlign w:val="baseline"/>
        </w:rPr>
        <w:t>1) drafted, or carefully reviewed, the complaint; and</w:t>
      </w:r>
    </w:p>
    <w:p>
      <w:pPr>
        <w:keepNext w:val="0"/>
        <w:widowControl w:val="0"/>
        <w:spacing w:before="120" w:after="0" w:line="240" w:lineRule="atLeast"/>
        <w:ind w:left="800" w:right="0" w:firstLine="0"/>
        <w:jc w:val="both"/>
      </w:pPr>
      <w:bookmarkStart w:id="162" w:name="Bookmark_para_48"/>
      <w:bookmarkEnd w:id="162"/>
      <w:r>
        <w:rPr>
          <w:rFonts w:ascii="arial" w:eastAsia="arial" w:hAnsi="arial" w:cs="arial"/>
          <w:b w:val="0"/>
          <w:i w:val="0"/>
          <w:strike w:val="0"/>
          <w:noProof w:val="0"/>
          <w:color w:val="000000"/>
          <w:position w:val="0"/>
          <w:sz w:val="18"/>
          <w:u w:val="none"/>
          <w:vertAlign w:val="baseline"/>
        </w:rPr>
        <w:t>2) conducted an inquiry, reasonable under the circumstances, sufficient to form a good faith belief that the claims and legal contentions in the complaint are supported by fact and warranted by law."</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(Op. 23) That standard, I felt, comported with what a debtor had a right to infer from the attorney's filing of a criminal complaint. The standard was somewhat less detailed and prescriptive than the one developed by Judge Mauskopf, because I felt that the standard should be elaborated "case-by-case." (Op. 23)</w:t>
      </w:r>
    </w:p>
    <w:p>
      <w:pPr>
        <w:keepNext w:val="0"/>
        <w:widowControl w:val="0"/>
        <w:spacing w:before="200" w:after="0" w:line="240" w:lineRule="atLeast"/>
        <w:ind w:left="0" w:right="0" w:firstLine="0"/>
        <w:jc w:val="both"/>
      </w:pPr>
      <w:bookmarkStart w:id="163" w:name="Bookmark_fnpara_9"/>
      <w:bookmarkEnd w:id="163"/>
      <w:r>
        <w:rPr>
          <w:rFonts w:ascii="arial" w:eastAsia="arial" w:hAnsi="arial" w:cs="arial"/>
          <w:b w:val="0"/>
          <w:i w:val="0"/>
          <w:strike w:val="0"/>
          <w:noProof w:val="0"/>
          <w:color w:val="000000"/>
          <w:position w:val="0"/>
          <w:sz w:val="18"/>
          <w:u w:val="none"/>
          <w:vertAlign w:val="baseline"/>
        </w:rPr>
        <w:t>Third, the materials before the Court permitted me to rule on summary judgment as a matter of law. The sources cited by Prof. Ambrosio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ABA ethical standards, the New Jersey RPC, and reported cases) are ordinary sources of law that a court is competent to assess and apply to a largely agreed-upon set of facts. If issues of fact had required that the case go to a jury of laypersons, expert testimony might have been offered, but the case did not get to that stage.</w:t>
      </w:r>
    </w:p>
    <w:p>
      <w:pPr>
        <w:keepNext w:val="0"/>
        <w:widowControl w:val="0"/>
        <w:spacing w:before="200" w:after="0" w:line="240" w:lineRule="atLeast"/>
        <w:ind w:left="0" w:right="0" w:firstLine="0"/>
        <w:jc w:val="both"/>
      </w:pPr>
      <w:bookmarkStart w:id="164" w:name="Bookmark_fnpara_10"/>
      <w:bookmarkEnd w:id="164"/>
      <w:r>
        <w:rPr>
          <w:rFonts w:ascii="arial" w:eastAsia="arial" w:hAnsi="arial" w:cs="arial"/>
          <w:b w:val="0"/>
          <w:i w:val="0"/>
          <w:strike w:val="0"/>
          <w:noProof w:val="0"/>
          <w:color w:val="000000"/>
          <w:position w:val="0"/>
          <w:sz w:val="18"/>
          <w:u w:val="none"/>
          <w:vertAlign w:val="baseline"/>
        </w:rPr>
        <w:t xml:space="preserve">Finally, it is not accurate to state, as Pressler does, that "'[m]eaningful attorney involvement' is a doctrine applied solely to attorney debt collectors[, which] is a reflection of rules of professional conduct that limit the delegation of tasks without attorney oversight and supervision." (Pressler Brf. 4, citing Ambrosio Report) To repeat, "meaningful attorney involvement" is the </w:t>
      </w:r>
      <w:r>
        <w:rPr>
          <w:rFonts w:ascii="arial" w:eastAsia="arial" w:hAnsi="arial" w:cs="arial"/>
          <w:b w:val="0"/>
          <w:i/>
          <w:strike w:val="0"/>
          <w:noProof w:val="0"/>
          <w:color w:val="000000"/>
          <w:position w:val="0"/>
          <w:sz w:val="18"/>
          <w:u w:val="none"/>
          <w:vertAlign w:val="baseline"/>
        </w:rPr>
        <w:t>subject matter</w:t>
      </w:r>
      <w:r>
        <w:rPr>
          <w:rFonts w:ascii="arial" w:eastAsia="arial" w:hAnsi="arial" w:cs="arial"/>
          <w:b w:val="0"/>
          <w:i w:val="0"/>
          <w:strike w:val="0"/>
          <w:noProof w:val="0"/>
          <w:color w:val="000000"/>
          <w:position w:val="0"/>
          <w:sz w:val="18"/>
          <w:u w:val="none"/>
          <w:vertAlign w:val="baseline"/>
        </w:rPr>
        <w:t xml:space="preserve"> of the misrepresentation; the entity </w:t>
      </w:r>
      <w:r>
        <w:rPr>
          <w:rFonts w:ascii="arial" w:eastAsia="arial" w:hAnsi="arial" w:cs="arial"/>
          <w:b w:val="0"/>
          <w:i/>
          <w:strike w:val="0"/>
          <w:noProof w:val="0"/>
          <w:color w:val="000000"/>
          <w:position w:val="0"/>
          <w:sz w:val="18"/>
          <w:u w:val="none"/>
          <w:vertAlign w:val="baseline"/>
        </w:rPr>
        <w:t>making</w:t>
      </w:r>
      <w:r>
        <w:rPr>
          <w:rFonts w:ascii="arial" w:eastAsia="arial" w:hAnsi="arial" w:cs="arial"/>
          <w:b w:val="0"/>
          <w:i w:val="0"/>
          <w:strike w:val="0"/>
          <w:noProof w:val="0"/>
          <w:color w:val="000000"/>
          <w:position w:val="0"/>
          <w:sz w:val="18"/>
          <w:u w:val="none"/>
          <w:vertAlign w:val="baseline"/>
        </w:rPr>
        <w:t xml:space="preserve"> the misrepresentation is liable by virtue of being a debt collector, not a lawyer. More to the point, the permissible scope of delegation is not the gist of the misrepresentation; the FDCPA penalizes </w:t>
      </w:r>
      <w:r>
        <w:rPr>
          <w:rFonts w:ascii="arial" w:eastAsia="arial" w:hAnsi="arial" w:cs="arial"/>
          <w:b w:val="0"/>
          <w:i/>
          <w:strike w:val="0"/>
          <w:noProof w:val="0"/>
          <w:color w:val="000000"/>
          <w:position w:val="0"/>
          <w:sz w:val="18"/>
          <w:u w:val="none"/>
          <w:vertAlign w:val="baseline"/>
        </w:rPr>
        <w:t>misrepresentations</w:t>
      </w:r>
      <w:r>
        <w:rPr>
          <w:rFonts w:ascii="arial" w:eastAsia="arial" w:hAnsi="arial" w:cs="arial"/>
          <w:b w:val="0"/>
          <w:i w:val="0"/>
          <w:strike w:val="0"/>
          <w:noProof w:val="0"/>
          <w:color w:val="000000"/>
          <w:position w:val="0"/>
          <w:sz w:val="18"/>
          <w:u w:val="none"/>
          <w:vertAlign w:val="baseline"/>
        </w:rPr>
        <w:t xml:space="preserve"> as to whether the attorney has personally been involved.</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05" w:name="Bookmark_fnpara_11"/>
      <w:bookmarkEnd w:id="205"/>
      <w:r>
        <w:rPr>
          <w:rFonts w:ascii="arial" w:eastAsia="arial" w:hAnsi="arial" w:cs="arial"/>
          <w:b w:val="0"/>
          <w:i/>
          <w:strike w:val="0"/>
          <w:noProof w:val="0"/>
          <w:color w:val="000000"/>
          <w:position w:val="0"/>
          <w:sz w:val="18"/>
          <w:u w:val="none"/>
          <w:vertAlign w:val="baseline"/>
        </w:rPr>
        <w:t>See also Consumer Financial Protection Bureau v. Frederick J. Harma &amp; Associates, P.C.</w:t>
      </w:r>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400" w:right="0" w:firstLine="0"/>
        <w:jc w:val="both"/>
      </w:pPr>
      <w:bookmarkStart w:id="206" w:name="Bookmark_para_56"/>
      <w:bookmarkEnd w:id="206"/>
      <w:bookmarkStart w:id="207" w:name="Bookmark_I5PYJSRF28T46M0020000400"/>
      <w:bookmarkEnd w:id="207"/>
      <w:bookmarkStart w:id="208" w:name="Bookmark_I5PYJSRF2N1PPW0010000400"/>
      <w:bookmarkEnd w:id="208"/>
      <w:r>
        <w:rPr>
          <w:rFonts w:ascii="arial" w:eastAsia="arial" w:hAnsi="arial" w:cs="arial"/>
          <w:b w:val="0"/>
          <w:i w:val="0"/>
          <w:strike w:val="0"/>
          <w:noProof w:val="0"/>
          <w:color w:val="000000"/>
          <w:position w:val="0"/>
          <w:sz w:val="18"/>
          <w:u w:val="none"/>
          <w:vertAlign w:val="baseline"/>
        </w:rPr>
        <w:t xml:space="preserve">Nonetheless, several courts have considered and rejected the argument that the Noerr-Pennington doctrine extends even further to FDCPA claims brought against debt-collectors based on litigation activity. </w:t>
      </w:r>
      <w:bookmarkStart w:id="209" w:name="Bookmark_I5PYJSRF2N1PPW0050000400"/>
      <w:bookmarkEnd w:id="209"/>
      <w:r>
        <w:rPr>
          <w:rFonts w:ascii="arial" w:eastAsia="arial" w:hAnsi="arial" w:cs="arial"/>
          <w:b w:val="0"/>
          <w:i w:val="0"/>
          <w:strike w:val="0"/>
          <w:noProof w:val="0"/>
          <w:color w:val="000000"/>
          <w:position w:val="0"/>
          <w:sz w:val="18"/>
          <w:u w:val="none"/>
          <w:vertAlign w:val="baseline"/>
        </w:rPr>
        <w:t xml:space="preserve">See </w:t>
      </w:r>
      <w:bookmarkStart w:id="210" w:name="Bookmark_I5PYJSRF28T46M0010000400"/>
      <w:bookmarkEnd w:id="210"/>
      <w:hyperlink r:id="rId9" w:history="1">
        <w:r>
          <w:rPr>
            <w:rFonts w:ascii="arial" w:eastAsia="arial" w:hAnsi="arial" w:cs="arial"/>
            <w:b w:val="0"/>
            <w:i/>
            <w:strike w:val="0"/>
            <w:noProof w:val="0"/>
            <w:color w:val="0077CC"/>
            <w:position w:val="0"/>
            <w:sz w:val="18"/>
            <w:u w:val="single"/>
            <w:vertAlign w:val="baseline"/>
          </w:rPr>
          <w:t>Wise v. Zwicker &amp; Assocs., P.C.</w:t>
        </w:r>
      </w:hyperlink>
      <w:hyperlink r:id="rId9" w:history="1">
        <w:r>
          <w:rPr>
            <w:rFonts w:ascii="arial" w:eastAsia="arial" w:hAnsi="arial" w:cs="arial"/>
            <w:b w:val="0"/>
            <w:i/>
            <w:strike w:val="0"/>
            <w:noProof w:val="0"/>
            <w:color w:val="0077CC"/>
            <w:position w:val="0"/>
            <w:sz w:val="18"/>
            <w:u w:val="single"/>
            <w:vertAlign w:val="baseline"/>
          </w:rPr>
          <w:t>, 780 F.3d 710 n. 5 (6th Cir.2015)</w:t>
        </w:r>
      </w:hyperlink>
      <w:r>
        <w:rPr>
          <w:rFonts w:ascii="arial" w:eastAsia="arial" w:hAnsi="arial" w:cs="arial"/>
          <w:b w:val="0"/>
          <w:i w:val="0"/>
          <w:strike w:val="0"/>
          <w:noProof w:val="0"/>
          <w:color w:val="000000"/>
          <w:position w:val="0"/>
          <w:sz w:val="18"/>
          <w:u w:val="none"/>
          <w:vertAlign w:val="baseline"/>
        </w:rPr>
        <w:t xml:space="preserve">; </w:t>
      </w:r>
      <w:bookmarkStart w:id="211" w:name="Bookmark_I5PYJSRF28T46M0030000400"/>
      <w:bookmarkEnd w:id="211"/>
      <w:hyperlink r:id="rId10" w:history="1">
        <w:r>
          <w:rPr>
            <w:rFonts w:ascii="arial" w:eastAsia="arial" w:hAnsi="arial" w:cs="arial"/>
            <w:b w:val="0"/>
            <w:i/>
            <w:strike w:val="0"/>
            <w:noProof w:val="0"/>
            <w:color w:val="0077CC"/>
            <w:position w:val="0"/>
            <w:sz w:val="18"/>
            <w:u w:val="single"/>
            <w:vertAlign w:val="baseline"/>
          </w:rPr>
          <w:t>Basile v. Blatt, Hasenmiller, Leibsker &amp; Moore LLC</w:t>
        </w:r>
      </w:hyperlink>
      <w:hyperlink r:id="rId10" w:history="1">
        <w:r>
          <w:rPr>
            <w:rFonts w:ascii="arial" w:eastAsia="arial" w:hAnsi="arial" w:cs="arial"/>
            <w:b w:val="0"/>
            <w:i/>
            <w:strike w:val="0"/>
            <w:noProof w:val="0"/>
            <w:color w:val="0077CC"/>
            <w:position w:val="0"/>
            <w:sz w:val="18"/>
            <w:u w:val="single"/>
            <w:vertAlign w:val="baseline"/>
          </w:rPr>
          <w:t>, 632 F.Supp.2d 842, 845-46 (N.D.Ill.2009)</w:t>
        </w:r>
      </w:hyperlink>
      <w:r>
        <w:rPr>
          <w:rFonts w:ascii="arial" w:eastAsia="arial" w:hAnsi="arial" w:cs="arial"/>
          <w:b w:val="0"/>
          <w:i w:val="0"/>
          <w:strike w:val="0"/>
          <w:noProof w:val="0"/>
          <w:color w:val="000000"/>
          <w:position w:val="0"/>
          <w:sz w:val="18"/>
          <w:u w:val="none"/>
          <w:vertAlign w:val="baseline"/>
        </w:rPr>
        <w:t xml:space="preserve"> (collecting cases). </w:t>
      </w:r>
      <w:bookmarkStart w:id="212" w:name="Bookmark_I5PYJSRF2N1PPW0050000400_2"/>
      <w:bookmarkEnd w:id="212"/>
      <w:bookmarkStart w:id="213" w:name="Bookmark_I5PYJSRF2N1PPW0010000400_2"/>
      <w:bookmarkEnd w:id="213"/>
      <w:r>
        <w:rPr>
          <w:rFonts w:ascii="arial" w:eastAsia="arial" w:hAnsi="arial" w:cs="arial"/>
          <w:b w:val="0"/>
          <w:i w:val="0"/>
          <w:strike w:val="0"/>
          <w:noProof w:val="0"/>
          <w:color w:val="000000"/>
          <w:position w:val="0"/>
          <w:sz w:val="18"/>
          <w:u w:val="none"/>
          <w:vertAlign w:val="baseline"/>
        </w:rPr>
        <w:t xml:space="preserve">These courts rely on the Supreme Court's holding in </w:t>
      </w:r>
      <w:r>
        <w:rPr>
          <w:rFonts w:ascii="arial" w:eastAsia="arial" w:hAnsi="arial" w:cs="arial"/>
          <w:b w:val="0"/>
          <w:i/>
          <w:strike w:val="0"/>
          <w:noProof w:val="0"/>
          <w:color w:val="000000"/>
          <w:position w:val="0"/>
          <w:sz w:val="18"/>
          <w:u w:val="none"/>
          <w:vertAlign w:val="baseline"/>
        </w:rPr>
        <w:t>Heintz</w:t>
      </w:r>
      <w:r>
        <w:rPr>
          <w:rFonts w:ascii="arial" w:eastAsia="arial" w:hAnsi="arial" w:cs="arial"/>
          <w:b w:val="0"/>
          <w:i w:val="0"/>
          <w:strike w:val="0"/>
          <w:noProof w:val="0"/>
          <w:color w:val="000000"/>
          <w:position w:val="0"/>
          <w:sz w:val="18"/>
          <w:u w:val="none"/>
          <w:vertAlign w:val="baseline"/>
        </w:rPr>
        <w:t>, "which contemplated</w:t>
      </w:r>
      <w:r>
        <w:rPr>
          <w:rFonts w:ascii="arial" w:eastAsia="arial" w:hAnsi="arial" w:cs="arial"/>
          <w:b/>
          <w:i w:val="0"/>
          <w:strike w:val="0"/>
          <w:noProof w:val="0"/>
          <w:color w:val="000000"/>
          <w:position w:val="0"/>
          <w:sz w:val="18"/>
          <w:u w:val="none"/>
          <w:vertAlign w:val="baseline"/>
        </w:rPr>
        <w:t> [*21] </w:t>
      </w:r>
      <w:r>
        <w:rPr>
          <w:rFonts w:ascii="arial" w:eastAsia="arial" w:hAnsi="arial" w:cs="arial"/>
          <w:b w:val="0"/>
          <w:i w:val="0"/>
          <w:strike w:val="0"/>
          <w:noProof w:val="0"/>
          <w:color w:val="000000"/>
          <w:position w:val="0"/>
          <w:sz w:val="18"/>
          <w:u w:val="none"/>
          <w:vertAlign w:val="baseline"/>
        </w:rPr>
        <w:t xml:space="preserve"> attorney liability under the FDCPA." </w:t>
      </w:r>
      <w:bookmarkStart w:id="214" w:name="Bookmark_I5PYJSRF28T46M0050000400"/>
      <w:bookmarkEnd w:id="214"/>
      <w:hyperlink r:id="rId10" w:history="1">
        <w:r>
          <w:rPr>
            <w:rFonts w:ascii="arial" w:eastAsia="arial" w:hAnsi="arial" w:cs="arial"/>
            <w:b w:val="0"/>
            <w:i/>
            <w:strike w:val="0"/>
            <w:noProof w:val="0"/>
            <w:color w:val="0077CC"/>
            <w:position w:val="0"/>
            <w:sz w:val="18"/>
            <w:u w:val="single"/>
            <w:vertAlign w:val="baseline"/>
          </w:rPr>
          <w:t>Basile</w:t>
        </w:r>
      </w:hyperlink>
      <w:hyperlink r:id="rId10" w:history="1">
        <w:r>
          <w:rPr>
            <w:rFonts w:ascii="arial" w:eastAsia="arial" w:hAnsi="arial" w:cs="arial"/>
            <w:b w:val="0"/>
            <w:i/>
            <w:strike w:val="0"/>
            <w:noProof w:val="0"/>
            <w:color w:val="0077CC"/>
            <w:position w:val="0"/>
            <w:sz w:val="18"/>
            <w:u w:val="single"/>
            <w:vertAlign w:val="baseline"/>
          </w:rPr>
          <w:t>, 632 F.Supp.2d at 846</w:t>
        </w:r>
      </w:hyperlink>
      <w:r>
        <w:rPr>
          <w:rFonts w:ascii="arial" w:eastAsia="arial" w:hAnsi="arial" w:cs="arial"/>
          <w:b w:val="0"/>
          <w:i w:val="0"/>
          <w:strike w:val="0"/>
          <w:noProof w:val="0"/>
          <w:color w:val="000000"/>
          <w:position w:val="0"/>
          <w:sz w:val="18"/>
          <w:u w:val="none"/>
          <w:vertAlign w:val="baseline"/>
        </w:rPr>
        <w:t xml:space="preserve"> (citing </w:t>
      </w:r>
      <w:bookmarkStart w:id="215" w:name="Bookmark_I5PYJSRF2N1PPW0020000400"/>
      <w:bookmarkEnd w:id="215"/>
      <w:hyperlink r:id="rId11" w:history="1">
        <w:r>
          <w:rPr>
            <w:rFonts w:ascii="arial" w:eastAsia="arial" w:hAnsi="arial" w:cs="arial"/>
            <w:b w:val="0"/>
            <w:i/>
            <w:strike w:val="0"/>
            <w:noProof w:val="0"/>
            <w:color w:val="0077CC"/>
            <w:position w:val="0"/>
            <w:sz w:val="18"/>
            <w:u w:val="single"/>
            <w:vertAlign w:val="baseline"/>
          </w:rPr>
          <w:t>Heintz v. Jenkins</w:t>
        </w:r>
      </w:hyperlink>
      <w:hyperlink r:id="rId11" w:history="1">
        <w:r>
          <w:rPr>
            <w:rFonts w:ascii="arial" w:eastAsia="arial" w:hAnsi="arial" w:cs="arial"/>
            <w:b w:val="0"/>
            <w:i/>
            <w:strike w:val="0"/>
            <w:noProof w:val="0"/>
            <w:color w:val="0077CC"/>
            <w:position w:val="0"/>
            <w:sz w:val="18"/>
            <w:u w:val="single"/>
            <w:vertAlign w:val="baseline"/>
          </w:rPr>
          <w:t>, 514 U.S. 291, 115 S.Ct. 1489, 131 L.Ed.2d 395 (1995))</w:t>
        </w:r>
      </w:hyperlink>
      <w:r>
        <w:rPr>
          <w:rFonts w:ascii="arial" w:eastAsia="arial" w:hAnsi="arial" w:cs="arial"/>
          <w:b w:val="0"/>
          <w:i w:val="0"/>
          <w:strike w:val="0"/>
          <w:noProof w:val="0"/>
          <w:color w:val="000000"/>
          <w:position w:val="0"/>
          <w:sz w:val="18"/>
          <w:u w:val="none"/>
          <w:vertAlign w:val="baseline"/>
        </w:rPr>
        <w:t xml:space="preserve">. </w:t>
      </w:r>
      <w:bookmarkStart w:id="216" w:name="Bookmark_I5PYJSRF2HM6YK0020000400"/>
      <w:bookmarkEnd w:id="216"/>
      <w:r>
        <w:rPr>
          <w:rFonts w:ascii="arial" w:eastAsia="arial" w:hAnsi="arial" w:cs="arial"/>
          <w:b w:val="0"/>
          <w:i w:val="0"/>
          <w:strike w:val="0"/>
          <w:noProof w:val="0"/>
          <w:color w:val="000000"/>
          <w:position w:val="0"/>
          <w:sz w:val="18"/>
          <w:u w:val="none"/>
          <w:vertAlign w:val="baseline"/>
        </w:rPr>
        <w:t xml:space="preserve">As noted above, in Heintz, the United States Supreme Court held that the FDCPA "applies to attorneys who 'regularly' engage in consumer-debt-collection activity, even when that activity consists of litigation." </w:t>
      </w:r>
      <w:bookmarkStart w:id="217" w:name="Bookmark_I5PYJSRF2N1PPW0040000400"/>
      <w:bookmarkEnd w:id="217"/>
      <w:hyperlink r:id="rId11" w:history="1">
        <w:r>
          <w:rPr>
            <w:rFonts w:ascii="arial" w:eastAsia="arial" w:hAnsi="arial" w:cs="arial"/>
            <w:b w:val="0"/>
            <w:i/>
            <w:strike w:val="0"/>
            <w:noProof w:val="0"/>
            <w:color w:val="0077CC"/>
            <w:position w:val="0"/>
            <w:sz w:val="18"/>
            <w:u w:val="single"/>
            <w:vertAlign w:val="baseline"/>
          </w:rPr>
          <w:t>Heintz</w:t>
        </w:r>
      </w:hyperlink>
      <w:hyperlink r:id="rId11" w:history="1">
        <w:r>
          <w:rPr>
            <w:rFonts w:ascii="arial" w:eastAsia="arial" w:hAnsi="arial" w:cs="arial"/>
            <w:b w:val="0"/>
            <w:i/>
            <w:strike w:val="0"/>
            <w:noProof w:val="0"/>
            <w:color w:val="0077CC"/>
            <w:position w:val="0"/>
            <w:sz w:val="18"/>
            <w:u w:val="single"/>
            <w:vertAlign w:val="baseline"/>
          </w:rPr>
          <w:t>, 514 U.S. at 299, 115 S.Ct. 1489</w:t>
        </w:r>
      </w:hyperlink>
      <w:r>
        <w:rPr>
          <w:rFonts w:ascii="arial" w:eastAsia="arial" w:hAnsi="arial" w:cs="arial"/>
          <w:b w:val="0"/>
          <w:i w:val="0"/>
          <w:strike w:val="0"/>
          <w:noProof w:val="0"/>
          <w:color w:val="000000"/>
          <w:position w:val="0"/>
          <w:sz w:val="18"/>
          <w:u w:val="none"/>
          <w:vertAlign w:val="baseline"/>
        </w:rPr>
        <w:t xml:space="preserve">. </w:t>
      </w:r>
      <w:bookmarkStart w:id="218" w:name="Bookmark_I5PYJSRF2HM6YK0020000400_2"/>
      <w:bookmarkEnd w:id="218"/>
      <w:r>
        <w:rPr>
          <w:rFonts w:ascii="arial" w:eastAsia="arial" w:hAnsi="arial" w:cs="arial"/>
          <w:b w:val="0"/>
          <w:i w:val="0"/>
          <w:strike w:val="0"/>
          <w:noProof w:val="0"/>
          <w:color w:val="000000"/>
          <w:position w:val="0"/>
          <w:sz w:val="18"/>
          <w:u w:val="none"/>
          <w:vertAlign w:val="baseline"/>
        </w:rPr>
        <w:t xml:space="preserve">The Supreme Court has reaffirmed this principle as recently as 2010 in </w:t>
      </w:r>
      <w:r>
        <w:rPr>
          <w:rFonts w:ascii="arial" w:eastAsia="arial" w:hAnsi="arial" w:cs="arial"/>
          <w:b w:val="0"/>
          <w:i/>
          <w:strike w:val="0"/>
          <w:noProof w:val="0"/>
          <w:color w:val="000000"/>
          <w:position w:val="0"/>
          <w:sz w:val="18"/>
          <w:u w:val="none"/>
          <w:vertAlign w:val="baseline"/>
        </w:rPr>
        <w:t xml:space="preserve">Jerman. </w:t>
      </w:r>
      <w:bookmarkStart w:id="219" w:name="Bookmark_I5PYJSRF2HM6YK0040000400"/>
      <w:bookmarkEnd w:id="219"/>
      <w:r>
        <w:rPr>
          <w:rFonts w:ascii="arial" w:eastAsia="arial" w:hAnsi="arial" w:cs="arial"/>
          <w:b w:val="0"/>
          <w:i/>
          <w:strike w:val="0"/>
          <w:noProof w:val="0"/>
          <w:color w:val="000000"/>
          <w:position w:val="0"/>
          <w:sz w:val="18"/>
          <w:u w:val="none"/>
          <w:vertAlign w:val="baseline"/>
        </w:rPr>
        <w:t xml:space="preserve">See </w:t>
      </w:r>
      <w:bookmarkStart w:id="220" w:name="Bookmark_I5PYJSRF2HM6YK0040000400_2"/>
      <w:bookmarkEnd w:id="220"/>
      <w:bookmarkStart w:id="221" w:name="Bookmark_I5PYJSRF2HM6YK0010000400"/>
      <w:bookmarkEnd w:id="221"/>
      <w:hyperlink r:id="rId12" w:history="1">
        <w:r>
          <w:rPr>
            <w:rFonts w:ascii="arial" w:eastAsia="arial" w:hAnsi="arial" w:cs="arial"/>
            <w:b w:val="0"/>
            <w:i/>
            <w:strike w:val="0"/>
            <w:noProof w:val="0"/>
            <w:color w:val="0077CC"/>
            <w:position w:val="0"/>
            <w:sz w:val="18"/>
            <w:u w:val="single"/>
            <w:vertAlign w:val="baseline"/>
          </w:rPr>
          <w:t>Jerman v. Carlisle, McNellie, Rini, Kramer &amp; Ulrich LPA, et al.</w:t>
        </w:r>
      </w:hyperlink>
      <w:hyperlink r:id="rId12" w:history="1">
        <w:r>
          <w:rPr>
            <w:rFonts w:ascii="arial" w:eastAsia="arial" w:hAnsi="arial" w:cs="arial"/>
            <w:b w:val="0"/>
            <w:i/>
            <w:strike w:val="0"/>
            <w:noProof w:val="0"/>
            <w:color w:val="0077CC"/>
            <w:position w:val="0"/>
            <w:sz w:val="18"/>
            <w:u w:val="single"/>
            <w:vertAlign w:val="baseline"/>
          </w:rPr>
          <w:t>, 559 U.S. 573, 130 S.Ct. 1605, 176 L.Ed.2d 519 (2010)</w:t>
        </w:r>
      </w:hyperlink>
      <w:r>
        <w:rPr>
          <w:rFonts w:ascii="arial" w:eastAsia="arial" w:hAnsi="arial" w:cs="arial"/>
          <w:b w:val="0"/>
          <w:i w:val="0"/>
          <w:strike w:val="0"/>
          <w:noProof w:val="0"/>
          <w:color w:val="000000"/>
          <w:position w:val="0"/>
          <w:sz w:val="18"/>
          <w:u w:val="none"/>
          <w:vertAlign w:val="baseline"/>
        </w:rPr>
        <w:t xml:space="preserve"> (holding that a law firm subject to the FDCPA for its litigation activity is not entitled to the bona fide error defense of </w:t>
      </w:r>
      <w:hyperlink r:id="rId13" w:history="1">
        <w:r>
          <w:rPr>
            <w:rFonts w:ascii="arial" w:eastAsia="arial" w:hAnsi="arial" w:cs="arial"/>
            <w:b w:val="0"/>
            <w:i/>
            <w:strike w:val="0"/>
            <w:noProof w:val="0"/>
            <w:color w:val="0077CC"/>
            <w:position w:val="0"/>
            <w:sz w:val="18"/>
            <w:u w:val="single"/>
            <w:vertAlign w:val="baseline"/>
          </w:rPr>
          <w:t>15 U.S.C. § 1692k(c)</w:t>
        </w:r>
      </w:hyperlink>
      <w:r>
        <w:rPr>
          <w:rFonts w:ascii="arial" w:eastAsia="arial" w:hAnsi="arial" w:cs="arial"/>
          <w:b w:val="0"/>
          <w:i w:val="0"/>
          <w:strike w:val="0"/>
          <w:noProof w:val="0"/>
          <w:color w:val="000000"/>
          <w:position w:val="0"/>
          <w:sz w:val="18"/>
          <w:u w:val="none"/>
          <w:vertAlign w:val="baseline"/>
        </w:rPr>
        <w:t xml:space="preserve"> for a mistake of law). </w:t>
      </w:r>
      <w:bookmarkStart w:id="222" w:name="Bookmark_I5PYJSRF2HM6YK0040000400_3"/>
      <w:bookmarkEnd w:id="222"/>
      <w:r>
        <w:rPr>
          <w:rFonts w:ascii="arial" w:eastAsia="arial" w:hAnsi="arial" w:cs="arial"/>
          <w:b w:val="0"/>
          <w:i w:val="0"/>
          <w:strike w:val="0"/>
          <w:noProof w:val="0"/>
          <w:color w:val="000000"/>
          <w:position w:val="0"/>
          <w:sz w:val="18"/>
          <w:u w:val="none"/>
          <w:vertAlign w:val="baseline"/>
        </w:rPr>
        <w:t xml:space="preserve">And in neither </w:t>
      </w:r>
      <w:r>
        <w:rPr>
          <w:rFonts w:ascii="arial" w:eastAsia="arial" w:hAnsi="arial" w:cs="arial"/>
          <w:b w:val="0"/>
          <w:i/>
          <w:strike w:val="0"/>
          <w:noProof w:val="0"/>
          <w:color w:val="000000"/>
          <w:position w:val="0"/>
          <w:sz w:val="18"/>
          <w:u w:val="none"/>
          <w:vertAlign w:val="baseline"/>
        </w:rPr>
        <w:t>Jerman</w:t>
      </w:r>
      <w:r>
        <w:rPr>
          <w:rFonts w:ascii="arial" w:eastAsia="arial" w:hAnsi="arial" w:cs="arial"/>
          <w:b w:val="0"/>
          <w:i w:val="0"/>
          <w:strike w:val="0"/>
          <w:noProof w:val="0"/>
          <w:color w:val="000000"/>
          <w:position w:val="0"/>
          <w:sz w:val="18"/>
          <w:u w:val="none"/>
          <w:vertAlign w:val="baseline"/>
        </w:rPr>
        <w:t xml:space="preserve"> nor </w:t>
      </w:r>
      <w:r>
        <w:rPr>
          <w:rFonts w:ascii="arial" w:eastAsia="arial" w:hAnsi="arial" w:cs="arial"/>
          <w:b w:val="0"/>
          <w:i/>
          <w:strike w:val="0"/>
          <w:noProof w:val="0"/>
          <w:color w:val="000000"/>
          <w:position w:val="0"/>
          <w:sz w:val="18"/>
          <w:u w:val="none"/>
          <w:vertAlign w:val="baseline"/>
        </w:rPr>
        <w:t>Heintz</w:t>
      </w:r>
      <w:r>
        <w:rPr>
          <w:rFonts w:ascii="arial" w:eastAsia="arial" w:hAnsi="arial" w:cs="arial"/>
          <w:b w:val="0"/>
          <w:i w:val="0"/>
          <w:strike w:val="0"/>
          <w:noProof w:val="0"/>
          <w:color w:val="000000"/>
          <w:position w:val="0"/>
          <w:sz w:val="18"/>
          <w:u w:val="none"/>
          <w:vertAlign w:val="baseline"/>
        </w:rPr>
        <w:t xml:space="preserve"> did the Court express a Noerr-Pennington concern. As the Bureau points out, "not a single court in the Eleventh Circuit has ever applied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to bar an FDCPA claim." (Resp. at 12 (citing </w:t>
      </w:r>
      <w:bookmarkStart w:id="223" w:name="Bookmark_I5PYJSRF2HM6YK0030000400"/>
      <w:bookmarkEnd w:id="223"/>
      <w:hyperlink r:id="rId14" w:history="1">
        <w:r>
          <w:rPr>
            <w:rFonts w:ascii="arial" w:eastAsia="arial" w:hAnsi="arial" w:cs="arial"/>
            <w:b w:val="0"/>
            <w:i/>
            <w:strike w:val="0"/>
            <w:noProof w:val="0"/>
            <w:color w:val="0077CC"/>
            <w:position w:val="0"/>
            <w:sz w:val="18"/>
            <w:u w:val="single"/>
            <w:vertAlign w:val="baseline"/>
          </w:rPr>
          <w:t>Roban v. Marinosci Law Grp.</w:t>
        </w:r>
      </w:hyperlink>
      <w:hyperlink r:id="rId14" w:history="1">
        <w:r>
          <w:rPr>
            <w:rFonts w:ascii="arial" w:eastAsia="arial" w:hAnsi="arial" w:cs="arial"/>
            <w:b w:val="0"/>
            <w:i/>
            <w:strike w:val="0"/>
            <w:noProof w:val="0"/>
            <w:color w:val="0077CC"/>
            <w:position w:val="0"/>
            <w:sz w:val="18"/>
            <w:u w:val="single"/>
            <w:vertAlign w:val="baseline"/>
          </w:rPr>
          <w:t>, 34 F.Supp.3d 1252, 1255 (S.D.Fla.2014)</w:t>
        </w:r>
      </w:hyperlink>
      <w:r>
        <w:rPr>
          <w:rFonts w:ascii="arial" w:eastAsia="arial" w:hAnsi="arial" w:cs="arial"/>
          <w:b w:val="0"/>
          <w:i w:val="0"/>
          <w:strike w:val="0"/>
          <w:noProof w:val="0"/>
          <w:color w:val="000000"/>
          <w:position w:val="0"/>
          <w:sz w:val="18"/>
          <w:u w:val="none"/>
          <w:vertAlign w:val="baseline"/>
        </w:rPr>
        <w:t xml:space="preserve"> ("Deutsche Bank and Marinosci Law failed to cite to a single case from the Eleventh Circuit that extends the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to claims brought under the FDCPA. The Court could not find any in its independent research.")).) </w:t>
      </w:r>
      <w:bookmarkStart w:id="224" w:name="Bookmark_I5PYJSRF2SF8RM0010000400"/>
      <w:bookmarkEnd w:id="224"/>
      <w:r>
        <w:rPr>
          <w:rFonts w:ascii="arial" w:eastAsia="arial" w:hAnsi="arial" w:cs="arial"/>
          <w:b w:val="0"/>
          <w:i w:val="0"/>
          <w:strike w:val="0"/>
          <w:noProof w:val="0"/>
          <w:color w:val="000000"/>
          <w:position w:val="0"/>
          <w:sz w:val="18"/>
          <w:u w:val="none"/>
          <w:vertAlign w:val="baseline"/>
        </w:rPr>
        <w:t xml:space="preserve">Moreover, the Eleventh Circuit's recent decision in </w:t>
      </w:r>
      <w:r>
        <w:rPr>
          <w:rFonts w:ascii="arial" w:eastAsia="arial" w:hAnsi="arial" w:cs="arial"/>
          <w:b w:val="0"/>
          <w:i/>
          <w:strike w:val="0"/>
          <w:noProof w:val="0"/>
          <w:color w:val="000000"/>
          <w:position w:val="0"/>
          <w:sz w:val="18"/>
          <w:u w:val="none"/>
          <w:vertAlign w:val="baseline"/>
        </w:rPr>
        <w:t>Miljkovic</w:t>
      </w:r>
      <w:r>
        <w:rPr>
          <w:rFonts w:ascii="arial" w:eastAsia="arial" w:hAnsi="arial" w:cs="arial"/>
          <w:b w:val="0"/>
          <w:i w:val="0"/>
          <w:strike w:val="0"/>
          <w:noProof w:val="0"/>
          <w:color w:val="000000"/>
          <w:position w:val="0"/>
          <w:sz w:val="18"/>
          <w:u w:val="none"/>
          <w:vertAlign w:val="baseline"/>
        </w:rPr>
        <w:t xml:space="preserve"> re-emphasized its recognition of the FDCPA's protection of consumers from the full sweep of debt collectors' attorneys' false, misleading, or deceptive litigation activities.</w:t>
      </w:r>
    </w:p>
    <w:p>
      <w:pPr>
        <w:keepNext w:val="0"/>
        <w:widowControl w:val="0"/>
        <w:spacing w:before="240" w:after="0" w:line="240" w:lineRule="atLeast"/>
        <w:ind w:left="0" w:right="0" w:firstLine="0"/>
        <w:jc w:val="both"/>
      </w:pPr>
      <w:bookmarkStart w:id="225" w:name="Bookmark_I5PYJSRF2SF8RM0010000400_2"/>
      <w:bookmarkEnd w:id="225"/>
      <w:bookmarkStart w:id="226" w:name="Bookmark_I5PYJSRF2HM6YK0050000400"/>
      <w:bookmarkEnd w:id="226"/>
      <w:hyperlink r:id="rId15" w:history="1">
        <w:r>
          <w:rPr>
            <w:rFonts w:ascii="arial" w:eastAsia="arial" w:hAnsi="arial" w:cs="arial"/>
            <w:b w:val="0"/>
            <w:i/>
            <w:strike w:val="0"/>
            <w:color w:val="0077CC"/>
            <w:sz w:val="18"/>
            <w:u w:val="single"/>
            <w:vertAlign w:val="baseline"/>
          </w:rPr>
          <w:t>114 F. Supp. 3d 1342, 1359-60 (N.D. Ga. 2015)</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Bock v. Pressler &amp; Pressler, LLP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S3-BGT1-F04D-W3C7-00000-00&amp;context=" TargetMode="External" /><Relationship Id="rId11" Type="http://schemas.openxmlformats.org/officeDocument/2006/relationships/hyperlink" Target="https://advance.lexis.com/api/document?collection=cases&amp;id=urn:contentItem:5NMS-D7C1-F04D-W285-00000-00&amp;context=" TargetMode="External" /><Relationship Id="rId12" Type="http://schemas.openxmlformats.org/officeDocument/2006/relationships/hyperlink" Target="https://advance.lexis.com/api/document?collection=statutes-legislation&amp;id=urn:contentItem:5PX5-0030-004F-J0P3-00000-00&amp;context=" TargetMode="External" /><Relationship Id="rId13" Type="http://schemas.openxmlformats.org/officeDocument/2006/relationships/hyperlink" Target="https://advance.lexis.com/api/document?collection=statutes-legislation&amp;id=urn:contentItem:5GYC-2421-6N19-F16C-00000-00&amp;context=" TargetMode="External" /><Relationship Id="rId14" Type="http://schemas.openxmlformats.org/officeDocument/2006/relationships/hyperlink" Target="https://advance.lexis.com/api/document?collection=statutes-legislation&amp;id=urn:contentItem:5GYC-2421-6N19-F16F-00000-00&amp;context=" TargetMode="External" /><Relationship Id="rId15" Type="http://schemas.openxmlformats.org/officeDocument/2006/relationships/hyperlink" Target="https://advance.lexis.com/api/document?collection=statutes-legislation&amp;id=urn:contentItem:4YF7-GHC1-NRF4-407T-00000-00&amp;context=" TargetMode="External" /><Relationship Id="rId16" Type="http://schemas.openxmlformats.org/officeDocument/2006/relationships/hyperlink" Target="https://advance.lexis.com/api/document?collection=statutes-legislation&amp;id=urn:contentItem:4YF7-GMG1-NRF4-44WX-00000-00&amp;context=" TargetMode="External" /><Relationship Id="rId17" Type="http://schemas.openxmlformats.org/officeDocument/2006/relationships/hyperlink" Target="https://advance.lexis.com/api/document?collection=cases&amp;id=urn:contentItem:5JSS-2DD1-F04K-F00N-00000-00&amp;context=" TargetMode="External" /><Relationship Id="rId18" Type="http://schemas.openxmlformats.org/officeDocument/2006/relationships/hyperlink" Target="https://advance.lexis.com/api/document?collection=cases&amp;id=urn:contentItem:5KB4-V4J1-F04K-K1TJ-00000-00&amp;context=" TargetMode="External" /><Relationship Id="rId19" Type="http://schemas.openxmlformats.org/officeDocument/2006/relationships/hyperlink" Target="https://advance.lexis.com/api/document?collection=cases&amp;id=urn:contentItem:3S4X-8F40-003B-S2TS-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7WN0-003B-742C-00000-00&amp;context=" TargetMode="External" /><Relationship Id="rId21" Type="http://schemas.openxmlformats.org/officeDocument/2006/relationships/hyperlink" Target="https://advance.lexis.com/api/document?collection=cases&amp;id=urn:contentItem:3S4X-C140-001B-K3MP-00000-00&amp;context=" TargetMode="External" /><Relationship Id="rId22" Type="http://schemas.openxmlformats.org/officeDocument/2006/relationships/hyperlink" Target="https://advance.lexis.com/api/document?collection=cases&amp;id=urn:contentItem:3S4X-FP80-001T-D2S9-00000-00&amp;context=" TargetMode="External" /><Relationship Id="rId23" Type="http://schemas.openxmlformats.org/officeDocument/2006/relationships/hyperlink" Target="https://advance.lexis.com/api/document?collection=cases&amp;id=urn:contentItem:4CRG-P4H0-0038-Y3JS-00000-00&amp;context=" TargetMode="External" /><Relationship Id="rId24" Type="http://schemas.openxmlformats.org/officeDocument/2006/relationships/hyperlink" Target="https://advance.lexis.com/api/document?collection=cases&amp;id=urn:contentItem:54J3-DFM1-F04K-K097-00000-00&amp;context=" TargetMode="External" /><Relationship Id="rId25" Type="http://schemas.openxmlformats.org/officeDocument/2006/relationships/hyperlink" Target="https://advance.lexis.com/api/document?collection=cases&amp;id=urn:contentItem:7Y80-FTW0-YB0V-F0BS-00000-00&amp;context=" TargetMode="External" /><Relationship Id="rId26" Type="http://schemas.openxmlformats.org/officeDocument/2006/relationships/hyperlink" Target="https://advance.lexis.com/api/document?collection=cases&amp;id=urn:contentItem:51SM-S8M1-652J-900K-00000-00&amp;context=" TargetMode="External" /><Relationship Id="rId27" Type="http://schemas.openxmlformats.org/officeDocument/2006/relationships/hyperlink" Target="https://advance.lexis.com/api/document?collection=cases&amp;id=urn:contentItem:43VJ-CXT0-0038-Y4G4-00000-00&amp;context=" TargetMode="External" /><Relationship Id="rId28" Type="http://schemas.openxmlformats.org/officeDocument/2006/relationships/hyperlink" Target="https://advance.lexis.com/api/document?collection=cases&amp;id=urn:contentItem:3S4X-BV90-0039-P157-00000-00&amp;context=" TargetMode="External" /><Relationship Id="rId29" Type="http://schemas.openxmlformats.org/officeDocument/2006/relationships/hyperlink" Target="https://advance.lexis.com/api/document?collection=cases&amp;id=urn:contentItem:4DKM-NGT0-0038-X3Y0-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RTP-83F0-001T-D0B1-00000-00&amp;context=" TargetMode="External" /><Relationship Id="rId31" Type="http://schemas.openxmlformats.org/officeDocument/2006/relationships/hyperlink" Target="https://advance.lexis.com/api/document?collection=cases&amp;id=urn:contentItem:3S4X-6XX0-008H-V2FT-00000-00&amp;context=" TargetMode="External" /><Relationship Id="rId32" Type="http://schemas.openxmlformats.org/officeDocument/2006/relationships/hyperlink" Target="https://advance.lexis.com/api/document?collection=cases&amp;id=urn:contentItem:3S4W-X6B0-0039-Y4FP-00000-00&amp;context=" TargetMode="External" /><Relationship Id="rId33" Type="http://schemas.openxmlformats.org/officeDocument/2006/relationships/hyperlink" Target="https://advance.lexis.com/api/document?collection=cases&amp;id=urn:contentItem:3S4X-5300-003B-S065-00000-00&amp;context=" TargetMode="External" /><Relationship Id="rId34" Type="http://schemas.openxmlformats.org/officeDocument/2006/relationships/hyperlink" Target="https://advance.lexis.com/api/document?collection=cases&amp;id=urn:contentItem:481V-C040-0038-X3WP-00000-00&amp;context=" TargetMode="External" /><Relationship Id="rId35" Type="http://schemas.openxmlformats.org/officeDocument/2006/relationships/hyperlink" Target="https://advance.lexis.com/api/document?collection=cases&amp;id=urn:contentItem:450S-0950-0038-X22X-00000-00&amp;context=" TargetMode="External" /><Relationship Id="rId36" Type="http://schemas.openxmlformats.org/officeDocument/2006/relationships/hyperlink" Target="https://advance.lexis.com/api/document?collection=cases&amp;id=urn:contentItem:5KC6-9R01-F04D-W2MP-00000-00&amp;context=" TargetMode="External" /><Relationship Id="rId37" Type="http://schemas.openxmlformats.org/officeDocument/2006/relationships/hyperlink" Target="https://advance.lexis.com/api/document?collection=cases&amp;id=urn:contentItem:5NFD-7CK1-F04K-K014-00000-00&amp;context=" TargetMode="External" /><Relationship Id="rId38" Type="http://schemas.openxmlformats.org/officeDocument/2006/relationships/hyperlink" Target="https://advance.lexis.com/api/document?collection=cases&amp;id=urn:contentItem:5KM0-1P01-F04D-W3YC-00000-00&amp;context=" TargetMode="External" /><Relationship Id="rId39" Type="http://schemas.openxmlformats.org/officeDocument/2006/relationships/hyperlink" Target="https://advance.lexis.com/api/document?collection=cases&amp;id=urn:contentItem:3S36-5YG0-00B1-D1JM-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9FD-GG71-F04K-K0C0-00000-00&amp;context=" TargetMode="External" /><Relationship Id="rId41" Type="http://schemas.openxmlformats.org/officeDocument/2006/relationships/hyperlink" Target="https://advance.lexis.com/api/document?collection=cases&amp;id=urn:contentItem:4T23-9GM0-TX4N-G0N8-00000-00&amp;context=" TargetMode="External" /><Relationship Id="rId42" Type="http://schemas.openxmlformats.org/officeDocument/2006/relationships/hyperlink" Target="https://advance.lexis.com/api/document?collection=cases&amp;id=urn:contentItem:3WM5-2NC0-0038-X4NH-00000-00&amp;context=" TargetMode="External" /><Relationship Id="rId43" Type="http://schemas.openxmlformats.org/officeDocument/2006/relationships/hyperlink" Target="https://advance.lexis.com/api/document?collection=cases&amp;id=urn:contentItem:3RFY-1DP0-0038-X0XS-00000-00&amp;context=" TargetMode="External" /><Relationship Id="rId44" Type="http://schemas.openxmlformats.org/officeDocument/2006/relationships/hyperlink" Target="https://advance.lexis.com/api/document?collection=statutes-legislation&amp;id=urn:contentItem:5GYC-2421-6N19-F165-00000-00&amp;context=" TargetMode="External" /><Relationship Id="rId45" Type="http://schemas.openxmlformats.org/officeDocument/2006/relationships/hyperlink" Target="https://advance.lexis.com/api/document?collection=cases&amp;id=urn:contentItem:3S4X-6H80-0039-N37M-00000-00&amp;context=" TargetMode="External" /><Relationship Id="rId46" Type="http://schemas.openxmlformats.org/officeDocument/2006/relationships/hyperlink" Target="https://advance.lexis.com/api/document?collection=cases&amp;id=urn:contentItem:3S4X-6HC0-0039-N37R-00000-00&amp;context=" TargetMode="External" /><Relationship Id="rId47" Type="http://schemas.openxmlformats.org/officeDocument/2006/relationships/hyperlink" Target="https://advance.lexis.com/api/document?collection=cases&amp;id=urn:contentItem:4RB7-8MS0-TXFV-F326-00000-00&amp;context=" TargetMode="External" /><Relationship Id="rId48" Type="http://schemas.openxmlformats.org/officeDocument/2006/relationships/hyperlink" Target="https://advance.lexis.com/api/document?collection=cases&amp;id=urn:contentItem:4KTX-7X50-TXDS-D369-00000-00&amp;context=" TargetMode="External" /><Relationship Id="rId49" Type="http://schemas.openxmlformats.org/officeDocument/2006/relationships/hyperlink" Target="https://advance.lexis.com/api/document?collection=statutes-legislation&amp;id=urn:contentItem:5SSC-B390-004F-J2KY-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HKX0-003B-S43T-00000-00&amp;context=" TargetMode="External" /><Relationship Id="rId51" Type="http://schemas.openxmlformats.org/officeDocument/2006/relationships/hyperlink" Target="https://advance.lexis.com/api/document?collection=cases&amp;id=urn:contentItem:3S4X-GM70-003B-S0Y9-00000-00&amp;context=" TargetMode="External" /><Relationship Id="rId52" Type="http://schemas.openxmlformats.org/officeDocument/2006/relationships/hyperlink" Target="https://advance.lexis.com/api/document?collection=cases&amp;id=urn:contentItem:4968-0920-0038-X2P1-00000-00&amp;context=" TargetMode="External" /><Relationship Id="rId53" Type="http://schemas.openxmlformats.org/officeDocument/2006/relationships/hyperlink" Target="https://advance.lexis.com/api/document?collection=cases&amp;id=urn:contentItem:3W54-0TR0-0038-X2TY-00000-00&amp;context=" TargetMode="External" /><Relationship Id="rId54" Type="http://schemas.openxmlformats.org/officeDocument/2006/relationships/hyperlink" Target="https://advance.lexis.com/api/document?collection=cases&amp;id=urn:contentItem:464H-CRV0-004C-2007-00000-00&amp;context=" TargetMode="External" /><Relationship Id="rId55" Type="http://schemas.openxmlformats.org/officeDocument/2006/relationships/hyperlink" Target="https://advance.lexis.com/api/document?collection=statutes-legislation&amp;id=urn:contentItem:4YF7-GJJ1-NRF4-41GV-00000-00&amp;context=" TargetMode="External" /><Relationship Id="rId56" Type="http://schemas.openxmlformats.org/officeDocument/2006/relationships/hyperlink" Target="https://advance.lexis.com/api/document?collection=cases&amp;id=urn:contentItem:3S4X-32B0-001B-K53S-00000-00&amp;context=" TargetMode="External" /><Relationship Id="rId57" Type="http://schemas.openxmlformats.org/officeDocument/2006/relationships/hyperlink" Target="https://advance.lexis.com/api/document?collection=cases&amp;id=urn:contentItem:5PMW-SPN1-F04D-W2GM-00000-00&amp;context=" TargetMode="External" /><Relationship Id="rId58" Type="http://schemas.openxmlformats.org/officeDocument/2006/relationships/hyperlink" Target="https://advance.lexis.com/api/document?collection=cases&amp;id=urn:contentItem:5566-KC81-F04K-S0H1-00000-00&amp;context=" TargetMode="External" /><Relationship Id="rId59" Type="http://schemas.openxmlformats.org/officeDocument/2006/relationships/hyperlink" Target="https://advance.lexis.com/api/document?collection=cases&amp;id=urn:contentItem:3S42-78G0-003B-R3NM-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WN4-FXW0-TXFX-81S4-00000-00&amp;context=" TargetMode="External" /><Relationship Id="rId61" Type="http://schemas.openxmlformats.org/officeDocument/2006/relationships/hyperlink" Target="https://advance.lexis.com/api/document?collection=cases&amp;id=urn:contentItem:3S4X-B360-0039-N4J9-00000-00&amp;context=" TargetMode="External" /><Relationship Id="rId62" Type="http://schemas.openxmlformats.org/officeDocument/2006/relationships/hyperlink" Target="https://advance.lexis.com/api/document?collection=cases&amp;id=urn:contentItem:5FGV-VSG1-F04K-P09K-00000-00&amp;context=" TargetMode="External" /><Relationship Id="rId63" Type="http://schemas.openxmlformats.org/officeDocument/2006/relationships/hyperlink" Target="https://advance.lexis.com/api/document?collection=cases&amp;id=urn:contentItem:57DV-0J21-F04K-V2VV-00000-00&amp;context=" TargetMode="External" /><Relationship Id="rId64" Type="http://schemas.openxmlformats.org/officeDocument/2006/relationships/hyperlink" Target="https://advance.lexis.com/api/document?collection=statutes-legislation&amp;id=urn:contentItem:4YF7-GKD1-NRF4-455Y-00000-00&amp;context=" TargetMode="External" /><Relationship Id="rId65"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PS6-V5C1-J9X6-H54H-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RPR-GPW0-003C-P013-00000-00&amp;context=" TargetMode="External" /><Relationship Id="rId10" Type="http://schemas.openxmlformats.org/officeDocument/2006/relationships/hyperlink" Target="https://advance.lexis.com/api/document?collection=cases&amp;id=urn:contentItem:4WN1-X150-TXFP-T25K-00000-00&amp;context=" TargetMode="External" /><Relationship Id="rId11" Type="http://schemas.openxmlformats.org/officeDocument/2006/relationships/hyperlink" Target="https://advance.lexis.com/api/document?collection=cases&amp;id=urn:contentItem:3S42-78G0-003B-R3NM-00000-00&amp;context=" TargetMode="External" /><Relationship Id="rId12" Type="http://schemas.openxmlformats.org/officeDocument/2006/relationships/hyperlink" Target="https://advance.lexis.com/api/document?collection=cases&amp;id=urn:contentItem:7Y91-K7V0-YB0V-9001-00000-00&amp;context=" TargetMode="External" /><Relationship Id="rId13" Type="http://schemas.openxmlformats.org/officeDocument/2006/relationships/hyperlink" Target="https://advance.lexis.com/api/document?collection=statutes-legislation&amp;id=urn:contentItem:4YF7-GTK1-NRF4-43H3-00000-00&amp;context=" TargetMode="External" /><Relationship Id="rId14" Type="http://schemas.openxmlformats.org/officeDocument/2006/relationships/hyperlink" Target="https://advance.lexis.com/api/document?collection=cases&amp;id=urn:contentItem:5CTV-WSC1-F04D-13NK-00000-00&amp;context=" TargetMode="External" /><Relationship Id="rId15" Type="http://schemas.openxmlformats.org/officeDocument/2006/relationships/hyperlink" Target="https://advance.lexis.com/api/document?collection=cases&amp;id=urn:contentItem:5GFF-TD51-F04D-20RN-00000-00&amp;context=" TargetMode="External" /><Relationship Id="rId2" Type="http://schemas.openxmlformats.org/officeDocument/2006/relationships/hyperlink" Target="https://advance.lexis.com/api/document?collection=cases&amp;id=urn:contentItem:3RRR-24C0-003C-N139-00000-00&amp;context=" TargetMode="External" /><Relationship Id="rId3" Type="http://schemas.openxmlformats.org/officeDocument/2006/relationships/hyperlink" Target="https://advance.lexis.com/api/document?collection=cases&amp;id=urn:contentItem:3RRR-2CB0-003C-N2BD-00000-00&amp;context=" TargetMode="External" /><Relationship Id="rId4" Type="http://schemas.openxmlformats.org/officeDocument/2006/relationships/hyperlink" Target="https://advance.lexis.com/api/document?collection=cases&amp;id=urn:contentItem:3S6R-8R50-0039-43MP-00000-00&amp;context=" TargetMode="External" /><Relationship Id="rId5" Type="http://schemas.openxmlformats.org/officeDocument/2006/relationships/hyperlink" Target="https://advance.lexis.com/api/document?collection=cases&amp;id=urn:contentItem:3RTX-3T40-006F-M3G1-00000-00&amp;context=" TargetMode="External" /><Relationship Id="rId6" Type="http://schemas.openxmlformats.org/officeDocument/2006/relationships/hyperlink" Target="https://advance.lexis.com/api/document?collection=statutes-legislation&amp;id=urn:contentItem:5GYC-1WP1-6N19-F0YT-00000-00&amp;context=" TargetMode="External" /><Relationship Id="rId7" Type="http://schemas.openxmlformats.org/officeDocument/2006/relationships/hyperlink" Target="https://advance.lexis.com/api/document?collection=statutes-legislation&amp;id=urn:contentItem:5SSC-B390-004F-J2KY-00000-00&amp;context=" TargetMode="External" /><Relationship Id="rId8" Type="http://schemas.openxmlformats.org/officeDocument/2006/relationships/hyperlink" Target="https://advance.lexis.com/api/document?collection=statutes-legislation&amp;id=urn:contentItem:4YF7-GMG1-NRF4-44WX-00000-00&amp;context=" TargetMode="External" /><Relationship Id="rId9" Type="http://schemas.openxmlformats.org/officeDocument/2006/relationships/hyperlink" Target="https://advance.lexis.com/api/document?collection=cases&amp;id=urn:contentItem:5FGV-VSG1-F04K-P09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Castro v. Sanofi Pasteur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71542862</vt:lpwstr>
  </property>
  <property fmtid="{D5CDD505-2E9C-101B-9397-08002B2CF9AE}" pid="3" name="LADocCount">
    <vt:lpwstr>1</vt:lpwstr>
  </property>
  <property fmtid="{D5CDD505-2E9C-101B-9397-08002B2CF9AE}" pid="4" name="UserPermID">
    <vt:lpwstr>urn:user:PA185916758</vt:lpwstr>
  </property>
</Properties>
</file>