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City of San Jose v. Office of the Comm'r of Baseball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2014, Argued and Submitted, San Francisco, California; January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14-15139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776 F.3d 686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675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P79,024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178358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SAN JOSE; CITY OF SAN JOSE AS SUCCESSOR AGENCY TO THE REDEVELOPMENT AGENCY OF THE CITY OF SAN JOSE; THE SAN JOSE DIRIDON DEVELOPMENT AUTHORITY, Plaintiffs-Appellants, v. OFFICE OF THE COMMISSIONER OF BASEBALL, an unincorporated association, DBA Major League Baseball; ALLAN HUBER SELIG, "Bud,"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City of San Jose v. Office of the Comm'r of Baseball, 136 S. Ct. 36, 193 L. Ed. 2d 25, 2015 U.S. LEXIS 5153 (U.S., Oct. 5, 2015)</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5:13-cv-02787-RMW. Ronald M. Whyte, Senior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City of San Jos v. Office of the Comm'r of Baseball, 2013 U.S. Dist. LEXIS 147543 (N.D. Cal., Oct. 11, 2013)</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baseball, exemption, franchise, relocation,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league,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acquiescence, professional baseball, territory, baseball game</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ISSUE: Whether the baseball exemption applied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relating to the relocation of a major league baseball franchise. HOLDINGS: [1]-Congress passed the Curt Flood Act, which withdrew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with respect to the reserve clause and other labor issues, but explicitly maintained it for franchise relocation in </w:t>
      </w:r>
      <w:hyperlink r:id="rId12" w:history="1">
        <w:r>
          <w:rPr>
            <w:rFonts w:ascii="arial" w:eastAsia="arial" w:hAnsi="arial" w:cs="arial"/>
            <w:b w:val="0"/>
            <w:i/>
            <w:strike w:val="0"/>
            <w:noProof w:val="0"/>
            <w:color w:val="0077CC"/>
            <w:position w:val="0"/>
            <w:sz w:val="20"/>
            <w:u w:val="single"/>
            <w:vertAlign w:val="baseline"/>
          </w:rPr>
          <w:t>15 U.S.C.S. § 26b(b)(3)</w:t>
        </w:r>
      </w:hyperlink>
      <w:r>
        <w:rPr>
          <w:rFonts w:ascii="arial" w:eastAsia="arial" w:hAnsi="arial" w:cs="arial"/>
          <w:b w:val="0"/>
          <w:i w:val="0"/>
          <w:strike w:val="0"/>
          <w:noProof w:val="0"/>
          <w:color w:val="000000"/>
          <w:position w:val="0"/>
          <w:sz w:val="20"/>
          <w:u w:val="none"/>
          <w:vertAlign w:val="baseline"/>
        </w:rPr>
        <w:t>; [2]-</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Major League Baseball's franchise relocation policies were precluded because they related to the business of providing public baseball games for profit between clubs of professional baseball players. Accordingly, dismissal of a city's claims under the Sherman and Clayton Acts was appropriate; [3]-The city's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necessarily fell with its federal claims; [4]-An independent claim under California's unfair competition law was barred so long as Major League Baseball's activities were lawful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An appellate court will review de novo.</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The federal Sherman Act has no application to the business of giving exhibitions of baseball because such exhibitions are a purely state affair.</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The business of providing public baseball games for profit between clubs of professional baseball players is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The caselaw has upheld the baseball exemption for two fundamental reasons: (1) fidelity to the principle of stare decisis and the concomitant aversion to disturbing reliance interests created by the exemption; and (2) the apparent acquiescence of Congress in the holdings of Federal Baseball and Toolson.</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Under the baseball exemption, a court has rejected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is wholly unrelated to the reserve clause.</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The caselaw clearly extends the baseball exemption to the entire business of providing public baseball games for profit between clubs of professional baseball players.</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Restrictions on franchise relocation relate to the business of providing public baseball games for profit between clubs of professional baseball players. The designation of franchises to particular geographic territories is Major League Baseball's basic organizing principle. Limitations on franchise relocation are designed to ensure access to baseball games for a broad range of markets and to safeguard the profitability—and thus viability—of each ball club. Interfering with franchise relocation rules therefore indisputably interferes with the public exhibition of professional baseball.</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Congress has passed the Curt Flood Act, which withdraws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with respect to the reserve clause and other labor issues, but explicitly maintains it for franchise relocation. </w:t>
      </w:r>
      <w:hyperlink r:id="rId12" w:history="1">
        <w:r>
          <w:rPr>
            <w:rFonts w:ascii="arial" w:eastAsia="arial" w:hAnsi="arial" w:cs="arial"/>
            <w:b w:val="0"/>
            <w:i/>
            <w:strike w:val="0"/>
            <w:noProof w:val="0"/>
            <w:color w:val="0077CC"/>
            <w:position w:val="0"/>
            <w:sz w:val="20"/>
            <w:u w:val="single"/>
            <w:vertAlign w:val="baseline"/>
          </w:rPr>
          <w:t>15 U.S.C.S. § 26b(b)(3)</w:t>
        </w:r>
      </w:hyperlink>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15 U.S.C.S. § 26b(b)(3)</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In an ordinary case, congressional inaction lacks persuasive significance because several equally tenable inferences may be drawn from such inaction. But when Congress specifically legislates in a field and explicitly exempts an issue from that legislation, a court's ability to infer congressional intent to leave that issue undisturbed is at its apex.</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Major League Baseball's franchise relocation policies are in the heartland of those precluded by Flood's rationale.</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Baseball is an exception to the normal rule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constitute an impermissible end run around the baseball exemption.</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Under California law, if the same conduct is alleged to be both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an unfair business act or practice for the same reason—because it unreasonably restrains competition and harms consumers—the determination that the conduct is not an unreasonable restraint of trade necessarily implies that the conduct is not unfair toward consumers.</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 xml:space="preserve">Unlike U.S. Const. art. III standing, the question of standing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go to subject matter jurisdiction, and thus need not be considered before addressing the merits.</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The scope of the holding in Flood plainly extends to questions of franchise relocation.</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Creation &amp; Organization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Congress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 xml:space="preserve">Only Congress and the U.S. Supreme Court are empowered to question Flood's continued vitality, and with it, the fate of baseball's singular and historic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bookmarkStart w:id="48" w:name="Summary"/>
      <w:bookmarkEnd w:id="48"/>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49" w:name="Bookmark_clspara_5"/>
      <w:bookmarkEnd w:id="49"/>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51" w:name="Bookmark_clspara_6"/>
      <w:bookmarkEnd w:id="51"/>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 Baseball Exemption</w:t>
      </w:r>
    </w:p>
    <w:p>
      <w:pPr>
        <w:keepNext w:val="0"/>
        <w:widowControl w:val="0"/>
        <w:spacing w:before="240" w:after="0" w:line="260" w:lineRule="atLeast"/>
        <w:ind w:left="0" w:right="0" w:firstLine="0"/>
        <w:jc w:val="both"/>
      </w:pPr>
      <w:bookmarkStart w:id="52" w:name="Bookmark_clspara_7"/>
      <w:bookmarkEnd w:id="52"/>
      <w:r>
        <w:rPr>
          <w:rFonts w:ascii="arial" w:eastAsia="arial" w:hAnsi="arial" w:cs="arial"/>
          <w:b w:val="0"/>
          <w:i w:val="0"/>
          <w:strike w:val="0"/>
          <w:noProof w:val="0"/>
          <w:color w:val="000000"/>
          <w:position w:val="0"/>
          <w:sz w:val="20"/>
          <w:u w:val="none"/>
          <w:vertAlign w:val="baseline"/>
        </w:rPr>
        <w:t xml:space="preserve">The panel affirmed the district court's dismissal of the City of San Jose's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regarding the Office of the Commissioner of Baseball's delay in deciding whether to approve the Oakland Athletics' move to San Jose, which is within the exclusive operating territory of the San Francisco Giants.</w:t>
      </w:r>
    </w:p>
    <w:p>
      <w:pPr>
        <w:keepNext w:val="0"/>
        <w:widowControl w:val="0"/>
        <w:spacing w:before="240" w:after="0" w:line="260" w:lineRule="atLeast"/>
        <w:ind w:left="0" w:right="0" w:firstLine="0"/>
        <w:jc w:val="both"/>
      </w:pPr>
      <w:bookmarkStart w:id="53" w:name="Bookmark_clspara_8"/>
      <w:bookmarkEnd w:id="53"/>
      <w:r>
        <w:rPr>
          <w:rFonts w:ascii="arial" w:eastAsia="arial" w:hAnsi="arial" w:cs="arial"/>
          <w:b w:val="0"/>
          <w:i w:val="0"/>
          <w:strike w:val="0"/>
          <w:noProof w:val="0"/>
          <w:color w:val="000000"/>
          <w:position w:val="0"/>
          <w:sz w:val="20"/>
          <w:u w:val="none"/>
          <w:vertAlign w:val="baseline"/>
        </w:rPr>
        <w:t xml:space="preserve">The panel held that the baseball industry's historic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upheld in </w:t>
      </w:r>
      <w:hyperlink r:id="rId31" w:history="1">
        <w:r>
          <w:rPr>
            <w:rFonts w:ascii="arial" w:eastAsia="arial" w:hAnsi="arial" w:cs="arial"/>
            <w:b w:val="0"/>
            <w:i/>
            <w:strike w:val="0"/>
            <w:noProof w:val="0"/>
            <w:color w:val="0077CC"/>
            <w:position w:val="0"/>
            <w:sz w:val="20"/>
            <w:u w:val="single"/>
            <w:vertAlign w:val="baseline"/>
          </w:rPr>
          <w:t>Flood v. Kuhn</w:t>
        </w:r>
      </w:hyperlink>
      <w:hyperlink r:id="rId31" w:history="1">
        <w:r>
          <w:rPr>
            <w:rFonts w:ascii="arial" w:eastAsia="arial" w:hAnsi="arial" w:cs="arial"/>
            <w:b w:val="0"/>
            <w:i/>
            <w:strike w:val="0"/>
            <w:noProof w:val="0"/>
            <w:color w:val="0077CC"/>
            <w:position w:val="0"/>
            <w:sz w:val="20"/>
            <w:u w:val="single"/>
            <w:vertAlign w:val="baseline"/>
          </w:rPr>
          <w:t>, 407 U.S. 258, 92 S. Ct. 2099, 32 L. Ed. 2d 728 (1972)</w:t>
        </w:r>
      </w:hyperlink>
      <w:r>
        <w:rPr>
          <w:rFonts w:ascii="arial" w:eastAsia="arial" w:hAnsi="arial" w:cs="arial"/>
          <w:b w:val="0"/>
          <w:i w:val="0"/>
          <w:strike w:val="0"/>
          <w:noProof w:val="0"/>
          <w:color w:val="000000"/>
          <w:position w:val="0"/>
          <w:sz w:val="20"/>
          <w:u w:val="none"/>
          <w:vertAlign w:val="baseline"/>
        </w:rPr>
        <w:t xml:space="preserve">, barred San Jose's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regarding franchise relocation under the Sherman and Clayton Acts and state law. The panel held that under </w:t>
      </w:r>
      <w:hyperlink r:id="rId32" w:history="1">
        <w:r>
          <w:rPr>
            <w:rFonts w:ascii="arial" w:eastAsia="arial" w:hAnsi="arial" w:cs="arial"/>
            <w:b w:val="0"/>
            <w:i/>
            <w:strike w:val="0"/>
            <w:noProof w:val="0"/>
            <w:color w:val="0077CC"/>
            <w:position w:val="0"/>
            <w:sz w:val="20"/>
            <w:u w:val="single"/>
            <w:vertAlign w:val="baseline"/>
          </w:rPr>
          <w:t>Portland Baseball Club, Inc. v. Kuhn</w:t>
        </w:r>
      </w:hyperlink>
      <w:hyperlink r:id="rId32" w:history="1">
        <w:r>
          <w:rPr>
            <w:rFonts w:ascii="arial" w:eastAsia="arial" w:hAnsi="arial" w:cs="arial"/>
            <w:b w:val="0"/>
            <w:i/>
            <w:strike w:val="0"/>
            <w:noProof w:val="0"/>
            <w:color w:val="0077CC"/>
            <w:position w:val="0"/>
            <w:sz w:val="20"/>
            <w:u w:val="single"/>
            <w:vertAlign w:val="baseline"/>
          </w:rPr>
          <w:t>, 491 F.2d 1101 (9th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is not limited to baseball's "reserve clause." Rather,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Major League Baseball's franchise relocation policies are in the heartland of those precluded by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s rationale.</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Joseph W. Cotchett (argued), Philip L. Gregory (argued), Frank C. Damrell, Jr., Anne Marie Murphy, Camilo Artiga-Purcell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Cotchett, Pitre &amp; McCarthy, LLP, Burlingame, California, and Richard Doyle, Nora Frimann of the Office of the City Attorney, San Jose, California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 Keker (argued), Paula L. Blizzard, R. Adam Lauridsen, Thomas E. Gorman of Keker &amp; Van Nest LLP, San Francisco, California, and Bradley I. Ruskin of Proskauer Rose LLP, New York, New York, and Scott P. Cooper, Sarah Kroll-Rosenbaum, Jennifer L. Roche, Shawn S. Ledingham, Jr. of Proskauer Rose LLP, Los Angeles, California for Appellees.</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Alex Kozinski, Barry G. Silvermanand Richard R. Clifton, Circuit Judges. Opinion by Judge Kozinski.</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Alex Kozinski</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8" w:name="Bookmark_para_2"/>
      <w:bookmarkEnd w:id="58"/>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KOZINSKI, Circuit Judge:</w:t>
      </w:r>
    </w:p>
    <w:p>
      <w:pPr>
        <w:keepNext w:val="0"/>
        <w:widowControl w:val="0"/>
        <w:spacing w:before="200" w:after="0" w:line="260" w:lineRule="atLeast"/>
        <w:ind w:left="0" w:right="0" w:firstLine="0"/>
        <w:jc w:val="both"/>
      </w:pPr>
      <w:bookmarkStart w:id="59" w:name="Bookmark_para_3"/>
      <w:bookmarkEnd w:id="59"/>
      <w:r>
        <w:rPr>
          <w:rFonts w:ascii="arial" w:eastAsia="arial" w:hAnsi="arial" w:cs="arial"/>
          <w:b w:val="0"/>
          <w:i w:val="0"/>
          <w:strike w:val="0"/>
          <w:noProof w:val="0"/>
          <w:color w:val="000000"/>
          <w:position w:val="0"/>
          <w:sz w:val="20"/>
          <w:u w:val="none"/>
          <w:vertAlign w:val="baseline"/>
        </w:rPr>
        <w:t xml:space="preserve">The City of San Jose steps up to the plate to challenge the baseball industry's 92-year old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joins the long line of litigants that have sought to overturn one of federal law's most enduring anomalies.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60" w:name="Bookmark_para_4"/>
      <w:bookmarkEnd w:id="60"/>
      <w:r>
        <w:rPr>
          <w:rFonts w:ascii="arial" w:eastAsia="arial" w:hAnsi="arial" w:cs="arial"/>
          <w:b w:val="0"/>
          <w:i w:val="0"/>
          <w:strike w:val="0"/>
          <w:noProof w:val="0"/>
          <w:color w:val="000000"/>
          <w:position w:val="0"/>
          <w:sz w:val="20"/>
          <w:u w:val="none"/>
          <w:vertAlign w:val="baseline"/>
        </w:rPr>
        <w:t>Major League Baseball's (MLB)</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constitution requires that each of the league's 30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member clubs play their home games within a designated operating territory. For the Oakland Athletics, that territory is comprised of two California counties: Alameda and Contra Costa. Faced with dwindling attendance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revenue, the Athletics want to move to San Jose, which they consider a more profitable venue. But there's a snag: San Jose falls within the exclusive operating territory of the San Francisco Giants, and relocation to another franchise's territory is prohibited unless approved by at least three-quarters of MLB's clubs.</w:t>
      </w:r>
    </w:p>
    <w:p>
      <w:pPr>
        <w:keepNext w:val="0"/>
        <w:widowControl w:val="0"/>
        <w:spacing w:before="200" w:after="0" w:line="260" w:lineRule="atLeast"/>
        <w:ind w:left="0" w:right="0" w:firstLine="0"/>
        <w:jc w:val="both"/>
      </w:pPr>
      <w:bookmarkStart w:id="62" w:name="Bookmark_para_5"/>
      <w:bookmarkEnd w:id="62"/>
      <w:r>
        <w:rPr>
          <w:rFonts w:ascii="arial" w:eastAsia="arial" w:hAnsi="arial" w:cs="arial"/>
          <w:b w:val="0"/>
          <w:i w:val="0"/>
          <w:strike w:val="0"/>
          <w:noProof w:val="0"/>
          <w:color w:val="000000"/>
          <w:position w:val="0"/>
          <w:sz w:val="20"/>
          <w:u w:val="none"/>
          <w:vertAlign w:val="baseline"/>
        </w:rPr>
        <w:t>MLB has not rushed to grant this approval. In 2009, MLB established a "special Relocation Committee" to investigate the implications of the move for the league, but four years later the committee was "still at work," with no resolution in sight. In the meantime, the Athletics moved forward with their plan to build a stadium in San Jose by entering into an option agreement with the city that gave them the right to purchase six parcels of land the city had set aside.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But, because MLB hadn't yet approved the move, the Athletics were unable to perform on the agreement, and the land sat idle.</w:t>
      </w:r>
    </w:p>
    <w:p>
      <w:pPr>
        <w:keepNext w:val="0"/>
        <w:widowControl w:val="0"/>
        <w:spacing w:before="240" w:after="0" w:line="260" w:lineRule="atLeast"/>
        <w:ind w:left="0" w:right="0" w:firstLine="0"/>
        <w:jc w:val="both"/>
      </w:pPr>
      <w:bookmarkStart w:id="63" w:name="Bookmark_para_6"/>
      <w:bookmarkEnd w:id="63"/>
      <w:bookmarkStart w:id="64" w:name="Bookmark_I5F867KV2HM6NM0020000400"/>
      <w:bookmarkEnd w:id="64"/>
      <w:r>
        <w:rPr>
          <w:rFonts w:ascii="arial" w:eastAsia="arial" w:hAnsi="arial" w:cs="arial"/>
          <w:b w:val="0"/>
          <w:i w:val="0"/>
          <w:strike w:val="0"/>
          <w:noProof w:val="0"/>
          <w:color w:val="000000"/>
          <w:position w:val="0"/>
          <w:sz w:val="20"/>
          <w:u w:val="none"/>
          <w:vertAlign w:val="baseline"/>
        </w:rPr>
        <w:t xml:space="preserve">Believing that the delay was MLB's attempt to stymie the relocation and preserve the Giants' local monopoly, San Jose filed suit. It alleged violations of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California's consumer protection statute and of California tort law. Relying on the baseball industry's historic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district court granted MLB's motion to dismiss on all but the tort claims.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San Jose appeals, arguing that the baseball exemption does not apply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relating to franchise relocation. </w:t>
      </w:r>
      <w:bookmarkStart w:id="66" w:name="Bookmark_LNHNREFclscc1"/>
      <w:bookmarkEnd w:id="66"/>
      <w:hyperlink r:id="rId3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We review de novo. </w:t>
      </w:r>
      <w:r>
        <w:rPr>
          <w:rFonts w:ascii="arial" w:eastAsia="arial" w:hAnsi="arial" w:cs="arial"/>
          <w:b w:val="0"/>
          <w:i/>
          <w:strike w:val="0"/>
          <w:noProof w:val="0"/>
          <w:color w:val="000000"/>
          <w:position w:val="0"/>
          <w:sz w:val="20"/>
          <w:u w:val="none"/>
          <w:vertAlign w:val="baseline"/>
        </w:rPr>
        <w:t xml:space="preserve">See </w:t>
      </w:r>
      <w:bookmarkStart w:id="67" w:name="Bookmark_I5F867KV2HM6NM0010000400"/>
      <w:bookmarkEnd w:id="67"/>
      <w:hyperlink r:id="rId35" w:history="1">
        <w:r>
          <w:rPr>
            <w:rFonts w:ascii="arial" w:eastAsia="arial" w:hAnsi="arial" w:cs="arial"/>
            <w:b w:val="0"/>
            <w:i/>
            <w:strike w:val="0"/>
            <w:noProof w:val="0"/>
            <w:color w:val="0077CC"/>
            <w:position w:val="0"/>
            <w:sz w:val="20"/>
            <w:u w:val="single"/>
            <w:vertAlign w:val="baseline"/>
          </w:rPr>
          <w:t>Colony Cove Props., LLC v. City of Carson</w:t>
        </w:r>
      </w:hyperlink>
      <w:hyperlink r:id="rId35" w:history="1">
        <w:r>
          <w:rPr>
            <w:rFonts w:ascii="arial" w:eastAsia="arial" w:hAnsi="arial" w:cs="arial"/>
            <w:b w:val="0"/>
            <w:i/>
            <w:strike w:val="0"/>
            <w:noProof w:val="0"/>
            <w:color w:val="0077CC"/>
            <w:position w:val="0"/>
            <w:sz w:val="20"/>
            <w:u w:val="single"/>
            <w:vertAlign w:val="baseline"/>
          </w:rPr>
          <w:t>, 640 F.3d 948, 955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68" w:name="Bookmark_para_7"/>
      <w:bookmarkEnd w:id="68"/>
      <w:bookmarkStart w:id="69" w:name="Bookmark_I5F867KV2HM6NM0040000400"/>
      <w:bookmarkEnd w:id="69"/>
      <w:r>
        <w:rPr>
          <w:rFonts w:ascii="arial" w:eastAsia="arial" w:hAnsi="arial" w:cs="arial"/>
          <w:b w:val="0"/>
          <w:i w:val="0"/>
          <w:strike w:val="0"/>
          <w:noProof w:val="0"/>
          <w:color w:val="000000"/>
          <w:position w:val="0"/>
          <w:sz w:val="20"/>
          <w:u w:val="none"/>
          <w:vertAlign w:val="baseline"/>
        </w:rPr>
        <w:t xml:space="preserve">Our analysis is governed by three Supreme Court cases decided over the course of half a century; taken together, they set the scope of baseball's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Stuart Banner, </w:t>
      </w:r>
      <w:r>
        <w:rPr>
          <w:rFonts w:ascii="arial" w:eastAsia="arial" w:hAnsi="arial" w:cs="arial"/>
          <w:b w:val="0"/>
          <w:i/>
          <w:strike w:val="0"/>
          <w:noProof w:val="0"/>
          <w:color w:val="000000"/>
          <w:position w:val="0"/>
          <w:sz w:val="20"/>
          <w:u w:val="none"/>
          <w:vertAlign w:val="baseline"/>
        </w:rPr>
        <w:t xml:space="preserve">The Baseball Trust: A History of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Exemption</w:t>
      </w:r>
      <w:r>
        <w:rPr>
          <w:rFonts w:ascii="arial" w:eastAsia="arial" w:hAnsi="arial" w:cs="arial"/>
          <w:b w:val="0"/>
          <w:i w:val="0"/>
          <w:strike w:val="0"/>
          <w:noProof w:val="0"/>
          <w:color w:val="000000"/>
          <w:position w:val="0"/>
          <w:sz w:val="20"/>
          <w:u w:val="none"/>
          <w:vertAlign w:val="baseline"/>
        </w:rPr>
        <w:t xml:space="preserve"> (2013). First, in </w:t>
      </w:r>
      <w:bookmarkStart w:id="70" w:name="Bookmark_I5F867KV2HM6NM0030000400"/>
      <w:bookmarkEnd w:id="70"/>
      <w:hyperlink r:id="rId36" w:history="1">
        <w:r>
          <w:rPr>
            <w:rFonts w:ascii="arial" w:eastAsia="arial" w:hAnsi="arial" w:cs="arial"/>
            <w:b w:val="0"/>
            <w:i/>
            <w:strike w:val="0"/>
            <w:noProof w:val="0"/>
            <w:color w:val="0077CC"/>
            <w:position w:val="0"/>
            <w:sz w:val="20"/>
            <w:u w:val="single"/>
            <w:vertAlign w:val="baseline"/>
          </w:rPr>
          <w:t>Federal Baseball Club of Baltimore v. National League of Professional Baseball Clubs</w:t>
        </w:r>
      </w:hyperlink>
      <w:hyperlink r:id="rId36" w:history="1">
        <w:r>
          <w:rPr>
            <w:rFonts w:ascii="arial" w:eastAsia="arial" w:hAnsi="arial" w:cs="arial"/>
            <w:b w:val="0"/>
            <w:i/>
            <w:strike w:val="0"/>
            <w:noProof w:val="0"/>
            <w:color w:val="0077CC"/>
            <w:position w:val="0"/>
            <w:sz w:val="20"/>
            <w:u w:val="single"/>
            <w:vertAlign w:val="baseline"/>
          </w:rPr>
          <w:t>, 259 U.S. 200, 42 S. Ct. 465, 66 L. Ed. 898, 20 Ohio L. Rep. 211 (1922)</w:t>
        </w:r>
      </w:hyperlink>
      <w:r>
        <w:rPr>
          <w:rFonts w:ascii="arial" w:eastAsia="arial" w:hAnsi="arial" w:cs="arial"/>
          <w:b w:val="0"/>
          <w:i w:val="0"/>
          <w:strike w:val="0"/>
          <w:noProof w:val="0"/>
          <w:color w:val="000000"/>
          <w:position w:val="0"/>
          <w:sz w:val="20"/>
          <w:u w:val="none"/>
          <w:vertAlign w:val="baseline"/>
        </w:rPr>
        <w:t>, the Court, reflecting the era's soon-to-be-outmoded interpretation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held that </w:t>
      </w:r>
      <w:bookmarkStart w:id="71" w:name="Bookmark_LNHNREFclscc2"/>
      <w:bookmarkEnd w:id="71"/>
      <w:hyperlink r:id="rId3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Sherman Act had no application to the "business [of] giving exhibitions of base ball" because such "exhibitions" are a "purely state affair[]." </w:t>
      </w:r>
      <w:bookmarkStart w:id="72" w:name="Bookmark_I5F867KV2HM6NM0050000400"/>
      <w:bookmarkEnd w:id="7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at 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8"/>
      <w:bookmarkEnd w:id="73"/>
      <w:bookmarkStart w:id="74" w:name="Bookmark_I5F867KV2HM6NN0030000400"/>
      <w:bookmarkEnd w:id="74"/>
      <w:bookmarkStart w:id="75" w:name="Bookmark_I5F867KV2HM6NN0050000400"/>
      <w:bookmarkEnd w:id="75"/>
      <w:r>
        <w:rPr>
          <w:rFonts w:ascii="arial" w:eastAsia="arial" w:hAnsi="arial" w:cs="arial"/>
          <w:b w:val="0"/>
          <w:i w:val="0"/>
          <w:strike w:val="0"/>
          <w:noProof w:val="0"/>
          <w:color w:val="000000"/>
          <w:position w:val="0"/>
          <w:sz w:val="20"/>
          <w:u w:val="none"/>
          <w:vertAlign w:val="baseline"/>
        </w:rPr>
        <w:t xml:space="preserve">Next up, in </w:t>
      </w:r>
      <w:bookmarkStart w:id="76" w:name="Bookmark_I5F867KV2HM6NN0020000400"/>
      <w:bookmarkEnd w:id="76"/>
      <w:hyperlink r:id="rId38" w:history="1">
        <w:r>
          <w:rPr>
            <w:rFonts w:ascii="arial" w:eastAsia="arial" w:hAnsi="arial" w:cs="arial"/>
            <w:b w:val="0"/>
            <w:i/>
            <w:strike w:val="0"/>
            <w:noProof w:val="0"/>
            <w:color w:val="0077CC"/>
            <w:position w:val="0"/>
            <w:sz w:val="20"/>
            <w:u w:val="single"/>
            <w:vertAlign w:val="baseline"/>
          </w:rPr>
          <w:t>Toolson v. New York Yankees, Inc</w:t>
        </w:r>
      </w:hyperlink>
      <w:hyperlink r:id="rId38" w:history="1">
        <w:r>
          <w:rPr>
            <w:rFonts w:ascii="arial" w:eastAsia="arial" w:hAnsi="arial" w:cs="arial"/>
            <w:b w:val="0"/>
            <w:i/>
            <w:strike w:val="0"/>
            <w:noProof w:val="0"/>
            <w:color w:val="0077CC"/>
            <w:position w:val="0"/>
            <w:sz w:val="20"/>
            <w:u w:val="single"/>
            <w:vertAlign w:val="baseline"/>
          </w:rPr>
          <w:t>., 346 U.S. 356, 74 S. Ct. 78, 98 L. Ed. 64 (1953)</w:t>
        </w:r>
      </w:hyperlink>
      <w:r>
        <w:rPr>
          <w:rFonts w:ascii="arial" w:eastAsia="arial" w:hAnsi="arial" w:cs="arial"/>
          <w:b w:val="0"/>
          <w:i w:val="0"/>
          <w:strike w:val="0"/>
          <w:noProof w:val="0"/>
          <w:color w:val="000000"/>
          <w:position w:val="0"/>
          <w:sz w:val="20"/>
          <w:u w:val="none"/>
          <w:vertAlign w:val="baseline"/>
        </w:rPr>
        <w:t xml:space="preserve">, the Court, in a short per curiam, affirmed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albeit on a different ground.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underpinning was no longer good law, but the Court recognized that "Congress [] had the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ruling under consideration [and had] not seen fit to bring [baseball]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legislation." </w:t>
      </w:r>
      <w:bookmarkStart w:id="77" w:name="Bookmark_I5F867KV2HM6NN0040000400"/>
      <w:bookmarkEnd w:id="7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357</w:t>
        </w:r>
      </w:hyperlink>
      <w:r>
        <w:rPr>
          <w:rFonts w:ascii="arial" w:eastAsia="arial" w:hAnsi="arial" w:cs="arial"/>
          <w:b w:val="0"/>
          <w:i w:val="0"/>
          <w:strike w:val="0"/>
          <w:noProof w:val="0"/>
          <w:color w:val="000000"/>
          <w:position w:val="0"/>
          <w:sz w:val="20"/>
          <w:u w:val="none"/>
          <w:vertAlign w:val="baseline"/>
        </w:rPr>
        <w:t xml:space="preserve">. As such, "[t]he business [was] left for thirty years to develop, on the understanding that it was not subject to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and the Court determined that even if there were circumstances that "warrant[ed] application []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laws] should be [applied] by legislation."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"Without re-examination of the underlying issues," the Court reaffirmed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's central holding that </w:t>
      </w:r>
      <w:bookmarkStart w:id="78" w:name="Bookmark_LNHNREFclscc3"/>
      <w:bookmarkEnd w:id="78"/>
      <w:hyperlink r:id="rId3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business of providing public baseball games for profit between clubs of professional baseball players was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9"/>
      <w:bookmarkEnd w:id="79"/>
      <w:bookmarkStart w:id="80" w:name="Bookmark_I5F867KV28T4830020000400"/>
      <w:bookmarkEnd w:id="80"/>
      <w:bookmarkStart w:id="81" w:name="Bookmark_I5F867KV2N1RCG0010000400"/>
      <w:bookmarkEnd w:id="81"/>
      <w:bookmarkStart w:id="82" w:name="Bookmark_I5F867KV2N1RCG0030000400"/>
      <w:bookmarkEnd w:id="82"/>
      <w:r>
        <w:rPr>
          <w:rFonts w:ascii="arial" w:eastAsia="arial" w:hAnsi="arial" w:cs="arial"/>
          <w:b w:val="0"/>
          <w:i w:val="0"/>
          <w:strike w:val="0"/>
          <w:noProof w:val="0"/>
          <w:color w:val="000000"/>
          <w:position w:val="0"/>
          <w:sz w:val="20"/>
          <w:u w:val="none"/>
          <w:vertAlign w:val="baseline"/>
        </w:rPr>
        <w:t xml:space="preserve">Finally in </w:t>
      </w:r>
      <w:bookmarkStart w:id="83" w:name="Bookmark_I5F867KV28T4830010000400"/>
      <w:bookmarkEnd w:id="83"/>
      <w:hyperlink r:id="rId31" w:history="1">
        <w:r>
          <w:rPr>
            <w:rFonts w:ascii="arial" w:eastAsia="arial" w:hAnsi="arial" w:cs="arial"/>
            <w:b w:val="0"/>
            <w:i/>
            <w:strike w:val="0"/>
            <w:noProof w:val="0"/>
            <w:color w:val="0077CC"/>
            <w:position w:val="0"/>
            <w:sz w:val="20"/>
            <w:u w:val="single"/>
            <w:vertAlign w:val="baseline"/>
          </w:rPr>
          <w:t>Flood v. Kuhn</w:t>
        </w:r>
      </w:hyperlink>
      <w:hyperlink r:id="rId31" w:history="1">
        <w:r>
          <w:rPr>
            <w:rFonts w:ascii="arial" w:eastAsia="arial" w:hAnsi="arial" w:cs="arial"/>
            <w:b w:val="0"/>
            <w:i/>
            <w:strike w:val="0"/>
            <w:noProof w:val="0"/>
            <w:color w:val="0077CC"/>
            <w:position w:val="0"/>
            <w:sz w:val="20"/>
            <w:u w:val="single"/>
            <w:vertAlign w:val="baseline"/>
          </w:rPr>
          <w:t>, 407 U.S. 258, 92 S. Ct. 2099, 32 L. Ed. 2d 728 (1972)</w:t>
        </w:r>
      </w:hyperlink>
      <w:r>
        <w:rPr>
          <w:rFonts w:ascii="arial" w:eastAsia="arial" w:hAnsi="arial" w:cs="arial"/>
          <w:b w:val="0"/>
          <w:i w:val="0"/>
          <w:strike w:val="0"/>
          <w:noProof w:val="0"/>
          <w:color w:val="000000"/>
          <w:position w:val="0"/>
          <w:sz w:val="20"/>
          <w:u w:val="none"/>
          <w:vertAlign w:val="baseline"/>
        </w:rPr>
        <w:t>, the Court once again upheld the baseball exemption, this time in a lengthy, reasoned opinion.</w:t>
      </w:r>
      <w:r>
        <w:rPr>
          <w:rFonts w:ascii="arial" w:eastAsia="arial" w:hAnsi="arial" w:cs="arial"/>
          <w:b/>
          <w:i w:val="0"/>
          <w:strike w:val="0"/>
          <w:noProof w:val="0"/>
          <w:color w:val="000000"/>
          <w:position w:val="0"/>
          <w:sz w:val="20"/>
          <w:u w:val="none"/>
          <w:vertAlign w:val="baseline"/>
        </w:rPr>
        <w:t> [**6] </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 Court noted "the confusion and the retroactivity problems that inevitably would result with a judicial overturning of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again stated its "preference that if any change is to be made, it come by legislative action." </w:t>
      </w:r>
      <w:bookmarkStart w:id="86" w:name="Bookmark_I5F867KV28T4830030000400"/>
      <w:bookmarkEnd w:id="8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at 283</w:t>
        </w:r>
      </w:hyperlink>
      <w:r>
        <w:rPr>
          <w:rFonts w:ascii="arial" w:eastAsia="arial" w:hAnsi="arial" w:cs="arial"/>
          <w:b w:val="0"/>
          <w:i w:val="0"/>
          <w:strike w:val="0"/>
          <w:noProof w:val="0"/>
          <w:color w:val="000000"/>
          <w:position w:val="0"/>
          <w:sz w:val="20"/>
          <w:u w:val="none"/>
          <w:vertAlign w:val="baseline"/>
        </w:rPr>
        <w:t xml:space="preserve">. In particular, the Court stressed that Congress had acquiesced in the baseball exemption and thus "by its positive inaction . . . clearly evinced a desire not to disapprove [it] legislatively." </w:t>
      </w:r>
      <w:bookmarkStart w:id="87" w:name="Bookmark_I5F867KV28T4830050000400"/>
      <w:bookmarkEnd w:id="87"/>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at 283-84</w:t>
        </w:r>
      </w:hyperlink>
      <w:r>
        <w:rPr>
          <w:rFonts w:ascii="arial" w:eastAsia="arial" w:hAnsi="arial" w:cs="arial"/>
          <w:b w:val="0"/>
          <w:i w:val="0"/>
          <w:strike w:val="0"/>
          <w:noProof w:val="0"/>
          <w:color w:val="000000"/>
          <w:position w:val="0"/>
          <w:sz w:val="20"/>
          <w:u w:val="none"/>
          <w:vertAlign w:val="baseline"/>
        </w:rPr>
        <w:t xml:space="preserve">. </w:t>
      </w:r>
      <w:bookmarkStart w:id="88" w:name="Bookmark_LNHNREFclscc4"/>
      <w:bookmarkEnd w:id="88"/>
      <w:hyperlink r:id="rId4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and its progenitors, therefore, upheld the baseball exemption for two fundamental reasons: (1) fidelity to the principle of stare decisis and the concomitant aversion to disturbing reliance interests created by the exemption; and (2) Congress's apparent acquiescence in the holdings of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10"/>
      <w:bookmarkEnd w:id="89"/>
      <w:r>
        <w:rPr>
          <w:rFonts w:ascii="arial" w:eastAsia="arial" w:hAnsi="arial" w:cs="arial"/>
          <w:b w:val="0"/>
          <w:i w:val="0"/>
          <w:strike w:val="0"/>
          <w:noProof w:val="0"/>
          <w:color w:val="000000"/>
          <w:position w:val="0"/>
          <w:sz w:val="20"/>
          <w:u w:val="none"/>
          <w:vertAlign w:val="baseline"/>
        </w:rPr>
        <w:t xml:space="preserve">San Jose first argues that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applies only to baseball's "reserve clause"</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—the particular provision at issue in that case—and not to other facets of the baseball industry, like franchise relocation. In other words, San Jose urges that we limit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to its facts. </w:t>
      </w:r>
      <w:bookmarkStart w:id="91" w:name="Bookmark_I46XWSXFV6V000K7XRS00003"/>
      <w:bookmarkEnd w:id="91"/>
      <w:bookmarkStart w:id="92" w:name="Bookmark_I5F867KV2N1RCG0050000400"/>
      <w:bookmarkEnd w:id="92"/>
      <w:r>
        <w:rPr>
          <w:rFonts w:ascii="arial" w:eastAsia="arial" w:hAnsi="arial" w:cs="arial"/>
          <w:b w:val="0"/>
          <w:i w:val="0"/>
          <w:strike w:val="0"/>
          <w:noProof w:val="0"/>
          <w:color w:val="000000"/>
          <w:position w:val="0"/>
          <w:sz w:val="20"/>
          <w:u w:val="none"/>
          <w:vertAlign w:val="baseline"/>
        </w:rPr>
        <w:t xml:space="preserve">Such a drastic limitation on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's scope is foreclosed by our precedent. </w:t>
      </w:r>
      <w:bookmarkStart w:id="93" w:name="Bookmark_LNHNREFclscc5"/>
      <w:bookmarkEnd w:id="93"/>
      <w:hyperlink r:id="rId4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Under the baseball exemption, we have rejected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was wholly unrelated to the reserve clause. </w:t>
      </w:r>
      <w:bookmarkStart w:id="94" w:name="Bookmark_I5F867KV28T4840020000400"/>
      <w:bookmarkEnd w:id="94"/>
      <w:r>
        <w:rPr>
          <w:rFonts w:ascii="arial" w:eastAsia="arial" w:hAnsi="arial" w:cs="arial"/>
          <w:b w:val="0"/>
          <w:i/>
          <w:strike w:val="0"/>
          <w:noProof w:val="0"/>
          <w:color w:val="000000"/>
          <w:position w:val="0"/>
          <w:sz w:val="20"/>
          <w:u w:val="none"/>
          <w:vertAlign w:val="baseline"/>
        </w:rPr>
        <w:t xml:space="preserve">See </w:t>
      </w:r>
      <w:bookmarkStart w:id="95" w:name="Bookmark_I5F867KV2N1RCG0040000400"/>
      <w:bookmarkEnd w:id="95"/>
      <w:hyperlink r:id="rId32" w:history="1">
        <w:r>
          <w:rPr>
            <w:rFonts w:ascii="arial" w:eastAsia="arial" w:hAnsi="arial" w:cs="arial"/>
            <w:b w:val="0"/>
            <w:i/>
            <w:strike w:val="0"/>
            <w:noProof w:val="0"/>
            <w:color w:val="0077CC"/>
            <w:position w:val="0"/>
            <w:sz w:val="20"/>
            <w:u w:val="single"/>
            <w:vertAlign w:val="baseline"/>
          </w:rPr>
          <w:t>Portland Baseball Club, Inc. v. Kuhn</w:t>
        </w:r>
      </w:hyperlink>
      <w:hyperlink r:id="rId32" w:history="1">
        <w:r>
          <w:rPr>
            <w:rFonts w:ascii="arial" w:eastAsia="arial" w:hAnsi="arial" w:cs="arial"/>
            <w:b w:val="0"/>
            <w:i/>
            <w:strike w:val="0"/>
            <w:noProof w:val="0"/>
            <w:color w:val="0077CC"/>
            <w:position w:val="0"/>
            <w:sz w:val="20"/>
            <w:u w:val="single"/>
            <w:vertAlign w:val="baseline"/>
          </w:rPr>
          <w:t>, 491 F.2d 1101, 1103 (9th Cir. 1974)</w:t>
        </w:r>
      </w:hyperlink>
      <w:r>
        <w:rPr>
          <w:rFonts w:ascii="arial" w:eastAsia="arial" w:hAnsi="arial" w:cs="arial"/>
          <w:b w:val="0"/>
          <w:i w:val="0"/>
          <w:strike w:val="0"/>
          <w:noProof w:val="0"/>
          <w:color w:val="000000"/>
          <w:position w:val="0"/>
          <w:sz w:val="20"/>
          <w:u w:val="none"/>
          <w:vertAlign w:val="baseline"/>
        </w:rPr>
        <w:t xml:space="preserve">. </w:t>
      </w:r>
      <w:bookmarkStart w:id="96" w:name="Bookmark_I5F867KV28T4840020000400_2"/>
      <w:bookmarkEnd w:id="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Portland Baseball</w:t>
      </w:r>
      <w:r>
        <w:rPr>
          <w:rFonts w:ascii="arial" w:eastAsia="arial" w:hAnsi="arial" w:cs="arial"/>
          <w:b w:val="0"/>
          <w:i w:val="0"/>
          <w:strike w:val="0"/>
          <w:noProof w:val="0"/>
          <w:color w:val="000000"/>
          <w:position w:val="0"/>
          <w:sz w:val="20"/>
          <w:u w:val="none"/>
          <w:vertAlign w:val="baseline"/>
        </w:rPr>
        <w:t xml:space="preserve">, a former minor league franchise owner brought suit against MLB. The owner argued that MLB failed to comply with the terms of an agreement it struck with minor league teams to provide compensation in the event a major league franchise moved into a minor league franchise's territory. </w:t>
      </w:r>
      <w:bookmarkStart w:id="97" w:name="Bookmark_I5F867KV28T4840040000400"/>
      <w:bookmarkEnd w:id="97"/>
      <w:bookmarkStart w:id="98" w:name="Bookmark_I5F867KV28T4840010000400"/>
      <w:bookmarkEnd w:id="9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1102</w:t>
        </w:r>
      </w:hyperlink>
      <w:r>
        <w:rPr>
          <w:rFonts w:ascii="arial" w:eastAsia="arial" w:hAnsi="arial" w:cs="arial"/>
          <w:b w:val="0"/>
          <w:i w:val="0"/>
          <w:strike w:val="0"/>
          <w:noProof w:val="0"/>
          <w:color w:val="000000"/>
          <w:position w:val="0"/>
          <w:sz w:val="20"/>
          <w:u w:val="none"/>
          <w:vertAlign w:val="baseline"/>
        </w:rPr>
        <w:t xml:space="preserve">. </w:t>
      </w:r>
      <w:bookmarkStart w:id="99" w:name="Bookmark_I5F867KV28T4840040000400_2"/>
      <w:bookmarkEnd w:id="99"/>
      <w:r>
        <w:rPr>
          <w:rFonts w:ascii="arial" w:eastAsia="arial" w:hAnsi="arial" w:cs="arial"/>
          <w:b w:val="0"/>
          <w:i w:val="0"/>
          <w:strike w:val="0"/>
          <w:noProof w:val="0"/>
          <w:color w:val="000000"/>
          <w:position w:val="0"/>
          <w:sz w:val="20"/>
          <w:u w:val="none"/>
          <w:vertAlign w:val="baseline"/>
        </w:rPr>
        <w:t xml:space="preserve">One of the plaintiff's claims was that MLB's monopolization of the baseball industry rendered minor league teams unable to negotiate on fair terms. </w:t>
      </w:r>
      <w:bookmarkStart w:id="100" w:name="Bookmark_I5F867KV2N1RCH0010000400"/>
      <w:bookmarkEnd w:id="100"/>
      <w:bookmarkStart w:id="101" w:name="Bookmark_I5F867KV28T4840030000400"/>
      <w:bookmarkEnd w:id="101"/>
      <w:hyperlink r:id="rId42" w:history="1">
        <w:r>
          <w:rPr>
            <w:rFonts w:ascii="arial" w:eastAsia="arial" w:hAnsi="arial" w:cs="arial"/>
            <w:b w:val="0"/>
            <w:i/>
            <w:strike w:val="0"/>
            <w:noProof w:val="0"/>
            <w:color w:val="0077CC"/>
            <w:position w:val="0"/>
            <w:sz w:val="20"/>
            <w:u w:val="single"/>
            <w:vertAlign w:val="baseline"/>
          </w:rPr>
          <w:t>Portland Baseball Club, Inc. v. Kuhn</w:t>
        </w:r>
      </w:hyperlink>
      <w:hyperlink r:id="rId42" w:history="1">
        <w:r>
          <w:rPr>
            <w:rFonts w:ascii="arial" w:eastAsia="arial" w:hAnsi="arial" w:cs="arial"/>
            <w:b w:val="0"/>
            <w:i/>
            <w:strike w:val="0"/>
            <w:noProof w:val="0"/>
            <w:color w:val="0077CC"/>
            <w:position w:val="0"/>
            <w:sz w:val="20"/>
            <w:u w:val="single"/>
            <w:vertAlign w:val="baseline"/>
          </w:rPr>
          <w:t>, 368 F. Supp. 1004, 1009 (D. Or. 1971)</w:t>
        </w:r>
      </w:hyperlink>
      <w:r>
        <w:rPr>
          <w:rFonts w:ascii="arial" w:eastAsia="arial" w:hAnsi="arial" w:cs="arial"/>
          <w:b w:val="0"/>
          <w:i w:val="0"/>
          <w:strike w:val="0"/>
          <w:noProof w:val="0"/>
          <w:color w:val="000000"/>
          <w:position w:val="0"/>
          <w:sz w:val="20"/>
          <w:u w:val="none"/>
          <w:vertAlign w:val="baseline"/>
        </w:rPr>
        <w:t xml:space="preserve">. </w:t>
      </w:r>
      <w:bookmarkStart w:id="102" w:name="Bookmark_I5F867KV2N1RCH0010000400_2"/>
      <w:bookmarkEnd w:id="102"/>
      <w:r>
        <w:rPr>
          <w:rFonts w:ascii="arial" w:eastAsia="arial" w:hAnsi="arial" w:cs="arial"/>
          <w:b w:val="0"/>
          <w:i w:val="0"/>
          <w:strike w:val="0"/>
          <w:noProof w:val="0"/>
          <w:color w:val="000000"/>
          <w:position w:val="0"/>
          <w:sz w:val="20"/>
          <w:u w:val="none"/>
          <w:vertAlign w:val="baseline"/>
        </w:rPr>
        <w:t xml:space="preserve">Even though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Portland Baseball</w:t>
      </w:r>
      <w:r>
        <w:rPr>
          <w:rFonts w:ascii="arial" w:eastAsia="arial" w:hAnsi="arial" w:cs="arial"/>
          <w:b w:val="0"/>
          <w:i w:val="0"/>
          <w:strike w:val="0"/>
          <w:noProof w:val="0"/>
          <w:color w:val="000000"/>
          <w:position w:val="0"/>
          <w:sz w:val="20"/>
          <w:u w:val="none"/>
          <w:vertAlign w:val="baseline"/>
        </w:rPr>
        <w:t xml:space="preserve"> had nothing to do with the reserve clause, we cited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in upholding the claim's dismissal. </w:t>
      </w:r>
      <w:bookmarkStart w:id="103" w:name="Bookmark_I5F867KV28T4840050000400"/>
      <w:bookmarkEnd w:id="103"/>
      <w:hyperlink r:id="rId32" w:history="1">
        <w:r>
          <w:rPr>
            <w:rFonts w:ascii="arial" w:eastAsia="arial" w:hAnsi="arial" w:cs="arial"/>
            <w:b w:val="0"/>
            <w:i/>
            <w:strike w:val="0"/>
            <w:noProof w:val="0"/>
            <w:color w:val="0077CC"/>
            <w:position w:val="0"/>
            <w:sz w:val="20"/>
            <w:u w:val="single"/>
            <w:vertAlign w:val="baseline"/>
          </w:rPr>
          <w:t>Portland Baseball</w:t>
        </w:r>
      </w:hyperlink>
      <w:hyperlink r:id="rId32" w:history="1">
        <w:r>
          <w:rPr>
            <w:rFonts w:ascii="arial" w:eastAsia="arial" w:hAnsi="arial" w:cs="arial"/>
            <w:b w:val="0"/>
            <w:i/>
            <w:strike w:val="0"/>
            <w:noProof w:val="0"/>
            <w:color w:val="0077CC"/>
            <w:position w:val="0"/>
            <w:sz w:val="20"/>
            <w:u w:val="single"/>
            <w:vertAlign w:val="baseline"/>
          </w:rPr>
          <w:t>, 491 F.2d at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Portland Baseball</w:t>
      </w:r>
      <w:r>
        <w:rPr>
          <w:rFonts w:ascii="arial" w:eastAsia="arial" w:hAnsi="arial" w:cs="arial"/>
          <w:b w:val="0"/>
          <w:i w:val="0"/>
          <w:strike w:val="0"/>
          <w:noProof w:val="0"/>
          <w:color w:val="000000"/>
          <w:position w:val="0"/>
          <w:sz w:val="20"/>
          <w:u w:val="none"/>
          <w:vertAlign w:val="baseline"/>
        </w:rPr>
        <w:t xml:space="preserve"> may not define precisely the boundaries of the baseball exemption, but it fatally undercuts San Jose's attempt to restrict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to the reserve clause.</w:t>
      </w:r>
    </w:p>
    <w:p>
      <w:pPr>
        <w:keepNext w:val="0"/>
        <w:widowControl w:val="0"/>
        <w:spacing w:before="200" w:after="0" w:line="260" w:lineRule="atLeast"/>
        <w:ind w:left="0" w:right="0" w:firstLine="0"/>
        <w:jc w:val="both"/>
      </w:pPr>
      <w:bookmarkStart w:id="104" w:name="Bookmark_para_11"/>
      <w:bookmarkEnd w:id="104"/>
      <w:bookmarkStart w:id="105" w:name="Bookmark_I46XWSXG19P000K7XRS00004"/>
      <w:bookmarkEnd w:id="105"/>
      <w:bookmarkStart w:id="106" w:name="Bookmark_I5F867KV2N1RCH0030000400"/>
      <w:bookmarkEnd w:id="106"/>
      <w:r>
        <w:rPr>
          <w:rFonts w:ascii="arial" w:eastAsia="arial" w:hAnsi="arial" w:cs="arial"/>
          <w:b w:val="0"/>
          <w:i w:val="0"/>
          <w:strike w:val="0"/>
          <w:noProof w:val="0"/>
          <w:color w:val="000000"/>
          <w:position w:val="0"/>
          <w:sz w:val="20"/>
          <w:u w:val="none"/>
          <w:vertAlign w:val="baseline"/>
        </w:rPr>
        <w:t>San Jose next contends that if we are to hold that the baseball exemption extends beyond the reserve clause, we must remand to the district court to determine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whether franchise relocation is sufficiently related to "baseball's unique characteristics and needs" to warrant exemption. This argument appears to be derived from a single sentence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which states that the baseball exemption "rests on a recognition and an acceptance of baseball's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unique characteristics and needs." </w:t>
      </w:r>
      <w:bookmarkStart w:id="107" w:name="Bookmark_I5F867KV2N1RCH0020000400"/>
      <w:bookmarkEnd w:id="107"/>
      <w:hyperlink r:id="rId31" w:history="1">
        <w:r>
          <w:rPr>
            <w:rFonts w:ascii="arial" w:eastAsia="arial" w:hAnsi="arial" w:cs="arial"/>
            <w:b w:val="0"/>
            <w:i/>
            <w:strike w:val="0"/>
            <w:noProof w:val="0"/>
            <w:color w:val="0077CC"/>
            <w:position w:val="0"/>
            <w:sz w:val="20"/>
            <w:u w:val="single"/>
            <w:vertAlign w:val="baseline"/>
          </w:rPr>
          <w:t>Flood</w:t>
        </w:r>
      </w:hyperlink>
      <w:hyperlink r:id="rId31" w:history="1">
        <w:r>
          <w:rPr>
            <w:rFonts w:ascii="arial" w:eastAsia="arial" w:hAnsi="arial" w:cs="arial"/>
            <w:b w:val="0"/>
            <w:i/>
            <w:strike w:val="0"/>
            <w:noProof w:val="0"/>
            <w:color w:val="0077CC"/>
            <w:position w:val="0"/>
            <w:sz w:val="20"/>
            <w:u w:val="single"/>
            <w:vertAlign w:val="baseline"/>
          </w:rPr>
          <w:t>, 407 U.S. at 282</w:t>
        </w:r>
      </w:hyperlink>
      <w:r>
        <w:rPr>
          <w:rFonts w:ascii="arial" w:eastAsia="arial" w:hAnsi="arial" w:cs="arial"/>
          <w:b w:val="0"/>
          <w:i w:val="0"/>
          <w:strike w:val="0"/>
          <w:noProof w:val="0"/>
          <w:color w:val="000000"/>
          <w:position w:val="0"/>
          <w:sz w:val="20"/>
          <w:u w:val="none"/>
          <w:vertAlign w:val="baseline"/>
        </w:rPr>
        <w:t xml:space="preserve">. From this line alone, San Jose argues that the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Court intended a fact-sensitive inquiry whenever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is challenged. </w:t>
      </w:r>
      <w:r>
        <w:rPr>
          <w:rFonts w:ascii="arial" w:eastAsia="arial" w:hAnsi="arial" w:cs="arial"/>
          <w:b w:val="0"/>
          <w:i w:val="0"/>
          <w:strike w:val="0"/>
          <w:noProof w:val="0"/>
          <w:color w:val="000000"/>
          <w:position w:val="0"/>
          <w:sz w:val="20"/>
          <w:u w:val="none"/>
          <w:vertAlign w:val="baseline"/>
        </w:rPr>
        <w:t xml:space="preserve">But, aside from the isolated language San Jose quotes, nothing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suggests that the reserve clause was exempted based on some fact-sensitive analysis of the role the clause played within the baseball industry.</w:t>
      </w:r>
    </w:p>
    <w:p>
      <w:pPr>
        <w:keepNext w:val="0"/>
        <w:widowControl w:val="0"/>
        <w:spacing w:before="200" w:after="0" w:line="260" w:lineRule="atLeast"/>
        <w:ind w:left="0" w:right="0" w:firstLine="0"/>
        <w:jc w:val="both"/>
      </w:pPr>
      <w:bookmarkStart w:id="108" w:name="Bookmark_para_12"/>
      <w:bookmarkEnd w:id="108"/>
      <w:bookmarkStart w:id="109" w:name="Bookmark_I46XWSXG54V000K7XRS00005"/>
      <w:bookmarkEnd w:id="109"/>
      <w:bookmarkStart w:id="110" w:name="Bookmark_I5F867KV2N1RCH0050000400"/>
      <w:bookmarkEnd w:id="110"/>
      <w:r>
        <w:rPr>
          <w:rFonts w:ascii="arial" w:eastAsia="arial" w:hAnsi="arial" w:cs="arial"/>
          <w:b w:val="0"/>
          <w:i w:val="0"/>
          <w:strike w:val="0"/>
          <w:noProof w:val="0"/>
          <w:color w:val="000000"/>
          <w:position w:val="0"/>
          <w:sz w:val="20"/>
          <w:u w:val="none"/>
          <w:vertAlign w:val="baseline"/>
        </w:rPr>
        <w:t xml:space="preserve">Rather,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's stare decisis and congressional acquiescence rationales suggest the Court intended the exemption to have the same scope as the exemption established in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 xml:space="preserve">. After all, it would make little sense for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to have contracted (or expanded) the exemption from the one established in the cases in which Congress acquiesced and which generated reliance interests. </w:t>
      </w:r>
      <w:bookmarkStart w:id="111" w:name="Bookmark_LNHNREFclscc6"/>
      <w:bookmarkEnd w:id="111"/>
      <w:hyperlink r:id="rId4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 xml:space="preserve"> clearly extend the baseball exemption to the entire "business of providing public baseball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games for profit between clubs of professional baseball players." </w:t>
      </w:r>
      <w:bookmarkStart w:id="112" w:name="Bookmark_I5F867KV2N1RCH0040000400"/>
      <w:bookmarkEnd w:id="112"/>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U.S. at 357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3" w:name="Bookmark_I5F867KV2D6NSY0010000400"/>
      <w:bookmarkEnd w:id="113"/>
      <w:hyperlink r:id="rId44" w:history="1">
        <w:r>
          <w:rPr>
            <w:rFonts w:ascii="arial" w:eastAsia="arial" w:hAnsi="arial" w:cs="arial"/>
            <w:b w:val="0"/>
            <w:i/>
            <w:strike w:val="0"/>
            <w:noProof w:val="0"/>
            <w:color w:val="0077CC"/>
            <w:position w:val="0"/>
            <w:sz w:val="20"/>
            <w:u w:val="single"/>
            <w:vertAlign w:val="baseline"/>
          </w:rPr>
          <w:t>Radovich v. Nat'l Football League</w:t>
        </w:r>
      </w:hyperlink>
      <w:hyperlink r:id="rId44" w:history="1">
        <w:r>
          <w:rPr>
            <w:rFonts w:ascii="arial" w:eastAsia="arial" w:hAnsi="arial" w:cs="arial"/>
            <w:b w:val="0"/>
            <w:i/>
            <w:strike w:val="0"/>
            <w:noProof w:val="0"/>
            <w:color w:val="0077CC"/>
            <w:position w:val="0"/>
            <w:sz w:val="20"/>
            <w:u w:val="single"/>
            <w:vertAlign w:val="baseline"/>
          </w:rPr>
          <w:t>, 352 U.S. 445, 451, 77 S. Ct. 390, 1 L. Ed. 2d 456 (1957)</w:t>
        </w:r>
      </w:hyperlink>
      <w:r>
        <w:rPr>
          <w:rFonts w:ascii="arial" w:eastAsia="arial" w:hAnsi="arial" w:cs="arial"/>
          <w:b w:val="0"/>
          <w:i w:val="0"/>
          <w:strike w:val="0"/>
          <w:noProof w:val="0"/>
          <w:color w:val="000000"/>
          <w:position w:val="0"/>
          <w:sz w:val="20"/>
          <w:u w:val="none"/>
          <w:vertAlign w:val="baseline"/>
        </w:rPr>
        <w:t xml:space="preserve"> (noting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articulated in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 xml:space="preserve"> applies to "the business of organized professional baseball."); </w:t>
      </w:r>
      <w:bookmarkStart w:id="114" w:name="Bookmark_I5F867KV2D6NSY0030000400"/>
      <w:bookmarkEnd w:id="114"/>
      <w:hyperlink r:id="rId45" w:history="1">
        <w:r>
          <w:rPr>
            <w:rFonts w:ascii="arial" w:eastAsia="arial" w:hAnsi="arial" w:cs="arial"/>
            <w:b w:val="0"/>
            <w:i/>
            <w:strike w:val="0"/>
            <w:noProof w:val="0"/>
            <w:color w:val="0077CC"/>
            <w:position w:val="0"/>
            <w:sz w:val="20"/>
            <w:u w:val="single"/>
            <w:vertAlign w:val="baseline"/>
          </w:rPr>
          <w:t>Charles O. Finley &amp; Co., Inc. v. Kuhn</w:t>
        </w:r>
      </w:hyperlink>
      <w:hyperlink r:id="rId45" w:history="1">
        <w:r>
          <w:rPr>
            <w:rFonts w:ascii="arial" w:eastAsia="arial" w:hAnsi="arial" w:cs="arial"/>
            <w:b w:val="0"/>
            <w:i/>
            <w:strike w:val="0"/>
            <w:noProof w:val="0"/>
            <w:color w:val="0077CC"/>
            <w:position w:val="0"/>
            <w:sz w:val="20"/>
            <w:u w:val="single"/>
            <w:vertAlign w:val="baseline"/>
          </w:rPr>
          <w:t>, 569 F.2d 527, 541 (7th Cir. 1978)</w:t>
        </w:r>
      </w:hyperlink>
      <w:r>
        <w:rPr>
          <w:rFonts w:ascii="arial" w:eastAsia="arial" w:hAnsi="arial" w:cs="arial"/>
          <w:b w:val="0"/>
          <w:i w:val="0"/>
          <w:strike w:val="0"/>
          <w:noProof w:val="0"/>
          <w:color w:val="000000"/>
          <w:position w:val="0"/>
          <w:sz w:val="20"/>
          <w:u w:val="none"/>
          <w:vertAlign w:val="baseline"/>
        </w:rPr>
        <w:t xml:space="preserve"> ("Despite the two references in the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case to the reserve system, it appears clear from the entire opinions in the three baseball cases, as well as from </w:t>
      </w:r>
      <w:r>
        <w:rPr>
          <w:rFonts w:ascii="arial" w:eastAsia="arial" w:hAnsi="arial" w:cs="arial"/>
          <w:b w:val="0"/>
          <w:i/>
          <w:strike w:val="0"/>
          <w:noProof w:val="0"/>
          <w:color w:val="000000"/>
          <w:position w:val="0"/>
          <w:sz w:val="20"/>
          <w:u w:val="none"/>
          <w:vertAlign w:val="baseline"/>
        </w:rPr>
        <w:t>Radovich</w:t>
      </w:r>
      <w:r>
        <w:rPr>
          <w:rFonts w:ascii="arial" w:eastAsia="arial" w:hAnsi="arial" w:cs="arial"/>
          <w:b w:val="0"/>
          <w:i w:val="0"/>
          <w:strike w:val="0"/>
          <w:noProof w:val="0"/>
          <w:color w:val="000000"/>
          <w:position w:val="0"/>
          <w:sz w:val="20"/>
          <w:u w:val="none"/>
          <w:vertAlign w:val="baseline"/>
        </w:rPr>
        <w:t xml:space="preserve">, that the Supreme Court intended to exempt the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(footnote omitted).</w:t>
      </w:r>
    </w:p>
    <w:p>
      <w:pPr>
        <w:keepNext w:val="0"/>
        <w:widowControl w:val="0"/>
        <w:spacing w:before="200" w:after="0" w:line="260" w:lineRule="atLeast"/>
        <w:ind w:left="0" w:right="0" w:firstLine="0"/>
        <w:jc w:val="both"/>
      </w:pPr>
      <w:bookmarkStart w:id="115" w:name="Bookmark_para_13"/>
      <w:bookmarkEnd w:id="115"/>
      <w:bookmarkStart w:id="116" w:name="Bookmark_I5F867KV2D6NT00010000400"/>
      <w:bookmarkEnd w:id="116"/>
      <w:bookmarkStart w:id="117" w:name="Bookmark_LNHNREFclscc7"/>
      <w:bookmarkEnd w:id="117"/>
      <w:hyperlink r:id="rId4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It is undisputed that restrictions on franchise relocation relate to the "business of providing public baseball games for profit between clubs of professional baseball players." </w:t>
      </w:r>
      <w:bookmarkStart w:id="118" w:name="Bookmark_I5F867KV2D6NSY0050000400"/>
      <w:bookmarkEnd w:id="118"/>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U.S. at 357</w:t>
        </w:r>
      </w:hyperlink>
      <w:r>
        <w:rPr>
          <w:rFonts w:ascii="arial" w:eastAsia="arial" w:hAnsi="arial" w:cs="arial"/>
          <w:b w:val="0"/>
          <w:i w:val="0"/>
          <w:strike w:val="0"/>
          <w:noProof w:val="0"/>
          <w:color w:val="000000"/>
          <w:position w:val="0"/>
          <w:sz w:val="20"/>
          <w:u w:val="none"/>
          <w:vertAlign w:val="baseline"/>
        </w:rPr>
        <w:t xml:space="preserve">. </w:t>
      </w:r>
      <w:bookmarkStart w:id="119" w:name="Bookmark_I5F867KV2D6NT00030000400"/>
      <w:bookmarkEnd w:id="119"/>
      <w:r>
        <w:rPr>
          <w:rFonts w:ascii="arial" w:eastAsia="arial" w:hAnsi="arial" w:cs="arial"/>
          <w:b w:val="0"/>
          <w:i w:val="0"/>
          <w:strike w:val="0"/>
          <w:noProof w:val="0"/>
          <w:color w:val="000000"/>
          <w:position w:val="0"/>
          <w:sz w:val="20"/>
          <w:u w:val="none"/>
          <w:vertAlign w:val="baseline"/>
        </w:rPr>
        <w:t xml:space="preserve">The designation of franchises to particular geographic territories is the league's basic organizing principle. Limitations on franchise relocation are designed to ensure access to baseball games for a broad range of markets and to safeguard the profitability—and thus viability—of each ball club. Interfering with franchise relocation rules therefore indisputably interferes with the public exhibition of professional baseball. </w:t>
      </w:r>
      <w:bookmarkStart w:id="120" w:name="Bookmark_I5F867KV2D6NT00030000400_2"/>
      <w:bookmarkEnd w:id="120"/>
      <w:r>
        <w:rPr>
          <w:rFonts w:ascii="arial" w:eastAsia="arial" w:hAnsi="arial" w:cs="arial"/>
          <w:b w:val="0"/>
          <w:i/>
          <w:strike w:val="0"/>
          <w:noProof w:val="0"/>
          <w:color w:val="000000"/>
          <w:position w:val="0"/>
          <w:sz w:val="20"/>
          <w:u w:val="none"/>
          <w:vertAlign w:val="baseline"/>
        </w:rPr>
        <w:t xml:space="preserve">See </w:t>
      </w:r>
      <w:bookmarkStart w:id="121" w:name="Bookmark_I5F867KV2D6NT00020000400"/>
      <w:bookmarkEnd w:id="121"/>
      <w:hyperlink r:id="rId47" w:history="1">
        <w:r>
          <w:rPr>
            <w:rFonts w:ascii="arial" w:eastAsia="arial" w:hAnsi="arial" w:cs="arial"/>
            <w:b w:val="0"/>
            <w:i/>
            <w:strike w:val="0"/>
            <w:noProof w:val="0"/>
            <w:color w:val="0077CC"/>
            <w:position w:val="0"/>
            <w:sz w:val="20"/>
            <w:u w:val="single"/>
            <w:vertAlign w:val="baseline"/>
          </w:rPr>
          <w:t>Prof'l Baseball Sch. &amp; Clubs, Inc. v. Kuhn</w:t>
        </w:r>
      </w:hyperlink>
      <w:hyperlink r:id="rId47" w:history="1">
        <w:r>
          <w:rPr>
            <w:rFonts w:ascii="arial" w:eastAsia="arial" w:hAnsi="arial" w:cs="arial"/>
            <w:b w:val="0"/>
            <w:i/>
            <w:strike w:val="0"/>
            <w:noProof w:val="0"/>
            <w:color w:val="0077CC"/>
            <w:position w:val="0"/>
            <w:sz w:val="20"/>
            <w:u w:val="single"/>
            <w:vertAlign w:val="baseline"/>
          </w:rPr>
          <w:t>, 693 F.2d 1085, 1086 (11th Cir. 1982)</w:t>
        </w:r>
      </w:hyperlink>
      <w:r>
        <w:rPr>
          <w:rFonts w:ascii="arial" w:eastAsia="arial" w:hAnsi="arial" w:cs="arial"/>
          <w:b w:val="0"/>
          <w:i w:val="0"/>
          <w:strike w:val="0"/>
          <w:noProof w:val="0"/>
          <w:color w:val="000000"/>
          <w:position w:val="0"/>
          <w:sz w:val="20"/>
          <w:u w:val="none"/>
          <w:vertAlign w:val="baseline"/>
        </w:rPr>
        <w:t xml:space="preserve"> (rejecting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baseball franchise relocation because it is "an integral part of the business of baseball").</w:t>
      </w:r>
    </w:p>
    <w:p>
      <w:pPr>
        <w:keepNext w:val="0"/>
        <w:widowControl w:val="0"/>
        <w:spacing w:before="200" w:after="0" w:line="260" w:lineRule="atLeast"/>
        <w:ind w:left="0" w:right="0" w:firstLine="0"/>
        <w:jc w:val="both"/>
      </w:pPr>
      <w:bookmarkStart w:id="122" w:name="Bookmark_para_14"/>
      <w:bookmarkEnd w:id="122"/>
      <w:bookmarkStart w:id="123" w:name="Bookmark_I46XWSXGB7P000K7XRS00006"/>
      <w:bookmarkEnd w:id="123"/>
      <w:bookmarkStart w:id="124" w:name="Bookmark_I5F867KV2D6NT00050000400"/>
      <w:bookmarkEnd w:id="124"/>
      <w:r>
        <w:rPr>
          <w:rFonts w:ascii="arial" w:eastAsia="arial" w:hAnsi="arial" w:cs="arial"/>
          <w:b w:val="0"/>
          <w:i w:val="0"/>
          <w:strike w:val="0"/>
          <w:noProof w:val="0"/>
          <w:color w:val="000000"/>
          <w:position w:val="0"/>
          <w:sz w:val="20"/>
          <w:u w:val="none"/>
          <w:vertAlign w:val="baseline"/>
        </w:rPr>
        <w:t xml:space="preserve">That doesn't necessarily mean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that touch on the baseball industry are barred. In </w:t>
      </w:r>
      <w:bookmarkStart w:id="125" w:name="Bookmark_I5F867KV2D6NT00040000400"/>
      <w:bookmarkEnd w:id="125"/>
      <w:hyperlink r:id="rId48" w:history="1">
        <w:r>
          <w:rPr>
            <w:rFonts w:ascii="arial" w:eastAsia="arial" w:hAnsi="arial" w:cs="arial"/>
            <w:b w:val="0"/>
            <w:i/>
            <w:strike w:val="0"/>
            <w:noProof w:val="0"/>
            <w:color w:val="0077CC"/>
            <w:position w:val="0"/>
            <w:sz w:val="20"/>
            <w:u w:val="single"/>
            <w:vertAlign w:val="baseline"/>
          </w:rPr>
          <w:t>Twin City Sportservice, Inc. v. Charles O. Finley &amp; Co., Inc</w:t>
        </w:r>
      </w:hyperlink>
      <w:hyperlink r:id="rId48" w:history="1">
        <w:r>
          <w:rPr>
            <w:rFonts w:ascii="arial" w:eastAsia="arial" w:hAnsi="arial" w:cs="arial"/>
            <w:b w:val="0"/>
            <w:i/>
            <w:strike w:val="0"/>
            <w:noProof w:val="0"/>
            <w:color w:val="0077CC"/>
            <w:position w:val="0"/>
            <w:sz w:val="20"/>
            <w:u w:val="single"/>
            <w:vertAlign w:val="baseline"/>
          </w:rPr>
          <w:t>., 512 F.2d 1264 (9th Cir. 1975)</w:t>
        </w:r>
      </w:hyperlink>
      <w:r>
        <w:rPr>
          <w:rFonts w:ascii="arial" w:eastAsia="arial" w:hAnsi="arial" w:cs="arial"/>
          <w:b w:val="0"/>
          <w:i w:val="0"/>
          <w:strike w:val="0"/>
          <w:noProof w:val="0"/>
          <w:color w:val="000000"/>
          <w:position w:val="0"/>
          <w:sz w:val="20"/>
          <w:u w:val="none"/>
          <w:vertAlign w:val="baseline"/>
        </w:rPr>
        <w:t xml:space="preserve">, for example, we assessed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by a baseball franchise against stadium concessionaires without any reference to the baseball exemption. Nor does it mean that MLB or its franchises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There might be activities that MLB and its franchises engage in that are wholly collateral to the public display of baseball games, and for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may therefore attach. </w:t>
      </w:r>
      <w:r>
        <w:rPr>
          <w:rFonts w:ascii="arial" w:eastAsia="arial" w:hAnsi="arial" w:cs="arial"/>
          <w:b w:val="0"/>
          <w:i w:val="0"/>
          <w:strike w:val="0"/>
          <w:noProof w:val="0"/>
          <w:color w:val="000000"/>
          <w:position w:val="0"/>
          <w:sz w:val="20"/>
          <w:u w:val="none"/>
          <w:vertAlign w:val="baseline"/>
        </w:rPr>
        <w:t>But San Jose does not—and cannot—allege that franchise relocation is such an activity. To the contrary, few, if any, issues are as central to a sports league's proper functioning as its rules regarding the geographic designation of franchises.</w:t>
      </w:r>
    </w:p>
    <w:p>
      <w:pPr>
        <w:keepNext w:val="0"/>
        <w:widowControl w:val="0"/>
        <w:spacing w:before="200" w:after="0" w:line="260" w:lineRule="atLeast"/>
        <w:ind w:left="0" w:right="0" w:firstLine="0"/>
        <w:jc w:val="both"/>
      </w:pPr>
      <w:bookmarkStart w:id="126" w:name="Bookmark_para_15"/>
      <w:bookmarkEnd w:id="126"/>
      <w:bookmarkStart w:id="127" w:name="Bookmark_I46XWSXGN5P000K7XRS00008"/>
      <w:bookmarkEnd w:id="127"/>
      <w:bookmarkStart w:id="128" w:name="Bookmark_I5F867KV2HM6NP0020000400"/>
      <w:bookmarkEnd w:id="128"/>
      <w:bookmarkStart w:id="129" w:name="Bookmark_I5F867KV2HM6NP0010000400"/>
      <w:bookmarkEnd w:id="129"/>
      <w:hyperlink r:id="rId31" w:history="1">
        <w:r>
          <w:rPr>
            <w:rFonts w:ascii="arial" w:eastAsia="arial" w:hAnsi="arial" w:cs="arial"/>
            <w:b w:val="0"/>
            <w:i/>
            <w:strike w:val="0"/>
            <w:color w:val="0077CC"/>
            <w:sz w:val="20"/>
            <w:u w:val="single"/>
            <w:vertAlign w:val="baseline"/>
          </w:rPr>
          <w:t>Flood</w:t>
        </w:r>
      </w:hyperlink>
      <w:r>
        <w:rPr>
          <w:rFonts w:ascii="arial" w:eastAsia="arial" w:hAnsi="arial" w:cs="arial"/>
          <w:b w:val="0"/>
          <w:i w:val="0"/>
          <w:strike w:val="0"/>
          <w:noProof w:val="0"/>
          <w:color w:val="000000"/>
          <w:position w:val="0"/>
          <w:sz w:val="20"/>
          <w:u w:val="none"/>
          <w:vertAlign w:val="baseline"/>
        </w:rPr>
        <w:t xml:space="preserve">'s congressional acquiescence rationale applies with special force to franchise relocation. In 1998, </w:t>
      </w:r>
      <w:bookmarkStart w:id="130" w:name="Bookmark_LNHNREFclscc8"/>
      <w:bookmarkEnd w:id="130"/>
      <w:hyperlink r:id="rId4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Congress passed the Curt Flood Act, which withdrew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with respect to the reserve clause and other labor issues, but explicitly </w:t>
      </w:r>
      <w:r>
        <w:rPr>
          <w:rFonts w:ascii="arial" w:eastAsia="arial" w:hAnsi="arial" w:cs="arial"/>
          <w:b w:val="0"/>
          <w:i/>
          <w:strike w:val="0"/>
          <w:noProof w:val="0"/>
          <w:color w:val="000000"/>
          <w:position w:val="0"/>
          <w:sz w:val="20"/>
          <w:u w:val="none"/>
          <w:vertAlign w:val="baseline"/>
        </w:rPr>
        <w:t>maintained</w:t>
      </w:r>
      <w:r>
        <w:rPr>
          <w:rFonts w:ascii="arial" w:eastAsia="arial" w:hAnsi="arial" w:cs="arial"/>
          <w:b w:val="0"/>
          <w:i w:val="0"/>
          <w:strike w:val="0"/>
          <w:noProof w:val="0"/>
          <w:color w:val="000000"/>
          <w:position w:val="0"/>
          <w:sz w:val="20"/>
          <w:u w:val="none"/>
          <w:vertAlign w:val="baseline"/>
        </w:rPr>
        <w:t xml:space="preserve"> it for franchise relocation.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 L. No. 105-297, § 3(b)(3), 112 Stat. 2824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(1998) (codified at </w:t>
      </w:r>
      <w:hyperlink r:id="rId12" w:history="1">
        <w:r>
          <w:rPr>
            <w:rFonts w:ascii="arial" w:eastAsia="arial" w:hAnsi="arial" w:cs="arial"/>
            <w:b w:val="0"/>
            <w:i/>
            <w:strike w:val="0"/>
            <w:noProof w:val="0"/>
            <w:color w:val="0077CC"/>
            <w:position w:val="0"/>
            <w:sz w:val="20"/>
            <w:u w:val="single"/>
            <w:vertAlign w:val="baseline"/>
          </w:rPr>
          <w:t>15 U.S.C. § 26b(b)(3)</w:t>
        </w:r>
      </w:hyperlink>
      <w:r>
        <w:rPr>
          <w:rFonts w:ascii="arial" w:eastAsia="arial" w:hAnsi="arial" w:cs="arial"/>
          <w:b w:val="0"/>
          <w:i w:val="0"/>
          <w:strike w:val="0"/>
          <w:noProof w:val="0"/>
          <w:color w:val="000000"/>
          <w:position w:val="0"/>
          <w:sz w:val="20"/>
          <w:u w:val="none"/>
          <w:vertAlign w:val="baseline"/>
        </w:rPr>
        <w:t>) (</w:t>
      </w:r>
      <w:bookmarkStart w:id="131" w:name="Bookmark_LNHNREFclscc9"/>
      <w:bookmarkEnd w:id="131"/>
      <w:hyperlink r:id="rId5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"This section does not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create, permit or imply a cause of action by which to challenge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otherwise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 . . franchise [] location or relocation").</w:t>
      </w:r>
    </w:p>
    <w:p>
      <w:pPr>
        <w:keepNext w:val="0"/>
        <w:widowControl w:val="0"/>
        <w:spacing w:before="200" w:after="0" w:line="260" w:lineRule="atLeast"/>
        <w:ind w:left="0" w:right="0" w:firstLine="0"/>
        <w:jc w:val="both"/>
      </w:pPr>
      <w:bookmarkStart w:id="132" w:name="Bookmark_para_16"/>
      <w:bookmarkEnd w:id="132"/>
      <w:bookmarkStart w:id="133" w:name="Bookmark_I5F867KV2HM6NP0040000400"/>
      <w:bookmarkEnd w:id="133"/>
      <w:bookmarkStart w:id="134" w:name="Bookmark_I5F867KV2SF8770010000400"/>
      <w:bookmarkEnd w:id="134"/>
      <w:bookmarkStart w:id="135" w:name="Bookmark_LNHNREFclscc10"/>
      <w:bookmarkEnd w:id="135"/>
      <w:hyperlink r:id="rId5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In an ordinary case, congressional inaction "lacks persuasive significance because several equally tenable inferences may be drawn from such inaction." </w:t>
      </w:r>
      <w:bookmarkStart w:id="136" w:name="Bookmark_I5F867KV2HM6NP0030000400"/>
      <w:bookmarkEnd w:id="136"/>
      <w:hyperlink r:id="rId52" w:history="1">
        <w:r>
          <w:rPr>
            <w:rFonts w:ascii="arial" w:eastAsia="arial" w:hAnsi="arial" w:cs="arial"/>
            <w:b w:val="0"/>
            <w:i/>
            <w:strike w:val="0"/>
            <w:noProof w:val="0"/>
            <w:color w:val="0077CC"/>
            <w:position w:val="0"/>
            <w:sz w:val="20"/>
            <w:u w:val="single"/>
            <w:vertAlign w:val="baseline"/>
          </w:rPr>
          <w:t>Pension Benefit Guar. Corp. v. LTV Corp</w:t>
        </w:r>
      </w:hyperlink>
      <w:hyperlink r:id="rId52" w:history="1">
        <w:r>
          <w:rPr>
            <w:rFonts w:ascii="arial" w:eastAsia="arial" w:hAnsi="arial" w:cs="arial"/>
            <w:b w:val="0"/>
            <w:i/>
            <w:strike w:val="0"/>
            <w:noProof w:val="0"/>
            <w:color w:val="0077CC"/>
            <w:position w:val="0"/>
            <w:sz w:val="20"/>
            <w:u w:val="single"/>
            <w:vertAlign w:val="baseline"/>
          </w:rPr>
          <w:t>., 496 U.S. 633, 650, 110 S. Ct. 2668, 110 L. Ed. 2d 579 (1990)</w:t>
        </w:r>
      </w:hyperlink>
      <w:r>
        <w:rPr>
          <w:rFonts w:ascii="arial" w:eastAsia="arial" w:hAnsi="arial" w:cs="arial"/>
          <w:b w:val="0"/>
          <w:i w:val="0"/>
          <w:strike w:val="0"/>
          <w:noProof w:val="0"/>
          <w:color w:val="000000"/>
          <w:position w:val="0"/>
          <w:sz w:val="20"/>
          <w:u w:val="none"/>
          <w:vertAlign w:val="baseline"/>
        </w:rPr>
        <w:t xml:space="preserve"> (internal quotation marks omitted). But when Congress specifically legislates in a field and explicitly exempts an issue from that legislation, our ability to infer congressional intent to leave that issue undisturbed is at its apex. </w:t>
      </w:r>
      <w:r>
        <w:rPr>
          <w:rFonts w:ascii="arial" w:eastAsia="arial" w:hAnsi="arial" w:cs="arial"/>
          <w:b w:val="0"/>
          <w:i/>
          <w:strike w:val="0"/>
          <w:noProof w:val="0"/>
          <w:color w:val="000000"/>
          <w:position w:val="0"/>
          <w:sz w:val="20"/>
          <w:u w:val="none"/>
          <w:vertAlign w:val="baseline"/>
        </w:rPr>
        <w:t xml:space="preserve">See, e.g., </w:t>
      </w:r>
      <w:bookmarkStart w:id="137" w:name="Bookmark_I5F867KV2HM6NP0050000400"/>
      <w:bookmarkEnd w:id="137"/>
      <w:hyperlink r:id="rId53" w:history="1">
        <w:r>
          <w:rPr>
            <w:rFonts w:ascii="arial" w:eastAsia="arial" w:hAnsi="arial" w:cs="arial"/>
            <w:b w:val="0"/>
            <w:i/>
            <w:strike w:val="0"/>
            <w:noProof w:val="0"/>
            <w:color w:val="0077CC"/>
            <w:position w:val="0"/>
            <w:sz w:val="20"/>
            <w:u w:val="single"/>
            <w:vertAlign w:val="baseline"/>
          </w:rPr>
          <w:t>Kimbrough v. United States</w:t>
        </w:r>
      </w:hyperlink>
      <w:hyperlink r:id="rId53" w:history="1">
        <w:r>
          <w:rPr>
            <w:rFonts w:ascii="arial" w:eastAsia="arial" w:hAnsi="arial" w:cs="arial"/>
            <w:b w:val="0"/>
            <w:i/>
            <w:strike w:val="0"/>
            <w:noProof w:val="0"/>
            <w:color w:val="0077CC"/>
            <w:position w:val="0"/>
            <w:sz w:val="20"/>
            <w:u w:val="single"/>
            <w:vertAlign w:val="baseline"/>
          </w:rPr>
          <w:t>, 552 U.S. 85, 106, 128 S. Ct. 558, 169 L. Ed. 2d 481 (2007)</w:t>
        </w:r>
      </w:hyperlink>
      <w:r>
        <w:rPr>
          <w:rFonts w:ascii="arial" w:eastAsia="arial" w:hAnsi="arial" w:cs="arial"/>
          <w:b w:val="0"/>
          <w:i w:val="0"/>
          <w:strike w:val="0"/>
          <w:noProof w:val="0"/>
          <w:color w:val="000000"/>
          <w:position w:val="0"/>
          <w:sz w:val="20"/>
          <w:u w:val="none"/>
          <w:vertAlign w:val="baseline"/>
        </w:rPr>
        <w:t xml:space="preserve"> (congressional inaction is probative when Congress "fail[s] to act on a proposed amendment . . . in a high-profile area in which it had previously exercised its [] authority"). The exclusion of franchise relocation from the Curt Flood Act demonstrates that Congress (1) was aware of the possibility that the baseball exemption could apply to franchise relocation; (2) declined to alter the status quo with respect to relocation; and (3) had sufficient will to overturn the exemption in other areas.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's clear implication is that the scope of the baseball exemption is coextensive with the degree of congressional acquiescence,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case for congressional acquiescence with respect to franchise relocation is in fact far stronger than it was for the reserve clause at issue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itself.</w:t>
      </w:r>
    </w:p>
    <w:p>
      <w:pPr>
        <w:keepNext w:val="0"/>
        <w:widowControl w:val="0"/>
        <w:spacing w:before="200" w:after="0" w:line="260" w:lineRule="atLeast"/>
        <w:ind w:left="0" w:right="0" w:firstLine="0"/>
        <w:jc w:val="both"/>
      </w:pPr>
      <w:bookmarkStart w:id="138" w:name="Bookmark_para_17"/>
      <w:bookmarkEnd w:id="138"/>
      <w:r>
        <w:rPr>
          <w:rFonts w:ascii="arial" w:eastAsia="arial" w:hAnsi="arial" w:cs="arial"/>
          <w:b w:val="0"/>
          <w:i w:val="0"/>
          <w:strike w:val="0"/>
          <w:noProof w:val="0"/>
          <w:color w:val="000000"/>
          <w:position w:val="0"/>
          <w:sz w:val="20"/>
          <w:u w:val="none"/>
          <w:vertAlign w:val="baseline"/>
        </w:rPr>
        <w:t xml:space="preserve">In short, </w:t>
      </w:r>
      <w:bookmarkStart w:id="139" w:name="Bookmark_LNHNREFclscc11"/>
      <w:bookmarkEnd w:id="139"/>
      <w:hyperlink r:id="rId5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MLB's franchise relocation policies are in the heartland of those precluded by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's rationale. San Jose's claims under the Sherman and Clayton Acts must accordingly be dismissed.</w:t>
      </w:r>
    </w:p>
    <w:p>
      <w:pPr>
        <w:keepNext w:val="0"/>
        <w:widowControl w:val="0"/>
        <w:spacing w:before="200" w:after="0" w:line="260" w:lineRule="atLeast"/>
        <w:ind w:left="0" w:right="0" w:firstLine="0"/>
        <w:jc w:val="both"/>
      </w:pPr>
      <w:bookmarkStart w:id="140" w:name="Bookmark_para_18"/>
      <w:bookmarkEnd w:id="140"/>
      <w:bookmarkStart w:id="141" w:name="Bookmark_I5F867KV2SF8770030000400"/>
      <w:bookmarkEnd w:id="141"/>
      <w:bookmarkStart w:id="142" w:name="Bookmark_I46XWSXGG2V000K7XRS00007"/>
      <w:bookmarkEnd w:id="142"/>
      <w:bookmarkStart w:id="143" w:name="Bookmark_I5F867KV2SF8770050000400"/>
      <w:bookmarkEnd w:id="143"/>
      <w:r>
        <w:rPr>
          <w:rFonts w:ascii="arial" w:eastAsia="arial" w:hAnsi="arial" w:cs="arial"/>
          <w:b w:val="0"/>
          <w:i w:val="0"/>
          <w:strike w:val="0"/>
          <w:noProof w:val="0"/>
          <w:color w:val="000000"/>
          <w:position w:val="0"/>
          <w:sz w:val="20"/>
          <w:u w:val="none"/>
          <w:vertAlign w:val="baseline"/>
        </w:rPr>
        <w:t xml:space="preserve">And San Jose's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necessarily fall with its federal claims. </w:t>
      </w:r>
      <w:bookmarkStart w:id="144" w:name="Bookmark_LNHNREFclscc12"/>
      <w:bookmarkEnd w:id="144"/>
      <w:hyperlink r:id="rId5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Baseball is an exception to the normal rule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w:t>
      </w:r>
      <w:bookmarkStart w:id="145" w:name="Bookmark_I5F867KV2SF8770020000400"/>
      <w:bookmarkEnd w:id="145"/>
      <w:hyperlink r:id="rId56" w:history="1">
        <w:r>
          <w:rPr>
            <w:rFonts w:ascii="arial" w:eastAsia="arial" w:hAnsi="arial" w:cs="arial"/>
            <w:b w:val="0"/>
            <w:i/>
            <w:strike w:val="0"/>
            <w:noProof w:val="0"/>
            <w:color w:val="0077CC"/>
            <w:position w:val="0"/>
            <w:sz w:val="20"/>
            <w:u w:val="single"/>
            <w:vertAlign w:val="baseline"/>
          </w:rPr>
          <w:t>California v. ARC Am. Corp</w:t>
        </w:r>
      </w:hyperlink>
      <w:hyperlink r:id="rId56" w:history="1">
        <w:r>
          <w:rPr>
            <w:rFonts w:ascii="arial" w:eastAsia="arial" w:hAnsi="arial" w:cs="arial"/>
            <w:b w:val="0"/>
            <w:i/>
            <w:strike w:val="0"/>
            <w:noProof w:val="0"/>
            <w:color w:val="0077CC"/>
            <w:position w:val="0"/>
            <w:sz w:val="20"/>
            <w:u w:val="single"/>
            <w:vertAlign w:val="baseline"/>
          </w:rPr>
          <w:t>., 490 U.S. 93, 102, 109 S. Ct. 1661, 104 L. Ed. 2d 86 (1989)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the Court affirmed the dismissal of the plaintiff's state law claims because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federal policy and because national uniformity is required in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baseball." </w:t>
      </w:r>
      <w:bookmarkStart w:id="146" w:name="Bookmark_I5F867KV2SF8770040000400"/>
      <w:bookmarkEnd w:id="146"/>
      <w:hyperlink r:id="rId31" w:history="1">
        <w:r>
          <w:rPr>
            <w:rFonts w:ascii="arial" w:eastAsia="arial" w:hAnsi="arial" w:cs="arial"/>
            <w:b w:val="0"/>
            <w:i/>
            <w:strike w:val="0"/>
            <w:noProof w:val="0"/>
            <w:color w:val="0077CC"/>
            <w:position w:val="0"/>
            <w:sz w:val="20"/>
            <w:u w:val="single"/>
            <w:vertAlign w:val="baseline"/>
          </w:rPr>
          <w:t>Flood</w:t>
        </w:r>
      </w:hyperlink>
      <w:hyperlink r:id="rId31" w:history="1">
        <w:r>
          <w:rPr>
            <w:rFonts w:ascii="arial" w:eastAsia="arial" w:hAnsi="arial" w:cs="arial"/>
            <w:b w:val="0"/>
            <w:i/>
            <w:strike w:val="0"/>
            <w:noProof w:val="0"/>
            <w:color w:val="0077CC"/>
            <w:position w:val="0"/>
            <w:sz w:val="20"/>
            <w:u w:val="single"/>
            <w:vertAlign w:val="baseline"/>
          </w:rPr>
          <w:t>, 407 U.S. at 284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7" w:name="Bookmark_I5F867KV2SF8780020000400"/>
      <w:bookmarkEnd w:id="147"/>
      <w:r>
        <w:rPr>
          <w:rFonts w:ascii="arial" w:eastAsia="arial" w:hAnsi="arial" w:cs="arial"/>
          <w:b w:val="0"/>
          <w:i w:val="0"/>
          <w:strike w:val="0"/>
          <w:noProof w:val="0"/>
          <w:color w:val="000000"/>
          <w:position w:val="0"/>
          <w:sz w:val="20"/>
          <w:u w:val="none"/>
          <w:vertAlign w:val="baseline"/>
        </w:rPr>
        <w:t xml:space="preserve">In other words, the Court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determined that </w:t>
      </w:r>
      <w:bookmarkStart w:id="148" w:name="Bookmark_LNHNREFclscc13"/>
      <w:bookmarkEnd w:id="148"/>
      <w:hyperlink r:id="rId5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constitute an impermissible end run around the baseball exemption. San Jose can point to no case that has ever held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continue to be viable after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been dismissed under the baseball exemption. </w:t>
      </w:r>
      <w:r>
        <w:rPr>
          <w:rFonts w:ascii="arial" w:eastAsia="arial" w:hAnsi="arial" w:cs="arial"/>
          <w:b w:val="0"/>
          <w:i/>
          <w:strike w:val="0"/>
          <w:noProof w:val="0"/>
          <w:color w:val="000000"/>
          <w:position w:val="0"/>
          <w:sz w:val="20"/>
          <w:u w:val="none"/>
          <w:vertAlign w:val="baseline"/>
        </w:rPr>
        <w:t xml:space="preserve">See, e.g., </w:t>
      </w:r>
      <w:bookmarkStart w:id="149" w:name="Bookmark_I5F867KV2SF8780010000400"/>
      <w:bookmarkEnd w:id="149"/>
      <w:hyperlink r:id="rId58" w:history="1">
        <w:r>
          <w:rPr>
            <w:rFonts w:ascii="arial" w:eastAsia="arial" w:hAnsi="arial" w:cs="arial"/>
            <w:b w:val="0"/>
            <w:i/>
            <w:strike w:val="0"/>
            <w:noProof w:val="0"/>
            <w:color w:val="0077CC"/>
            <w:position w:val="0"/>
            <w:sz w:val="20"/>
            <w:u w:val="single"/>
            <w:vertAlign w:val="baseline"/>
          </w:rPr>
          <w:t>Major League Baseball v. Crist</w:t>
        </w:r>
      </w:hyperlink>
      <w:hyperlink r:id="rId58" w:history="1">
        <w:r>
          <w:rPr>
            <w:rFonts w:ascii="arial" w:eastAsia="arial" w:hAnsi="arial" w:cs="arial"/>
            <w:b w:val="0"/>
            <w:i/>
            <w:strike w:val="0"/>
            <w:noProof w:val="0"/>
            <w:color w:val="0077CC"/>
            <w:position w:val="0"/>
            <w:sz w:val="20"/>
            <w:u w:val="single"/>
            <w:vertAlign w:val="baseline"/>
          </w:rPr>
          <w:t>, 331 F.3d 1177, 1179 (11th Cir. 2003)</w:t>
        </w:r>
      </w:hyperlink>
      <w:r>
        <w:rPr>
          <w:rFonts w:ascii="arial" w:eastAsia="arial" w:hAnsi="arial" w:cs="arial"/>
          <w:b w:val="0"/>
          <w:i w:val="0"/>
          <w:strike w:val="0"/>
          <w:noProof w:val="0"/>
          <w:color w:val="000000"/>
          <w:position w:val="0"/>
          <w:sz w:val="20"/>
          <w:u w:val="none"/>
          <w:vertAlign w:val="baseline"/>
        </w:rPr>
        <w:t xml:space="preserve"> (holding that state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preempted if they mirror federal claims that fall within the baseball exemption). That suffices to reject San Jose's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which entirely duplicate its claims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50" w:name="Bookmark_para_19"/>
      <w:bookmarkEnd w:id="150"/>
      <w:bookmarkStart w:id="151" w:name="Bookmark_I5F867KV2SF8780040000400"/>
      <w:bookmarkEnd w:id="151"/>
      <w:r>
        <w:rPr>
          <w:rFonts w:ascii="arial" w:eastAsia="arial" w:hAnsi="arial" w:cs="arial"/>
          <w:b w:val="0"/>
          <w:i w:val="0"/>
          <w:strike w:val="0"/>
          <w:noProof w:val="0"/>
          <w:color w:val="000000"/>
          <w:position w:val="0"/>
          <w:sz w:val="20"/>
          <w:u w:val="none"/>
          <w:vertAlign w:val="baseline"/>
        </w:rPr>
        <w:t xml:space="preserve">San Jose also alleges a violation of California's unfair competition law (UCL). However, </w:t>
      </w:r>
      <w:bookmarkStart w:id="152" w:name="Bookmark_LNHNREFclscc14"/>
      <w:bookmarkEnd w:id="152"/>
      <w:hyperlink r:id="rId5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under California law, "[i]f the same conduct is alleged to be both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an 'unfair' business act or practice for the same reason—because it unreasonably restrains competition and harms consumers—the determination that the conduct is not an unreasonable restraint of trade necessarily implies that the conduct is not 'unfair' toward consumers." </w:t>
      </w:r>
      <w:bookmarkStart w:id="153" w:name="Bookmark_I5F867KV2SF8780030000400"/>
      <w:bookmarkEnd w:id="153"/>
      <w:hyperlink r:id="rId60" w:history="1">
        <w:r>
          <w:rPr>
            <w:rFonts w:ascii="arial" w:eastAsia="arial" w:hAnsi="arial" w:cs="arial"/>
            <w:b w:val="0"/>
            <w:i/>
            <w:strike w:val="0"/>
            <w:noProof w:val="0"/>
            <w:color w:val="0077CC"/>
            <w:position w:val="0"/>
            <w:sz w:val="20"/>
            <w:u w:val="single"/>
            <w:vertAlign w:val="baseline"/>
          </w:rPr>
          <w:t>Chavez v. Whirlpool Corp</w:t>
        </w:r>
      </w:hyperlink>
      <w:hyperlink r:id="rId60" w:history="1">
        <w:r>
          <w:rPr>
            <w:rFonts w:ascii="arial" w:eastAsia="arial" w:hAnsi="arial" w:cs="arial"/>
            <w:b w:val="0"/>
            <w:i/>
            <w:strike w:val="0"/>
            <w:noProof w:val="0"/>
            <w:color w:val="0077CC"/>
            <w:position w:val="0"/>
            <w:sz w:val="20"/>
            <w:u w:val="single"/>
            <w:vertAlign w:val="baseline"/>
          </w:rPr>
          <w:t xml:space="preserve">., 93 Cal. App. 4th 363, 113 Cal. Rptr. 2d 175, 184 </w:t>
        </w:r>
      </w:hyperlink>
      <w:hyperlink r:id="rId60" w:history="1">
        <w:r>
          <w:rPr>
            <w:rFonts w:ascii="arial" w:eastAsia="arial" w:hAnsi="arial" w:cs="arial"/>
            <w:b/>
            <w:i/>
            <w:strike w:val="0"/>
            <w:noProof w:val="0"/>
            <w:color w:val="0077CC"/>
            <w:position w:val="0"/>
            <w:sz w:val="20"/>
            <w:u w:val="single"/>
            <w:vertAlign w:val="baseline"/>
          </w:rPr>
          <w:t> [*692] </w:t>
        </w:r>
      </w:hyperlink>
      <w:hyperlink r:id="rId60" w:history="1">
        <w:r>
          <w:rPr>
            <w:rFonts w:ascii="arial" w:eastAsia="arial" w:hAnsi="arial" w:cs="arial"/>
            <w:b w:val="0"/>
            <w:i/>
            <w:strike w:val="0"/>
            <w:noProof w:val="0"/>
            <w:color w:val="0077CC"/>
            <w:position w:val="0"/>
            <w:sz w:val="20"/>
            <w:u w:val="single"/>
            <w:vertAlign w:val="baseline"/>
          </w:rPr>
          <w:t xml:space="preserve"> (Ct. App. 2001)</w:t>
        </w:r>
      </w:hyperlink>
      <w:r>
        <w:rPr>
          <w:rFonts w:ascii="arial" w:eastAsia="arial" w:hAnsi="arial" w:cs="arial"/>
          <w:b w:val="0"/>
          <w:i w:val="0"/>
          <w:strike w:val="0"/>
          <w:noProof w:val="0"/>
          <w:color w:val="000000"/>
          <w:position w:val="0"/>
          <w:sz w:val="20"/>
          <w:u w:val="none"/>
          <w:vertAlign w:val="baseline"/>
        </w:rPr>
        <w:t xml:space="preserve">. An independent claim under California's UCL is therefore barred so long as MLB's activities are lawful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5"/>
        <w:t xml:space="preserve">5</w:t>
      </w:r>
    </w:p>
    <w:p>
      <w:pPr>
        <w:keepNext w:val="0"/>
        <w:widowControl w:val="0"/>
        <w:spacing w:before="200" w:after="0" w:line="260" w:lineRule="atLeast"/>
        <w:ind w:left="0" w:right="0" w:firstLine="0"/>
        <w:jc w:val="both"/>
      </w:pPr>
      <w:bookmarkStart w:id="158" w:name="Bookmark_para_20"/>
      <w:bookmarkEnd w:id="15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59" w:name="Bookmark_para_21"/>
      <w:bookmarkEnd w:id="159"/>
      <w:r>
        <w:rPr>
          <w:rFonts w:ascii="arial" w:eastAsia="arial" w:hAnsi="arial" w:cs="arial"/>
          <w:b w:val="0"/>
          <w:i w:val="0"/>
          <w:strike w:val="0"/>
          <w:noProof w:val="0"/>
          <w:color w:val="000000"/>
          <w:position w:val="0"/>
          <w:sz w:val="20"/>
          <w:u w:val="none"/>
          <w:vertAlign w:val="baseline"/>
        </w:rPr>
        <w:t xml:space="preserve">Like Casey, San Jose has struck out here. </w:t>
      </w:r>
      <w:bookmarkStart w:id="160" w:name="Bookmark_LNHNREFclscc16"/>
      <w:bookmarkEnd w:id="160"/>
      <w:hyperlink r:id="rId6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scope of the Supreme Court's holding in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plainly extends to questions of franchise relocation. San Jose is, at bottom, asking us to deem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 wrongly decided, and that we cannot do. </w:t>
      </w:r>
      <w:bookmarkStart w:id="161" w:name="Bookmark_LNHNREFclscc17"/>
      <w:bookmarkEnd w:id="161"/>
      <w:hyperlink r:id="rId6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Only Congress and the Supreme Court are empowered to question </w:t>
      </w:r>
      <w:r>
        <w:rPr>
          <w:rFonts w:ascii="arial" w:eastAsia="arial" w:hAnsi="arial" w:cs="arial"/>
          <w:b w:val="0"/>
          <w:i/>
          <w:strike w:val="0"/>
          <w:noProof w:val="0"/>
          <w:color w:val="000000"/>
          <w:position w:val="0"/>
          <w:sz w:val="20"/>
          <w:u w:val="none"/>
          <w:vertAlign w:val="baseline"/>
        </w:rPr>
        <w:t>Flood</w:t>
      </w:r>
      <w:r>
        <w:rPr>
          <w:rFonts w:ascii="arial" w:eastAsia="arial" w:hAnsi="arial" w:cs="arial"/>
          <w:b w:val="0"/>
          <w:i w:val="0"/>
          <w:strike w:val="0"/>
          <w:noProof w:val="0"/>
          <w:color w:val="000000"/>
          <w:position w:val="0"/>
          <w:sz w:val="20"/>
          <w:u w:val="none"/>
          <w:vertAlign w:val="baseline"/>
        </w:rPr>
        <w:t xml:space="preserve">'s continued vitality, and with it, the fate of baseball's singular and historic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6"/>
        <w:t xml:space="preserve">6</w:t>
      </w:r>
    </w:p>
    <w:p>
      <w:pPr>
        <w:keepNext w:val="0"/>
        <w:widowControl w:val="0"/>
        <w:spacing w:before="200" w:after="0" w:line="260" w:lineRule="atLeast"/>
        <w:ind w:left="0" w:right="0" w:firstLine="0"/>
        <w:jc w:val="both"/>
      </w:pPr>
      <w:bookmarkStart w:id="163" w:name="Bookmark_para_22"/>
      <w:bookmarkEnd w:id="163"/>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0" w:name="Bookmark_fnpara_1"/>
      <w:bookmarkEnd w:id="50"/>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 w:name="Bookmark_fnpara_2"/>
      <w:bookmarkEnd w:id="61"/>
      <w:r>
        <w:rPr>
          <w:rFonts w:ascii="arial" w:eastAsia="arial" w:hAnsi="arial" w:cs="arial"/>
          <w:b w:val="0"/>
          <w:i w:val="0"/>
          <w:strike w:val="0"/>
          <w:noProof w:val="0"/>
          <w:color w:val="000000"/>
          <w:position w:val="0"/>
          <w:sz w:val="18"/>
          <w:u w:val="none"/>
          <w:vertAlign w:val="baseline"/>
        </w:rPr>
        <w:t>The defendants in this case are the "Office of the Commissioner of Baseball," which is an unincorporated association of all 30 MLB clubs, and Allan "Bud" Selig, whose individual job title is Commissioner of MLB. For convenience, we refer to the defendants as "MLB." The plaintiffs in this case are the City of San Jose and the San Jose Diridon Development Authority, which we refer to collectively as "San Jose."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5" w:name="Bookmark_fnpara_3"/>
      <w:bookmarkEnd w:id="65"/>
      <w:r>
        <w:rPr>
          <w:rFonts w:ascii="arial" w:eastAsia="arial" w:hAnsi="arial" w:cs="arial"/>
          <w:b w:val="0"/>
          <w:i w:val="0"/>
          <w:strike w:val="0"/>
          <w:noProof w:val="0"/>
          <w:color w:val="000000"/>
          <w:position w:val="0"/>
          <w:sz w:val="18"/>
          <w:u w:val="none"/>
          <w:vertAlign w:val="baseline"/>
        </w:rPr>
        <w:t>The district court subsequently declined to retain supplemental jurisdiction over those state law tort claims and dismissed them without prejudice.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4"/>
      <w:bookmarkEnd w:id="84"/>
      <w:r>
        <w:rPr>
          <w:rFonts w:ascii="arial" w:eastAsia="arial" w:hAnsi="arial" w:cs="arial"/>
          <w:b w:val="0"/>
          <w:i w:val="0"/>
          <w:strike w:val="0"/>
          <w:noProof w:val="0"/>
          <w:color w:val="000000"/>
          <w:position w:val="0"/>
          <w:sz w:val="18"/>
          <w:u w:val="none"/>
          <w:vertAlign w:val="baseline"/>
        </w:rPr>
        <w:t xml:space="preserve">Some thought, too lengthy.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85" w:name="Bookmark_I5F867KV2N1RCG0020000400"/>
      <w:bookmarkEnd w:id="85"/>
      <w:hyperlink r:id="rId1" w:history="1">
        <w:r>
          <w:rPr>
            <w:rFonts w:ascii="arial" w:eastAsia="arial" w:hAnsi="arial" w:cs="arial"/>
            <w:b w:val="0"/>
            <w:i/>
            <w:strike w:val="0"/>
            <w:noProof w:val="0"/>
            <w:color w:val="0077CC"/>
            <w:position w:val="0"/>
            <w:sz w:val="18"/>
            <w:u w:val="single"/>
            <w:vertAlign w:val="baseline"/>
          </w:rPr>
          <w:t>407 U.S. at 285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0" w:name="Bookmark_fnpara_5"/>
      <w:bookmarkEnd w:id="90"/>
      <w:r>
        <w:rPr>
          <w:rFonts w:ascii="arial" w:eastAsia="arial" w:hAnsi="arial" w:cs="arial"/>
          <w:b w:val="0"/>
          <w:i w:val="0"/>
          <w:strike w:val="0"/>
          <w:noProof w:val="0"/>
          <w:color w:val="000000"/>
          <w:position w:val="0"/>
          <w:sz w:val="18"/>
          <w:u w:val="none"/>
          <w:vertAlign w:val="baseline"/>
        </w:rPr>
        <w:t>The "reserve clause" was a provision in baseball contracts that prevented players from signing with other clubs, even after their contracts had expired, without the express consent of the club they played for.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4" w:name="Bookmark_fnpara_6"/>
      <w:bookmarkEnd w:id="154"/>
      <w:bookmarkStart w:id="155" w:name="Bookmark_I5F867KV28T4850010000400"/>
      <w:bookmarkEnd w:id="155"/>
      <w:r>
        <w:rPr>
          <w:rFonts w:ascii="arial" w:eastAsia="arial" w:hAnsi="arial" w:cs="arial"/>
          <w:b w:val="0"/>
          <w:i w:val="0"/>
          <w:strike w:val="0"/>
          <w:noProof w:val="0"/>
          <w:color w:val="000000"/>
          <w:position w:val="0"/>
          <w:sz w:val="18"/>
          <w:u w:val="none"/>
          <w:vertAlign w:val="baseline"/>
        </w:rPr>
        <w:t xml:space="preserve">MLB also argues that San Jose lacks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bring this challenge. However, </w:t>
      </w:r>
      <w:bookmarkStart w:id="156" w:name="Bookmark_LNHNREFclscc15"/>
      <w:bookmarkEnd w:id="156"/>
      <w:hyperlink r:id="rId2"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"[u]nlike Article III standing, the question of standing to sue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does not go to subject matter jurisdiction, and thus need not be considered" before addressing the merits. </w:t>
      </w:r>
      <w:bookmarkStart w:id="157" w:name="Bookmark_I5F867KV2SF8780050000400"/>
      <w:bookmarkEnd w:id="157"/>
      <w:hyperlink r:id="rId4" w:history="1">
        <w:r>
          <w:rPr>
            <w:rFonts w:ascii="arial" w:eastAsia="arial" w:hAnsi="arial" w:cs="arial"/>
            <w:b w:val="0"/>
            <w:i/>
            <w:strike w:val="0"/>
            <w:noProof w:val="0"/>
            <w:color w:val="0077CC"/>
            <w:position w:val="0"/>
            <w:sz w:val="18"/>
            <w:u w:val="single"/>
            <w:vertAlign w:val="baseline"/>
          </w:rPr>
          <w:t>Datagate, Inc. v. Hewlett-Packard Co</w:t>
        </w:r>
      </w:hyperlink>
      <w:hyperlink r:id="rId4" w:history="1">
        <w:r>
          <w:rPr>
            <w:rFonts w:ascii="arial" w:eastAsia="arial" w:hAnsi="arial" w:cs="arial"/>
            <w:b w:val="0"/>
            <w:i/>
            <w:strike w:val="0"/>
            <w:noProof w:val="0"/>
            <w:color w:val="0077CC"/>
            <w:position w:val="0"/>
            <w:sz w:val="18"/>
            <w:u w:val="single"/>
            <w:vertAlign w:val="baseline"/>
          </w:rPr>
          <w:t>., 60 F.3d 1421, 1425 n.1 (9th Cir. 1995)</w:t>
        </w:r>
      </w:hyperlink>
      <w:r>
        <w:rPr>
          <w:rFonts w:ascii="arial" w:eastAsia="arial" w:hAnsi="arial" w:cs="arial"/>
          <w:b w:val="0"/>
          <w:i w:val="0"/>
          <w:strike w:val="0"/>
          <w:noProof w:val="0"/>
          <w:color w:val="000000"/>
          <w:position w:val="0"/>
          <w:sz w:val="18"/>
          <w:u w:val="none"/>
          <w:vertAlign w:val="baseline"/>
        </w:rPr>
        <w:t>. Because we affirm on the basis of the baseball exemption, we need not reach the question of San Jose's standing.</w:t>
      </w:r>
      <w:r>
        <w:rPr>
          <w:rFonts w:ascii="arial" w:eastAsia="arial" w:hAnsi="arial" w:cs="arial"/>
          <w:b/>
          <w:i w:val="0"/>
          <w:strike w:val="0"/>
          <w:noProof w:val="0"/>
          <w:color w:val="000000"/>
          <w:position w:val="0"/>
          <w:sz w:val="18"/>
          <w:u w:val="none"/>
          <w:vertAlign w:val="baseline"/>
        </w:rPr>
        <w:t> [**14] </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2" w:name="Bookmark_fnpara_7"/>
      <w:bookmarkEnd w:id="162"/>
      <w:r>
        <w:rPr>
          <w:rFonts w:ascii="arial" w:eastAsia="arial" w:hAnsi="arial" w:cs="arial"/>
          <w:b w:val="0"/>
          <w:i w:val="0"/>
          <w:strike w:val="0"/>
          <w:noProof w:val="0"/>
          <w:color w:val="000000"/>
          <w:position w:val="0"/>
          <w:sz w:val="18"/>
          <w:u w:val="none"/>
          <w:vertAlign w:val="baseline"/>
        </w:rPr>
        <w:t>In light of our disposition, all pending motions are denied as moot.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of San Jose v. Office of the Comm'r of Baseball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2X-W6X1-F04K-V001-00000-00&amp;context=" TargetMode="External" /><Relationship Id="rId11" Type="http://schemas.openxmlformats.org/officeDocument/2006/relationships/hyperlink" Target="https://advance.lexis.com/api/document?collection=cases&amp;id=urn:contentItem:59JR-M4F1-F04C-T43M-00000-00&amp;context=" TargetMode="External" /><Relationship Id="rId12" Type="http://schemas.openxmlformats.org/officeDocument/2006/relationships/hyperlink" Target="https://advance.lexis.com/api/document?collection=statutes-legislation&amp;id=urn:contentItem:4YF7-GP11-NRF4-44NY-00000-00&amp;context=" TargetMode="External" /><Relationship Id="rId13" Type="http://schemas.openxmlformats.org/officeDocument/2006/relationships/hyperlink" Target="https://advance.lexis.com/api/document?collection=cases&amp;id=urn:contentItem:5F2X-W6X1-F04K-V001-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F2X-W6X1-F04K-V001-00000-00&amp;context=&amp;link=LNHNREFclscc2" TargetMode="External" /><Relationship Id="rId16" Type="http://schemas.openxmlformats.org/officeDocument/2006/relationships/hyperlink" Target="https://advance.lexis.com/api/document?collection=cases&amp;id=urn:contentItem:5F2X-W6X1-F04K-V001-00000-00&amp;context=&amp;link=LNHNREFclscc3" TargetMode="External" /><Relationship Id="rId17" Type="http://schemas.openxmlformats.org/officeDocument/2006/relationships/hyperlink" Target="https://advance.lexis.com/api/document?collection=cases&amp;id=urn:contentItem:5F2X-W6X1-F04K-V001-00000-00&amp;context=&amp;link=LNHNREFclscc4" TargetMode="External" /><Relationship Id="rId18" Type="http://schemas.openxmlformats.org/officeDocument/2006/relationships/hyperlink" Target="https://advance.lexis.com/api/document?collection=cases&amp;id=urn:contentItem:5F2X-W6X1-F04K-V001-00000-00&amp;context=&amp;link=LNHNREFclscc5" TargetMode="External" /><Relationship Id="rId19" Type="http://schemas.openxmlformats.org/officeDocument/2006/relationships/hyperlink" Target="https://advance.lexis.com/api/document?collection=cases&amp;id=urn:contentItem:5F2X-W6X1-F04K-V001-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2X-W6X1-F04K-V001-00000-00&amp;context=&amp;link=LNHNREFclscc7" TargetMode="External" /><Relationship Id="rId21" Type="http://schemas.openxmlformats.org/officeDocument/2006/relationships/hyperlink" Target="https://advance.lexis.com/api/document?collection=cases&amp;id=urn:contentItem:5F2X-W6X1-F04K-V001-00000-00&amp;context=&amp;link=LNHNREFclscc8" TargetMode="External" /><Relationship Id="rId22" Type="http://schemas.openxmlformats.org/officeDocument/2006/relationships/hyperlink" Target="https://advance.lexis.com/api/document?collection=cases&amp;id=urn:contentItem:5F2X-W6X1-F04K-V001-00000-00&amp;context=&amp;link=LNHNREFclscc9" TargetMode="External" /><Relationship Id="rId23" Type="http://schemas.openxmlformats.org/officeDocument/2006/relationships/hyperlink" Target="https://advance.lexis.com/api/document?collection=cases&amp;id=urn:contentItem:5F2X-W6X1-F04K-V001-00000-00&amp;context=&amp;link=LNHNREFclscc10" TargetMode="External" /><Relationship Id="rId24" Type="http://schemas.openxmlformats.org/officeDocument/2006/relationships/hyperlink" Target="https://advance.lexis.com/api/document?collection=cases&amp;id=urn:contentItem:5F2X-W6X1-F04K-V001-00000-00&amp;context=&amp;link=LNHNREFclscc11" TargetMode="External" /><Relationship Id="rId25" Type="http://schemas.openxmlformats.org/officeDocument/2006/relationships/hyperlink" Target="https://advance.lexis.com/api/document?collection=cases&amp;id=urn:contentItem:5F2X-W6X1-F04K-V001-00000-00&amp;context=&amp;link=LNHNREFclscc12" TargetMode="External" /><Relationship Id="rId26" Type="http://schemas.openxmlformats.org/officeDocument/2006/relationships/hyperlink" Target="https://advance.lexis.com/api/document?collection=cases&amp;id=urn:contentItem:5F2X-W6X1-F04K-V001-00000-00&amp;context=&amp;link=LNHNREFclscc13" TargetMode="External" /><Relationship Id="rId27" Type="http://schemas.openxmlformats.org/officeDocument/2006/relationships/hyperlink" Target="https://advance.lexis.com/api/document?collection=cases&amp;id=urn:contentItem:5F2X-W6X1-F04K-V001-00000-00&amp;context=&amp;link=LNHNREFclscc14" TargetMode="External" /><Relationship Id="rId28" Type="http://schemas.openxmlformats.org/officeDocument/2006/relationships/hyperlink" Target="https://advance.lexis.com/api/document?collection=cases&amp;id=urn:contentItem:5F2X-W6X1-F04K-V001-00000-00&amp;context=&amp;link=LNHNREFclscc15" TargetMode="External" /><Relationship Id="rId29" Type="http://schemas.openxmlformats.org/officeDocument/2006/relationships/hyperlink" Target="https://advance.lexis.com/api/document?collection=cases&amp;id=urn:contentItem:5F2X-W6X1-F04K-V001-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2X-W6X1-F04K-V001-00000-00&amp;context=&amp;link=LNHNREFclscc17" TargetMode="External" /><Relationship Id="rId31" Type="http://schemas.openxmlformats.org/officeDocument/2006/relationships/hyperlink" Target="https://advance.lexis.com/api/document?collection=cases&amp;id=urn:contentItem:3S4X-D6K0-003B-S2JP-00000-00&amp;context=" TargetMode="External" /><Relationship Id="rId32" Type="http://schemas.openxmlformats.org/officeDocument/2006/relationships/hyperlink" Target="https://advance.lexis.com/api/document?collection=cases&amp;id=urn:contentItem:3S4W-Y670-0039-X1H0-00000-00&amp;context=" TargetMode="External" /><Relationship Id="rId33" Type="http://schemas.openxmlformats.org/officeDocument/2006/relationships/hyperlink" Target="https://advance.lexis.com/api/document?collection=cases&amp;id=urn:contentItem:5F2X-W6X1-F04K-V001-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52GR-D6D1-652R-80X4-00000-00&amp;context=" TargetMode="External" /><Relationship Id="rId36" Type="http://schemas.openxmlformats.org/officeDocument/2006/relationships/hyperlink" Target="https://advance.lexis.com/api/document?collection=cases&amp;id=urn:contentItem:3S4X-45Y0-003B-H2DX-00000-00&amp;context=" TargetMode="External" /><Relationship Id="rId37" Type="http://schemas.openxmlformats.org/officeDocument/2006/relationships/hyperlink" Target="https://advance.lexis.com/api/document?collection=cases&amp;id=urn:contentItem:5F2X-W6X1-F04K-V001-00000-00&amp;context=&amp;link=clscc2" TargetMode="External" /><Relationship Id="rId38" Type="http://schemas.openxmlformats.org/officeDocument/2006/relationships/hyperlink" Target="https://advance.lexis.com/api/document?collection=cases&amp;id=urn:contentItem:3S4X-JF70-003B-S4WM-00000-00&amp;context=" TargetMode="External" /><Relationship Id="rId39" Type="http://schemas.openxmlformats.org/officeDocument/2006/relationships/hyperlink" Target="https://advance.lexis.com/api/document?collection=cases&amp;id=urn:contentItem:5F2X-W6X1-F04K-V001-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2X-W6X1-F04K-V001-00000-00&amp;context=&amp;link=clscc4" TargetMode="External" /><Relationship Id="rId41" Type="http://schemas.openxmlformats.org/officeDocument/2006/relationships/hyperlink" Target="https://advance.lexis.com/api/document?collection=cases&amp;id=urn:contentItem:5F2X-W6X1-F04K-V001-00000-00&amp;context=&amp;link=clscc5" TargetMode="External" /><Relationship Id="rId42" Type="http://schemas.openxmlformats.org/officeDocument/2006/relationships/hyperlink" Target="https://advance.lexis.com/api/document?collection=cases&amp;id=urn:contentItem:3S4V-NGG0-003B-32YX-00000-00&amp;context=" TargetMode="External" /><Relationship Id="rId43" Type="http://schemas.openxmlformats.org/officeDocument/2006/relationships/hyperlink" Target="https://advance.lexis.com/api/document?collection=cases&amp;id=urn:contentItem:5F2X-W6X1-F04K-V001-00000-00&amp;context=&amp;link=clscc6" TargetMode="External" /><Relationship Id="rId44" Type="http://schemas.openxmlformats.org/officeDocument/2006/relationships/hyperlink" Target="https://advance.lexis.com/api/document?collection=cases&amp;id=urn:contentItem:3S4X-J7G0-003B-S3D6-00000-00&amp;context=" TargetMode="External" /><Relationship Id="rId45" Type="http://schemas.openxmlformats.org/officeDocument/2006/relationships/hyperlink" Target="https://advance.lexis.com/api/document?collection=cases&amp;id=urn:contentItem:3S4W-YNR0-0039-M276-00000-00&amp;context=" TargetMode="External" /><Relationship Id="rId46" Type="http://schemas.openxmlformats.org/officeDocument/2006/relationships/hyperlink" Target="https://advance.lexis.com/api/document?collection=cases&amp;id=urn:contentItem:5F2X-W6X1-F04K-V001-00000-00&amp;context=&amp;link=clscc7" TargetMode="External" /><Relationship Id="rId47" Type="http://schemas.openxmlformats.org/officeDocument/2006/relationships/hyperlink" Target="https://advance.lexis.com/api/document?collection=cases&amp;id=urn:contentItem:3S4X-15N0-003B-G05H-00000-00&amp;context=" TargetMode="External" /><Relationship Id="rId48" Type="http://schemas.openxmlformats.org/officeDocument/2006/relationships/hyperlink" Target="https://advance.lexis.com/api/document?collection=cases&amp;id=urn:contentItem:3S4X-45T0-0039-M35X-00000-00&amp;context=" TargetMode="External" /><Relationship Id="rId49" Type="http://schemas.openxmlformats.org/officeDocument/2006/relationships/hyperlink" Target="https://advance.lexis.com/api/document?collection=cases&amp;id=urn:contentItem:5F2X-W6X1-F04K-V001-00000-00&amp;context=&amp;link=clscc8"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2X-W6X1-F04K-V001-00000-00&amp;context=&amp;link=clscc9" TargetMode="External" /><Relationship Id="rId51" Type="http://schemas.openxmlformats.org/officeDocument/2006/relationships/hyperlink" Target="https://advance.lexis.com/api/document?collection=cases&amp;id=urn:contentItem:5F2X-W6X1-F04K-V001-00000-00&amp;context=&amp;link=clscc10" TargetMode="External" /><Relationship Id="rId52" Type="http://schemas.openxmlformats.org/officeDocument/2006/relationships/hyperlink" Target="https://advance.lexis.com/api/document?collection=cases&amp;id=urn:contentItem:3S4X-68C0-003B-43Y1-00000-00&amp;context=" TargetMode="External" /><Relationship Id="rId53" Type="http://schemas.openxmlformats.org/officeDocument/2006/relationships/hyperlink" Target="https://advance.lexis.com/api/document?collection=cases&amp;id=urn:contentItem:4RB0-9510-TXFX-12KY-00000-00&amp;context=" TargetMode="External" /><Relationship Id="rId54" Type="http://schemas.openxmlformats.org/officeDocument/2006/relationships/hyperlink" Target="https://advance.lexis.com/api/document?collection=cases&amp;id=urn:contentItem:5F2X-W6X1-F04K-V001-00000-00&amp;context=&amp;link=clscc11" TargetMode="External" /><Relationship Id="rId55" Type="http://schemas.openxmlformats.org/officeDocument/2006/relationships/hyperlink" Target="https://advance.lexis.com/api/document?collection=cases&amp;id=urn:contentItem:5F2X-W6X1-F04K-V001-00000-00&amp;context=&amp;link=clscc12" TargetMode="External" /><Relationship Id="rId56" Type="http://schemas.openxmlformats.org/officeDocument/2006/relationships/hyperlink" Target="https://advance.lexis.com/api/document?collection=cases&amp;id=urn:contentItem:3S4X-BF10-003B-42H3-00000-00&amp;context=" TargetMode="External" /><Relationship Id="rId57" Type="http://schemas.openxmlformats.org/officeDocument/2006/relationships/hyperlink" Target="https://advance.lexis.com/api/document?collection=cases&amp;id=urn:contentItem:5F2X-W6X1-F04K-V001-00000-00&amp;context=&amp;link=clscc13" TargetMode="External" /><Relationship Id="rId58" Type="http://schemas.openxmlformats.org/officeDocument/2006/relationships/hyperlink" Target="https://advance.lexis.com/api/document?collection=cases&amp;id=urn:contentItem:48PK-SDS0-0038-X00B-00000-00&amp;context=" TargetMode="External" /><Relationship Id="rId59" Type="http://schemas.openxmlformats.org/officeDocument/2006/relationships/hyperlink" Target="https://advance.lexis.com/api/document?collection=cases&amp;id=urn:contentItem:5F2X-W6X1-F04K-V001-00000-00&amp;context=&amp;link=clscc1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4B0-JM40-0039-4562-00000-00&amp;context=" TargetMode="External" /><Relationship Id="rId61" Type="http://schemas.openxmlformats.org/officeDocument/2006/relationships/hyperlink" Target="https://advance.lexis.com/api/document?collection=cases&amp;id=urn:contentItem:5F2X-W6X1-F04K-V001-00000-00&amp;context=&amp;link=clscc16" TargetMode="External" /><Relationship Id="rId62" Type="http://schemas.openxmlformats.org/officeDocument/2006/relationships/hyperlink" Target="https://advance.lexis.com/api/document?collection=cases&amp;id=urn:contentItem:5F2X-W6X1-F04K-V001-00000-00&amp;context=&amp;link=clscc17"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F34-H651-DXC7-G09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6K0-003B-S2JP-00000-00&amp;context=" TargetMode="External" /><Relationship Id="rId2" Type="http://schemas.openxmlformats.org/officeDocument/2006/relationships/hyperlink" Target="https://advance.lexis.com/api/document?collection=cases&amp;id=urn:contentItem:5F2X-W6X1-F04K-V001-00000-00&amp;context=&amp;link=clscc15"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RTP-83J0-001T-D0B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