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Cody v. SoulCycle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2017, Decided; October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15-6457 MWF (JEMx)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163965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Rachel Cody, et al. -v- SoulCycle Inc.</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Cody v. SoulCycle Inc., 2017 U.S. Dist. LEXIS 13296 (C.D. Cal., Jan. 31,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Notice, proposed settlement, parties, class action, attorney's fees, expired, reinstated, settlement agreement, class certification, customers, discovery, final approval, requires, credits, costs, settlement amount, incentive award, Plaintiffs', withdrawal, Approving, awards, negotiations, Declaration, Objectors, Expenses, coupons, unused, class representative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Rachel Cody, individually and on behalf of all others similarly situated, Plaintiff: Dorian S Berger, Eric B Hanson, Daniel Paul Hipskind, Berger and Hipskind LLP, Los Angeles, CA; Katherine C Lubin, Lieff Cabraser Heimann and Bernstein LLP, San Francisco, CA; Nicholas R Diamand, PRO HAC VICE, Lieff Cabraser Heimann and Berstein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SoulCycle, Inc., Defendant: Colleen M Gulliver, Keara M Gordon, LEAD ATTORNEYS, PRO HAC VICE, DLA Piper LLP, New York, NY; Grant P Alexander, Shirli Fabbri Weiss, LEAD ATTORNEYS, DLA Piper LLP, Los Angeles, CA; Steven R Marino, LEAD ATTORNEY, PRO HAC VICE, DLA Piper LLP, Short Hills,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Marko Cavka, Lori Kilgannon, Objectors: Stephen M Hauptman, Newmeyer and Dillion LLP, Newport Beach,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Present: The Honorable MICHAEL W. FITZGERALD,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W. FITZGERALD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CIVIL MINUTES—GENERAL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w:t>
      </w:r>
      <w:r>
        <w:rPr>
          <w:rFonts w:ascii="arial" w:eastAsia="arial" w:hAnsi="arial" w:cs="arial"/>
          <w:b w:val="0"/>
          <w:i w:val="0"/>
          <w:strike w:val="0"/>
          <w:noProof w:val="0"/>
          <w:color w:val="000000"/>
          <w:position w:val="0"/>
          <w:sz w:val="20"/>
          <w:u w:val="none"/>
          <w:vertAlign w:val="baseline"/>
        </w:rPr>
        <w:t>: ORDER GRANTING PLAINTIFFS' MOTION FOR FINAL APPROVAL OF CLASS ACTION SETTLEMENT [237] AND MOTION FOR ATTORNEYS' FEES, REIMBURSEMENT OF EXPENSES, AND SERVICE AWARDS [238]</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lead Plaintiffs Rachel Cody and Lindsey Knowles' Motion for Final Approval of Class Action Settlement ("Settlement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Motion" (Docket No. 237)), and Motion for Attorneys' Fees, Reimbursement of Expenses, and Service Awards ("Fee Motion" (Docket No. 238)), both filed on August 28, 2017. On </w:t>
      </w:r>
      <w:r>
        <w:rPr>
          <w:rFonts w:ascii="arial" w:eastAsia="arial" w:hAnsi="arial" w:cs="arial"/>
          <w:b/>
          <w:i w:val="0"/>
          <w:strike w:val="0"/>
          <w:noProof w:val="0"/>
          <w:color w:val="000000"/>
          <w:position w:val="0"/>
          <w:sz w:val="20"/>
          <w:u w:val="none"/>
          <w:vertAlign w:val="baseline"/>
        </w:rPr>
        <w:t>October 2, 2017</w:t>
      </w:r>
      <w:r>
        <w:rPr>
          <w:rFonts w:ascii="arial" w:eastAsia="arial" w:hAnsi="arial" w:cs="arial"/>
          <w:b w:val="0"/>
          <w:i w:val="0"/>
          <w:strike w:val="0"/>
          <w:noProof w:val="0"/>
          <w:color w:val="000000"/>
          <w:position w:val="0"/>
          <w:sz w:val="20"/>
          <w:u w:val="none"/>
          <w:vertAlign w:val="baseline"/>
        </w:rPr>
        <w:t>, the Court held a hearing on the Settlement Motion and the Fee Motion.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Having reviewed the briefs and considered the arguments presented at the hearing and raised by objectors in written objections,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Settlement Motion. The proposed settlement is fair, reasonable, and adequate to serve the interests of the class members. The Court also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Fee Motion. The requested attorneys' fees and costs constitute fair compensation for counsel's efforts and reimbursement for their expenses, and the service awards requested are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Court discussed the background facts extensively in its previous Order Approving Preliminarily the Settlement of a Class Action. ("Preliminary Approval Order" (Docket No. 225)).</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February 10, 2016, the Lead Plaintiffs filed the operative Second Amended Complaint in this action on behalf of purchasers of SoulCycle cycling classes whose cycling class credits expired unused. (Second Amended Complaint ("SAC") (Docket No. 33)). The SAC alleges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violations of the </w:t>
      </w:r>
      <w:hyperlink r:id="rId11" w:history="1">
        <w:r>
          <w:rPr>
            <w:rFonts w:ascii="arial" w:eastAsia="arial" w:hAnsi="arial" w:cs="arial"/>
            <w:b w:val="0"/>
            <w:i/>
            <w:strike w:val="0"/>
            <w:noProof w:val="0"/>
            <w:color w:val="0077CC"/>
            <w:position w:val="0"/>
            <w:sz w:val="20"/>
            <w:u w:val="single"/>
            <w:vertAlign w:val="baseline"/>
          </w:rPr>
          <w:t>Electronic Funds Transfer Act</w:t>
        </w:r>
      </w:hyperlink>
      <w:r>
        <w:rPr>
          <w:rFonts w:ascii="arial" w:eastAsia="arial" w:hAnsi="arial" w:cs="arial"/>
          <w:b w:val="0"/>
          <w:i w:val="0"/>
          <w:strike w:val="0"/>
          <w:noProof w:val="0"/>
          <w:color w:val="000000"/>
          <w:position w:val="0"/>
          <w:sz w:val="20"/>
          <w:u w:val="none"/>
          <w:vertAlign w:val="baseline"/>
        </w:rPr>
        <w:t xml:space="preserve"> ("EFTA") and </w:t>
      </w:r>
      <w:hyperlink r:id="rId12" w:history="1">
        <w:r>
          <w:rPr>
            <w:rFonts w:ascii="arial" w:eastAsia="arial" w:hAnsi="arial" w:cs="arial"/>
            <w:b w:val="0"/>
            <w:i/>
            <w:strike w:val="0"/>
            <w:noProof w:val="0"/>
            <w:color w:val="0077CC"/>
            <w:position w:val="0"/>
            <w:sz w:val="20"/>
            <w:u w:val="single"/>
            <w:vertAlign w:val="baseline"/>
          </w:rPr>
          <w:t xml:space="preserve">California Business and Professions Code section 17200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("UCL"). The claims centered on Defendant SoulCycle's requirement that customers purchase class credits in order to use them to book cycling classes. Those credits often expired before customers could use them, and customers could not obtain refunds of the money they had paid to SoulCycle for those expired class credits.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October 31, 2016, Plaintiff filed a Motion for Class Certification. (Docket No. 71). On March 13, 2017, the Court held a hearing on the Motion for Class Certification. (Docket No. 190). Before the Court issued its final ruling on the Motion for Class Certification, the parties filed a Joint Report and Notice of Settlement in Principle (Docket No. 217), following which the Court vacated and stayed all pending deadlines and denied as moot all pending motions (Docket No. 218).</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The Court preliminarily approved the Settlement Agreement on June 22, 2017. (Docket No. 225). Shortly thereafter, Marko Cavka filed a Motion to Intervene (Docket No. 227), which the Court denied after a hearing. (Docket No. 245). Mr. Cavka also filed an Objection to the Class Action Settlement. (Docket No. 240). Objector Lori Kilgannon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also filed a materially identical Objection. (Docket No. 241). Both Objectors intended to appear through counsel at the Final Approval Hearing, but filed notices withdrawing their Objections prior to the hearing. (Docket Nos. 251, 252). Neither Mr. Cavka nor Ms. Kilgannon appeared at the hearing.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SETTLEMENT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The Proposed Settlement contains an economic component and a non-economic component. The non-economic component requires SoulCycle to make substantial alterations to its business practices in response to the litigation. Those changes are intended to clarify SoulCycle's policies going forward. For example, SoulCycle has clarified where purchased class credits can be used, and updated the Terms and Conditions and Frequently Asked Questions on its Website and smartphone App to reinforce the facts that class credits do expire while gift certificates do not, and that customers may contact SoulCycle to request or discuss extensions or reinstatements of expired classes. (Settlement Mot. at 8-9).</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The economic component of the Proposed Settlement permits class members to choose between reinstatement of up to two expired classes or cash reimbursement for up to two expired classes. (Settlement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Mot. at 7-8). The classes will be automatically reinstated to class members' online SoulCycle accounts, unless the class members elect the Cash Option, which allows payment of up to $50 (or $25 for up to two reinstated classes 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other words, Class members do not need to submit a claim form to receive the reinstated classes, but if they elect the Cash Option, they must submit a Cash Claim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In exchange for the economic and noneconomic consideration described above, the Settlement Class agrees to release "any and all causes of action, claims, damages, equitable relief, legal relief, and demands or rights . . . arising out of or related to the claims asserted by Plaintiffs and the Settlement Class Members in the Litigation or arising from the purchase of a SoulCycle class that expired unused during the Class Period." (Settlement Mot. at 9-10).</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The Settlement Class is proposed to be comprised of:</w:t>
      </w:r>
    </w:p>
    <w:p>
      <w:pPr>
        <w:keepNext w:val="0"/>
        <w:widowControl w:val="0"/>
        <w:spacing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SoulCycle customers nationwide who purchased, during the period commencing on August 25, 2014 and ending on February 10, 2017, a SoulCycle class that expired unused; and</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SoulCycle customers with a California billing address who purchased, during the period commencing February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1, 2012 and ending February 10, 2017, a SoulCycle class that expired unused.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(Settlement Mot. at 7).</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Notice was provided to settlement class members in the manner approved by the court in the Preliminary Approval Order. The Court-approved notice was emailed to 152,013 Class members, mailed to 3,990 class members, and posted on the Settlement website. The notice program was overseen by Dahl Administration, an experienced claims administrator.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Mot. at 20; Declaration of Kelly Kratz Regarding Notice and Settlement Administration (Docket No. 237-1)).</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Each of the two Lead Plaintiffs seek a Service Award of $5,000 each, for a total of $10,000. (Fee Mot. at 1). Class Counsel seek an award of $1,790,000, inclusive of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Class Certification</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xml:space="preserve">The Court preliminarily certified the settlement class pursuant to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xml:space="preserve">. (Preliminary Approval Order at 11-16). There have been no relevant changes since that time, apart from the fact that eight of approximately 150,000 potential class members have opted out, and three class members have submitted objections (two now withdrawn). Therefore, the Court now </w:t>
      </w:r>
      <w:r>
        <w:rPr>
          <w:rFonts w:ascii="arial" w:eastAsia="arial" w:hAnsi="arial" w:cs="arial"/>
          <w:b/>
          <w:i w:val="0"/>
          <w:strike w:val="0"/>
          <w:noProof w:val="0"/>
          <w:color w:val="000000"/>
          <w:position w:val="0"/>
          <w:sz w:val="20"/>
          <w:u w:val="none"/>
          <w:vertAlign w:val="baseline"/>
        </w:rPr>
        <w:t>CERTIFIES</w:t>
      </w:r>
      <w:r>
        <w:rPr>
          <w:rFonts w:ascii="arial" w:eastAsia="arial" w:hAnsi="arial" w:cs="arial"/>
          <w:b w:val="0"/>
          <w:i w:val="0"/>
          <w:strike w:val="0"/>
          <w:noProof w:val="0"/>
          <w:color w:val="000000"/>
          <w:position w:val="0"/>
          <w:sz w:val="20"/>
          <w:u w:val="none"/>
          <w:vertAlign w:val="baseline"/>
        </w:rPr>
        <w:t xml:space="preserve"> the settlement class for the reasons set forth in the Preliminary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Approval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Final Approval of Class Action</w:t>
      </w:r>
    </w:p>
    <w:p>
      <w:pPr>
        <w:keepNext w:val="0"/>
        <w:widowControl w:val="0"/>
        <w:spacing w:before="240" w:after="0" w:line="260" w:lineRule="atLeast"/>
        <w:ind w:left="0" w:right="0" w:firstLine="0"/>
        <w:jc w:val="both"/>
      </w:pPr>
      <w:bookmarkStart w:id="23" w:name="Bookmark_para_16"/>
      <w:bookmarkEnd w:id="23"/>
      <w:bookmarkStart w:id="24" w:name="Bookmark_I0C5CN76T93000VWRG500001"/>
      <w:bookmarkEnd w:id="24"/>
      <w:bookmarkStart w:id="25" w:name="Bookmark_I5PV5C4H2N1PPB0020000400"/>
      <w:bookmarkEnd w:id="25"/>
      <w:r>
        <w:rPr>
          <w:rFonts w:ascii="arial" w:eastAsia="arial" w:hAnsi="arial" w:cs="arial"/>
          <w:b w:val="0"/>
          <w:i w:val="0"/>
          <w:strike w:val="0"/>
          <w:noProof w:val="0"/>
          <w:color w:val="000000"/>
          <w:position w:val="0"/>
          <w:sz w:val="20"/>
          <w:u w:val="none"/>
          <w:vertAlign w:val="baseline"/>
        </w:rPr>
        <w:t xml:space="preserve">Before approving a class action settlement,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requires the Court to determine whether the proposed settlement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"To determine whether a settlement agreement meets these standards, a district court must consider a number of factors, including: (1) the strength of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the class members to the proposed settlement." </w:t>
      </w:r>
      <w:bookmarkStart w:id="26" w:name="Bookmark_I5PV5C4H2N1PPB0010000400"/>
      <w:bookmarkEnd w:id="26"/>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959 (9th Cir. 2003)</w:t>
      </w:r>
      <w:r>
        <w:rPr>
          <w:rFonts w:ascii="arial" w:eastAsia="arial" w:hAnsi="arial" w:cs="arial"/>
          <w:b w:val="0"/>
          <w:i w:val="0"/>
          <w:strike w:val="0"/>
          <w:noProof w:val="0"/>
          <w:color w:val="000000"/>
          <w:position w:val="0"/>
          <w:sz w:val="20"/>
          <w:u w:val="none"/>
          <w:vertAlign w:val="baseline"/>
        </w:rPr>
        <w:t xml:space="preserve"> (internal citation and quotation marks omitted) (applying the factors announced in </w:t>
      </w:r>
      <w:bookmarkStart w:id="27" w:name="Bookmark_I5PV5C4H2N1PPB0030000400"/>
      <w:bookmarkEnd w:id="27"/>
      <w:hyperlink r:id="rId13" w:history="1">
        <w:r>
          <w:rPr>
            <w:rFonts w:ascii="arial" w:eastAsia="arial" w:hAnsi="arial" w:cs="arial"/>
            <w:b w:val="0"/>
            <w:i/>
            <w:strike w:val="0"/>
            <w:noProof w:val="0"/>
            <w:color w:val="0077CC"/>
            <w:position w:val="0"/>
            <w:sz w:val="20"/>
            <w:u w:val="single"/>
            <w:vertAlign w:val="baseline"/>
          </w:rPr>
          <w:t>Hanlon v. Chrysler Corp.</w:t>
        </w:r>
      </w:hyperlink>
      <w:hyperlink r:id="rId13" w:history="1">
        <w:r>
          <w:rPr>
            <w:rFonts w:ascii="arial" w:eastAsia="arial" w:hAnsi="arial" w:cs="arial"/>
            <w:b w:val="0"/>
            <w:i/>
            <w:strike w:val="0"/>
            <w:noProof w:val="0"/>
            <w:color w:val="0077CC"/>
            <w:position w:val="0"/>
            <w:sz w:val="20"/>
            <w:u w:val="single"/>
            <w:vertAlign w:val="baseline"/>
          </w:rPr>
          <w:t>, 150 F.3d 1011, 1026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17"/>
      <w:bookmarkEnd w:id="28"/>
      <w:bookmarkStart w:id="29" w:name="Bookmark_I5PV5C4H2HM6MW0010000400"/>
      <w:bookmarkEnd w:id="29"/>
      <w:bookmarkStart w:id="30" w:name="Bookmark_I5PV5C4H2HM6MW0030000400"/>
      <w:bookmarkEnd w:id="30"/>
      <w:bookmarkStart w:id="31" w:name="Bookmark_I5PV5C4H2D6NX10020000400"/>
      <w:bookmarkEnd w:id="31"/>
      <w:r>
        <w:rPr>
          <w:rFonts w:ascii="arial" w:eastAsia="arial" w:hAnsi="arial" w:cs="arial"/>
          <w:b w:val="0"/>
          <w:i w:val="0"/>
          <w:strike w:val="0"/>
          <w:noProof w:val="0"/>
          <w:color w:val="000000"/>
          <w:position w:val="0"/>
          <w:sz w:val="20"/>
          <w:u w:val="none"/>
          <w:vertAlign w:val="baseline"/>
        </w:rPr>
        <w:t xml:space="preserve">"The relative degree of importance to be attached to any particular factor will depend upon and be dictated by the nature of the claim(s) advanced, the type(s) of relief sought, and the unique facts and circumstances presented by each individual case." </w:t>
      </w:r>
      <w:bookmarkStart w:id="32" w:name="Bookmark_I5PV5C4H2N1PPB0050000400"/>
      <w:bookmarkEnd w:id="32"/>
      <w:hyperlink r:id="rId14" w:history="1">
        <w:r>
          <w:rPr>
            <w:rFonts w:ascii="arial" w:eastAsia="arial" w:hAnsi="arial" w:cs="arial"/>
            <w:b w:val="0"/>
            <w:i/>
            <w:strike w:val="0"/>
            <w:noProof w:val="0"/>
            <w:color w:val="0077CC"/>
            <w:position w:val="0"/>
            <w:sz w:val="20"/>
            <w:u w:val="single"/>
            <w:vertAlign w:val="baseline"/>
          </w:rPr>
          <w:t>Officers for Justice v. Civil Serv. Comm'n</w:t>
        </w:r>
      </w:hyperlink>
      <w:hyperlink r:id="rId14" w:history="1">
        <w:r>
          <w:rPr>
            <w:rFonts w:ascii="arial" w:eastAsia="arial" w:hAnsi="arial" w:cs="arial"/>
            <w:b w:val="0"/>
            <w:i/>
            <w:strike w:val="0"/>
            <w:noProof w:val="0"/>
            <w:color w:val="0077CC"/>
            <w:position w:val="0"/>
            <w:sz w:val="20"/>
            <w:u w:val="single"/>
            <w:vertAlign w:val="baseline"/>
          </w:rPr>
          <w:t>, 688 F.2d 615, 625 (9th Cir. 1982)</w:t>
        </w:r>
      </w:hyperlink>
      <w:r>
        <w:rPr>
          <w:rFonts w:ascii="arial" w:eastAsia="arial" w:hAnsi="arial" w:cs="arial"/>
          <w:b w:val="0"/>
          <w:i w:val="0"/>
          <w:strike w:val="0"/>
          <w:noProof w:val="0"/>
          <w:color w:val="000000"/>
          <w:position w:val="0"/>
          <w:sz w:val="20"/>
          <w:u w:val="none"/>
          <w:vertAlign w:val="baseline"/>
        </w:rPr>
        <w:t>. "It is the settlement taken as a whole, rather than the individual component parts,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must be examined for overall fairness, and the settlement must stand or fall in its entirety." </w:t>
      </w:r>
      <w:bookmarkStart w:id="33" w:name="Bookmark_I5PV5C4H2HM6MW0020000400"/>
      <w:bookmarkEnd w:id="33"/>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960</w:t>
      </w:r>
      <w:r>
        <w:rPr>
          <w:rFonts w:ascii="arial" w:eastAsia="arial" w:hAnsi="arial" w:cs="arial"/>
          <w:b w:val="0"/>
          <w:i w:val="0"/>
          <w:strike w:val="0"/>
          <w:noProof w:val="0"/>
          <w:color w:val="000000"/>
          <w:position w:val="0"/>
          <w:sz w:val="20"/>
          <w:u w:val="none"/>
          <w:vertAlign w:val="baseline"/>
        </w:rPr>
        <w:t xml:space="preserve"> (quoting </w:t>
      </w:r>
      <w:bookmarkStart w:id="34" w:name="Bookmark_I5PV5C4H2HM6MW0040000400"/>
      <w:bookmarkEnd w:id="34"/>
      <w:hyperlink r:id="rId13" w:history="1">
        <w:r>
          <w:rPr>
            <w:rFonts w:ascii="arial" w:eastAsia="arial" w:hAnsi="arial" w:cs="arial"/>
            <w:b w:val="0"/>
            <w:i/>
            <w:strike w:val="0"/>
            <w:noProof w:val="0"/>
            <w:color w:val="0077CC"/>
            <w:position w:val="0"/>
            <w:sz w:val="20"/>
            <w:u w:val="single"/>
            <w:vertAlign w:val="baseline"/>
          </w:rPr>
          <w:t>Hanlon</w:t>
        </w:r>
      </w:hyperlink>
      <w:hyperlink r:id="rId13"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"The involvement of experienced class action counsel and the fact that the settlement agreement was reached in arm's length negotiations, after relevant discovery had taken place create a presumption that the agreement is fair." </w:t>
      </w:r>
      <w:bookmarkStart w:id="35" w:name="Bookmark_I5PV5C4H2D6NX10010000400"/>
      <w:bookmarkEnd w:id="35"/>
      <w:hyperlink r:id="rId15" w:history="1">
        <w:r>
          <w:rPr>
            <w:rFonts w:ascii="arial" w:eastAsia="arial" w:hAnsi="arial" w:cs="arial"/>
            <w:b w:val="0"/>
            <w:i/>
            <w:strike w:val="0"/>
            <w:noProof w:val="0"/>
            <w:color w:val="0077CC"/>
            <w:position w:val="0"/>
            <w:sz w:val="20"/>
            <w:u w:val="single"/>
            <w:vertAlign w:val="baseline"/>
          </w:rPr>
          <w:t>Linney v. Cellular Alaska P'ship</w:t>
        </w:r>
      </w:hyperlink>
      <w:hyperlink r:id="rId15" w:history="1">
        <w:r>
          <w:rPr>
            <w:rFonts w:ascii="arial" w:eastAsia="arial" w:hAnsi="arial" w:cs="arial"/>
            <w:b w:val="0"/>
            <w:i/>
            <w:strike w:val="0"/>
            <w:noProof w:val="0"/>
            <w:color w:val="0077CC"/>
            <w:position w:val="0"/>
            <w:sz w:val="20"/>
            <w:u w:val="single"/>
            <w:vertAlign w:val="baseline"/>
          </w:rPr>
          <w:t>, Nos. C-96-3008 DLJ, C-97-0203 DLJ, C-97-0425 DLJ, C-97-0457 DLJ, 1997 U.S. Dist. LEXIS 24300, 1997 WL 450064, *5 (N.D. Cal. July 18,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151 F.3d 1234, 1234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18"/>
      <w:bookmarkEnd w:id="36"/>
      <w:bookmarkStart w:id="37" w:name="Bookmark_I5PV5C4H2D6NX10040000400"/>
      <w:bookmarkEnd w:id="37"/>
      <w:r>
        <w:rPr>
          <w:rFonts w:ascii="arial" w:eastAsia="arial" w:hAnsi="arial" w:cs="arial"/>
          <w:b w:val="0"/>
          <w:i w:val="0"/>
          <w:strike w:val="0"/>
          <w:noProof w:val="0"/>
          <w:color w:val="000000"/>
          <w:position w:val="0"/>
          <w:sz w:val="20"/>
          <w:u w:val="none"/>
          <w:vertAlign w:val="baseline"/>
        </w:rPr>
        <w:t xml:space="preserve">"In addition, the settlement may not be the product of collusion among the negotiating parties." </w:t>
      </w:r>
      <w:bookmarkStart w:id="38" w:name="Bookmark_I5PV5C4H2D6NX10030000400"/>
      <w:bookmarkEnd w:id="38"/>
      <w:hyperlink r:id="rId17" w:history="1">
        <w:r>
          <w:rPr>
            <w:rFonts w:ascii="arial" w:eastAsia="arial" w:hAnsi="arial" w:cs="arial"/>
            <w:b w:val="0"/>
            <w:i/>
            <w:strike w:val="0"/>
            <w:noProof w:val="0"/>
            <w:color w:val="0077CC"/>
            <w:position w:val="0"/>
            <w:sz w:val="20"/>
            <w:u w:val="single"/>
            <w:vertAlign w:val="baseline"/>
          </w:rPr>
          <w:t>In re Mego Fin. Corp. Sec. Litig.</w:t>
        </w:r>
      </w:hyperlink>
      <w:hyperlink r:id="rId17" w:history="1">
        <w:r>
          <w:rPr>
            <w:rFonts w:ascii="arial" w:eastAsia="arial" w:hAnsi="arial" w:cs="arial"/>
            <w:b w:val="0"/>
            <w:i/>
            <w:strike w:val="0"/>
            <w:noProof w:val="0"/>
            <w:color w:val="0077CC"/>
            <w:position w:val="0"/>
            <w:sz w:val="20"/>
            <w:u w:val="single"/>
            <w:vertAlign w:val="baseline"/>
          </w:rPr>
          <w:t>, 213 F.3d 454, 458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19"/>
      <w:bookmarkEnd w:id="39"/>
      <w:bookmarkStart w:id="40" w:name="Bookmark_I5PV5C4H28T3X50010000400"/>
      <w:bookmarkEnd w:id="40"/>
      <w:r>
        <w:rPr>
          <w:rFonts w:ascii="arial" w:eastAsia="arial" w:hAnsi="arial" w:cs="arial"/>
          <w:b w:val="0"/>
          <w:i w:val="0"/>
          <w:strike w:val="0"/>
          <w:noProof w:val="0"/>
          <w:color w:val="000000"/>
          <w:position w:val="0"/>
          <w:sz w:val="20"/>
          <w:u w:val="none"/>
          <w:vertAlign w:val="baseline"/>
        </w:rPr>
        <w:t xml:space="preserve">The Proposed Settlement is the outcome of an arms-length negotiation conducted with the help of experienced mediators Antonio Piazza and Randall W. Wulff. (Settlement Mot. at 6). "The assistance of an experienced mediator in the settlement process confirms that the settlement is non-collusive." </w:t>
      </w:r>
      <w:bookmarkStart w:id="41" w:name="Bookmark_I5PV5C4H2D6NX10050000400"/>
      <w:bookmarkEnd w:id="41"/>
      <w:hyperlink r:id="rId18" w:history="1">
        <w:r>
          <w:rPr>
            <w:rFonts w:ascii="arial" w:eastAsia="arial" w:hAnsi="arial" w:cs="arial"/>
            <w:b w:val="0"/>
            <w:i/>
            <w:strike w:val="0"/>
            <w:noProof w:val="0"/>
            <w:color w:val="0077CC"/>
            <w:position w:val="0"/>
            <w:sz w:val="20"/>
            <w:u w:val="single"/>
            <w:vertAlign w:val="baseline"/>
          </w:rPr>
          <w:t>Satchell v. Fed. Express Corp.</w:t>
        </w:r>
      </w:hyperlink>
      <w:hyperlink r:id="rId18" w:history="1">
        <w:r>
          <w:rPr>
            <w:rFonts w:ascii="arial" w:eastAsia="arial" w:hAnsi="arial" w:cs="arial"/>
            <w:b w:val="0"/>
            <w:i/>
            <w:strike w:val="0"/>
            <w:noProof w:val="0"/>
            <w:color w:val="0077CC"/>
            <w:position w:val="0"/>
            <w:sz w:val="20"/>
            <w:u w:val="single"/>
            <w:vertAlign w:val="baseline"/>
          </w:rPr>
          <w:t>, No. C 03 2878 SI, 2007 U.S. Dist. LEXIS 99066, 2007 WL 1114010, at *4 (N.D. Cal. Apr. 13, 2007)</w:t>
        </w:r>
      </w:hyperlink>
      <w:r>
        <w:rPr>
          <w:rFonts w:ascii="arial" w:eastAsia="arial" w:hAnsi="arial" w:cs="arial"/>
          <w:b w:val="0"/>
          <w:i w:val="0"/>
          <w:strike w:val="0"/>
          <w:noProof w:val="0"/>
          <w:color w:val="000000"/>
          <w:position w:val="0"/>
          <w:sz w:val="20"/>
          <w:u w:val="none"/>
          <w:vertAlign w:val="baseline"/>
        </w:rPr>
        <w:t xml:space="preserve">. Moreover, Class Counsel are experienced class action litigators who recommend the Proposed Settlement as fair and in the best interests of the class. (Settlement Mot. at 14). </w:t>
      </w:r>
      <w:bookmarkStart w:id="42" w:name="Bookmark_I5PV5C4H28T3X50030000400"/>
      <w:bookmarkEnd w:id="42"/>
      <w:r>
        <w:rPr>
          <w:rFonts w:ascii="arial" w:eastAsia="arial" w:hAnsi="arial" w:cs="arial"/>
          <w:b w:val="0"/>
          <w:i w:val="0"/>
          <w:strike w:val="0"/>
          <w:noProof w:val="0"/>
          <w:color w:val="000000"/>
          <w:position w:val="0"/>
          <w:sz w:val="20"/>
          <w:u w:val="none"/>
          <w:vertAlign w:val="baseline"/>
        </w:rPr>
        <w:t>The Court is satisfied that the proposed settlement is not the product of collusion between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parties. The arms-length nature of the negotiation resulting in the proposed settlement and the recommendation of experienced class action counsel supports final approval. </w:t>
      </w:r>
      <w:r>
        <w:rPr>
          <w:rFonts w:ascii="arial" w:eastAsia="arial" w:hAnsi="arial" w:cs="arial"/>
          <w:b w:val="0"/>
          <w:i/>
          <w:strike w:val="0"/>
          <w:noProof w:val="0"/>
          <w:color w:val="000000"/>
          <w:position w:val="0"/>
          <w:sz w:val="20"/>
          <w:u w:val="none"/>
          <w:vertAlign w:val="baseline"/>
        </w:rPr>
        <w:t xml:space="preserve">See </w:t>
      </w:r>
      <w:bookmarkStart w:id="43" w:name="Bookmark_I5PV5C4H28T3X50020000400"/>
      <w:bookmarkEnd w:id="43"/>
      <w:hyperlink r:id="rId15" w:history="1">
        <w:r>
          <w:rPr>
            <w:rFonts w:ascii="arial" w:eastAsia="arial" w:hAnsi="arial" w:cs="arial"/>
            <w:b w:val="0"/>
            <w:i/>
            <w:strike w:val="0"/>
            <w:noProof w:val="0"/>
            <w:color w:val="0077CC"/>
            <w:position w:val="0"/>
            <w:sz w:val="20"/>
            <w:u w:val="single"/>
            <w:vertAlign w:val="baseline"/>
          </w:rPr>
          <w:t>Linney</w:t>
        </w:r>
      </w:hyperlink>
      <w:hyperlink r:id="rId15" w:history="1">
        <w:r>
          <w:rPr>
            <w:rFonts w:ascii="arial" w:eastAsia="arial" w:hAnsi="arial" w:cs="arial"/>
            <w:b w:val="0"/>
            <w:i/>
            <w:strike w:val="0"/>
            <w:noProof w:val="0"/>
            <w:color w:val="0077CC"/>
            <w:position w:val="0"/>
            <w:sz w:val="20"/>
            <w:u w:val="single"/>
            <w:vertAlign w:val="baseline"/>
          </w:rPr>
          <w:t>, 1997 U.S. Dist. LEXIS 24300, 1997 WL 450064,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20"/>
      <w:bookmarkEnd w:id="44"/>
      <w:r>
        <w:rPr>
          <w:rFonts w:ascii="arial" w:eastAsia="arial" w:hAnsi="arial" w:cs="arial"/>
          <w:b w:val="0"/>
          <w:i w:val="0"/>
          <w:strike w:val="0"/>
          <w:noProof w:val="0"/>
          <w:color w:val="000000"/>
          <w:position w:val="0"/>
          <w:sz w:val="20"/>
          <w:u w:val="none"/>
          <w:vertAlign w:val="baseline"/>
        </w:rPr>
        <w:t xml:space="preserve">Moreover, consideration of the </w:t>
      </w:r>
      <w:r>
        <w:rPr>
          <w:rFonts w:ascii="arial" w:eastAsia="arial" w:hAnsi="arial" w:cs="arial"/>
          <w:b w:val="0"/>
          <w:i/>
          <w:strike w:val="0"/>
          <w:noProof w:val="0"/>
          <w:color w:val="000000"/>
          <w:position w:val="0"/>
          <w:sz w:val="20"/>
          <w:u w:val="none"/>
          <w:vertAlign w:val="baseline"/>
        </w:rPr>
        <w:t>Hanlon</w:t>
      </w:r>
      <w:r>
        <w:rPr>
          <w:rFonts w:ascii="arial" w:eastAsia="arial" w:hAnsi="arial" w:cs="arial"/>
          <w:b w:val="0"/>
          <w:i w:val="0"/>
          <w:strike w:val="0"/>
          <w:noProof w:val="0"/>
          <w:color w:val="000000"/>
          <w:position w:val="0"/>
          <w:sz w:val="20"/>
          <w:u w:val="none"/>
          <w:vertAlign w:val="baseline"/>
        </w:rPr>
        <w:t xml:space="preserve"> factors dictates final approval of the proposed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Strength of Plaintiff's case and risk, expense, complexity, and likely duration of further litigation</w:t>
      </w:r>
    </w:p>
    <w:p>
      <w:pPr>
        <w:keepNext w:val="0"/>
        <w:widowControl w:val="0"/>
        <w:spacing w:before="200" w:after="0" w:line="260" w:lineRule="atLeast"/>
        <w:ind w:left="0" w:right="0" w:firstLine="0"/>
        <w:jc w:val="both"/>
      </w:pPr>
      <w:bookmarkStart w:id="45" w:name="Bookmark_para_21"/>
      <w:bookmarkEnd w:id="45"/>
      <w:bookmarkStart w:id="46" w:name="Bookmark_I5PV5C4H28T3X50050000400"/>
      <w:bookmarkEnd w:id="46"/>
      <w:r>
        <w:rPr>
          <w:rFonts w:ascii="arial" w:eastAsia="arial" w:hAnsi="arial" w:cs="arial"/>
          <w:b w:val="0"/>
          <w:i w:val="0"/>
          <w:strike w:val="0"/>
          <w:noProof w:val="0"/>
          <w:color w:val="000000"/>
          <w:position w:val="0"/>
          <w:sz w:val="20"/>
          <w:u w:val="none"/>
          <w:vertAlign w:val="baseline"/>
        </w:rPr>
        <w:t xml:space="preserve">When assessing the strength of a plaintiff's case, the court does not reach "any ultimate conclusions regarding the contested issues of fact and law that underlie the merits of this litigation." </w:t>
      </w:r>
      <w:bookmarkStart w:id="47" w:name="Bookmark_I5PV5C4H28T3X50040000400"/>
      <w:bookmarkEnd w:id="47"/>
      <w:hyperlink r:id="rId19" w:history="1">
        <w:r>
          <w:rPr>
            <w:rFonts w:ascii="arial" w:eastAsia="arial" w:hAnsi="arial" w:cs="arial"/>
            <w:b w:val="0"/>
            <w:i/>
            <w:strike w:val="0"/>
            <w:noProof w:val="0"/>
            <w:color w:val="0077CC"/>
            <w:position w:val="0"/>
            <w:sz w:val="20"/>
            <w:u w:val="single"/>
            <w:vertAlign w:val="baseline"/>
          </w:rPr>
          <w:t>In re Wash. Pub. Power Supply Sys. Sec. Litig.</w:t>
        </w:r>
      </w:hyperlink>
      <w:hyperlink r:id="rId19" w:history="1">
        <w:r>
          <w:rPr>
            <w:rFonts w:ascii="arial" w:eastAsia="arial" w:hAnsi="arial" w:cs="arial"/>
            <w:b w:val="0"/>
            <w:i/>
            <w:strike w:val="0"/>
            <w:noProof w:val="0"/>
            <w:color w:val="0077CC"/>
            <w:position w:val="0"/>
            <w:sz w:val="20"/>
            <w:u w:val="single"/>
            <w:vertAlign w:val="baseline"/>
          </w:rPr>
          <w:t>, 720 F. Supp. 1379, 1388 (D. Ariz. 1989)</w:t>
        </w:r>
      </w:hyperlink>
      <w:r>
        <w:rPr>
          <w:rFonts w:ascii="arial" w:eastAsia="arial" w:hAnsi="arial" w:cs="arial"/>
          <w:b w:val="0"/>
          <w:i w:val="0"/>
          <w:strike w:val="0"/>
          <w:noProof w:val="0"/>
          <w:color w:val="000000"/>
          <w:position w:val="0"/>
          <w:sz w:val="20"/>
          <w:u w:val="none"/>
          <w:vertAlign w:val="baseline"/>
        </w:rPr>
        <w:t xml:space="preserve">. Plaintiffs acknowledge that continued litigation of this action would present risks both as to class certification and ultimate findings of liability. (Settlement Mot. at 14-18). Plaintiffs recognize that there is a dearth of legal precedent related to the EFTA, which makes the outcome of their action less certain. Moreover, Defendant SoulCycle's expert testified to the difficulty of Plaintiffs' establishing that all consumers who failed to use their SoulCycle class credits did so because of the credits' expiration dates. The difficulty of establishing that Plaintiffs' harm was </w:t>
      </w:r>
      <w:r>
        <w:rPr>
          <w:rFonts w:ascii="arial" w:eastAsia="arial" w:hAnsi="arial" w:cs="arial"/>
          <w:b/>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by the alleged EFTA violation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poses a risk both as to liability and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w:t>
      </w:r>
    </w:p>
    <w:p>
      <w:pPr>
        <w:keepNext w:val="0"/>
        <w:widowControl w:val="0"/>
        <w:spacing w:before="200" w:after="0" w:line="260" w:lineRule="atLeast"/>
        <w:ind w:left="0" w:right="0" w:firstLine="0"/>
        <w:jc w:val="both"/>
      </w:pPr>
      <w:bookmarkStart w:id="48" w:name="Bookmark_para_22"/>
      <w:bookmarkEnd w:id="48"/>
      <w:r>
        <w:rPr>
          <w:rFonts w:ascii="arial" w:eastAsia="arial" w:hAnsi="arial" w:cs="arial"/>
          <w:b w:val="0"/>
          <w:i w:val="0"/>
          <w:strike w:val="0"/>
          <w:noProof w:val="0"/>
          <w:color w:val="000000"/>
          <w:position w:val="0"/>
          <w:sz w:val="20"/>
          <w:u w:val="none"/>
          <w:vertAlign w:val="baseline"/>
        </w:rPr>
        <w:t>Plaintiffs also recognize that Defendant SoulCycle raised strong arguments that the predominance of individual issues weighs against class certification. (Settlement Mot. at 16). For example, Plaintiffs sought to certify a class that included both natural persons and businesses, though Defendant SoulCycle argued that EFTA claims could only be brought on behalf of natural persons.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Defendant SoulCycle argued that fact-specific analysis would be required to determine if each member of the California class was properly included, because their billing addresses might not correspond to their residence addresses.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23"/>
      <w:bookmarkEnd w:id="49"/>
      <w:r>
        <w:rPr>
          <w:rFonts w:ascii="arial" w:eastAsia="arial" w:hAnsi="arial" w:cs="arial"/>
          <w:b w:val="0"/>
          <w:i w:val="0"/>
          <w:strike w:val="0"/>
          <w:noProof w:val="0"/>
          <w:color w:val="000000"/>
          <w:position w:val="0"/>
          <w:sz w:val="20"/>
          <w:u w:val="none"/>
          <w:vertAlign w:val="baseline"/>
        </w:rPr>
        <w:t>Therefore, whether the ultimate outcome of this litigation would be (1) class certification, (2) a finding of liability, and (3) a class award superior to the one achieved in the Proposed Settlement is highly uncertain, weighing in favor of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Amount offered in settlement</w:t>
      </w:r>
    </w:p>
    <w:p>
      <w:pPr>
        <w:keepNext w:val="0"/>
        <w:widowControl w:val="0"/>
        <w:spacing w:before="240" w:after="0" w:line="260" w:lineRule="atLeast"/>
        <w:ind w:left="0" w:right="0" w:firstLine="0"/>
        <w:jc w:val="both"/>
      </w:pPr>
      <w:bookmarkStart w:id="50" w:name="Bookmark_para_24"/>
      <w:bookmarkEnd w:id="50"/>
      <w:bookmarkStart w:id="51" w:name="Bookmark_I5PV5C4H2N1PPC0020000400"/>
      <w:bookmarkEnd w:id="51"/>
      <w:r>
        <w:rPr>
          <w:rFonts w:ascii="arial" w:eastAsia="arial" w:hAnsi="arial" w:cs="arial"/>
          <w:b w:val="0"/>
          <w:i w:val="0"/>
          <w:strike w:val="0"/>
          <w:noProof w:val="0"/>
          <w:color w:val="000000"/>
          <w:position w:val="0"/>
          <w:sz w:val="20"/>
          <w:u w:val="none"/>
          <w:vertAlign w:val="baseline"/>
        </w:rPr>
        <w:t>The Court concludes $6.9-9.2 million offered in the Proposed Settlement is fair and reasonable, especially in light of the considerable non-economic consideration the Proposed Settlement also provides. The Court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looks at "the complete package taken as a whole, rather than the individual component parts" in making this determination. </w:t>
      </w:r>
      <w:bookmarkStart w:id="52" w:name="Bookmark_I5PV5C4H2N1PPC0010000400"/>
      <w:bookmarkEnd w:id="52"/>
      <w:hyperlink r:id="rId14" w:history="1">
        <w:r>
          <w:rPr>
            <w:rFonts w:ascii="arial" w:eastAsia="arial" w:hAnsi="arial" w:cs="arial"/>
            <w:b w:val="0"/>
            <w:i/>
            <w:strike w:val="0"/>
            <w:noProof w:val="0"/>
            <w:color w:val="0077CC"/>
            <w:position w:val="0"/>
            <w:sz w:val="20"/>
            <w:u w:val="single"/>
            <w:vertAlign w:val="baseline"/>
          </w:rPr>
          <w:t>Officers for Justice</w:t>
        </w:r>
      </w:hyperlink>
      <w:hyperlink r:id="rId14" w:history="1">
        <w:r>
          <w:rPr>
            <w:rFonts w:ascii="arial" w:eastAsia="arial" w:hAnsi="arial" w:cs="arial"/>
            <w:b w:val="0"/>
            <w:i/>
            <w:strike w:val="0"/>
            <w:noProof w:val="0"/>
            <w:color w:val="0077CC"/>
            <w:position w:val="0"/>
            <w:sz w:val="20"/>
            <w:u w:val="single"/>
            <w:vertAlign w:val="baseline"/>
          </w:rPr>
          <w:t>, 688 F.2d at 628 (9th Cir. 1982)</w:t>
        </w:r>
      </w:hyperlink>
      <w:r>
        <w:rPr>
          <w:rFonts w:ascii="arial" w:eastAsia="arial" w:hAnsi="arial" w:cs="arial"/>
          <w:b w:val="0"/>
          <w:i w:val="0"/>
          <w:strike w:val="0"/>
          <w:noProof w:val="0"/>
          <w:color w:val="000000"/>
          <w:position w:val="0"/>
          <w:sz w:val="20"/>
          <w:u w:val="none"/>
          <w:vertAlign w:val="baseline"/>
        </w:rPr>
        <w:t>. The Settlement allows class members to receive up to two reinstated classes (worth $30-40 each), or elect a Cash Option and receive $25 each for up to two reinstated classes instead. (Settlement Mot. at 7-8). As of September 25, 2017, class members submitted 275 valid and timely Cash Claim forms electing the Cash Option. (Supplemental Declaration of Kelly Kratz at 3 (Docket No. 249-1)). The reason the amount of the Settlement is expressed as a range of value is that there are 229,646 reimbursable classes in the Settlement, each of which are valued between $30 and $40. (Mot. at 8 n.2).</w:t>
      </w:r>
    </w:p>
    <w:p>
      <w:pPr>
        <w:keepNext w:val="0"/>
        <w:widowControl w:val="0"/>
        <w:spacing w:before="200" w:after="0" w:line="260" w:lineRule="atLeast"/>
        <w:ind w:left="0" w:right="0" w:firstLine="0"/>
        <w:jc w:val="both"/>
      </w:pPr>
      <w:bookmarkStart w:id="53" w:name="Bookmark_para_25"/>
      <w:bookmarkEnd w:id="53"/>
      <w:r>
        <w:rPr>
          <w:rFonts w:ascii="arial" w:eastAsia="arial" w:hAnsi="arial" w:cs="arial"/>
          <w:b w:val="0"/>
          <w:i w:val="0"/>
          <w:strike w:val="0"/>
          <w:noProof w:val="0"/>
          <w:color w:val="000000"/>
          <w:position w:val="0"/>
          <w:sz w:val="20"/>
          <w:u w:val="none"/>
          <w:vertAlign w:val="baseline"/>
        </w:rPr>
        <w:t>Moreover, class members have obtained non-monetary benefits from the Settlement in the form of the substantial business changes the Settlement requires Defendant SoulCycle to make. These changes clarify Defendant SoulCycle's business practices going forward. (Settlement Mot. at 8). Considering the risk and expense of continued litigation, the Proposed Settlement represents fair, reasonable, and adequate compensation to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The Court finds this factor weighs in favor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Extent of discovery completed and stage of the proceedings</w:t>
      </w:r>
    </w:p>
    <w:p>
      <w:pPr>
        <w:keepNext w:val="0"/>
        <w:widowControl w:val="0"/>
        <w:spacing w:before="200" w:after="0" w:line="260" w:lineRule="atLeast"/>
        <w:ind w:left="0" w:right="0" w:firstLine="0"/>
        <w:jc w:val="both"/>
      </w:pPr>
      <w:bookmarkStart w:id="54" w:name="Bookmark_para_26"/>
      <w:bookmarkEnd w:id="54"/>
      <w:bookmarkStart w:id="55" w:name="Bookmark_I5PV5C4H2N1PPC0040000400"/>
      <w:bookmarkEnd w:id="55"/>
      <w:r>
        <w:rPr>
          <w:rFonts w:ascii="arial" w:eastAsia="arial" w:hAnsi="arial" w:cs="arial"/>
          <w:b w:val="0"/>
          <w:i w:val="0"/>
          <w:strike w:val="0"/>
          <w:noProof w:val="0"/>
          <w:color w:val="000000"/>
          <w:position w:val="0"/>
          <w:sz w:val="20"/>
          <w:u w:val="none"/>
          <w:vertAlign w:val="baseline"/>
        </w:rPr>
        <w:t xml:space="preserve">This factor requires the Court to evaluate whether "the parties have sufficient information to make an informed decision about settlement." </w:t>
      </w:r>
      <w:bookmarkStart w:id="56" w:name="Bookmark_I5PV5C4H2N1PPC0030000400"/>
      <w:bookmarkEnd w:id="56"/>
      <w:hyperlink r:id="rId16" w:history="1">
        <w:r>
          <w:rPr>
            <w:rFonts w:ascii="arial" w:eastAsia="arial" w:hAnsi="arial" w:cs="arial"/>
            <w:b w:val="0"/>
            <w:i/>
            <w:strike w:val="0"/>
            <w:noProof w:val="0"/>
            <w:color w:val="0077CC"/>
            <w:position w:val="0"/>
            <w:sz w:val="20"/>
            <w:u w:val="single"/>
            <w:vertAlign w:val="baseline"/>
          </w:rPr>
          <w:t>Linney</w:t>
        </w:r>
      </w:hyperlink>
      <w:hyperlink r:id="rId16" w:history="1">
        <w:r>
          <w:rPr>
            <w:rFonts w:ascii="arial" w:eastAsia="arial" w:hAnsi="arial" w:cs="arial"/>
            <w:b w:val="0"/>
            <w:i/>
            <w:strike w:val="0"/>
            <w:noProof w:val="0"/>
            <w:color w:val="0077CC"/>
            <w:position w:val="0"/>
            <w:sz w:val="20"/>
            <w:u w:val="single"/>
            <w:vertAlign w:val="baseline"/>
          </w:rPr>
          <w:t>, 151 F.3d at 1239</w:t>
        </w:r>
      </w:hyperlink>
      <w:r>
        <w:rPr>
          <w:rFonts w:ascii="arial" w:eastAsia="arial" w:hAnsi="arial" w:cs="arial"/>
          <w:b w:val="0"/>
          <w:i w:val="0"/>
          <w:strike w:val="0"/>
          <w:noProof w:val="0"/>
          <w:color w:val="000000"/>
          <w:position w:val="0"/>
          <w:sz w:val="20"/>
          <w:u w:val="none"/>
          <w:vertAlign w:val="baseline"/>
        </w:rPr>
        <w:t>. Plaintiffs contend that the parties have engaged in substantial adversarial motion practice and discovery, which has led to a "comprehensive evaluation of the case's strengths and weaknesses and to well-informed settlement discussions." (Settlement Mot. at 13). The parties performed substantial formal discovery over the course of the past two years. In addition, the Settlement discussions were informed by the Court's prior rulings on Defendant SoulCycle's two motions to dismiss.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The Court concludes the parties had ample information with which to make informed settlement decisions. This factor weighs in favor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Experience and views of Lead Counsel</w:t>
      </w:r>
    </w:p>
    <w:p>
      <w:pPr>
        <w:keepNext w:val="0"/>
        <w:widowControl w:val="0"/>
        <w:spacing w:before="200" w:after="0" w:line="260" w:lineRule="atLeast"/>
        <w:ind w:left="0" w:right="0" w:firstLine="0"/>
        <w:jc w:val="both"/>
      </w:pPr>
      <w:bookmarkStart w:id="57" w:name="Bookmark_para_27"/>
      <w:bookmarkEnd w:id="57"/>
      <w:r>
        <w:rPr>
          <w:rFonts w:ascii="arial" w:eastAsia="arial" w:hAnsi="arial" w:cs="arial"/>
          <w:b w:val="0"/>
          <w:i w:val="0"/>
          <w:strike w:val="0"/>
          <w:noProof w:val="0"/>
          <w:color w:val="000000"/>
          <w:position w:val="0"/>
          <w:sz w:val="20"/>
          <w:u w:val="none"/>
          <w:vertAlign w:val="baseline"/>
        </w:rPr>
        <w:t>Plaintiffs' counsel has extensive class action litigation experience, including in the area of consumer protection. (Declaration of Daniel P. Hipskind in Support of Plaintiffs' Motion for Preliminary Approval of Class Action Settlement ¶¶ 11-13, Ex. 3 (Docket No. 221-1)). Counsel conducted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detailed investigations and discovery in the course of this action, and engaged in both direct negotiations as well as mediated negotiations before ultimately reaching and recommending this Proposed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14-18). This factor weighs in favor of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Reaction of the class members to the proposed settlement</w:t>
      </w:r>
    </w:p>
    <w:p>
      <w:pPr>
        <w:keepNext w:val="0"/>
        <w:widowControl w:val="0"/>
        <w:spacing w:before="240" w:after="0" w:line="260" w:lineRule="atLeast"/>
        <w:ind w:left="0" w:right="0" w:firstLine="0"/>
        <w:jc w:val="both"/>
      </w:pPr>
      <w:bookmarkStart w:id="58" w:name="Bookmark_para_28"/>
      <w:bookmarkEnd w:id="58"/>
      <w:bookmarkStart w:id="59" w:name="Bookmark_I5PV5C4H2SF8KM0010000400"/>
      <w:bookmarkEnd w:id="59"/>
      <w:r>
        <w:rPr>
          <w:rFonts w:ascii="arial" w:eastAsia="arial" w:hAnsi="arial" w:cs="arial"/>
          <w:b w:val="0"/>
          <w:i w:val="0"/>
          <w:strike w:val="0"/>
          <w:noProof w:val="0"/>
          <w:color w:val="000000"/>
          <w:position w:val="0"/>
          <w:sz w:val="20"/>
          <w:u w:val="none"/>
          <w:vertAlign w:val="baseline"/>
        </w:rPr>
        <w:t xml:space="preserve">Eight out of approximately 150,000 potential class members opted out and three class members have objected (though two have since indicated they withdrew their objections). "It is established that the absence of a large number of objections to a proposed class action settlement raises a strong presumption that the terms of a proposed class settlement action are favorable to the class members." </w:t>
      </w:r>
      <w:bookmarkStart w:id="60" w:name="Bookmark_I5PV5C4H2N1PPC0050000400"/>
      <w:bookmarkEnd w:id="60"/>
      <w:hyperlink r:id="rId20" w:history="1">
        <w:r>
          <w:rPr>
            <w:rFonts w:ascii="arial" w:eastAsia="arial" w:hAnsi="arial" w:cs="arial"/>
            <w:b w:val="0"/>
            <w:i/>
            <w:strike w:val="0"/>
            <w:noProof w:val="0"/>
            <w:color w:val="0077CC"/>
            <w:position w:val="0"/>
            <w:sz w:val="20"/>
            <w:u w:val="single"/>
            <w:vertAlign w:val="baseline"/>
          </w:rPr>
          <w:t>Nat'l Rural Telecomm'cns Coop. v. DIRECTV, Inc.</w:t>
        </w:r>
      </w:hyperlink>
      <w:hyperlink r:id="rId20" w:history="1">
        <w:r>
          <w:rPr>
            <w:rFonts w:ascii="arial" w:eastAsia="arial" w:hAnsi="arial" w:cs="arial"/>
            <w:b w:val="0"/>
            <w:i/>
            <w:strike w:val="0"/>
            <w:noProof w:val="0"/>
            <w:color w:val="0077CC"/>
            <w:position w:val="0"/>
            <w:sz w:val="20"/>
            <w:u w:val="single"/>
            <w:vertAlign w:val="baseline"/>
          </w:rPr>
          <w:t>, 221 F.R.D. 523, 528-29 (C.D. Cal.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 w:name="Bookmark_I5PV5C4H2SF8KM0020000400"/>
      <w:bookmarkEnd w:id="61"/>
      <w:hyperlink r:id="rId21" w:history="1">
        <w:r>
          <w:rPr>
            <w:rFonts w:ascii="arial" w:eastAsia="arial" w:hAnsi="arial" w:cs="arial"/>
            <w:b w:val="0"/>
            <w:i/>
            <w:strike w:val="0"/>
            <w:noProof w:val="0"/>
            <w:color w:val="0077CC"/>
            <w:position w:val="0"/>
            <w:sz w:val="20"/>
            <w:u w:val="single"/>
            <w:vertAlign w:val="baseline"/>
          </w:rPr>
          <w:t>Churchill Village LLC v. Gen. Elec.</w:t>
        </w:r>
      </w:hyperlink>
      <w:hyperlink r:id="rId21" w:history="1">
        <w:r>
          <w:rPr>
            <w:rFonts w:ascii="arial" w:eastAsia="arial" w:hAnsi="arial" w:cs="arial"/>
            <w:b w:val="0"/>
            <w:i/>
            <w:strike w:val="0"/>
            <w:noProof w:val="0"/>
            <w:color w:val="0077CC"/>
            <w:position w:val="0"/>
            <w:sz w:val="20"/>
            <w:u w:val="single"/>
            <w:vertAlign w:val="baseline"/>
          </w:rPr>
          <w:t>, 361 F.3d 566, 577 (9th Cir. 2004)</w:t>
        </w:r>
      </w:hyperlink>
      <w:r>
        <w:rPr>
          <w:rFonts w:ascii="arial" w:eastAsia="arial" w:hAnsi="arial" w:cs="arial"/>
          <w:b w:val="0"/>
          <w:i w:val="0"/>
          <w:strike w:val="0"/>
          <w:noProof w:val="0"/>
          <w:color w:val="000000"/>
          <w:position w:val="0"/>
          <w:sz w:val="20"/>
          <w:u w:val="none"/>
          <w:vertAlign w:val="baseline"/>
        </w:rPr>
        <w:t xml:space="preserve"> (affirming settlement with 45 objections out of 90,000 notices sent).</w:t>
      </w:r>
    </w:p>
    <w:p>
      <w:pPr>
        <w:keepNext w:val="0"/>
        <w:widowControl w:val="0"/>
        <w:spacing w:before="240" w:after="0" w:line="260" w:lineRule="atLeast"/>
        <w:ind w:left="0" w:right="0" w:firstLine="0"/>
        <w:jc w:val="both"/>
      </w:pPr>
      <w:bookmarkStart w:id="62" w:name="Bookmark_para_29"/>
      <w:bookmarkEnd w:id="62"/>
      <w:r>
        <w:rPr>
          <w:rFonts w:ascii="arial" w:eastAsia="arial" w:hAnsi="arial" w:cs="arial"/>
          <w:b w:val="0"/>
          <w:i w:val="0"/>
          <w:strike w:val="0"/>
          <w:noProof w:val="0"/>
          <w:color w:val="000000"/>
          <w:position w:val="0"/>
          <w:sz w:val="20"/>
          <w:u w:val="none"/>
          <w:vertAlign w:val="baseline"/>
        </w:rPr>
        <w:t xml:space="preserve">As discussed above, Marko Cavka and Lori Kilgannon have filed notices withdrawing their Objections. (Docket Nos. 251, 252). However,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permit withdrawal of objections without the Court's approval. </w:t>
      </w:r>
      <w:r>
        <w:rPr>
          <w:rFonts w:ascii="arial" w:eastAsia="arial" w:hAnsi="arial" w:cs="arial"/>
          <w:b w:val="0"/>
          <w:i/>
          <w:strike w:val="0"/>
          <w:noProof w:val="0"/>
          <w:color w:val="000000"/>
          <w:position w:val="0"/>
          <w:sz w:val="20"/>
          <w:u w:val="none"/>
          <w:vertAlign w:val="baseline"/>
        </w:rPr>
        <w:t>Fed. R. Civ. P. 23(e)(5)</w:t>
      </w:r>
      <w:r>
        <w:rPr>
          <w:rFonts w:ascii="arial" w:eastAsia="arial" w:hAnsi="arial" w:cs="arial"/>
          <w:b w:val="0"/>
          <w:i w:val="0"/>
          <w:strike w:val="0"/>
          <w:noProof w:val="0"/>
          <w:color w:val="000000"/>
          <w:position w:val="0"/>
          <w:sz w:val="20"/>
          <w:u w:val="none"/>
          <w:vertAlign w:val="baseline"/>
        </w:rPr>
        <w:t xml:space="preserve"> ("Any class member may object to the proposal if it requires court approval under this </w:t>
      </w:r>
      <w:r>
        <w:rPr>
          <w:rFonts w:ascii="arial" w:eastAsia="arial" w:hAnsi="arial" w:cs="arial"/>
          <w:b w:val="0"/>
          <w:i/>
          <w:strike w:val="0"/>
          <w:noProof w:val="0"/>
          <w:color w:val="000000"/>
          <w:position w:val="0"/>
          <w:sz w:val="20"/>
          <w:u w:val="none"/>
          <w:vertAlign w:val="baseline"/>
        </w:rPr>
        <w:t>subdivision (e)</w:t>
      </w:r>
      <w:r>
        <w:rPr>
          <w:rFonts w:ascii="arial" w:eastAsia="arial" w:hAnsi="arial" w:cs="arial"/>
          <w:b w:val="0"/>
          <w:i w:val="0"/>
          <w:strike w:val="0"/>
          <w:noProof w:val="0"/>
          <w:color w:val="000000"/>
          <w:position w:val="0"/>
          <w:sz w:val="20"/>
          <w:u w:val="none"/>
          <w:vertAlign w:val="baseline"/>
        </w:rPr>
        <w:t xml:space="preserve">; the objection may be withdrawn only with the court's approval."). </w:t>
      </w:r>
      <w:bookmarkStart w:id="63" w:name="Bookmark_I5PV5C4H2SF8KM0050000400"/>
      <w:bookmarkEnd w:id="63"/>
      <w:r>
        <w:rPr>
          <w:rFonts w:ascii="arial" w:eastAsia="arial" w:hAnsi="arial" w:cs="arial"/>
          <w:b w:val="0"/>
          <w:i w:val="0"/>
          <w:strike w:val="0"/>
          <w:noProof w:val="0"/>
          <w:color w:val="000000"/>
          <w:position w:val="0"/>
          <w:sz w:val="20"/>
          <w:u w:val="none"/>
          <w:vertAlign w:val="baseline"/>
        </w:rPr>
        <w:t>Both Objectors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indicate that their reason for withdrawing their Objections is that, after mediation, they reached settlements in their separate lawsuits against SoulCycle, and that the terms of those settlements included withdrawal of their Objections in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finds that this explanation is likely sufficient for it to approve the withdrawals, but out of an abundance of caution, the Court considers and heard from Class Counsel at the hearing on the arguments raised in the Cavka and Kilgannon Objections anyway. </w:t>
      </w:r>
      <w:r>
        <w:rPr>
          <w:rFonts w:ascii="arial" w:eastAsia="arial" w:hAnsi="arial" w:cs="arial"/>
          <w:b w:val="0"/>
          <w:i/>
          <w:strike w:val="0"/>
          <w:noProof w:val="0"/>
          <w:color w:val="000000"/>
          <w:position w:val="0"/>
          <w:sz w:val="20"/>
          <w:u w:val="none"/>
          <w:vertAlign w:val="baseline"/>
        </w:rPr>
        <w:t xml:space="preserve">See </w:t>
      </w:r>
      <w:bookmarkStart w:id="64" w:name="Bookmark_I5PV5C4H2SF8KM0040000400"/>
      <w:bookmarkEnd w:id="64"/>
      <w:hyperlink r:id="rId22" w:history="1">
        <w:r>
          <w:rPr>
            <w:rFonts w:ascii="arial" w:eastAsia="arial" w:hAnsi="arial" w:cs="arial"/>
            <w:b w:val="0"/>
            <w:i/>
            <w:strike w:val="0"/>
            <w:noProof w:val="0"/>
            <w:color w:val="0077CC"/>
            <w:position w:val="0"/>
            <w:sz w:val="20"/>
            <w:u w:val="single"/>
            <w:vertAlign w:val="baseline"/>
          </w:rPr>
          <w:t>In re Diet Drugs (Phentermine, Fenfluramine, Dexfenfluramine) Prods. Liability Litig.</w:t>
        </w:r>
      </w:hyperlink>
      <w:hyperlink r:id="rId22" w:history="1">
        <w:r>
          <w:rPr>
            <w:rFonts w:ascii="arial" w:eastAsia="arial" w:hAnsi="arial" w:cs="arial"/>
            <w:b w:val="0"/>
            <w:i/>
            <w:strike w:val="0"/>
            <w:noProof w:val="0"/>
            <w:color w:val="0077CC"/>
            <w:position w:val="0"/>
            <w:sz w:val="20"/>
            <w:u w:val="single"/>
            <w:vertAlign w:val="baseline"/>
          </w:rPr>
          <w:t>, 226 F.R.D. 498, 523 n.43 (E.D. Pa. 2005)</w:t>
        </w:r>
      </w:hyperlink>
      <w:r>
        <w:rPr>
          <w:rFonts w:ascii="arial" w:eastAsia="arial" w:hAnsi="arial" w:cs="arial"/>
          <w:b w:val="0"/>
          <w:i w:val="0"/>
          <w:strike w:val="0"/>
          <w:noProof w:val="0"/>
          <w:color w:val="000000"/>
          <w:position w:val="0"/>
          <w:sz w:val="20"/>
          <w:u w:val="none"/>
          <w:vertAlign w:val="baseline"/>
        </w:rPr>
        <w:t xml:space="preserve"> ("The class members raising this objection have subsequently filed a notice to withdraw their objections. However, because counsel representing these objectors did not file a motion for approval of the withdrawal as required by </w:t>
      </w:r>
      <w:r>
        <w:rPr>
          <w:rFonts w:ascii="arial" w:eastAsia="arial" w:hAnsi="arial" w:cs="arial"/>
          <w:b w:val="0"/>
          <w:i/>
          <w:strike w:val="0"/>
          <w:noProof w:val="0"/>
          <w:color w:val="000000"/>
          <w:position w:val="0"/>
          <w:sz w:val="20"/>
          <w:u w:val="none"/>
          <w:vertAlign w:val="baseline"/>
        </w:rPr>
        <w:t>Rule 23(e)(4)(B) of the Federal Rules of Civil Procedure</w:t>
      </w:r>
      <w:r>
        <w:rPr>
          <w:rFonts w:ascii="arial" w:eastAsia="arial" w:hAnsi="arial" w:cs="arial"/>
          <w:b w:val="0"/>
          <w:i w:val="0"/>
          <w:strike w:val="0"/>
          <w:noProof w:val="0"/>
          <w:color w:val="000000"/>
          <w:position w:val="0"/>
          <w:sz w:val="20"/>
          <w:u w:val="none"/>
          <w:vertAlign w:val="baseline"/>
        </w:rPr>
        <w:t>, we will address this objection.")).</w:t>
      </w:r>
    </w:p>
    <w:p>
      <w:pPr>
        <w:keepNext w:val="0"/>
        <w:widowControl w:val="0"/>
        <w:spacing w:before="200" w:after="0" w:line="260" w:lineRule="atLeast"/>
        <w:ind w:left="0" w:right="0" w:firstLine="0"/>
        <w:jc w:val="both"/>
      </w:pPr>
      <w:bookmarkStart w:id="65" w:name="Bookmark_para_30"/>
      <w:bookmarkEnd w:id="65"/>
      <w:r>
        <w:rPr>
          <w:rFonts w:ascii="arial" w:eastAsia="arial" w:hAnsi="arial" w:cs="arial"/>
          <w:b w:val="0"/>
          <w:i w:val="0"/>
          <w:strike w:val="0"/>
          <w:noProof w:val="0"/>
          <w:color w:val="000000"/>
          <w:position w:val="0"/>
          <w:sz w:val="20"/>
          <w:u w:val="none"/>
          <w:vertAlign w:val="baseline"/>
        </w:rPr>
        <w:t>The Cavka and Kilgannon Objections essentially allege that the release of claims in the Proposed Settlement is impermissibly broad because it releases claims for "direct customer contracts" with SoulCycle, not just claims related to gift card purchases. (Cavka Objection at 7; Kilgannon Objection at 7). The Objectors argue that the litigation in this action has always concerned one thing: gift cards.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a result, the broad release in the Proposed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Settlement risked impairing the (previously) pending claims in the separate putative class actions Mr. Cavka and Ms. Kilgannon had brought against SoulCycle.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this Court noted when it denied Mr. Cavka's prior Motion to Intervene in this action, Mr. Cavka's concerns seemed primarily related the settlement value of his own lawsuit rather than the fairness and adequacy of the Proposed Settlement in this action. (Order Denying Motion to Intervene at 1-2 (Docket No. 245)). That Mr. Cavka and Ms. Kilgannon have withdrawn their Objections now that their own actions have settled reinforces this point.</w:t>
      </w:r>
    </w:p>
    <w:p>
      <w:pPr>
        <w:keepNext w:val="0"/>
        <w:widowControl w:val="0"/>
        <w:spacing w:before="240" w:after="0" w:line="260" w:lineRule="atLeast"/>
        <w:ind w:left="0" w:right="0" w:firstLine="0"/>
        <w:jc w:val="both"/>
      </w:pPr>
      <w:bookmarkStart w:id="66" w:name="Bookmark_para_31"/>
      <w:bookmarkEnd w:id="66"/>
      <w:bookmarkStart w:id="67" w:name="Bookmark_I5PV5C4H2HM6MX0020000400"/>
      <w:bookmarkEnd w:id="67"/>
      <w:r>
        <w:rPr>
          <w:rFonts w:ascii="arial" w:eastAsia="arial" w:hAnsi="arial" w:cs="arial"/>
          <w:b w:val="0"/>
          <w:i w:val="0"/>
          <w:strike w:val="0"/>
          <w:noProof w:val="0"/>
          <w:color w:val="000000"/>
          <w:position w:val="0"/>
          <w:sz w:val="20"/>
          <w:u w:val="none"/>
          <w:vertAlign w:val="baseline"/>
        </w:rPr>
        <w:t xml:space="preserve">Regardless of why Mr. Cavka and Ms. Kilgannon objected to the breadth of the release in the Proposed Settlement, the Court finds that the release is appropriate because, as Class Counsel argued in the briefing and at the hearing, it is rooted in the factual allegations of Plaintiffs' Complaint: SoulCycle customers were unable to use their class credits before they expired, and thus were forced to forfeit the money they paid for the credits. </w:t>
      </w:r>
      <w:r>
        <w:rPr>
          <w:rFonts w:ascii="arial" w:eastAsia="arial" w:hAnsi="arial" w:cs="arial"/>
          <w:b w:val="0"/>
          <w:i/>
          <w:strike w:val="0"/>
          <w:noProof w:val="0"/>
          <w:color w:val="000000"/>
          <w:position w:val="0"/>
          <w:sz w:val="20"/>
          <w:u w:val="none"/>
          <w:vertAlign w:val="baseline"/>
        </w:rPr>
        <w:t xml:space="preserve">See </w:t>
      </w:r>
      <w:bookmarkStart w:id="68" w:name="Bookmark_I5PV5C4H2HM6MX0010000400"/>
      <w:bookmarkEnd w:id="68"/>
      <w:hyperlink r:id="rId23" w:history="1">
        <w:r>
          <w:rPr>
            <w:rFonts w:ascii="arial" w:eastAsia="arial" w:hAnsi="arial" w:cs="arial"/>
            <w:b w:val="0"/>
            <w:i/>
            <w:strike w:val="0"/>
            <w:noProof w:val="0"/>
            <w:color w:val="0077CC"/>
            <w:position w:val="0"/>
            <w:sz w:val="20"/>
            <w:u w:val="single"/>
            <w:vertAlign w:val="baseline"/>
          </w:rPr>
          <w:t>Class Plaintiffs v. City of Seattle</w:t>
        </w:r>
      </w:hyperlink>
      <w:hyperlink r:id="rId23" w:history="1">
        <w:r>
          <w:rPr>
            <w:rFonts w:ascii="arial" w:eastAsia="arial" w:hAnsi="arial" w:cs="arial"/>
            <w:b w:val="0"/>
            <w:i/>
            <w:strike w:val="0"/>
            <w:noProof w:val="0"/>
            <w:color w:val="0077CC"/>
            <w:position w:val="0"/>
            <w:sz w:val="20"/>
            <w:u w:val="single"/>
            <w:vertAlign w:val="baseline"/>
          </w:rPr>
          <w:t>, 955 F.2d 1268, 1287 (9th Cir. 1992)</w:t>
        </w:r>
      </w:hyperlink>
      <w:r>
        <w:rPr>
          <w:rFonts w:ascii="arial" w:eastAsia="arial" w:hAnsi="arial" w:cs="arial"/>
          <w:b w:val="0"/>
          <w:i w:val="0"/>
          <w:strike w:val="0"/>
          <w:noProof w:val="0"/>
          <w:color w:val="000000"/>
          <w:position w:val="0"/>
          <w:sz w:val="20"/>
          <w:u w:val="none"/>
          <w:vertAlign w:val="baseline"/>
        </w:rPr>
        <w:t xml:space="preserve"> ("The weight of authority holds that a federal court may release not only those claims alleged in the complaint, but also a claim "based on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identical factual predicate as that underlying the claims in the settled class action . . . .") (quotations and citations omitted); </w:t>
      </w:r>
      <w:bookmarkStart w:id="69" w:name="Bookmark_I5PV5C4H2HM6MX0030000400"/>
      <w:bookmarkEnd w:id="69"/>
      <w:hyperlink r:id="rId24" w:history="1">
        <w:r>
          <w:rPr>
            <w:rFonts w:ascii="arial" w:eastAsia="arial" w:hAnsi="arial" w:cs="arial"/>
            <w:b w:val="0"/>
            <w:i/>
            <w:strike w:val="0"/>
            <w:noProof w:val="0"/>
            <w:color w:val="0077CC"/>
            <w:position w:val="0"/>
            <w:sz w:val="20"/>
            <w:u w:val="single"/>
            <w:vertAlign w:val="baseline"/>
          </w:rPr>
          <w:t>Rodriguez v. W. Publishing Corp.</w:t>
        </w:r>
      </w:hyperlink>
      <w:hyperlink r:id="rId24" w:history="1">
        <w:r>
          <w:rPr>
            <w:rFonts w:ascii="arial" w:eastAsia="arial" w:hAnsi="arial" w:cs="arial"/>
            <w:b w:val="0"/>
            <w:i/>
            <w:strike w:val="0"/>
            <w:noProof w:val="0"/>
            <w:color w:val="0077CC"/>
            <w:position w:val="0"/>
            <w:sz w:val="20"/>
            <w:u w:val="single"/>
            <w:vertAlign w:val="baseline"/>
          </w:rPr>
          <w:t>, 563 F.3d 948, 957 (9th Cir. 2009)</w:t>
        </w:r>
      </w:hyperlink>
      <w:r>
        <w:rPr>
          <w:rFonts w:ascii="arial" w:eastAsia="arial" w:hAnsi="arial" w:cs="arial"/>
          <w:b w:val="0"/>
          <w:i w:val="0"/>
          <w:strike w:val="0"/>
          <w:noProof w:val="0"/>
          <w:color w:val="000000"/>
          <w:position w:val="0"/>
          <w:sz w:val="20"/>
          <w:u w:val="none"/>
          <w:vertAlign w:val="baseline"/>
        </w:rPr>
        <w:t xml:space="preserve"> (affirming settlement that provide for "release [of] all claims . . . related to conduct alleged in the complaint"). The Court thus overrules the Cavka and Kilgannon Objections.</w:t>
      </w:r>
    </w:p>
    <w:p>
      <w:pPr>
        <w:keepNext w:val="0"/>
        <w:widowControl w:val="0"/>
        <w:spacing w:before="200" w:after="0" w:line="260" w:lineRule="atLeast"/>
        <w:ind w:left="0" w:right="0" w:firstLine="0"/>
        <w:jc w:val="both"/>
      </w:pPr>
      <w:bookmarkStart w:id="70" w:name="Bookmark_para_32"/>
      <w:bookmarkEnd w:id="70"/>
      <w:r>
        <w:rPr>
          <w:rFonts w:ascii="arial" w:eastAsia="arial" w:hAnsi="arial" w:cs="arial"/>
          <w:b w:val="0"/>
          <w:i w:val="0"/>
          <w:strike w:val="0"/>
          <w:noProof w:val="0"/>
          <w:color w:val="000000"/>
          <w:position w:val="0"/>
          <w:sz w:val="20"/>
          <w:u w:val="none"/>
          <w:vertAlign w:val="baseline"/>
        </w:rPr>
        <w:t>Class counsel received one other Objection from pro se Objector Kerry Ann Sweeney. ("Sweeny Objection" (Declaration of Daniel P. Hipskind in Support of Plaintiffs' Reply in Support of Motion for Final Approval of Class Action Settlement and Motion for Attorneys' Fees ("Hipskind Declaration"), Ex. 1 (Docket No 248-3)). The Sweeney Objection relates to the Motion for Attorneys' Fees, so will be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Attorney's Fees and Reimbursement of Litigation Expenses</w:t>
      </w:r>
    </w:p>
    <w:p>
      <w:pPr>
        <w:keepNext w:val="0"/>
        <w:widowControl w:val="0"/>
        <w:spacing w:before="200" w:after="0" w:line="260" w:lineRule="atLeast"/>
        <w:ind w:left="0" w:right="0" w:firstLine="0"/>
        <w:jc w:val="both"/>
      </w:pPr>
      <w:bookmarkStart w:id="71" w:name="Bookmark_para_33"/>
      <w:bookmarkEnd w:id="71"/>
      <w:bookmarkStart w:id="72" w:name="Bookmark_I5PV5C4H2N1PPD0010000400"/>
      <w:bookmarkEnd w:id="72"/>
      <w:r>
        <w:rPr>
          <w:rFonts w:ascii="arial" w:eastAsia="arial" w:hAnsi="arial" w:cs="arial"/>
          <w:b w:val="0"/>
          <w:i w:val="0"/>
          <w:strike w:val="0"/>
          <w:noProof w:val="0"/>
          <w:color w:val="000000"/>
          <w:position w:val="0"/>
          <w:sz w:val="20"/>
          <w:u w:val="none"/>
          <w:vertAlign w:val="baseline"/>
        </w:rPr>
        <w:t xml:space="preserve">In the Ninth Circuit, there are two primary methods to calculate attorney's fees: the lodestar method and the percentage-of-recovery method. </w:t>
      </w:r>
      <w:bookmarkStart w:id="73" w:name="Bookmark_I5PV5C4H2HM6MX0050000400"/>
      <w:bookmarkEnd w:id="73"/>
      <w:hyperlink r:id="rId25"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779 F.3d 934, 949 (9th Cir. 2015)</w:t>
        </w:r>
      </w:hyperlink>
      <w:r>
        <w:rPr>
          <w:rFonts w:ascii="arial" w:eastAsia="arial" w:hAnsi="arial" w:cs="arial"/>
          <w:b w:val="0"/>
          <w:i w:val="0"/>
          <w:strike w:val="0"/>
          <w:noProof w:val="0"/>
          <w:color w:val="000000"/>
          <w:position w:val="0"/>
          <w:sz w:val="20"/>
          <w:u w:val="none"/>
          <w:vertAlign w:val="baseline"/>
        </w:rPr>
        <w:t xml:space="preserve"> (citation omitted). "The lodestar method requires 'multiplying the number of hours the prevailing party reasonably expended on the litigation (as supported by adequate documentation) by a reasonable hourly rate for the region and for the experience of the lawyer.'"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40" w:after="0" w:line="260" w:lineRule="atLeast"/>
        <w:ind w:left="0" w:right="0" w:firstLine="0"/>
        <w:jc w:val="both"/>
      </w:pPr>
      <w:bookmarkStart w:id="74" w:name="Bookmark_para_34"/>
      <w:bookmarkEnd w:id="74"/>
      <w:bookmarkStart w:id="75" w:name="Bookmark_I5PV5C4H2N1PPD0030000400"/>
      <w:bookmarkEnd w:id="75"/>
      <w:bookmarkStart w:id="76" w:name="Bookmark_I0C5CN77827000VWRG500002"/>
      <w:bookmarkEnd w:id="76"/>
      <w:bookmarkStart w:id="77" w:name="Bookmark_I5PV5C4H2N1PPD0050000400"/>
      <w:bookmarkEnd w:id="77"/>
      <w:r>
        <w:rPr>
          <w:rFonts w:ascii="arial" w:eastAsia="arial" w:hAnsi="arial" w:cs="arial"/>
          <w:b w:val="0"/>
          <w:i w:val="0"/>
          <w:strike w:val="0"/>
          <w:noProof w:val="0"/>
          <w:color w:val="000000"/>
          <w:position w:val="0"/>
          <w:sz w:val="20"/>
          <w:u w:val="none"/>
          <w:vertAlign w:val="baseline"/>
        </w:rPr>
        <w:t xml:space="preserve">"Under the percentage-of-recovery method, the attorneys' fees equal some percentage of the common settlement fund; in this circuit, the benchmark percentage is 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78" w:name="Bookmark_I5PV5C4H2D6NX20040000400"/>
      <w:bookmarkEnd w:id="78"/>
      <w:r>
        <w:rPr>
          <w:rFonts w:ascii="arial" w:eastAsia="arial" w:hAnsi="arial" w:cs="arial"/>
          <w:b w:val="0"/>
          <w:i w:val="0"/>
          <w:strike w:val="0"/>
          <w:noProof w:val="0"/>
          <w:color w:val="000000"/>
          <w:position w:val="0"/>
          <w:sz w:val="20"/>
          <w:u w:val="none"/>
          <w:vertAlign w:val="baseline"/>
        </w:rPr>
        <w:t xml:space="preserve">However, the "benchmark percentage should be adjusted, or replaced by a lodestar calculation, when special circumstances indicate that the percentage recovery would be either too small or too large in light of the hours devoted to the case or other relevant factors." </w:t>
      </w:r>
      <w:bookmarkStart w:id="79" w:name="Bookmark_I5PV5C4H2N1PPD0020000400"/>
      <w:bookmarkEnd w:id="79"/>
      <w:hyperlink r:id="rId26" w:history="1">
        <w:r>
          <w:rPr>
            <w:rFonts w:ascii="arial" w:eastAsia="arial" w:hAnsi="arial" w:cs="arial"/>
            <w:b w:val="0"/>
            <w:i/>
            <w:strike w:val="0"/>
            <w:noProof w:val="0"/>
            <w:color w:val="0077CC"/>
            <w:position w:val="0"/>
            <w:sz w:val="20"/>
            <w:u w:val="single"/>
            <w:vertAlign w:val="baseline"/>
          </w:rPr>
          <w:t>Six Mexican Workers v. Ariz. Citrus Growers</w:t>
        </w:r>
      </w:hyperlink>
      <w:hyperlink r:id="rId26" w:history="1">
        <w:r>
          <w:rPr>
            <w:rFonts w:ascii="arial" w:eastAsia="arial" w:hAnsi="arial" w:cs="arial"/>
            <w:b w:val="0"/>
            <w:i/>
            <w:strike w:val="0"/>
            <w:noProof w:val="0"/>
            <w:color w:val="0077CC"/>
            <w:position w:val="0"/>
            <w:sz w:val="20"/>
            <w:u w:val="single"/>
            <w:vertAlign w:val="baseline"/>
          </w:rPr>
          <w:t>, 904 F.2d 1301, 1311 (9th Cir. 1990)</w:t>
        </w:r>
      </w:hyperlink>
      <w:r>
        <w:rPr>
          <w:rFonts w:ascii="arial" w:eastAsia="arial" w:hAnsi="arial" w:cs="arial"/>
          <w:b w:val="0"/>
          <w:i w:val="0"/>
          <w:strike w:val="0"/>
          <w:noProof w:val="0"/>
          <w:color w:val="000000"/>
          <w:position w:val="0"/>
          <w:sz w:val="20"/>
          <w:u w:val="none"/>
          <w:vertAlign w:val="baseline"/>
        </w:rPr>
        <w:t xml:space="preserve">. "The Ninth Circuit has identified a number of factors that may be relevant in determining if the award is reasonable: (1) the results achieved; (2) the risks of litigation; (3) the skill required and the quality of work; (4) the contingent nature of the fee; (5) the burdens carried by class counsel; and (6) the awards made in similar cases." </w:t>
      </w:r>
      <w:bookmarkStart w:id="80" w:name="Bookmark_I5PV5C4H2N1PPD0040000400"/>
      <w:bookmarkEnd w:id="80"/>
      <w:hyperlink r:id="rId27" w:history="1">
        <w:r>
          <w:rPr>
            <w:rFonts w:ascii="arial" w:eastAsia="arial" w:hAnsi="arial" w:cs="arial"/>
            <w:b w:val="0"/>
            <w:i/>
            <w:strike w:val="0"/>
            <w:noProof w:val="0"/>
            <w:color w:val="0077CC"/>
            <w:position w:val="0"/>
            <w:sz w:val="20"/>
            <w:u w:val="single"/>
            <w:vertAlign w:val="baseline"/>
          </w:rPr>
          <w:t>Martin v. AmeriPride Services, Inc.</w:t>
        </w:r>
      </w:hyperlink>
      <w:hyperlink r:id="rId27" w:history="1">
        <w:r>
          <w:rPr>
            <w:rFonts w:ascii="arial" w:eastAsia="arial" w:hAnsi="arial" w:cs="arial"/>
            <w:b w:val="0"/>
            <w:i/>
            <w:strike w:val="0"/>
            <w:noProof w:val="0"/>
            <w:color w:val="0077CC"/>
            <w:position w:val="0"/>
            <w:sz w:val="20"/>
            <w:u w:val="single"/>
            <w:vertAlign w:val="baseline"/>
          </w:rPr>
          <w:t>, No. 08cv440-MMA (JMA), 2011 U.S. Dist. LEXIS 61796, 2011 WL 2313604, at *8 (S.D. Cal. June 9, 2011)</w:t>
        </w:r>
      </w:hyperlink>
      <w:r>
        <w:rPr>
          <w:rFonts w:ascii="arial" w:eastAsia="arial" w:hAnsi="arial" w:cs="arial"/>
          <w:b w:val="0"/>
          <w:i w:val="0"/>
          <w:strike w:val="0"/>
          <w:noProof w:val="0"/>
          <w:color w:val="000000"/>
          <w:position w:val="0"/>
          <w:sz w:val="20"/>
          <w:u w:val="none"/>
          <w:vertAlign w:val="baseline"/>
        </w:rPr>
        <w:t xml:space="preserve"> (citing </w:t>
      </w:r>
      <w:bookmarkStart w:id="81" w:name="Bookmark_I5PV5C4H2D6NX20010000400"/>
      <w:bookmarkEnd w:id="81"/>
      <w:hyperlink r:id="rId28" w:history="1">
        <w:r>
          <w:rPr>
            <w:rFonts w:ascii="arial" w:eastAsia="arial" w:hAnsi="arial" w:cs="arial"/>
            <w:b w:val="0"/>
            <w:i/>
            <w:strike w:val="0"/>
            <w:noProof w:val="0"/>
            <w:color w:val="0077CC"/>
            <w:position w:val="0"/>
            <w:sz w:val="20"/>
            <w:u w:val="single"/>
            <w:vertAlign w:val="baseline"/>
          </w:rPr>
          <w:t>Vizcaino v. Microsoft Corp.</w:t>
        </w:r>
      </w:hyperlink>
      <w:hyperlink r:id="rId28" w:history="1">
        <w:r>
          <w:rPr>
            <w:rFonts w:ascii="arial" w:eastAsia="arial" w:hAnsi="arial" w:cs="arial"/>
            <w:b w:val="0"/>
            <w:i/>
            <w:strike w:val="0"/>
            <w:noProof w:val="0"/>
            <w:color w:val="0077CC"/>
            <w:position w:val="0"/>
            <w:sz w:val="20"/>
            <w:u w:val="single"/>
            <w:vertAlign w:val="baseline"/>
          </w:rPr>
          <w:t>, 290 F.3d 1043, at 1048-50 (9th Cir. 2002))</w:t>
        </w:r>
      </w:hyperlink>
      <w:r>
        <w:rPr>
          <w:rFonts w:ascii="arial" w:eastAsia="arial" w:hAnsi="arial" w:cs="arial"/>
          <w:b w:val="0"/>
          <w:i w:val="0"/>
          <w:strike w:val="0"/>
          <w:noProof w:val="0"/>
          <w:color w:val="000000"/>
          <w:position w:val="0"/>
          <w:sz w:val="20"/>
          <w:u w:val="none"/>
          <w:vertAlign w:val="baseline"/>
        </w:rPr>
        <w:t xml:space="preserve">. </w:t>
      </w:r>
      <w:bookmarkStart w:id="82" w:name="Bookmark_I5PV5C4H2D6NX20040000400_2"/>
      <w:bookmarkEnd w:id="82"/>
      <w:r>
        <w:rPr>
          <w:rFonts w:ascii="arial" w:eastAsia="arial" w:hAnsi="arial" w:cs="arial"/>
          <w:b w:val="0"/>
          <w:i w:val="0"/>
          <w:strike w:val="0"/>
          <w:noProof w:val="0"/>
          <w:color w:val="000000"/>
          <w:position w:val="0"/>
          <w:sz w:val="20"/>
          <w:u w:val="none"/>
          <w:vertAlign w:val="baseline"/>
        </w:rPr>
        <w:t xml:space="preserve">The choice of "the benchmark or any other rate must be supported by findings that take into account all of the circumstances of the case." </w:t>
      </w:r>
      <w:bookmarkStart w:id="83" w:name="Bookmark_I5PV5C4H2D6NX20030000400"/>
      <w:bookmarkEnd w:id="83"/>
      <w:hyperlink r:id="rId28" w:history="1">
        <w:r>
          <w:rPr>
            <w:rFonts w:ascii="arial" w:eastAsia="arial" w:hAnsi="arial" w:cs="arial"/>
            <w:b w:val="0"/>
            <w:i/>
            <w:strike w:val="0"/>
            <w:noProof w:val="0"/>
            <w:color w:val="0077CC"/>
            <w:position w:val="0"/>
            <w:sz w:val="20"/>
            <w:u w:val="single"/>
            <w:vertAlign w:val="baseline"/>
          </w:rPr>
          <w:t>Vizcaino</w:t>
        </w:r>
      </w:hyperlink>
      <w:hyperlink r:id="rId28" w:history="1">
        <w:r>
          <w:rPr>
            <w:rFonts w:ascii="arial" w:eastAsia="arial" w:hAnsi="arial" w:cs="arial"/>
            <w:b w:val="0"/>
            <w:i/>
            <w:strike w:val="0"/>
            <w:noProof w:val="0"/>
            <w:color w:val="0077CC"/>
            <w:position w:val="0"/>
            <w:sz w:val="20"/>
            <w:u w:val="single"/>
            <w:vertAlign w:val="baseline"/>
          </w:rPr>
          <w:t>, 290 F.3d at 1048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35"/>
      <w:bookmarkEnd w:id="84"/>
      <w:r>
        <w:rPr>
          <w:rFonts w:ascii="arial" w:eastAsia="arial" w:hAnsi="arial" w:cs="arial"/>
          <w:b w:val="0"/>
          <w:i w:val="0"/>
          <w:strike w:val="0"/>
          <w:noProof w:val="0"/>
          <w:color w:val="000000"/>
          <w:position w:val="0"/>
          <w:sz w:val="20"/>
          <w:u w:val="none"/>
          <w:vertAlign w:val="baseline"/>
        </w:rPr>
        <w:t xml:space="preserve">Class Counsel seeks fees and costs in the amount of $1,790,000, separate and apart from the Settlement amount. </w:t>
      </w:r>
      <w:bookmarkStart w:id="85" w:name="Bookmark_I5PV5C4H2HM6MY0010000400"/>
      <w:bookmarkEnd w:id="85"/>
      <w:r>
        <w:rPr>
          <w:rFonts w:ascii="arial" w:eastAsia="arial" w:hAnsi="arial" w:cs="arial"/>
          <w:b w:val="0"/>
          <w:i w:val="0"/>
          <w:strike w:val="0"/>
          <w:noProof w:val="0"/>
          <w:color w:val="000000"/>
          <w:position w:val="0"/>
          <w:sz w:val="20"/>
          <w:u w:val="none"/>
          <w:vertAlign w:val="baseline"/>
        </w:rPr>
        <w:t>The total value of the Settlement amount is between $6.9 and $9.2 million. $1,790,000</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represents 25% of $7,160,000, which is on the lower end of the Settlement value range. In light of the substantial additional value of the injunctive relief provided by the Proposed Settlement, this fee amount is reasonable and fair, especially considering that it is inclusive of costs. </w:t>
      </w:r>
      <w:r>
        <w:rPr>
          <w:rFonts w:ascii="arial" w:eastAsia="arial" w:hAnsi="arial" w:cs="arial"/>
          <w:b w:val="0"/>
          <w:i/>
          <w:strike w:val="0"/>
          <w:noProof w:val="0"/>
          <w:color w:val="000000"/>
          <w:position w:val="0"/>
          <w:sz w:val="20"/>
          <w:u w:val="none"/>
          <w:vertAlign w:val="baseline"/>
        </w:rPr>
        <w:t xml:space="preserve">See </w:t>
      </w:r>
      <w:bookmarkStart w:id="86" w:name="Bookmark_I5PV5C4H2D6NX20050000400"/>
      <w:bookmarkEnd w:id="86"/>
      <w:hyperlink r:id="rId28" w:history="1">
        <w:r>
          <w:rPr>
            <w:rFonts w:ascii="arial" w:eastAsia="arial" w:hAnsi="arial" w:cs="arial"/>
            <w:b w:val="0"/>
            <w:i/>
            <w:strike w:val="0"/>
            <w:noProof w:val="0"/>
            <w:color w:val="0077CC"/>
            <w:position w:val="0"/>
            <w:sz w:val="20"/>
            <w:u w:val="single"/>
            <w:vertAlign w:val="baseline"/>
          </w:rPr>
          <w:t>Vizcaino</w:t>
        </w:r>
      </w:hyperlink>
      <w:hyperlink r:id="rId28" w:history="1">
        <w:r>
          <w:rPr>
            <w:rFonts w:ascii="arial" w:eastAsia="arial" w:hAnsi="arial" w:cs="arial"/>
            <w:b w:val="0"/>
            <w:i/>
            <w:strike w:val="0"/>
            <w:noProof w:val="0"/>
            <w:color w:val="0077CC"/>
            <w:position w:val="0"/>
            <w:sz w:val="20"/>
            <w:u w:val="single"/>
            <w:vertAlign w:val="baseline"/>
          </w:rPr>
          <w:t>, 290 F.3d at 1049</w:t>
        </w:r>
      </w:hyperlink>
      <w:r>
        <w:rPr>
          <w:rFonts w:ascii="arial" w:eastAsia="arial" w:hAnsi="arial" w:cs="arial"/>
          <w:b w:val="0"/>
          <w:i w:val="0"/>
          <w:strike w:val="0"/>
          <w:noProof w:val="0"/>
          <w:color w:val="000000"/>
          <w:position w:val="0"/>
          <w:sz w:val="20"/>
          <w:u w:val="none"/>
          <w:vertAlign w:val="baseline"/>
        </w:rPr>
        <w:t xml:space="preserve"> (considering non-monetary benefits conferred by the litigation in evaluating attorneys' fees request).</w:t>
      </w:r>
    </w:p>
    <w:p>
      <w:pPr>
        <w:keepNext w:val="0"/>
        <w:widowControl w:val="0"/>
        <w:spacing w:before="200" w:after="0" w:line="260" w:lineRule="atLeast"/>
        <w:ind w:left="0" w:right="0" w:firstLine="0"/>
        <w:jc w:val="both"/>
      </w:pPr>
      <w:bookmarkStart w:id="87" w:name="Bookmark_para_36"/>
      <w:bookmarkEnd w:id="87"/>
      <w:r>
        <w:rPr>
          <w:rFonts w:ascii="arial" w:eastAsia="arial" w:hAnsi="arial" w:cs="arial"/>
          <w:b w:val="0"/>
          <w:i w:val="0"/>
          <w:strike w:val="0"/>
          <w:noProof w:val="0"/>
          <w:color w:val="000000"/>
          <w:position w:val="0"/>
          <w:sz w:val="20"/>
          <w:u w:val="none"/>
          <w:vertAlign w:val="baseline"/>
        </w:rPr>
        <w:t>Counsel have achieved significant benefits for class members in the form of both monetary and non-monetary relief. As discussed above, the risks of an inferior award — if any — if the parties were to continue litigation are high. A class certification order, as well as a finding of liability, remains uncertain. The two law firms representing the class in this action exercised considerable skill in the litigation of two motions to dismiss, the motion for class certification, and substantial discovery (including discovery disputes), and they did so on an entirely contingent basis.</w:t>
      </w:r>
    </w:p>
    <w:p>
      <w:pPr>
        <w:keepNext w:val="0"/>
        <w:widowControl w:val="0"/>
        <w:spacing w:before="200" w:after="0" w:line="260" w:lineRule="atLeast"/>
        <w:ind w:left="0" w:right="0" w:firstLine="0"/>
        <w:jc w:val="both"/>
      </w:pPr>
      <w:bookmarkStart w:id="88" w:name="Bookmark_para_37"/>
      <w:bookmarkEnd w:id="88"/>
      <w:r>
        <w:rPr>
          <w:rFonts w:ascii="arial" w:eastAsia="arial" w:hAnsi="arial" w:cs="arial"/>
          <w:b w:val="0"/>
          <w:i w:val="0"/>
          <w:strike w:val="0"/>
          <w:noProof w:val="0"/>
          <w:color w:val="000000"/>
          <w:position w:val="0"/>
          <w:sz w:val="20"/>
          <w:u w:val="none"/>
          <w:vertAlign w:val="baseline"/>
        </w:rPr>
        <w:t>The one Objection to the fee amount comes from Ms. Sweeney, who argues in her written objection that the cash portion of the Settlement amount is minimal, since most of the consideration comes in the form of class reinstatements.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(Sweeney Objection at 2). She contends that the class reinstatements are more like "coupons," which weighs against the requested fee amount under the Class Action Fairness Act ("CAFA").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Ms. Sweeney did not appear at the hearing.</w:t>
      </w:r>
    </w:p>
    <w:p>
      <w:pPr>
        <w:keepNext w:val="0"/>
        <w:widowControl w:val="0"/>
        <w:spacing w:before="200" w:after="0" w:line="260" w:lineRule="atLeast"/>
        <w:ind w:left="0" w:right="0" w:firstLine="0"/>
        <w:jc w:val="both"/>
      </w:pPr>
      <w:bookmarkStart w:id="89" w:name="Bookmark_para_38"/>
      <w:bookmarkEnd w:id="89"/>
      <w:r>
        <w:rPr>
          <w:rFonts w:ascii="arial" w:eastAsia="arial" w:hAnsi="arial" w:cs="arial"/>
          <w:b w:val="0"/>
          <w:i w:val="0"/>
          <w:strike w:val="0"/>
          <w:noProof w:val="0"/>
          <w:color w:val="000000"/>
          <w:position w:val="0"/>
          <w:sz w:val="20"/>
          <w:u w:val="none"/>
          <w:vertAlign w:val="baseline"/>
        </w:rPr>
        <w:t xml:space="preserve">However, as Class Counsel emphasized in the briefing and at the hearing, there is a crucial difference between </w:t>
      </w:r>
      <w:r>
        <w:rPr>
          <w:rFonts w:ascii="arial" w:eastAsia="arial" w:hAnsi="arial" w:cs="arial"/>
          <w:b/>
          <w:i/>
          <w:strike w:val="0"/>
          <w:noProof w:val="0"/>
          <w:color w:val="000000"/>
          <w:position w:val="0"/>
          <w:sz w:val="20"/>
          <w:u w:val="none"/>
          <w:vertAlign w:val="baseline"/>
        </w:rPr>
        <w:t>coupons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vouchers</w:t>
      </w:r>
      <w:r>
        <w:rPr>
          <w:rFonts w:ascii="arial" w:eastAsia="arial" w:hAnsi="arial" w:cs="arial"/>
          <w:b w:val="0"/>
          <w:i w:val="0"/>
          <w:strike w:val="0"/>
          <w:noProof w:val="0"/>
          <w:color w:val="000000"/>
          <w:position w:val="0"/>
          <w:sz w:val="20"/>
          <w:u w:val="none"/>
          <w:vertAlign w:val="baseline"/>
        </w:rPr>
        <w:t>. Class Counsel argues that the class reinstatements provided by the Proposed Settlement are vouchers, not coupons, because they give class members a free product or service. The Ninth Circuit has clarified the difference between coupons and vouchers:</w:t>
      </w:r>
    </w:p>
    <w:p>
      <w:pPr>
        <w:keepNext w:val="0"/>
        <w:widowControl w:val="0"/>
        <w:spacing w:after="0" w:line="260" w:lineRule="atLeast"/>
        <w:ind w:left="400" w:right="0" w:firstLine="0"/>
        <w:jc w:val="both"/>
      </w:pPr>
      <w:bookmarkStart w:id="90" w:name="Bookmark_para_39"/>
      <w:bookmarkEnd w:id="90"/>
      <w:bookmarkStart w:id="91" w:name="Bookmark_I5PV5C4H2HM6MY0030000400"/>
      <w:bookmarkEnd w:id="91"/>
      <w:r>
        <w:rPr>
          <w:rFonts w:ascii="arial" w:eastAsia="arial" w:hAnsi="arial" w:cs="arial"/>
          <w:b w:val="0"/>
          <w:i w:val="0"/>
          <w:strike w:val="0"/>
          <w:noProof w:val="0"/>
          <w:color w:val="000000"/>
          <w:position w:val="0"/>
          <w:sz w:val="20"/>
          <w:u w:val="none"/>
          <w:vertAlign w:val="baseline"/>
        </w:rPr>
        <w:t xml:space="preserve">The settlement gives every class member the option to receive its share of the settlement proceeds in cash or cash-equivalent forgiveness of indebtedness already incurred. </w:t>
      </w:r>
      <w:bookmarkStart w:id="92" w:name="Bookmark_I5PV5C4H2HM6MY0050000400"/>
      <w:bookmarkEnd w:id="92"/>
      <w:r>
        <w:rPr>
          <w:rFonts w:ascii="arial" w:eastAsia="arial" w:hAnsi="arial" w:cs="arial"/>
          <w:b w:val="0"/>
          <w:i w:val="0"/>
          <w:strike w:val="0"/>
          <w:noProof w:val="0"/>
          <w:color w:val="000000"/>
          <w:position w:val="0"/>
          <w:sz w:val="20"/>
          <w:u w:val="none"/>
          <w:vertAlign w:val="baseline"/>
        </w:rPr>
        <w:t>This is not a "coupon settlement" and therefore does not trigger the Class Action Fairness Act of 2005's limitations on contingent fees awarded in connection with such settlements.</w:t>
      </w:r>
    </w:p>
    <w:p>
      <w:pPr>
        <w:keepNext w:val="0"/>
        <w:widowControl w:val="0"/>
        <w:spacing w:before="200" w:after="0" w:line="260" w:lineRule="atLeast"/>
        <w:ind w:left="0" w:right="0" w:firstLine="0"/>
        <w:jc w:val="both"/>
      </w:pPr>
      <w:bookmarkStart w:id="93" w:name="Bookmark_I5PV5C4H2HM6MY0050000400_2"/>
      <w:bookmarkEnd w:id="93"/>
      <w:bookmarkStart w:id="94" w:name="Bookmark_I5PV5C4H2HM6MY0030000400_2"/>
      <w:bookmarkEnd w:id="94"/>
      <w:bookmarkStart w:id="95" w:name="Bookmark_I5PV5C4H2HM6MY0020000400"/>
      <w:bookmarkEnd w:id="95"/>
      <w:hyperlink r:id="rId29" w:history="1">
        <w:r>
          <w:rPr>
            <w:rFonts w:ascii="arial" w:eastAsia="arial" w:hAnsi="arial" w:cs="arial"/>
            <w:b w:val="0"/>
            <w:i/>
            <w:strike w:val="0"/>
            <w:color w:val="0077CC"/>
            <w:sz w:val="20"/>
            <w:u w:val="single"/>
            <w:vertAlign w:val="baseline"/>
          </w:rPr>
          <w:t>CLRB Hanson Indus., LLC v. Weiss &amp; Assocs., PC</w:t>
        </w:r>
      </w:hyperlink>
      <w:hyperlink r:id="rId29" w:history="1">
        <w:r>
          <w:rPr>
            <w:rFonts w:ascii="arial" w:eastAsia="arial" w:hAnsi="arial" w:cs="arial"/>
            <w:b w:val="0"/>
            <w:i/>
            <w:strike w:val="0"/>
            <w:color w:val="0077CC"/>
            <w:sz w:val="20"/>
            <w:u w:val="single"/>
            <w:vertAlign w:val="baseline"/>
          </w:rPr>
          <w:t>, 465 Fed. Appx. 617, 619 (9th Cir. 2012)</w:t>
        </w:r>
      </w:hyperlink>
      <w:r>
        <w:rPr>
          <w:rFonts w:ascii="arial" w:eastAsia="arial" w:hAnsi="arial" w:cs="arial"/>
          <w:b w:val="0"/>
          <w:i w:val="0"/>
          <w:strike w:val="0"/>
          <w:noProof w:val="0"/>
          <w:color w:val="000000"/>
          <w:position w:val="0"/>
          <w:sz w:val="20"/>
          <w:u w:val="none"/>
          <w:vertAlign w:val="baseline"/>
        </w:rPr>
        <w:t xml:space="preserve">. "[C]ourts have distinguished between 'coupons,' which provide 'discounts on merchandise or services offered by the defendant,' and 'vouchers,' which provide 'free merchandise or services.'" </w:t>
      </w:r>
      <w:bookmarkStart w:id="96" w:name="Bookmark_I5PV5C4H2HM6MY0040000400"/>
      <w:bookmarkEnd w:id="96"/>
      <w:hyperlink r:id="rId30" w:history="1">
        <w:r>
          <w:rPr>
            <w:rFonts w:ascii="arial" w:eastAsia="arial" w:hAnsi="arial" w:cs="arial"/>
            <w:b w:val="0"/>
            <w:i/>
            <w:strike w:val="0"/>
            <w:noProof w:val="0"/>
            <w:color w:val="0077CC"/>
            <w:position w:val="0"/>
            <w:sz w:val="20"/>
            <w:u w:val="single"/>
            <w:vertAlign w:val="baseline"/>
          </w:rPr>
          <w:t>Tchoboian v. FedEx Office &amp; Print Servs., Inc.</w:t>
        </w:r>
      </w:hyperlink>
      <w:hyperlink r:id="rId30" w:history="1">
        <w:r>
          <w:rPr>
            <w:rFonts w:ascii="arial" w:eastAsia="arial" w:hAnsi="arial" w:cs="arial"/>
            <w:b w:val="0"/>
            <w:i/>
            <w:strike w:val="0"/>
            <w:noProof w:val="0"/>
            <w:color w:val="0077CC"/>
            <w:position w:val="0"/>
            <w:sz w:val="20"/>
            <w:u w:val="single"/>
            <w:vertAlign w:val="baseline"/>
          </w:rPr>
          <w:t>, No. SA CV 10-01009 JAK (MLGx), 2014 U.S. Dist. LEXIS 184376, 2014 WL 10102826, at *6 (C.D. Cal. Mar 25, 2014)</w:t>
        </w:r>
      </w:hyperlink>
      <w:r>
        <w:rPr>
          <w:rFonts w:ascii="arial" w:eastAsia="arial" w:hAnsi="arial" w:cs="arial"/>
          <w:b w:val="0"/>
          <w:i w:val="0"/>
          <w:strike w:val="0"/>
          <w:noProof w:val="0"/>
          <w:color w:val="000000"/>
          <w:position w:val="0"/>
          <w:sz w:val="20"/>
          <w:u w:val="none"/>
          <w:vertAlign w:val="baseline"/>
        </w:rPr>
        <w:t>. Because class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members here may elect the "Cash Option" or keep the "cash-equivalent" of the reinstated classes, without spending any money of their own or receiving any "discount," this Settlement is not a "coupon settlement" and therefore not subject to CAFA's limitations on contingent fees. The Sweeney Objection is overruled.</w:t>
      </w:r>
    </w:p>
    <w:p>
      <w:pPr>
        <w:keepNext w:val="0"/>
        <w:widowControl w:val="0"/>
        <w:spacing w:before="200" w:after="0" w:line="260" w:lineRule="atLeast"/>
        <w:ind w:left="0" w:right="0" w:firstLine="0"/>
        <w:jc w:val="both"/>
      </w:pPr>
      <w:bookmarkStart w:id="97" w:name="Bookmark_para_40"/>
      <w:bookmarkEnd w:id="97"/>
      <w:r>
        <w:rPr>
          <w:rFonts w:ascii="arial" w:eastAsia="arial" w:hAnsi="arial" w:cs="arial"/>
          <w:b w:val="0"/>
          <w:i w:val="0"/>
          <w:strike w:val="0"/>
          <w:noProof w:val="0"/>
          <w:color w:val="000000"/>
          <w:position w:val="0"/>
          <w:sz w:val="20"/>
          <w:u w:val="none"/>
          <w:vertAlign w:val="baseline"/>
        </w:rPr>
        <w:t>Accordingly, the Court finds that Class Counsel's fee request is fair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Incentive Awards</w:t>
      </w:r>
    </w:p>
    <w:p>
      <w:pPr>
        <w:keepNext w:val="0"/>
        <w:widowControl w:val="0"/>
        <w:spacing w:before="200" w:after="0" w:line="260" w:lineRule="atLeast"/>
        <w:ind w:left="0" w:right="0" w:firstLine="0"/>
        <w:jc w:val="both"/>
      </w:pPr>
      <w:bookmarkStart w:id="98" w:name="Bookmark_para_41"/>
      <w:bookmarkEnd w:id="98"/>
      <w:bookmarkStart w:id="99" w:name="Bookmark_I5PV5C4H28T3X60020000400"/>
      <w:bookmarkEnd w:id="99"/>
      <w:r>
        <w:rPr>
          <w:rFonts w:ascii="arial" w:eastAsia="arial" w:hAnsi="arial" w:cs="arial"/>
          <w:b w:val="0"/>
          <w:i w:val="0"/>
          <w:strike w:val="0"/>
          <w:noProof w:val="0"/>
          <w:color w:val="000000"/>
          <w:position w:val="0"/>
          <w:sz w:val="20"/>
          <w:u w:val="none"/>
          <w:vertAlign w:val="baseline"/>
        </w:rPr>
        <w:t xml:space="preserve">Plaintiffs seek $5,000 each for the two named plaintiffs in this action. "[N]amed plaintiffs . . . are eligible for reasonable incentive payments" as part of a class action settlement. </w:t>
      </w:r>
      <w:bookmarkStart w:id="100" w:name="Bookmark_I5PV5C4H28T3X60010000400"/>
      <w:bookmarkEnd w:id="100"/>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977 (9th Cir. 2003)</w:t>
      </w:r>
      <w:r>
        <w:rPr>
          <w:rFonts w:ascii="arial" w:eastAsia="arial" w:hAnsi="arial" w:cs="arial"/>
          <w:b w:val="0"/>
          <w:i w:val="0"/>
          <w:strike w:val="0"/>
          <w:noProof w:val="0"/>
          <w:color w:val="000000"/>
          <w:position w:val="0"/>
          <w:sz w:val="20"/>
          <w:u w:val="none"/>
          <w:vertAlign w:val="baseline"/>
        </w:rPr>
        <w:t xml:space="preserve">. When evaluating the reasonableness of an incentive award, courts may consider factors such as "the actions the plaintiff has taken to protect the interests of the class, the degree to which the class has benefitted from those actions, . . . the amount of time and effort the plaintiff expended in pursuing the litigation . . . and reasonabl[e] fear[s of] workplace retaliation."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1" w:name="Bookmark_para_42"/>
      <w:bookmarkEnd w:id="101"/>
      <w:bookmarkStart w:id="102" w:name="Bookmark_I5PV5C4H28T3X60040000400"/>
      <w:bookmarkEnd w:id="102"/>
      <w:r>
        <w:rPr>
          <w:rFonts w:ascii="arial" w:eastAsia="arial" w:hAnsi="arial" w:cs="arial"/>
          <w:b w:val="0"/>
          <w:i w:val="0"/>
          <w:strike w:val="0"/>
          <w:noProof w:val="0"/>
          <w:color w:val="000000"/>
          <w:position w:val="0"/>
          <w:sz w:val="20"/>
          <w:u w:val="none"/>
          <w:vertAlign w:val="baseline"/>
        </w:rPr>
        <w:t xml:space="preserve">The Fee Motion cites to numerous cases in which service awards of $5,000 are found reasonable. (Fee Mot. at 20 (citing,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103" w:name="Bookmark_I5PV5C4H28T3X60030000400"/>
      <w:bookmarkEnd w:id="103"/>
      <w:hyperlink r:id="rId31" w:history="1">
        <w:r>
          <w:rPr>
            <w:rFonts w:ascii="arial" w:eastAsia="arial" w:hAnsi="arial" w:cs="arial"/>
            <w:b w:val="0"/>
            <w:i/>
            <w:strike w:val="0"/>
            <w:noProof w:val="0"/>
            <w:color w:val="0077CC"/>
            <w:position w:val="0"/>
            <w:sz w:val="20"/>
            <w:u w:val="single"/>
            <w:vertAlign w:val="baseline"/>
          </w:rPr>
          <w:t>Hawthorne v. Umpqua Bank</w:t>
        </w:r>
      </w:hyperlink>
      <w:hyperlink r:id="rId31" w:history="1">
        <w:r>
          <w:rPr>
            <w:rFonts w:ascii="arial" w:eastAsia="arial" w:hAnsi="arial" w:cs="arial"/>
            <w:b w:val="0"/>
            <w:i/>
            <w:strike w:val="0"/>
            <w:noProof w:val="0"/>
            <w:color w:val="0077CC"/>
            <w:position w:val="0"/>
            <w:sz w:val="20"/>
            <w:u w:val="single"/>
            <w:vertAlign w:val="baseline"/>
          </w:rPr>
          <w:t>, No. CV 11-6700 JST, 2015 U.S. Dist. LEXIS 56370, 2015 WL 1927342, at *8 (N.D. Cal. Apr. 28, 2015)</w:t>
        </w:r>
      </w:hyperlink>
      <w:r>
        <w:rPr>
          <w:rFonts w:ascii="arial" w:eastAsia="arial" w:hAnsi="arial" w:cs="arial"/>
          <w:b w:val="0"/>
          <w:i w:val="0"/>
          <w:strike w:val="0"/>
          <w:noProof w:val="0"/>
          <w:color w:val="000000"/>
          <w:position w:val="0"/>
          <w:sz w:val="20"/>
          <w:u w:val="none"/>
          <w:vertAlign w:val="baseline"/>
        </w:rPr>
        <w:t xml:space="preserve"> ("Many courts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the Ninth Circuit have also held that a $5,000 incentive award is 'presumptively reasonable.'") (collecting cases))). In light of the extensive caselaw supporting a $5,000 incentive award, and the significant time and effort the named plaintiffs expended to support this litigation (including assisting with discovery responses, sitting for all-day depositions, and participating in the settlement negotiations) (Fee Mot. at 20-21), the Court finds the award of $5,000 to each of the two named plaintiffs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04" w:name="Bookmark_para_43"/>
      <w:bookmarkEnd w:id="104"/>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Settlement Motion and the Fee Motion.</w:t>
      </w:r>
    </w:p>
    <w:p>
      <w:pPr>
        <w:keepNext w:val="0"/>
        <w:widowControl w:val="0"/>
        <w:spacing w:before="200" w:after="0" w:line="260" w:lineRule="atLeast"/>
        <w:ind w:left="0" w:right="0" w:firstLine="0"/>
        <w:jc w:val="both"/>
      </w:pPr>
      <w:bookmarkStart w:id="105" w:name="Bookmark_para_44"/>
      <w:bookmarkEnd w:id="105"/>
      <w:r>
        <w:rPr>
          <w:rFonts w:ascii="arial" w:eastAsia="arial" w:hAnsi="arial" w:cs="arial"/>
          <w:b w:val="0"/>
          <w:i w:val="0"/>
          <w:strike w:val="0"/>
          <w:noProof w:val="0"/>
          <w:color w:val="000000"/>
          <w:position w:val="0"/>
          <w:sz w:val="20"/>
          <w:u w:val="none"/>
          <w:vertAlign w:val="baseline"/>
        </w:rPr>
        <w:t>The Court awards class counsel $1,790,000 in fees and costs. This award is separate and apart from the $6.9-9.2 million settlement fund, and will not be deducted from or reduce the settlement amount. The Court awards Rachel Cody and Lindsey Knowles an incentive payment of $5,000 each.</w:t>
      </w:r>
    </w:p>
    <w:p>
      <w:pPr>
        <w:keepNext w:val="0"/>
        <w:widowControl w:val="0"/>
        <w:spacing w:before="200" w:after="0" w:line="260" w:lineRule="atLeast"/>
        <w:ind w:left="0" w:right="0" w:firstLine="0"/>
        <w:jc w:val="both"/>
      </w:pPr>
      <w:bookmarkStart w:id="106" w:name="Bookmark_para_45"/>
      <w:bookmarkEnd w:id="106"/>
      <w:r>
        <w:rPr>
          <w:rFonts w:ascii="arial" w:eastAsia="arial" w:hAnsi="arial" w:cs="arial"/>
          <w:b w:val="0"/>
          <w:i w:val="0"/>
          <w:strike w:val="0"/>
          <w:noProof w:val="0"/>
          <w:color w:val="000000"/>
          <w:position w:val="0"/>
          <w:sz w:val="20"/>
          <w:u w:val="none"/>
          <w:vertAlign w:val="baseline"/>
        </w:rPr>
        <w:t>A separate judgment will issue.</w:t>
      </w:r>
    </w:p>
    <w:p>
      <w:pPr>
        <w:keepNext w:val="0"/>
        <w:widowControl w:val="0"/>
        <w:spacing w:before="200" w:after="0" w:line="260" w:lineRule="atLeast"/>
        <w:ind w:left="0" w:right="0" w:firstLine="0"/>
        <w:jc w:val="both"/>
      </w:pPr>
      <w:bookmarkStart w:id="107" w:name="Bookmark_para_46"/>
      <w:bookmarkEnd w:id="107"/>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 APPROVING CLASS ACTION SETTLEMENT AND DISMISSING THIS ACTION WITH PREJUDICE</w:t>
      </w:r>
    </w:p>
    <w:p>
      <w:pPr>
        <w:keepNext w:val="0"/>
        <w:widowControl w:val="0"/>
        <w:spacing w:before="200" w:after="0" w:line="260" w:lineRule="atLeast"/>
        <w:ind w:left="0" w:right="0" w:firstLine="0"/>
        <w:jc w:val="both"/>
      </w:pPr>
      <w:bookmarkStart w:id="108" w:name="Bookmark_para_47"/>
      <w:bookmarkEnd w:id="108"/>
      <w:r>
        <w:rPr>
          <w:rFonts w:ascii="arial" w:eastAsia="arial" w:hAnsi="arial" w:cs="arial"/>
          <w:b w:val="0"/>
          <w:i w:val="0"/>
          <w:strike w:val="0"/>
          <w:noProof w:val="0"/>
          <w:color w:val="000000"/>
          <w:position w:val="0"/>
          <w:sz w:val="20"/>
          <w:u w:val="none"/>
          <w:vertAlign w:val="baseline"/>
        </w:rPr>
        <w:t>Plaintiffs Rachel Cody and Lindsey Knowles ("Plaintiffs"), on behalf of themselves and the Settlement Class Members, Defendant SoulCycle, Inc. ("Defendant") (with Plaintiffs and Defendant collectively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referred to herein as the "Parties") have agreed to settle the above-captioned class action suit (the "Action") on the terms and conditions set forth in the Settlement Agreement (this settlement process hereinafter referred to as the "Settlement").</w:t>
      </w:r>
    </w:p>
    <w:p>
      <w:pPr>
        <w:keepNext w:val="0"/>
        <w:widowControl w:val="0"/>
        <w:spacing w:before="200" w:after="0" w:line="260" w:lineRule="atLeast"/>
        <w:ind w:left="0" w:right="0" w:firstLine="0"/>
        <w:jc w:val="both"/>
      </w:pPr>
      <w:bookmarkStart w:id="109" w:name="Bookmark_para_48"/>
      <w:bookmarkEnd w:id="109"/>
      <w:r>
        <w:rPr>
          <w:rFonts w:ascii="arial" w:eastAsia="arial" w:hAnsi="arial" w:cs="arial"/>
          <w:b w:val="0"/>
          <w:i w:val="0"/>
          <w:strike w:val="0"/>
          <w:noProof w:val="0"/>
          <w:color w:val="000000"/>
          <w:position w:val="0"/>
          <w:sz w:val="20"/>
          <w:u w:val="none"/>
          <w:vertAlign w:val="baseline"/>
        </w:rPr>
        <w:t xml:space="preserve">The Court has concurrently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Motion for Final Approval of the Settlement pursuant to </w:t>
      </w:r>
      <w:r>
        <w:rPr>
          <w:rFonts w:ascii="arial" w:eastAsia="arial" w:hAnsi="arial" w:cs="arial"/>
          <w:b w:val="0"/>
          <w:i/>
          <w:strike w:val="0"/>
          <w:noProof w:val="0"/>
          <w:color w:val="000000"/>
          <w:position w:val="0"/>
          <w:sz w:val="20"/>
          <w:u w:val="none"/>
          <w:vertAlign w:val="baseline"/>
        </w:rPr>
        <w:t>Rule 23(e) of the Federal Rules of Civil Procedure</w:t>
      </w:r>
      <w:r>
        <w:rPr>
          <w:rFonts w:ascii="arial" w:eastAsia="arial" w:hAnsi="arial" w:cs="arial"/>
          <w:b w:val="0"/>
          <w:i w:val="0"/>
          <w:strike w:val="0"/>
          <w:noProof w:val="0"/>
          <w:color w:val="000000"/>
          <w:position w:val="0"/>
          <w:sz w:val="20"/>
          <w:u w:val="none"/>
          <w:vertAlign w:val="baseline"/>
        </w:rPr>
        <w:t xml:space="preserve"> (the "Settlement Motion"); also pending is Class Counsel's Motion for Attorneys' Fees and Expenses (the "Fee Motion") and for the incentive award for the class representative.</w:t>
      </w:r>
    </w:p>
    <w:p>
      <w:pPr>
        <w:keepNext w:val="0"/>
        <w:widowControl w:val="0"/>
        <w:spacing w:before="200" w:after="0" w:line="260" w:lineRule="atLeast"/>
        <w:ind w:left="0" w:right="0" w:firstLine="0"/>
        <w:jc w:val="both"/>
      </w:pPr>
      <w:bookmarkStart w:id="110" w:name="Bookmark_para_49"/>
      <w:bookmarkEnd w:id="110"/>
      <w:r>
        <w:rPr>
          <w:rFonts w:ascii="arial" w:eastAsia="arial" w:hAnsi="arial" w:cs="arial"/>
          <w:b w:val="0"/>
          <w:i w:val="0"/>
          <w:strike w:val="0"/>
          <w:noProof w:val="0"/>
          <w:color w:val="000000"/>
          <w:position w:val="0"/>
          <w:sz w:val="20"/>
          <w:u w:val="none"/>
          <w:vertAlign w:val="baseline"/>
        </w:rPr>
        <w:t>In connection with the Settlement and the current Motions before the Court, the Court makes the following findings:</w:t>
      </w:r>
    </w:p>
    <w:p>
      <w:pPr>
        <w:keepNext w:val="0"/>
        <w:widowControl w:val="0"/>
        <w:spacing w:before="200" w:after="0" w:line="260" w:lineRule="atLeast"/>
        <w:ind w:left="0" w:right="0" w:firstLine="0"/>
        <w:jc w:val="both"/>
      </w:pPr>
      <w:bookmarkStart w:id="111" w:name="Bookmark_para_50"/>
      <w:bookmarkEnd w:id="111"/>
      <w:r>
        <w:rPr>
          <w:rFonts w:ascii="arial" w:eastAsia="arial" w:hAnsi="arial" w:cs="arial"/>
          <w:b w:val="0"/>
          <w:i w:val="0"/>
          <w:strike w:val="0"/>
          <w:noProof w:val="0"/>
          <w:color w:val="000000"/>
          <w:position w:val="0"/>
          <w:sz w:val="20"/>
          <w:u w:val="none"/>
          <w:vertAlign w:val="baseline"/>
        </w:rPr>
        <w:t xml:space="preserve">A. On June 22, 2017, the Court entered an Order Preliminarily Approving Settlement and Approving Notice of Proposed Settlement and Fairness Hearing (the "Preliminary Approval Order") certifying the proposed Settlement Class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appointing Class Counsel, the class representatives, and a Settlement Administrator; and directing that notice be given to the members of the Settlement Class of the proposed Settlement and of a Fairness Hearing.</w:t>
      </w:r>
    </w:p>
    <w:p>
      <w:pPr>
        <w:keepNext w:val="0"/>
        <w:widowControl w:val="0"/>
        <w:spacing w:before="200" w:after="0" w:line="260" w:lineRule="atLeast"/>
        <w:ind w:left="0" w:right="0" w:firstLine="0"/>
        <w:jc w:val="both"/>
      </w:pPr>
      <w:bookmarkStart w:id="112" w:name="Bookmark_para_51"/>
      <w:bookmarkEnd w:id="112"/>
      <w:r>
        <w:rPr>
          <w:rFonts w:ascii="arial" w:eastAsia="arial" w:hAnsi="arial" w:cs="arial"/>
          <w:b w:val="0"/>
          <w:i w:val="0"/>
          <w:strike w:val="0"/>
          <w:noProof w:val="0"/>
          <w:color w:val="000000"/>
          <w:position w:val="0"/>
          <w:sz w:val="20"/>
          <w:u w:val="none"/>
          <w:vertAlign w:val="baseline"/>
        </w:rPr>
        <w:t>B. In the Preliminary Approval Order, the Court approved the form and content of the Notice of Proposed Class Action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Settlement and Fairness Hearing ("Notice") directed to members of the Settlement Class.</w:t>
      </w:r>
    </w:p>
    <w:p>
      <w:pPr>
        <w:keepNext w:val="0"/>
        <w:widowControl w:val="0"/>
        <w:spacing w:before="200" w:after="0" w:line="260" w:lineRule="atLeast"/>
        <w:ind w:left="0" w:right="0" w:firstLine="0"/>
        <w:jc w:val="both"/>
      </w:pPr>
      <w:bookmarkStart w:id="113" w:name="Bookmark_para_52"/>
      <w:bookmarkEnd w:id="113"/>
      <w:r>
        <w:rPr>
          <w:rFonts w:ascii="arial" w:eastAsia="arial" w:hAnsi="arial" w:cs="arial"/>
          <w:b w:val="0"/>
          <w:i w:val="0"/>
          <w:strike w:val="0"/>
          <w:noProof w:val="0"/>
          <w:color w:val="000000"/>
          <w:position w:val="0"/>
          <w:sz w:val="20"/>
          <w:u w:val="none"/>
          <w:vertAlign w:val="baseline"/>
        </w:rPr>
        <w:t>C. During the Notice period, June 26, 2017 through September 11, 2017, the Settlement Administrator caused the Notice to be emailed or mailed to all members of the Settlement Class, and created a Settlement Website and a toll-free number for class members. The Notices, Website, and toll-free number informed members of the Settlement Class of the Settlement terms and that the Court would consider the following issues at the Fairness Hearing: (i) whether the Court should grant final approval to the Settlement; (ii) whether the Court should enter final judgment dismissing the Action with prejudice; (iii) the amount of attorneys' fees, costs, and expenses, if any, to be awarded to Class Counsel; (iv) whether to approve the payment of the Incentive Amount to the class representative and the amount of the Incentive Amount; and (v) any objections by members of the Settlement Class to any of the above that were timely and properly served in accordance with the Preliminary Approval Order.</w:t>
      </w:r>
    </w:p>
    <w:p>
      <w:pPr>
        <w:keepNext w:val="0"/>
        <w:widowControl w:val="0"/>
        <w:spacing w:before="200" w:after="0" w:line="260" w:lineRule="atLeast"/>
        <w:ind w:left="0" w:right="0" w:firstLine="0"/>
        <w:jc w:val="both"/>
      </w:pPr>
      <w:bookmarkStart w:id="114" w:name="Bookmark_para_53"/>
      <w:bookmarkEnd w:id="114"/>
      <w:r>
        <w:rPr>
          <w:rFonts w:ascii="arial" w:eastAsia="arial" w:hAnsi="arial" w:cs="arial"/>
          <w:b w:val="0"/>
          <w:i w:val="0"/>
          <w:strike w:val="0"/>
          <w:noProof w:val="0"/>
          <w:color w:val="000000"/>
          <w:position w:val="0"/>
          <w:sz w:val="20"/>
          <w:u w:val="none"/>
          <w:vertAlign w:val="baseline"/>
        </w:rPr>
        <w:t>D. Pursuant to the Notice, six (8) members of the Settlement Class chose to exclude themselves from the Settlement by submitting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timely and valid Opt-Out Forms, two (2) objections to the Settlement were filed with the Court, and one (1) objection to the amount of attorneys' fees was sent to class counsel. The two objections to the Settlement were subsequently withdrawn prior to the Fairness Hearing, though the Court still considered the arguments raised in the objections.</w:t>
      </w:r>
    </w:p>
    <w:p>
      <w:pPr>
        <w:keepNext w:val="0"/>
        <w:widowControl w:val="0"/>
        <w:spacing w:before="200" w:after="0" w:line="260" w:lineRule="atLeast"/>
        <w:ind w:left="0" w:right="0" w:firstLine="0"/>
        <w:jc w:val="both"/>
      </w:pPr>
      <w:bookmarkStart w:id="115" w:name="Bookmark_para_54"/>
      <w:bookmarkEnd w:id="115"/>
      <w:r>
        <w:rPr>
          <w:rFonts w:ascii="arial" w:eastAsia="arial" w:hAnsi="arial" w:cs="arial"/>
          <w:b w:val="0"/>
          <w:i w:val="0"/>
          <w:strike w:val="0"/>
          <w:noProof w:val="0"/>
          <w:color w:val="000000"/>
          <w:position w:val="0"/>
          <w:sz w:val="20"/>
          <w:u w:val="none"/>
          <w:vertAlign w:val="baseline"/>
        </w:rPr>
        <w:t>E. On August 28, 2017, the Settlement Administrator filed with the Court a declaration attesting to the mailing of the Notice to all members of the Settlement Class and the results of the Notice. On September 25, 2017 the Settlement Administrator filed with the Court an updated declaration attesting to the results of the Notice.</w:t>
      </w:r>
    </w:p>
    <w:p>
      <w:pPr>
        <w:keepNext w:val="0"/>
        <w:widowControl w:val="0"/>
        <w:spacing w:before="200" w:after="0" w:line="260" w:lineRule="atLeast"/>
        <w:ind w:left="0" w:right="0" w:firstLine="0"/>
        <w:jc w:val="both"/>
      </w:pPr>
      <w:bookmarkStart w:id="116" w:name="Bookmark_para_55"/>
      <w:bookmarkEnd w:id="116"/>
      <w:r>
        <w:rPr>
          <w:rFonts w:ascii="arial" w:eastAsia="arial" w:hAnsi="arial" w:cs="arial"/>
          <w:b w:val="0"/>
          <w:i w:val="0"/>
          <w:strike w:val="0"/>
          <w:noProof w:val="0"/>
          <w:color w:val="000000"/>
          <w:position w:val="0"/>
          <w:sz w:val="20"/>
          <w:u w:val="none"/>
          <w:vertAlign w:val="baseline"/>
        </w:rPr>
        <w:t>F. In accordance with the Notice, a Fairness Hearing was held on October 2, 2017.</w:t>
      </w:r>
    </w:p>
    <w:p>
      <w:pPr>
        <w:keepNext w:val="0"/>
        <w:widowControl w:val="0"/>
        <w:spacing w:before="200" w:after="0" w:line="260" w:lineRule="atLeast"/>
        <w:ind w:left="0" w:right="0" w:firstLine="0"/>
        <w:jc w:val="both"/>
      </w:pPr>
      <w:bookmarkStart w:id="117" w:name="Bookmark_para_56"/>
      <w:bookmarkEnd w:id="117"/>
      <w:r>
        <w:rPr>
          <w:rFonts w:ascii="arial" w:eastAsia="arial" w:hAnsi="arial" w:cs="arial"/>
          <w:b w:val="0"/>
          <w:i w:val="0"/>
          <w:strike w:val="0"/>
          <w:noProof w:val="0"/>
          <w:color w:val="000000"/>
          <w:position w:val="0"/>
          <w:sz w:val="20"/>
          <w:u w:val="none"/>
          <w:vertAlign w:val="baseline"/>
        </w:rPr>
        <w:t>The Court having entered the Preliminary Approval Order, having heard argument in support of the Settlement and the Fee Motion and request for the Incentive Amount for the class representatives, having reviewed all of the evidence, objections, and other submissions presented with respect to the Settlement and the record of all proceedings in this case, and having made the foregoing findings,</w:t>
      </w:r>
    </w:p>
    <w:p>
      <w:pPr>
        <w:keepNext w:val="0"/>
        <w:widowControl w:val="0"/>
        <w:spacing w:before="200" w:after="0" w:line="260" w:lineRule="atLeast"/>
        <w:ind w:left="0" w:right="0" w:firstLine="0"/>
        <w:jc w:val="both"/>
      </w:pPr>
      <w:bookmarkStart w:id="118" w:name="Bookmark_para_57"/>
      <w:bookmarkEnd w:id="118"/>
      <w:r>
        <w:rPr>
          <w:rFonts w:ascii="arial" w:eastAsia="arial" w:hAnsi="arial" w:cs="arial"/>
          <w:b/>
          <w:i w:val="0"/>
          <w:strike w:val="0"/>
          <w:noProof w:val="0"/>
          <w:color w:val="000000"/>
          <w:position w:val="0"/>
          <w:sz w:val="20"/>
          <w:u w:val="none"/>
          <w:vertAlign w:val="baseline"/>
        </w:rPr>
        <w:t>IT IS HEREBY ORDERED, ADJUDGED, AND DECREED</w:t>
      </w:r>
      <w:r>
        <w:rPr>
          <w:rFonts w:ascii="arial" w:eastAsia="arial" w:hAnsi="arial" w:cs="arial"/>
          <w:b w:val="0"/>
          <w:i w:val="0"/>
          <w:strike w:val="0"/>
          <w:noProof w:val="0"/>
          <w:color w:val="000000"/>
          <w:position w:val="0"/>
          <w:sz w:val="20"/>
          <w:u w:val="none"/>
          <w:vertAlign w:val="baseline"/>
        </w:rPr>
        <w:t xml:space="preserve"> as follows:</w:t>
      </w:r>
      <w:r>
        <w:rPr>
          <w:rFonts w:ascii="arial" w:eastAsia="arial" w:hAnsi="arial" w:cs="arial"/>
          <w:b/>
          <w:i w:val="0"/>
          <w:strike w:val="0"/>
          <w:noProof w:val="0"/>
          <w:color w:val="000000"/>
          <w:position w:val="0"/>
          <w:sz w:val="20"/>
          <w:u w:val="none"/>
          <w:vertAlign w:val="baseline"/>
        </w:rPr>
        <w:t> [*25] </w:t>
      </w:r>
    </w:p>
    <w:p>
      <w:pPr>
        <w:keepNext w:val="0"/>
        <w:widowControl w:val="0"/>
        <w:spacing w:before="200" w:after="0" w:line="260" w:lineRule="atLeast"/>
        <w:ind w:left="0" w:right="0" w:firstLine="0"/>
        <w:jc w:val="both"/>
      </w:pPr>
      <w:bookmarkStart w:id="119" w:name="Bookmark_para_58"/>
      <w:bookmarkEnd w:id="119"/>
      <w:r>
        <w:rPr>
          <w:rFonts w:ascii="arial" w:eastAsia="arial" w:hAnsi="arial" w:cs="arial"/>
          <w:b w:val="0"/>
          <w:i w:val="0"/>
          <w:strike w:val="0"/>
          <w:noProof w:val="0"/>
          <w:color w:val="000000"/>
          <w:position w:val="0"/>
          <w:sz w:val="20"/>
          <w:u w:val="none"/>
          <w:vertAlign w:val="baseline"/>
        </w:rPr>
        <w:t>1. The Court has jurisdiction over the subject matter and personal jurisdiction over the parties to the Action, including the Settlement Class Members.</w:t>
      </w:r>
    </w:p>
    <w:p>
      <w:pPr>
        <w:keepNext w:val="0"/>
        <w:widowControl w:val="0"/>
        <w:spacing w:before="200" w:after="0" w:line="260" w:lineRule="atLeast"/>
        <w:ind w:left="0" w:right="0" w:firstLine="0"/>
        <w:jc w:val="both"/>
      </w:pPr>
      <w:bookmarkStart w:id="120" w:name="Bookmark_para_59"/>
      <w:bookmarkEnd w:id="120"/>
      <w:r>
        <w:rPr>
          <w:rFonts w:ascii="arial" w:eastAsia="arial" w:hAnsi="arial" w:cs="arial"/>
          <w:b w:val="0"/>
          <w:i w:val="0"/>
          <w:strike w:val="0"/>
          <w:noProof w:val="0"/>
          <w:color w:val="000000"/>
          <w:position w:val="0"/>
          <w:sz w:val="20"/>
          <w:u w:val="none"/>
          <w:vertAlign w:val="baseline"/>
        </w:rPr>
        <w:t>2. The Settlement and all of its exhibits (as filed with the Court) are incorporated in this Judgment, including the definitions and terms set forth in the Settlement Agreement.</w:t>
      </w:r>
    </w:p>
    <w:p>
      <w:pPr>
        <w:keepNext w:val="0"/>
        <w:widowControl w:val="0"/>
        <w:spacing w:before="200" w:after="0" w:line="260" w:lineRule="atLeast"/>
        <w:ind w:left="0" w:right="0" w:firstLine="0"/>
        <w:jc w:val="both"/>
      </w:pPr>
      <w:bookmarkStart w:id="121" w:name="Bookmark_para_60"/>
      <w:bookmarkEnd w:id="121"/>
      <w:r>
        <w:rPr>
          <w:rFonts w:ascii="arial" w:eastAsia="arial" w:hAnsi="arial" w:cs="arial"/>
          <w:b w:val="0"/>
          <w:i w:val="0"/>
          <w:strike w:val="0"/>
          <w:noProof w:val="0"/>
          <w:color w:val="000000"/>
          <w:position w:val="0"/>
          <w:sz w:val="20"/>
          <w:u w:val="none"/>
          <w:vertAlign w:val="baseline"/>
        </w:rPr>
        <w:t>3. The Court preliminarily approved certification of the Settlement Class in this action on June 22, 2017. The Settlement Class is defined as follows:</w:t>
      </w:r>
    </w:p>
    <w:p>
      <w:pPr>
        <w:keepNext w:val="0"/>
        <w:widowControl w:val="0"/>
        <w:spacing w:after="0" w:line="260" w:lineRule="atLeast"/>
        <w:ind w:left="400" w:right="0" w:firstLine="0"/>
        <w:jc w:val="both"/>
      </w:pPr>
      <w:bookmarkStart w:id="122" w:name="Bookmark_para_61"/>
      <w:bookmarkEnd w:id="122"/>
      <w:r>
        <w:rPr>
          <w:rFonts w:ascii="arial" w:eastAsia="arial" w:hAnsi="arial" w:cs="arial"/>
          <w:b w:val="0"/>
          <w:i w:val="0"/>
          <w:strike w:val="0"/>
          <w:noProof w:val="0"/>
          <w:color w:val="000000"/>
          <w:position w:val="0"/>
          <w:sz w:val="20"/>
          <w:u w:val="none"/>
          <w:vertAlign w:val="baseline"/>
        </w:rPr>
        <w:t>• SoulCycle customers nationwide who purchased, during the period commencing on August 25, 2014 and ending on February 10, 2017, a SoulCycle Class that expired unused; and SoulCycle customers with a California billing address who purchased, during the period commencing on February 1, 2012 and ending on February 10, 2017, a SoulCycle Class that expired unused.</w:t>
      </w:r>
    </w:p>
    <w:p>
      <w:pPr>
        <w:keepNext w:val="0"/>
        <w:widowControl w:val="0"/>
        <w:spacing w:after="0" w:line="260" w:lineRule="atLeast"/>
        <w:ind w:left="400" w:right="0" w:firstLine="0"/>
        <w:jc w:val="both"/>
      </w:pPr>
      <w:bookmarkStart w:id="123" w:name="Bookmark_para_62"/>
      <w:bookmarkEnd w:id="123"/>
      <w:r>
        <w:rPr>
          <w:rFonts w:ascii="arial" w:eastAsia="arial" w:hAnsi="arial" w:cs="arial"/>
          <w:b w:val="0"/>
          <w:i w:val="0"/>
          <w:strike w:val="0"/>
          <w:noProof w:val="0"/>
          <w:color w:val="000000"/>
          <w:position w:val="0"/>
          <w:sz w:val="20"/>
          <w:u w:val="none"/>
          <w:vertAlign w:val="baseline"/>
        </w:rPr>
        <w:t>• Excluded from the Settlement Class are (1) the judge to whom this case is assigned, the judge's staff, and any member of the judge's immediate family; (2) officers and directors of SoulCycle; and (3) persons who timely and validly opt to exclude themselves from the Settlement Class.</w:t>
      </w:r>
    </w:p>
    <w:p>
      <w:pPr>
        <w:keepNext w:val="0"/>
        <w:widowControl w:val="0"/>
        <w:spacing w:before="200" w:after="0" w:line="260" w:lineRule="atLeast"/>
        <w:ind w:left="0" w:right="0" w:firstLine="0"/>
        <w:jc w:val="both"/>
      </w:pPr>
      <w:bookmarkStart w:id="124" w:name="Bookmark_para_63"/>
      <w:bookmarkEnd w:id="124"/>
      <w:r>
        <w:rPr>
          <w:rFonts w:ascii="arial" w:eastAsia="arial" w:hAnsi="arial" w:cs="arial"/>
          <w:b w:val="0"/>
          <w:i w:val="0"/>
          <w:strike w:val="0"/>
          <w:noProof w:val="0"/>
          <w:color w:val="000000"/>
          <w:position w:val="0"/>
          <w:sz w:val="20"/>
          <w:u w:val="none"/>
          <w:vertAlign w:val="baseline"/>
        </w:rPr>
        <w:t xml:space="preserve">4. The Court finds that Plaintiff's counsel satisfies the requirements of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Court further confirms for settlement purposes the appointment of Plaintiff's counsel as Class Counsel under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64"/>
      <w:bookmarkEnd w:id="125"/>
      <w:r>
        <w:rPr>
          <w:rFonts w:ascii="arial" w:eastAsia="arial" w:hAnsi="arial" w:cs="arial"/>
          <w:b w:val="0"/>
          <w:i w:val="0"/>
          <w:strike w:val="0"/>
          <w:noProof w:val="0"/>
          <w:color w:val="000000"/>
          <w:position w:val="0"/>
          <w:sz w:val="20"/>
          <w:u w:val="none"/>
          <w:vertAlign w:val="baseline"/>
        </w:rPr>
        <w:t>5. The Court also confirms the appointment of Rachel Cody and Lindsey Knowles as the class representatives of the Settlement Class.</w:t>
      </w:r>
    </w:p>
    <w:p>
      <w:pPr>
        <w:keepNext w:val="0"/>
        <w:widowControl w:val="0"/>
        <w:spacing w:before="200" w:after="0" w:line="260" w:lineRule="atLeast"/>
        <w:ind w:left="0" w:right="0" w:firstLine="0"/>
        <w:jc w:val="both"/>
      </w:pPr>
      <w:bookmarkStart w:id="126" w:name="Bookmark_para_65"/>
      <w:bookmarkEnd w:id="126"/>
      <w:r>
        <w:rPr>
          <w:rFonts w:ascii="arial" w:eastAsia="arial" w:hAnsi="arial" w:cs="arial"/>
          <w:b w:val="0"/>
          <w:i w:val="0"/>
          <w:strike w:val="0"/>
          <w:noProof w:val="0"/>
          <w:color w:val="000000"/>
          <w:position w:val="0"/>
          <w:sz w:val="20"/>
          <w:u w:val="none"/>
          <w:vertAlign w:val="baseline"/>
        </w:rPr>
        <w:t xml:space="preserve">6. The Court finds, based on the evidence, that Notice to the members of the Settlement Class has been given in an adequate and sufficient manner and the Notice given constitutes the best notice practicable under the circumstances, and was reasonably calculated to apprise interested parties of the pendency of the Action, the nature of the claims, the definition of the Settlement Class, and their opportunity to exclude themselves from the Settlement Class or present objections to the Settlement. The Notice complied in all respects with the requirements of the Federal Rules of Civil Procedure, the United States Constitution (including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the rules of this Court, and any other applicable law.</w:t>
      </w:r>
    </w:p>
    <w:p>
      <w:pPr>
        <w:keepNext w:val="0"/>
        <w:widowControl w:val="0"/>
        <w:spacing w:before="200" w:after="0" w:line="260" w:lineRule="atLeast"/>
        <w:ind w:left="0" w:right="0" w:firstLine="0"/>
        <w:jc w:val="both"/>
      </w:pPr>
      <w:bookmarkStart w:id="127" w:name="Bookmark_para_66"/>
      <w:bookmarkEnd w:id="127"/>
      <w:r>
        <w:rPr>
          <w:rFonts w:ascii="arial" w:eastAsia="arial" w:hAnsi="arial" w:cs="arial"/>
          <w:b w:val="0"/>
          <w:i w:val="0"/>
          <w:strike w:val="0"/>
          <w:noProof w:val="0"/>
          <w:color w:val="000000"/>
          <w:position w:val="0"/>
          <w:sz w:val="20"/>
          <w:u w:val="none"/>
          <w:vertAlign w:val="baseline"/>
        </w:rPr>
        <w:t>7. Members of the Settlement Class were given the opportunity to exclude themselves from the Class through submission of Opt-Out Forms, and eight (8) individuals did so in a timely fashion. These individuals are identified on the papers filed under seal with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Court on September 25, 2017.</w:t>
      </w:r>
    </w:p>
    <w:p>
      <w:pPr>
        <w:keepNext w:val="0"/>
        <w:widowControl w:val="0"/>
        <w:spacing w:before="200" w:after="0" w:line="260" w:lineRule="atLeast"/>
        <w:ind w:left="0" w:right="0" w:firstLine="0"/>
        <w:jc w:val="both"/>
      </w:pPr>
      <w:bookmarkStart w:id="128" w:name="Bookmark_para_67"/>
      <w:bookmarkEnd w:id="128"/>
      <w:r>
        <w:rPr>
          <w:rFonts w:ascii="arial" w:eastAsia="arial" w:hAnsi="arial" w:cs="arial"/>
          <w:b w:val="0"/>
          <w:i w:val="0"/>
          <w:strike w:val="0"/>
          <w:noProof w:val="0"/>
          <w:color w:val="000000"/>
          <w:position w:val="0"/>
          <w:sz w:val="20"/>
          <w:u w:val="none"/>
          <w:vertAlign w:val="baseline"/>
        </w:rPr>
        <w:t>8. All individuals, other than the eight who timely excluded themselves, are included in the Class. They are Settlement Class Members and are bound by the terms of the Settlement and this Judgment.</w:t>
      </w:r>
    </w:p>
    <w:p>
      <w:pPr>
        <w:keepNext w:val="0"/>
        <w:widowControl w:val="0"/>
        <w:spacing w:before="200" w:after="0" w:line="260" w:lineRule="atLeast"/>
        <w:ind w:left="0" w:right="0" w:firstLine="0"/>
        <w:jc w:val="both"/>
      </w:pPr>
      <w:bookmarkStart w:id="129" w:name="Bookmark_para_68"/>
      <w:bookmarkEnd w:id="129"/>
      <w:r>
        <w:rPr>
          <w:rFonts w:ascii="arial" w:eastAsia="arial" w:hAnsi="arial" w:cs="arial"/>
          <w:b w:val="0"/>
          <w:i w:val="0"/>
          <w:strike w:val="0"/>
          <w:noProof w:val="0"/>
          <w:color w:val="000000"/>
          <w:position w:val="0"/>
          <w:sz w:val="20"/>
          <w:u w:val="none"/>
          <w:vertAlign w:val="baseline"/>
        </w:rPr>
        <w:t>9. Based on the number of members of the Settlement Class on the Class List and the number of timely and valid Opt-Out Forms submitted, the Settlement Amount is $6.9-9.2 million.</w:t>
      </w:r>
    </w:p>
    <w:p>
      <w:pPr>
        <w:keepNext w:val="0"/>
        <w:widowControl w:val="0"/>
        <w:spacing w:before="200" w:after="0" w:line="260" w:lineRule="atLeast"/>
        <w:ind w:left="0" w:right="0" w:firstLine="0"/>
        <w:jc w:val="both"/>
      </w:pPr>
      <w:bookmarkStart w:id="130" w:name="Bookmark_para_69"/>
      <w:bookmarkEnd w:id="130"/>
      <w:r>
        <w:rPr>
          <w:rFonts w:ascii="arial" w:eastAsia="arial" w:hAnsi="arial" w:cs="arial"/>
          <w:b w:val="0"/>
          <w:i w:val="0"/>
          <w:strike w:val="0"/>
          <w:noProof w:val="0"/>
          <w:color w:val="000000"/>
          <w:position w:val="0"/>
          <w:sz w:val="20"/>
          <w:u w:val="none"/>
          <w:vertAlign w:val="baseline"/>
        </w:rPr>
        <w:t>10. Defendant has satisfied the requirements of CAFA.</w:t>
      </w:r>
    </w:p>
    <w:p>
      <w:pPr>
        <w:keepNext w:val="0"/>
        <w:widowControl w:val="0"/>
        <w:spacing w:before="200" w:after="0" w:line="260" w:lineRule="atLeast"/>
        <w:ind w:left="0" w:right="0" w:firstLine="0"/>
        <w:jc w:val="both"/>
      </w:pPr>
      <w:bookmarkStart w:id="131" w:name="Bookmark_para_70"/>
      <w:bookmarkEnd w:id="131"/>
      <w:r>
        <w:rPr>
          <w:rFonts w:ascii="arial" w:eastAsia="arial" w:hAnsi="arial" w:cs="arial"/>
          <w:b w:val="0"/>
          <w:i w:val="0"/>
          <w:strike w:val="0"/>
          <w:noProof w:val="0"/>
          <w:color w:val="000000"/>
          <w:position w:val="0"/>
          <w:sz w:val="20"/>
          <w:u w:val="none"/>
          <w:vertAlign w:val="baseline"/>
        </w:rPr>
        <w:t xml:space="preserve">11. The Court finally approves the Settlement in all respects as fair, reasonable, adequate, and in the best interests of the Settlement Class pursuant to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The Settlement was not a product of fraud or collusion, and the Court finds it satisfies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after considering (i) the complexity, expense, and likely duration of the Action; (ii) the stage of the proceedings and amount of discovery completed; (iii) the factual and legal obstacles to prevailing on the merits; (iv) the possible range of recovery; (v) the respective opinions of the parties, including Plaintiffs, Class Counsel, Defendant, and Defendant's Counsel; and (vi) any objections submitted by members of the Settlement Class.</w:t>
      </w:r>
    </w:p>
    <w:p>
      <w:pPr>
        <w:keepNext w:val="0"/>
        <w:widowControl w:val="0"/>
        <w:spacing w:before="200" w:after="0" w:line="260" w:lineRule="atLeast"/>
        <w:ind w:left="0" w:right="0" w:firstLine="0"/>
        <w:jc w:val="both"/>
      </w:pPr>
      <w:bookmarkStart w:id="132" w:name="Bookmark_para_71"/>
      <w:bookmarkEnd w:id="132"/>
      <w:r>
        <w:rPr>
          <w:rFonts w:ascii="arial" w:eastAsia="arial" w:hAnsi="arial" w:cs="arial"/>
          <w:b w:val="0"/>
          <w:i w:val="0"/>
          <w:strike w:val="0"/>
          <w:noProof w:val="0"/>
          <w:color w:val="000000"/>
          <w:position w:val="0"/>
          <w:sz w:val="20"/>
          <w:u w:val="none"/>
          <w:vertAlign w:val="baseline"/>
        </w:rPr>
        <w:t>12. The terms of the Settlement shall be forever binding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on the Settlement Class.</w:t>
      </w:r>
    </w:p>
    <w:p>
      <w:pPr>
        <w:keepNext w:val="0"/>
        <w:widowControl w:val="0"/>
        <w:spacing w:before="200" w:after="0" w:line="260" w:lineRule="atLeast"/>
        <w:ind w:left="0" w:right="0" w:firstLine="0"/>
        <w:jc w:val="both"/>
      </w:pPr>
      <w:bookmarkStart w:id="133" w:name="Bookmark_para_72"/>
      <w:bookmarkEnd w:id="133"/>
      <w:r>
        <w:rPr>
          <w:rFonts w:ascii="arial" w:eastAsia="arial" w:hAnsi="arial" w:cs="arial"/>
          <w:b w:val="0"/>
          <w:i w:val="0"/>
          <w:strike w:val="0"/>
          <w:noProof w:val="0"/>
          <w:color w:val="000000"/>
          <w:position w:val="0"/>
          <w:sz w:val="20"/>
          <w:u w:val="none"/>
          <w:vertAlign w:val="baseline"/>
        </w:rPr>
        <w:t>13. Neither the Settlement, this Judgment, any papers related to the Settlement, nor the fact of Settlement shall be used as a finding or conclusion of the Court, or an admission by Defendant or Plaintiffs, of the truth of any fact alleged or defense asserted, or of any fault, wrongdoing, or liability whatsoever.</w:t>
      </w:r>
    </w:p>
    <w:p>
      <w:pPr>
        <w:keepNext w:val="0"/>
        <w:widowControl w:val="0"/>
        <w:spacing w:before="200" w:after="0" w:line="260" w:lineRule="atLeast"/>
        <w:ind w:left="0" w:right="0" w:firstLine="0"/>
        <w:jc w:val="both"/>
      </w:pPr>
      <w:bookmarkStart w:id="134" w:name="Bookmark_para_73"/>
      <w:bookmarkEnd w:id="134"/>
      <w:r>
        <w:rPr>
          <w:rFonts w:ascii="arial" w:eastAsia="arial" w:hAnsi="arial" w:cs="arial"/>
          <w:b w:val="0"/>
          <w:i w:val="0"/>
          <w:strike w:val="0"/>
          <w:noProof w:val="0"/>
          <w:color w:val="000000"/>
          <w:position w:val="0"/>
          <w:sz w:val="20"/>
          <w:u w:val="none"/>
          <w:vertAlign w:val="baseline"/>
        </w:rPr>
        <w:t>14. The parties and the Settlement Administrator shall carry out all the terms of the Settlement, including the disbursement of reinstated classes to each of the Settlement Class Members, or the disbursement of money to those Settlement Class Members who elect the Cash Option; the changes to Defendant's business practices as provided for in the Settlement Agreement; and the release provisions in accordance with the terms of the Settlement.</w:t>
      </w:r>
    </w:p>
    <w:p>
      <w:pPr>
        <w:keepNext w:val="0"/>
        <w:widowControl w:val="0"/>
        <w:spacing w:before="200" w:after="0" w:line="260" w:lineRule="atLeast"/>
        <w:ind w:left="0" w:right="0" w:firstLine="0"/>
        <w:jc w:val="both"/>
      </w:pPr>
      <w:bookmarkStart w:id="135" w:name="Bookmark_para_74"/>
      <w:bookmarkEnd w:id="135"/>
      <w:r>
        <w:rPr>
          <w:rFonts w:ascii="arial" w:eastAsia="arial" w:hAnsi="arial" w:cs="arial"/>
          <w:b w:val="0"/>
          <w:i w:val="0"/>
          <w:strike w:val="0"/>
          <w:noProof w:val="0"/>
          <w:color w:val="000000"/>
          <w:position w:val="0"/>
          <w:sz w:val="20"/>
          <w:u w:val="none"/>
          <w:vertAlign w:val="baseline"/>
        </w:rPr>
        <w:t>15. Class Counsel shall be entitled to $1,790,000 in attorneys' fees, inclusive of costs. This amount is awarded separate and apart from the Settlement Amount, and shall not be deducted from or reduce the Settlement Amount in any way. Plaintiffs Rachel Cody and Lindsey Knowles shall be entitled to incentive awards of $5,000 each.</w:t>
      </w:r>
    </w:p>
    <w:p>
      <w:pPr>
        <w:keepNext w:val="0"/>
        <w:widowControl w:val="0"/>
        <w:spacing w:before="200" w:after="0" w:line="260" w:lineRule="atLeast"/>
        <w:ind w:left="0" w:right="0" w:firstLine="0"/>
        <w:jc w:val="both"/>
      </w:pPr>
      <w:bookmarkStart w:id="136" w:name="Bookmark_para_75"/>
      <w:bookmarkEnd w:id="136"/>
      <w:r>
        <w:rPr>
          <w:rFonts w:ascii="arial" w:eastAsia="arial" w:hAnsi="arial" w:cs="arial"/>
          <w:b w:val="0"/>
          <w:i w:val="0"/>
          <w:strike w:val="0"/>
          <w:noProof w:val="0"/>
          <w:color w:val="000000"/>
          <w:position w:val="0"/>
          <w:sz w:val="20"/>
          <w:u w:val="none"/>
          <w:vertAlign w:val="baseline"/>
        </w:rPr>
        <w:t>16. Releases:</w:t>
      </w:r>
    </w:p>
    <w:p>
      <w:pPr>
        <w:keepNext w:val="0"/>
        <w:widowControl w:val="0"/>
        <w:spacing w:before="200" w:after="0" w:line="260" w:lineRule="atLeast"/>
        <w:ind w:left="400" w:right="0" w:firstLine="0"/>
        <w:jc w:val="both"/>
      </w:pPr>
      <w:bookmarkStart w:id="137" w:name="Bookmark_para_76"/>
      <w:bookmarkEnd w:id="137"/>
      <w:r>
        <w:rPr>
          <w:rFonts w:ascii="arial" w:eastAsia="arial" w:hAnsi="arial" w:cs="arial"/>
          <w:b w:val="0"/>
          <w:i w:val="0"/>
          <w:strike w:val="0"/>
          <w:noProof w:val="0"/>
          <w:color w:val="000000"/>
          <w:position w:val="0"/>
          <w:sz w:val="20"/>
          <w:u w:val="none"/>
          <w:vertAlign w:val="baseline"/>
        </w:rPr>
        <w:t>A. Settlement Class Members fully, finally, and forever release, relinquish,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discharge the "Released Parties," which the Settlement Agreement defines as:</w:t>
      </w:r>
    </w:p>
    <w:p>
      <w:pPr>
        <w:keepNext w:val="0"/>
        <w:widowControl w:val="0"/>
        <w:spacing w:after="0" w:line="260" w:lineRule="atLeast"/>
        <w:ind w:left="800" w:right="0" w:firstLine="0"/>
        <w:jc w:val="both"/>
      </w:pPr>
      <w:bookmarkStart w:id="138" w:name="Bookmark_para_77"/>
      <w:bookmarkEnd w:id="138"/>
      <w:r>
        <w:rPr>
          <w:rFonts w:ascii="arial" w:eastAsia="arial" w:hAnsi="arial" w:cs="arial"/>
          <w:b w:val="0"/>
          <w:i w:val="0"/>
          <w:strike w:val="0"/>
          <w:noProof w:val="0"/>
          <w:color w:val="000000"/>
          <w:position w:val="0"/>
          <w:sz w:val="20"/>
          <w:u w:val="none"/>
          <w:vertAlign w:val="baseline"/>
        </w:rPr>
        <w:t>SoulCycle and each and all of its respective present or former parents, subsidiaries, affiliates, successors and assigns, and each and all of the respective present or former officers, directors, employees, employers, attorneys, accountants, financial advisors, commercial bank lenders, insurers, investment bankers, representatives, general and limited partners and partnerships, any trust of which SoulCycle is a settlor, trustee or beneficiary, heirs, executors, administrators, successors, affiliates, and assigns of each of them,</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and shall forever be enjoined from prosecution of Released Parties for, any and all "Released Claims," which the Settlement Agreement defines as:</w:t>
      </w:r>
    </w:p>
    <w:p>
      <w:pPr>
        <w:keepNext w:val="0"/>
        <w:widowControl w:val="0"/>
        <w:spacing w:before="200" w:after="0" w:line="260" w:lineRule="atLeast"/>
        <w:ind w:left="800" w:right="0" w:firstLine="0"/>
        <w:jc w:val="both"/>
      </w:pPr>
      <w:bookmarkStart w:id="139" w:name="Bookmark_para_78"/>
      <w:bookmarkEnd w:id="139"/>
      <w:r>
        <w:rPr>
          <w:rFonts w:ascii="arial" w:eastAsia="arial" w:hAnsi="arial" w:cs="arial"/>
          <w:b w:val="0"/>
          <w:i w:val="0"/>
          <w:strike w:val="0"/>
          <w:noProof w:val="0"/>
          <w:color w:val="000000"/>
          <w:position w:val="0"/>
          <w:sz w:val="20"/>
          <w:u w:val="none"/>
          <w:vertAlign w:val="baseline"/>
        </w:rPr>
        <w:t xml:space="preserve">any and all causes of action, Claims, damages, equitable relief, legal relief, and demands or rights, whether known or unknown, liquidated or unliquidated, accrued or unaccrued, fixed or contingent, or based on any contract,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common law that have been, could have been, may be, or could be alleged or asserted now or in the future, all demands, rights, damages, obligations, suits, debts, liens, and causes of action of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every nature and description whatsoever, ascertained or unascertained, suspected or unsuspected, existing or claimed to exist, including unknown claims as of the notice date, by Plaintiffs and all Settlement Class Members against the Released Parties in the Litigation or in any other court action or before any administrative body, tribunal or arbitration panel arising out of or related to of the claims asserted by Plaintiffs and the Settlement Class Members in the Litigation or arising from the purchase of a SoulCycle class that expired unused during the Class Period, against the Released Parties under federal, state, or any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but not limited to the EFTA, the UCL, the CLRA, or the California Gift Card Statute.</w:t>
      </w:r>
    </w:p>
    <w:p>
      <w:pPr>
        <w:keepNext w:val="0"/>
        <w:widowControl w:val="0"/>
        <w:spacing w:after="0" w:line="260" w:lineRule="atLeast"/>
        <w:ind w:left="400" w:right="0" w:firstLine="0"/>
        <w:jc w:val="both"/>
      </w:pPr>
      <w:bookmarkStart w:id="140" w:name="Bookmark_para_79"/>
      <w:bookmarkEnd w:id="140"/>
      <w:r>
        <w:rPr>
          <w:rFonts w:ascii="arial" w:eastAsia="arial" w:hAnsi="arial" w:cs="arial"/>
          <w:b w:val="0"/>
          <w:i w:val="0"/>
          <w:strike w:val="0"/>
          <w:noProof w:val="0"/>
          <w:color w:val="000000"/>
          <w:position w:val="0"/>
          <w:sz w:val="20"/>
          <w:u w:val="none"/>
          <w:vertAlign w:val="baseline"/>
        </w:rPr>
        <w:t>B. Settlement Class Members are barred and permanently enjoined from prosecuting any and all Released Claims against the Released Parties.</w:t>
      </w:r>
    </w:p>
    <w:p>
      <w:pPr>
        <w:keepNext w:val="0"/>
        <w:widowControl w:val="0"/>
        <w:spacing w:after="0" w:line="260" w:lineRule="atLeast"/>
        <w:ind w:left="400" w:right="0" w:firstLine="0"/>
        <w:jc w:val="both"/>
      </w:pPr>
      <w:bookmarkStart w:id="141" w:name="Bookmark_para_80"/>
      <w:bookmarkEnd w:id="141"/>
      <w:r>
        <w:rPr>
          <w:rFonts w:ascii="arial" w:eastAsia="arial" w:hAnsi="arial" w:cs="arial"/>
          <w:b w:val="0"/>
          <w:i w:val="0"/>
          <w:strike w:val="0"/>
          <w:noProof w:val="0"/>
          <w:color w:val="000000"/>
          <w:position w:val="0"/>
          <w:sz w:val="20"/>
          <w:u w:val="none"/>
          <w:vertAlign w:val="baseline"/>
        </w:rPr>
        <w:t>C. Nothing in this Judgment or the Settlement Agreement shall preclude any action to enforce the terms of the Settlement.</w:t>
      </w:r>
    </w:p>
    <w:p>
      <w:pPr>
        <w:keepNext w:val="0"/>
        <w:widowControl w:val="0"/>
        <w:spacing w:before="200" w:after="0" w:line="260" w:lineRule="atLeast"/>
        <w:ind w:left="0" w:right="0" w:firstLine="0"/>
        <w:jc w:val="both"/>
      </w:pPr>
      <w:bookmarkStart w:id="142" w:name="Bookmark_para_81"/>
      <w:bookmarkEnd w:id="142"/>
      <w:r>
        <w:rPr>
          <w:rFonts w:ascii="arial" w:eastAsia="arial" w:hAnsi="arial" w:cs="arial"/>
          <w:b w:val="0"/>
          <w:i w:val="0"/>
          <w:strike w:val="0"/>
          <w:noProof w:val="0"/>
          <w:color w:val="000000"/>
          <w:position w:val="0"/>
          <w:sz w:val="20"/>
          <w:u w:val="none"/>
          <w:vertAlign w:val="baseline"/>
        </w:rPr>
        <w:t>17. Plaintiff's Motion for Attorneys' Fees and Expenses and an Incentive Award (Dkt. No. 238) is granted; the Court awards Class Counsel attorneys' fees and costs in the amount of $1,790,000,</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which is to be paid separate and apart from the Settlement Amount.</w:t>
      </w:r>
    </w:p>
    <w:p>
      <w:pPr>
        <w:keepNext w:val="0"/>
        <w:widowControl w:val="0"/>
        <w:spacing w:before="200" w:after="0" w:line="260" w:lineRule="atLeast"/>
        <w:ind w:left="0" w:right="0" w:firstLine="0"/>
        <w:jc w:val="both"/>
      </w:pPr>
      <w:bookmarkStart w:id="143" w:name="Bookmark_para_82"/>
      <w:bookmarkEnd w:id="143"/>
      <w:r>
        <w:rPr>
          <w:rFonts w:ascii="arial" w:eastAsia="arial" w:hAnsi="arial" w:cs="arial"/>
          <w:b w:val="0"/>
          <w:i w:val="0"/>
          <w:strike w:val="0"/>
          <w:noProof w:val="0"/>
          <w:color w:val="000000"/>
          <w:position w:val="0"/>
          <w:sz w:val="20"/>
          <w:u w:val="none"/>
          <w:vertAlign w:val="baseline"/>
        </w:rPr>
        <w:t>18. An incentive award in the amount of $5,000 each is approved for the two class representatives.</w:t>
      </w:r>
    </w:p>
    <w:p>
      <w:pPr>
        <w:keepNext w:val="0"/>
        <w:widowControl w:val="0"/>
        <w:spacing w:before="200" w:after="0" w:line="260" w:lineRule="atLeast"/>
        <w:ind w:left="0" w:right="0" w:firstLine="0"/>
        <w:jc w:val="both"/>
      </w:pPr>
      <w:bookmarkStart w:id="144" w:name="Bookmark_para_83"/>
      <w:bookmarkEnd w:id="144"/>
      <w:r>
        <w:rPr>
          <w:rFonts w:ascii="arial" w:eastAsia="arial" w:hAnsi="arial" w:cs="arial"/>
          <w:b w:val="0"/>
          <w:i w:val="0"/>
          <w:strike w:val="0"/>
          <w:noProof w:val="0"/>
          <w:color w:val="000000"/>
          <w:position w:val="0"/>
          <w:sz w:val="20"/>
          <w:u w:val="none"/>
          <w:vertAlign w:val="baseline"/>
        </w:rPr>
        <w:t>19. Without affecting the finality of this Judgment in any way, this Court will retain exclusive continuing jurisdiction over all parties and Settlement Class Members with regard construe and enforce the Settlement Agreement in accordance with its terms for the mutual benefit of the Parties.</w:t>
      </w:r>
    </w:p>
    <w:p>
      <w:pPr>
        <w:keepNext w:val="0"/>
        <w:widowControl w:val="0"/>
        <w:spacing w:before="200" w:after="0" w:line="260" w:lineRule="atLeast"/>
        <w:ind w:left="0" w:right="0" w:firstLine="0"/>
        <w:jc w:val="both"/>
      </w:pPr>
      <w:bookmarkStart w:id="145" w:name="Bookmark_para_84"/>
      <w:bookmarkEnd w:id="145"/>
      <w:r>
        <w:rPr>
          <w:rFonts w:ascii="arial" w:eastAsia="arial" w:hAnsi="arial" w:cs="arial"/>
          <w:b w:val="0"/>
          <w:i w:val="0"/>
          <w:strike w:val="0"/>
          <w:noProof w:val="0"/>
          <w:color w:val="000000"/>
          <w:position w:val="0"/>
          <w:sz w:val="20"/>
          <w:u w:val="none"/>
          <w:vertAlign w:val="baseline"/>
        </w:rPr>
        <w:t>20. The Action is dismissed with prejudice and without costs (except as otherwise provided herein).</w:t>
      </w:r>
    </w:p>
    <w:p>
      <w:pPr>
        <w:keepNext w:val="0"/>
        <w:widowControl w:val="0"/>
        <w:spacing w:before="200" w:after="0" w:line="260" w:lineRule="atLeast"/>
        <w:ind w:left="0" w:right="0" w:firstLine="0"/>
        <w:jc w:val="both"/>
      </w:pPr>
      <w:bookmarkStart w:id="146" w:name="Bookmark_para_85"/>
      <w:bookmarkEnd w:id="146"/>
      <w:r>
        <w:rPr>
          <w:rFonts w:ascii="arial" w:eastAsia="arial" w:hAnsi="arial" w:cs="arial"/>
          <w:b w:val="0"/>
          <w:i w:val="0"/>
          <w:strike w:val="0"/>
          <w:noProof w:val="0"/>
          <w:color w:val="000000"/>
          <w:position w:val="0"/>
          <w:sz w:val="20"/>
          <w:u w:val="none"/>
          <w:vertAlign w:val="baseline"/>
        </w:rPr>
        <w:t>21. This is a final and appealable judgment.</w:t>
      </w:r>
    </w:p>
    <w:p>
      <w:pPr>
        <w:keepNext w:val="0"/>
        <w:widowControl w:val="0"/>
        <w:spacing w:before="200" w:after="0" w:line="260" w:lineRule="atLeast"/>
        <w:ind w:left="0" w:right="0" w:firstLine="0"/>
        <w:jc w:val="both"/>
      </w:pPr>
      <w:bookmarkStart w:id="147" w:name="Bookmark_para_86"/>
      <w:bookmarkEnd w:id="147"/>
      <w:r>
        <w:rPr>
          <w:rFonts w:ascii="arial" w:eastAsia="arial" w:hAnsi="arial" w:cs="arial"/>
          <w:b w:val="0"/>
          <w:i w:val="0"/>
          <w:strike w:val="0"/>
          <w:noProof w:val="0"/>
          <w:color w:val="000000"/>
          <w:position w:val="0"/>
          <w:sz w:val="20"/>
          <w:u w:val="none"/>
          <w:vertAlign w:val="baseline"/>
        </w:rPr>
        <w:t>DATED: October 3, 2017</w:t>
      </w:r>
    </w:p>
    <w:p>
      <w:pPr>
        <w:keepNext w:val="0"/>
        <w:widowControl w:val="0"/>
        <w:spacing w:before="200" w:after="0" w:line="260" w:lineRule="atLeast"/>
        <w:ind w:left="0" w:right="0" w:firstLine="0"/>
        <w:jc w:val="both"/>
      </w:pPr>
      <w:bookmarkStart w:id="148" w:name="Bookmark_para_87"/>
      <w:bookmarkEnd w:id="148"/>
      <w:r>
        <w:rPr>
          <w:rFonts w:ascii="arial" w:eastAsia="arial" w:hAnsi="arial" w:cs="arial"/>
          <w:b w:val="0"/>
          <w:i w:val="0"/>
          <w:strike w:val="0"/>
          <w:noProof w:val="0"/>
          <w:color w:val="000000"/>
          <w:position w:val="0"/>
          <w:sz w:val="20"/>
          <w:u w:val="none"/>
          <w:vertAlign w:val="baseline"/>
        </w:rPr>
        <w:t>/s/ Michael W. Fitzgerald</w:t>
      </w:r>
    </w:p>
    <w:p>
      <w:pPr>
        <w:keepNext w:val="0"/>
        <w:widowControl w:val="0"/>
        <w:spacing w:before="200" w:after="0" w:line="260" w:lineRule="atLeast"/>
        <w:ind w:left="0" w:right="0" w:firstLine="0"/>
        <w:jc w:val="both"/>
      </w:pPr>
      <w:bookmarkStart w:id="149" w:name="Bookmark_para_88"/>
      <w:bookmarkEnd w:id="149"/>
      <w:r>
        <w:rPr>
          <w:rFonts w:ascii="arial" w:eastAsia="arial" w:hAnsi="arial" w:cs="arial"/>
          <w:b w:val="0"/>
          <w:i w:val="0"/>
          <w:strike w:val="0"/>
          <w:noProof w:val="0"/>
          <w:color w:val="000000"/>
          <w:position w:val="0"/>
          <w:sz w:val="20"/>
          <w:u w:val="none"/>
          <w:vertAlign w:val="baseline"/>
        </w:rPr>
        <w:t>MICHAEL W. FITZGERALD</w:t>
      </w:r>
    </w:p>
    <w:p>
      <w:pPr>
        <w:keepNext w:val="0"/>
        <w:widowControl w:val="0"/>
        <w:spacing w:before="200" w:after="0" w:line="260" w:lineRule="atLeast"/>
        <w:ind w:left="0" w:right="0" w:firstLine="0"/>
        <w:jc w:val="both"/>
      </w:pPr>
      <w:bookmarkStart w:id="150" w:name="Bookmark_para_89"/>
      <w:bookmarkEnd w:id="150"/>
      <w:r>
        <w:rPr>
          <w:rFonts w:ascii="arial" w:eastAsia="arial" w:hAnsi="arial" w:cs="arial"/>
          <w:b w:val="0"/>
          <w:i w:val="0"/>
          <w:strike w:val="0"/>
          <w:noProof w:val="0"/>
          <w:color w:val="000000"/>
          <w:position w:val="0"/>
          <w:sz w:val="20"/>
          <w:u w:val="none"/>
          <w:vertAlign w:val="baseline"/>
        </w:rPr>
        <w:t>United Stated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Cody v. SoulCycle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MS8-11D1-F04C-T45K-00000-00&amp;context=" TargetMode="External" /><Relationship Id="rId11" Type="http://schemas.openxmlformats.org/officeDocument/2006/relationships/hyperlink" Target="https://advance.lexis.com/api/document?collection=statutes-legislation&amp;id=urn:contentItem:4YF7-GR71-NRF4-40VW-00000-00&amp;context=" TargetMode="External" /><Relationship Id="rId12" Type="http://schemas.openxmlformats.org/officeDocument/2006/relationships/hyperlink" Target="https://advance.lexis.com/api/document?collection=statutes-legislation&amp;id=urn:contentItem:5JFB-2YX1-DYB7-W1SB-00000-00&amp;context=" TargetMode="External" /><Relationship Id="rId13" Type="http://schemas.openxmlformats.org/officeDocument/2006/relationships/hyperlink" Target="https://advance.lexis.com/api/document?collection=cases&amp;id=urn:contentItem:3T7M-D1S0-0038-X3SM-00000-00&amp;context=" TargetMode="External" /><Relationship Id="rId14" Type="http://schemas.openxmlformats.org/officeDocument/2006/relationships/hyperlink" Target="https://advance.lexis.com/api/document?collection=cases&amp;id=urn:contentItem:3S4X-1XS0-003B-G3JG-00000-00&amp;context=" TargetMode="External" /><Relationship Id="rId15" Type="http://schemas.openxmlformats.org/officeDocument/2006/relationships/hyperlink" Target="https://advance.lexis.com/api/document?collection=cases&amp;id=urn:contentItem:4SK0-7MP0-TXFP-C2ST-00000-00&amp;context=" TargetMode="External" /><Relationship Id="rId16" Type="http://schemas.openxmlformats.org/officeDocument/2006/relationships/hyperlink" Target="https://advance.lexis.com/api/document?collection=cases&amp;id=urn:contentItem:3TFC-BHC0-0038-X2TM-00000-00&amp;context=" TargetMode="External" /><Relationship Id="rId17" Type="http://schemas.openxmlformats.org/officeDocument/2006/relationships/hyperlink" Target="https://advance.lexis.com/api/document?collection=cases&amp;id=urn:contentItem:40B1-VWX0-0038-X558-00000-00&amp;context=" TargetMode="External" /><Relationship Id="rId18" Type="http://schemas.openxmlformats.org/officeDocument/2006/relationships/hyperlink" Target="https://advance.lexis.com/api/document?collection=cases&amp;id=urn:contentItem:7XPM-G2V0-YB0M-N000-00000-00&amp;context=" TargetMode="External" /><Relationship Id="rId19" Type="http://schemas.openxmlformats.org/officeDocument/2006/relationships/hyperlink" Target="https://advance.lexis.com/api/document?collection=cases&amp;id=urn:contentItem:3S4N-BF50-0054-40T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CPC-TGR0-0038-Y35K-00000-00&amp;context=" TargetMode="External" /><Relationship Id="rId21" Type="http://schemas.openxmlformats.org/officeDocument/2006/relationships/hyperlink" Target="https://advance.lexis.com/api/document?collection=cases&amp;id=urn:contentItem:4BY5-1GP0-0038-X1R8-00000-00&amp;context=" TargetMode="External" /><Relationship Id="rId22" Type="http://schemas.openxmlformats.org/officeDocument/2006/relationships/hyperlink" Target="https://advance.lexis.com/api/document?collection=cases&amp;id=urn:contentItem:4G4X-BX50-TVWB-J1RP-00000-00&amp;context=" TargetMode="External" /><Relationship Id="rId23" Type="http://schemas.openxmlformats.org/officeDocument/2006/relationships/hyperlink" Target="https://advance.lexis.com/api/document?collection=cases&amp;id=urn:contentItem:3S4X-5XD0-008H-V305-00000-00&amp;context=" TargetMode="External" /><Relationship Id="rId24" Type="http://schemas.openxmlformats.org/officeDocument/2006/relationships/hyperlink" Target="https://advance.lexis.com/api/document?collection=cases&amp;id=urn:contentItem:4W4S-JFH0-TXFX-D3F8-00000-00&amp;context=" TargetMode="External" /><Relationship Id="rId25" Type="http://schemas.openxmlformats.org/officeDocument/2006/relationships/hyperlink" Target="https://advance.lexis.com/api/document?collection=cases&amp;id=urn:contentItem:5FD3-M3P1-F04K-V0S8-00000-00&amp;context=" TargetMode="External" /><Relationship Id="rId26" Type="http://schemas.openxmlformats.org/officeDocument/2006/relationships/hyperlink" Target="https://advance.lexis.com/api/document?collection=cases&amp;id=urn:contentItem:3S4X-59P0-003B-54V5-00000-00&amp;context=" TargetMode="External" /><Relationship Id="rId27" Type="http://schemas.openxmlformats.org/officeDocument/2006/relationships/hyperlink" Target="https://advance.lexis.com/api/document?collection=cases&amp;id=urn:contentItem:532G-D3X1-F04C-T14D-00000-00&amp;context=" TargetMode="External" /><Relationship Id="rId28" Type="http://schemas.openxmlformats.org/officeDocument/2006/relationships/hyperlink" Target="https://advance.lexis.com/api/document?collection=cases&amp;id=urn:contentItem:45V7-7TV0-0038-X2PF-00000-00&amp;context=" TargetMode="External" /><Relationship Id="rId29" Type="http://schemas.openxmlformats.org/officeDocument/2006/relationships/hyperlink" Target="https://advance.lexis.com/api/document?collection=cases&amp;id=urn:contentItem:54N3-PHV1-F04K-V1B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GGY-CYN1-F04C-T51B-00000-00&amp;context=" TargetMode="External" /><Relationship Id="rId31" Type="http://schemas.openxmlformats.org/officeDocument/2006/relationships/hyperlink" Target="https://advance.lexis.com/api/document?collection=cases&amp;id=urn:contentItem:5FW7-79R1-F04C-T0XT-00000-00&amp;context=" TargetMode="Externa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JS-RJ41-J9X6-H0N8-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MK-0P51-F04C-T38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Millennium Lab Holdings II,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71542947</vt:lpwstr>
  </property>
  <property fmtid="{D5CDD505-2E9C-101B-9397-08002B2CF9AE}" pid="3" name="LADocCount">
    <vt:lpwstr>1</vt:lpwstr>
  </property>
  <property fmtid="{D5CDD505-2E9C-101B-9397-08002B2CF9AE}" pid="4" name="UserPermID">
    <vt:lpwstr>urn:user:PA185916758</vt:lpwstr>
  </property>
</Properties>
</file>