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7:21 PM Z</w:t>
      </w:r>
    </w:p>
    <w:p>
      <w:pPr>
        <w:pStyle w:val="Heading1"/>
        <w:keepNext w:val="0"/>
        <w:widowControl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Curtin Mar. Corp. v. Santa Catalina Island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23, 2017, Decided; June 23,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CV 16-03290 TJH (AGRx)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220048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CURTIN MARITIME CORPORATION, Plaintiff, v. SANTA CATALINA ISLAND COMPANY,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alleges, lease,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inter alia, motion to dismiss, freight, companies, anti-competitive, Island, fails, ripeness, shipping, freight service,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state action, capabilities,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entities, terms, sham, relevant market, proposals, monopoly, requires, asserts, amend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Curtin Maritime Corp., a California corporation, Plaintiff: Chelsea N Trotter, LEAD ATTORNEY, Atkinson Andelson Loya Rudd and Romo APLC, Irvine, CA USA; Dorn G Bishop, Tara Burd, William A Markham, LEAD ATTORNEYS, Law Offices of William Markham PC, San Diego, CA USA; Marley Norita Schroepfer, Curtin Maritime Corp, Long Beach, CA USA; Maxwell M Blecher, Taylor Chase-Wagniere, Blecher Collins Pepperman and Joye PC,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Santa Catalina Island Company, a Delaware corporation, Defendant: Abiel Garcia, LEAD ATTORNEY, Christopher D Dusseault, Gibson Dunn and Crutcher LLP, Los Angeles, CA USA; Joshua C Stokes, LEAD ATTORNEY, Carol M Silberberg, Berry Silberberg and Stokes LLC, Pasadena,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Avalon Freight Services, Llc, a Delaware corporation, Defendant: Ashley Elizabeth Impellitteri, Samuel A Keesal, LEAD ATTORNEYS, Keesal Young and Logan, Long Beach, CA USA; Albert E Peacock, III, Keesal Young &amp; Logan, Long Beach, CA USA.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Terry J. Hatter, Jr., Senior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Terry J. Hatter, Jr.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[30, 31]</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The Court has considered Santa Catalina Island Company's ["SCICo"] motion to dismiss or, in the alternative, to strike the First Amended Complaint ["FAC"];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Avalon Freight Services, LLC's ["AFS"] motion to dismiss the FAC; and SCICo and AFS's joinder in each other's motions, together with the moving and opposing papers.</w:t>
      </w:r>
    </w:p>
    <w:p>
      <w:pPr>
        <w:keepNext w:val="0"/>
        <w:widowControl w:val="0"/>
        <w:spacing w:before="200" w:after="0" w:line="260" w:lineRule="atLeast"/>
        <w:ind w:left="0" w:right="0" w:firstLine="0"/>
        <w:jc w:val="both"/>
      </w:pPr>
      <w:bookmarkStart w:id="9" w:name="Bookmark_para_3"/>
      <w:bookmarkEnd w:id="9"/>
      <w:bookmarkStart w:id="10" w:name="Bookmark_I5S8NDKW2N1PMX0020000400"/>
      <w:bookmarkEnd w:id="10"/>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relates to a ten-year exclusive lease to use the only port to which freight can be shipped on Santa Catalina Island — referred to as the "Pebbly Beach facility" — granted by SCICo, the owner of the Pebbly Beach facility, to AFS, a freight shipping company. </w:t>
      </w:r>
      <w:bookmarkStart w:id="11" w:name="Bookmark_I5S8NDKW2N1PMX0040000400"/>
      <w:bookmarkEnd w:id="11"/>
      <w:r>
        <w:rPr>
          <w:rFonts w:ascii="arial" w:eastAsia="arial" w:hAnsi="arial" w:cs="arial"/>
          <w:b w:val="0"/>
          <w:i w:val="0"/>
          <w:strike w:val="0"/>
          <w:noProof w:val="0"/>
          <w:color w:val="000000"/>
          <w:position w:val="0"/>
          <w:sz w:val="20"/>
          <w:u w:val="none"/>
          <w:vertAlign w:val="baseline"/>
        </w:rPr>
        <w:t xml:space="preserve">Plaintiff Curtain Maritime Corporation ["Curtin"] alleges that the lease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 manner in which AFS won the lease, and the terms of the lease, were unlawfully anti-competitive. On February 17, 2017, the Court dismissed the Complaint [the "February 17, 2017, Order"] without prejudice because it failed to sufficiently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bookmarkStart w:id="12" w:name="Bookmark_I5S8NDKW2N1PMX0010000400"/>
      <w:bookmarkEnd w:id="12"/>
      <w:hyperlink r:id="rId8" w:history="1">
        <w:r>
          <w:rPr>
            <w:rFonts w:ascii="arial" w:eastAsia="arial" w:hAnsi="arial" w:cs="arial"/>
            <w:b w:val="0"/>
            <w:i/>
            <w:strike w:val="0"/>
            <w:noProof w:val="0"/>
            <w:color w:val="0077CC"/>
            <w:position w:val="0"/>
            <w:sz w:val="20"/>
            <w:u w:val="single"/>
            <w:vertAlign w:val="baseline"/>
          </w:rPr>
          <w:t>Lucas Auto. Eng'g, Inc. v. Bridgestone/Firestone, Inc.</w:t>
        </w:r>
      </w:hyperlink>
      <w:hyperlink r:id="rId8" w:history="1">
        <w:r>
          <w:rPr>
            <w:rFonts w:ascii="arial" w:eastAsia="arial" w:hAnsi="arial" w:cs="arial"/>
            <w:b w:val="0"/>
            <w:i/>
            <w:strike w:val="0"/>
            <w:noProof w:val="0"/>
            <w:color w:val="0077CC"/>
            <w:position w:val="0"/>
            <w:sz w:val="20"/>
            <w:u w:val="single"/>
            <w:vertAlign w:val="baseline"/>
          </w:rPr>
          <w:t>, 140 F.3d 1228, 1232 (9th Cir. 1998)</w:t>
        </w:r>
      </w:hyperlink>
      <w:r>
        <w:rPr>
          <w:rFonts w:ascii="arial" w:eastAsia="arial" w:hAnsi="arial" w:cs="arial"/>
          <w:b w:val="0"/>
          <w:i w:val="0"/>
          <w:strike w:val="0"/>
          <w:noProof w:val="0"/>
          <w:color w:val="000000"/>
          <w:position w:val="0"/>
          <w:sz w:val="20"/>
          <w:u w:val="none"/>
          <w:vertAlign w:val="baseline"/>
        </w:rPr>
        <w:t xml:space="preserve">. </w:t>
      </w:r>
      <w:bookmarkStart w:id="13" w:name="Bookmark_I5S8NDKW2N1PMX0040000400_2"/>
      <w:bookmarkEnd w:id="13"/>
      <w:r>
        <w:rPr>
          <w:rFonts w:ascii="arial" w:eastAsia="arial" w:hAnsi="arial" w:cs="arial"/>
          <w:b w:val="0"/>
          <w:i w:val="0"/>
          <w:strike w:val="0"/>
          <w:noProof w:val="0"/>
          <w:color w:val="000000"/>
          <w:position w:val="0"/>
          <w:sz w:val="20"/>
          <w:u w:val="none"/>
          <w:vertAlign w:val="baseline"/>
        </w:rPr>
        <w:t xml:space="preserve">Further, the Court held that the original Complaint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based on an allegedly anti-competitive agreement between AFS and SCICo, under </w:t>
      </w:r>
      <w:bookmarkStart w:id="14" w:name="Bookmark_I5S8NDKW2N1PMX0030000400"/>
      <w:bookmarkEnd w:id="14"/>
      <w:hyperlink r:id="rId9" w:history="1">
        <w:r>
          <w:rPr>
            <w:rFonts w:ascii="arial" w:eastAsia="arial" w:hAnsi="arial" w:cs="arial"/>
            <w:b w:val="0"/>
            <w:i/>
            <w:strike w:val="0"/>
            <w:noProof w:val="0"/>
            <w:color w:val="0077CC"/>
            <w:position w:val="0"/>
            <w:sz w:val="20"/>
            <w:u w:val="single"/>
            <w:vertAlign w:val="baseline"/>
          </w:rPr>
          <w:t>Glen Holly Entm't, Inc. v. Tektronix, Inc.</w:t>
        </w:r>
      </w:hyperlink>
      <w:hyperlink r:id="rId9" w:history="1">
        <w:r>
          <w:rPr>
            <w:rFonts w:ascii="arial" w:eastAsia="arial" w:hAnsi="arial" w:cs="arial"/>
            <w:b w:val="0"/>
            <w:i/>
            <w:strike w:val="0"/>
            <w:noProof w:val="0"/>
            <w:color w:val="0077CC"/>
            <w:position w:val="0"/>
            <w:sz w:val="20"/>
            <w:u w:val="single"/>
            <w:vertAlign w:val="baseline"/>
          </w:rPr>
          <w:t>, 343 F.3d 1000 (9th Cir. 2003)</w:t>
        </w:r>
      </w:hyperlink>
      <w:r>
        <w:rPr>
          <w:rFonts w:ascii="arial" w:eastAsia="arial" w:hAnsi="arial" w:cs="arial"/>
          <w:b w:val="0"/>
          <w:i w:val="0"/>
          <w:strike w:val="0"/>
          <w:noProof w:val="0"/>
          <w:color w:val="000000"/>
          <w:position w:val="0"/>
          <w:sz w:val="20"/>
          <w:u w:val="none"/>
          <w:vertAlign w:val="baseline"/>
        </w:rPr>
        <w:t xml:space="preserve"> because the Complaint merely alleged that AFS and SCICo "started discussions" — as opposed to, for example, entering into an actual unlawful agreement — before SCICo requested proposals from potential freight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shipping companies.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Allegations in the FAC</w:t>
      </w:r>
    </w:p>
    <w:p>
      <w:pPr>
        <w:keepNext w:val="0"/>
        <w:widowControl w:val="0"/>
        <w:spacing w:before="240" w:after="0" w:line="260" w:lineRule="atLeast"/>
        <w:ind w:left="0" w:right="0" w:firstLine="0"/>
        <w:jc w:val="both"/>
      </w:pPr>
      <w:bookmarkStart w:id="15" w:name="Bookmark_para_4"/>
      <w:bookmarkEnd w:id="15"/>
      <w:bookmarkStart w:id="16" w:name="Bookmark_I5S8NDKW2D6NSJ0010000400"/>
      <w:bookmarkEnd w:id="16"/>
      <w:r>
        <w:rPr>
          <w:rFonts w:ascii="arial" w:eastAsia="arial" w:hAnsi="arial" w:cs="arial"/>
          <w:b w:val="0"/>
          <w:i w:val="0"/>
          <w:strike w:val="0"/>
          <w:noProof w:val="0"/>
          <w:color w:val="000000"/>
          <w:position w:val="0"/>
          <w:sz w:val="20"/>
          <w:u w:val="none"/>
          <w:vertAlign w:val="baseline"/>
        </w:rPr>
        <w:t xml:space="preserve">When ruling on a motion to dismiss, the Court accepts as true the factual allegations in the operative complaint. </w:t>
      </w:r>
      <w:r>
        <w:rPr>
          <w:rFonts w:ascii="arial" w:eastAsia="arial" w:hAnsi="arial" w:cs="arial"/>
          <w:b w:val="0"/>
          <w:i/>
          <w:strike w:val="0"/>
          <w:noProof w:val="0"/>
          <w:color w:val="000000"/>
          <w:position w:val="0"/>
          <w:sz w:val="20"/>
          <w:u w:val="none"/>
          <w:vertAlign w:val="baseline"/>
        </w:rPr>
        <w:t xml:space="preserve">See </w:t>
      </w:r>
      <w:bookmarkStart w:id="17" w:name="Bookmark_I5S8NDKW2N1PMX0050000400"/>
      <w:bookmarkEnd w:id="17"/>
      <w:hyperlink r:id="rId10" w:history="1">
        <w:r>
          <w:rPr>
            <w:rFonts w:ascii="arial" w:eastAsia="arial" w:hAnsi="arial" w:cs="arial"/>
            <w:b w:val="0"/>
            <w:i/>
            <w:strike w:val="0"/>
            <w:noProof w:val="0"/>
            <w:color w:val="0077CC"/>
            <w:position w:val="0"/>
            <w:sz w:val="20"/>
            <w:u w:val="single"/>
            <w:vertAlign w:val="baseline"/>
          </w:rPr>
          <w:t>Hemi Grp., LLC v. City of N.Y., N.Y.</w:t>
        </w:r>
      </w:hyperlink>
      <w:hyperlink r:id="rId10" w:history="1">
        <w:r>
          <w:rPr>
            <w:rFonts w:ascii="arial" w:eastAsia="arial" w:hAnsi="arial" w:cs="arial"/>
            <w:b w:val="0"/>
            <w:i/>
            <w:strike w:val="0"/>
            <w:noProof w:val="0"/>
            <w:color w:val="0077CC"/>
            <w:position w:val="0"/>
            <w:sz w:val="20"/>
            <w:u w:val="single"/>
            <w:vertAlign w:val="baseline"/>
          </w:rPr>
          <w:t>, 559 U.S. 1, 5, 130 S. Ct. 983, 175 L. Ed. 2d 943 (2010)</w:t>
        </w:r>
      </w:hyperlink>
      <w:r>
        <w:rPr>
          <w:rFonts w:ascii="arial" w:eastAsia="arial" w:hAnsi="arial" w:cs="arial"/>
          <w:b w:val="0"/>
          <w:i w:val="0"/>
          <w:strike w:val="0"/>
          <w:noProof w:val="0"/>
          <w:color w:val="000000"/>
          <w:position w:val="0"/>
          <w:sz w:val="20"/>
          <w:u w:val="none"/>
          <w:vertAlign w:val="baseline"/>
        </w:rPr>
        <w:t>. Thus, for the purposes of this Order, the Court accepts the following facts alleged in the FAC as true.</w:t>
      </w:r>
    </w:p>
    <w:p>
      <w:pPr>
        <w:keepNext w:val="0"/>
        <w:widowControl w:val="0"/>
        <w:spacing w:before="200" w:after="0" w:line="260" w:lineRule="atLeast"/>
        <w:ind w:left="0" w:right="0" w:firstLine="0"/>
        <w:jc w:val="both"/>
      </w:pPr>
      <w:bookmarkStart w:id="18" w:name="Bookmark_para_5"/>
      <w:bookmarkEnd w:id="18"/>
      <w:r>
        <w:rPr>
          <w:rFonts w:ascii="arial" w:eastAsia="arial" w:hAnsi="arial" w:cs="arial"/>
          <w:b w:val="0"/>
          <w:i w:val="0"/>
          <w:strike w:val="0"/>
          <w:noProof w:val="0"/>
          <w:color w:val="000000"/>
          <w:position w:val="0"/>
          <w:sz w:val="20"/>
          <w:u w:val="none"/>
          <w:vertAlign w:val="baseline"/>
        </w:rPr>
        <w:t>For decades prior to March, 2016, Catalina Freight Line ["CFL"] held an exclusive lease to the Pebbly Beach facility. In 2012, SCICo issued a Request for Proposals ["RFP"] to select the next company to lease Pebbly Beach upon the expiration of CFL's lease. The FAC alleges that the submitted proposals were to be evaluated in light of each competing company's "(1) management, organization and personnel; (2) equipment capabilities; (3) operational capabilities; and (4) maintenance capabilities."</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 xml:space="preserve">Of the eight proposals submitted, AFS, CFL, and Curtin were selected as the finalists. In January, 2014, SCICo announced AFS as the winner. As a result, SCICo entered into an exclusive lease agreement with AFS, under which,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AFS obtained exclusive access to the Pebbly Beach facility for ten years [the "Exclusive Lease"]. The Exclusive Lease contained a revenue sharing provision which provided that AFS "shall pay separate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additional rent . . . calculated as a percentage of gross revenues attributable to" AFS's freight services to Catalina Island [the "Revenue Sharing Provision"].</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This "win" was a sham. The outcome was rigged by virtue of a pre-existing agreement between SCICo and AFS. In reality, in 2012 — prior to SCICo's issuance of the RFP — Gregory Bombard, the co-owner and co-manager of AFS, made an agreement with SCICo that AFS would win the RFP and, in exchange, AFS agreed to share its revenue from the freight hauling business with SCICo [the "Pre-RFP Agreement"]. Moreover, SCICo and AFS are otherwise linked through a web of common and interrelated business interests. Together, AFS and SCICo, allegedly, have exclusive control of passenger service and shipping to Catalina Island and control of all access points and utility facilities on the island. Thus, the whole RFP process was merely a ruse to give SCICo's award of the exclusive lease an aura of legitimacy.</w:t>
      </w:r>
    </w:p>
    <w:p>
      <w:pPr>
        <w:keepNext w:val="0"/>
        <w:widowControl w:val="0"/>
        <w:spacing w:before="200" w:after="0" w:line="260" w:lineRule="atLeast"/>
        <w:ind w:left="0" w:right="0" w:firstLine="0"/>
        <w:jc w:val="both"/>
      </w:pPr>
      <w:bookmarkStart w:id="21" w:name="Bookmark_para_8"/>
      <w:bookmarkEnd w:id="21"/>
      <w:r>
        <w:rPr>
          <w:rFonts w:ascii="arial" w:eastAsia="arial" w:hAnsi="arial" w:cs="arial"/>
          <w:b w:val="0"/>
          <w:i w:val="0"/>
          <w:strike w:val="0"/>
          <w:noProof w:val="0"/>
          <w:color w:val="000000"/>
          <w:position w:val="0"/>
          <w:sz w:val="20"/>
          <w:u w:val="none"/>
          <w:vertAlign w:val="baseline"/>
        </w:rPr>
        <w:t xml:space="preserve">The relevant market in this action is the shipment of freight by sea between Avalon, Santa Catalina Island, and the Southern California mainland ["Relevant Market"]. One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for operating a freight operation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Pebbly Beach is the receipt of a Certificate of Public Convenience and Necessity ["CPCN"] from the California Public Utilities Commission ["CPUC"]. The CPUC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maximum rate charged for freight operations to Catalina Island. The CPUC, however,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terms of use of the Pebbly Beach Facility used for freight shipping.</w:t>
      </w:r>
    </w:p>
    <w:p>
      <w:pPr>
        <w:keepNext w:val="0"/>
        <w:widowControl w:val="0"/>
        <w:spacing w:before="200" w:after="0" w:line="260" w:lineRule="atLeast"/>
        <w:ind w:left="0" w:right="0" w:firstLine="0"/>
        <w:jc w:val="both"/>
      </w:pPr>
      <w:bookmarkStart w:id="22" w:name="Bookmark_para_9"/>
      <w:bookmarkEnd w:id="22"/>
      <w:r>
        <w:rPr>
          <w:rFonts w:ascii="arial" w:eastAsia="arial" w:hAnsi="arial" w:cs="arial"/>
          <w:b w:val="0"/>
          <w:i w:val="0"/>
          <w:strike w:val="0"/>
          <w:noProof w:val="0"/>
          <w:color w:val="000000"/>
          <w:position w:val="0"/>
          <w:sz w:val="20"/>
          <w:u w:val="none"/>
          <w:vertAlign w:val="baseline"/>
        </w:rPr>
        <w:t xml:space="preserve">In October, 2014, AFS applied for a CPCN, and Curtin filed protests of the application with the CPUC. On February 25, 2016, the CPUC — rejecting a proposed decision by an administrative law judge,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denying AFS's application — granted AFS's application for a CPCN [the "February 25, 2016, Decision"]. In the February 25, 2016, Decision the CPUC noted that it lacked the authority to "review . . . a private owner's dock and/or warehouse facilities." Further, the February 25, 2016, Decision noted that "SCICo [was] . . . an applicant before this Commission" and "it is not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this Commission." The February 25, 2016, Decision observed that compelling SCICo to allow access to the Pebbly Beach Facility was "beyond the scope of [the CPUC's] . . . authority in [its] . .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vessel service." On April 28, 2017,</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CPUC granted Curtin's application for rehearing of the February 25, 2016, Decision [the "April 28, 2017, Decision"].</w:t>
      </w:r>
    </w:p>
    <w:p>
      <w:pPr>
        <w:keepNext w:val="0"/>
        <w:widowControl w:val="0"/>
        <w:spacing w:before="24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 xml:space="preserve">Thus, the FAC asserts three claims, ultimately, based on two broad categories of conduct. First, the FAC asserts all three claims based on the Exclusive Lease. Second, the FAC asserts two claims — the second and third claims — based on anticompetitive conduct outside of the plain terms of the Exclusive Lease, including the Pre-RFP Agreement and the rigging of the RFP process. The claims are: (1) Monopolization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(2) Unlawful exclusive dealing arrangements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(3) Unlawful and unfair practices in violation of </w:t>
      </w:r>
      <w:hyperlink r:id="rId11" w:history="1">
        <w:r>
          <w:rPr>
            <w:rFonts w:ascii="arial" w:eastAsia="arial" w:hAnsi="arial" w:cs="arial"/>
            <w:b w:val="0"/>
            <w:i/>
            <w:strike w:val="0"/>
            <w:noProof w:val="0"/>
            <w:color w:val="0077CC"/>
            <w:position w:val="0"/>
            <w:sz w:val="20"/>
            <w:u w:val="single"/>
            <w:vertAlign w:val="baseline"/>
          </w:rPr>
          <w:t xml:space="preserve">Cal. Bus. Prof. Code § 17200,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 xml:space="preserve">AFS moves to dismiss or, in the alternative, stay the FAC for lack of ripeness. AFS, also, moves to dismiss the FAC under the state action doctrine, the primary jurisdiction doctrine, and for Curtin's alleged failure to exhaust administrative remedies. SCICo moves to dismiss the FAC for failure to sufficiently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failure to sufficiently plead the three claims. In the alternative, SCICo moves to strike the FAC to the extent that Curtin was required to seek leave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amend prior to filing the FAC.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Motion to Dismiss for Lack of Ripeness</w:t>
      </w:r>
    </w:p>
    <w:p>
      <w:pPr>
        <w:keepNext w:val="0"/>
        <w:widowControl w:val="0"/>
        <w:spacing w:before="240" w:after="0" w:line="260" w:lineRule="atLeast"/>
        <w:ind w:left="0" w:right="0" w:firstLine="0"/>
        <w:jc w:val="both"/>
      </w:pPr>
      <w:bookmarkStart w:id="25" w:name="Bookmark_para_12"/>
      <w:bookmarkEnd w:id="25"/>
      <w:bookmarkStart w:id="26" w:name="Bookmark_I5S8NDKW2D6NSJ0030000400"/>
      <w:bookmarkEnd w:id="26"/>
      <w:bookmarkStart w:id="27" w:name="Bookmark_I5S8NDKW2D6NSJ0050000400"/>
      <w:bookmarkEnd w:id="27"/>
      <w:r>
        <w:rPr>
          <w:rFonts w:ascii="arial" w:eastAsia="arial" w:hAnsi="arial" w:cs="arial"/>
          <w:b w:val="0"/>
          <w:i w:val="0"/>
          <w:strike w:val="0"/>
          <w:noProof w:val="0"/>
          <w:color w:val="000000"/>
          <w:position w:val="0"/>
          <w:sz w:val="20"/>
          <w:u w:val="none"/>
          <w:vertAlign w:val="baseline"/>
        </w:rPr>
        <w:t xml:space="preserve">"Because standing and ripeness pertain to federal courts' subject matter jurisdiction, they are properly raised in a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to dismiss." </w:t>
      </w:r>
      <w:bookmarkStart w:id="28" w:name="Bookmark_I5S8NDKW2D6NSJ0020000400"/>
      <w:bookmarkEnd w:id="28"/>
      <w:hyperlink r:id="rId13" w:history="1">
        <w:r>
          <w:rPr>
            <w:rFonts w:ascii="arial" w:eastAsia="arial" w:hAnsi="arial" w:cs="arial"/>
            <w:b w:val="0"/>
            <w:i/>
            <w:strike w:val="0"/>
            <w:noProof w:val="0"/>
            <w:color w:val="0077CC"/>
            <w:position w:val="0"/>
            <w:sz w:val="20"/>
            <w:u w:val="single"/>
            <w:vertAlign w:val="baseline"/>
          </w:rPr>
          <w:t>Chandler v. State Farm Mut. Auto. Ins. Co.</w:t>
        </w:r>
      </w:hyperlink>
      <w:hyperlink r:id="rId13" w:history="1">
        <w:r>
          <w:rPr>
            <w:rFonts w:ascii="arial" w:eastAsia="arial" w:hAnsi="arial" w:cs="arial"/>
            <w:b w:val="0"/>
            <w:i/>
            <w:strike w:val="0"/>
            <w:noProof w:val="0"/>
            <w:color w:val="0077CC"/>
            <w:position w:val="0"/>
            <w:sz w:val="20"/>
            <w:u w:val="single"/>
            <w:vertAlign w:val="baseline"/>
          </w:rPr>
          <w:t>, 598 F.3d 1115, 1122 (9th Cir. 2010)</w:t>
        </w:r>
      </w:hyperlink>
      <w:r>
        <w:rPr>
          <w:rFonts w:ascii="arial" w:eastAsia="arial" w:hAnsi="arial" w:cs="arial"/>
          <w:b w:val="0"/>
          <w:i w:val="0"/>
          <w:strike w:val="0"/>
          <w:noProof w:val="0"/>
          <w:color w:val="000000"/>
          <w:position w:val="0"/>
          <w:sz w:val="20"/>
          <w:u w:val="none"/>
          <w:vertAlign w:val="baseline"/>
        </w:rPr>
        <w:t xml:space="preserve">. </w:t>
      </w:r>
      <w:bookmarkStart w:id="29" w:name="Bookmark_I5S8NDKW2HM6GG0020000400"/>
      <w:bookmarkEnd w:id="29"/>
      <w:r>
        <w:rPr>
          <w:rFonts w:ascii="arial" w:eastAsia="arial" w:hAnsi="arial" w:cs="arial"/>
          <w:b w:val="0"/>
          <w:i w:val="0"/>
          <w:strike w:val="0"/>
          <w:noProof w:val="0"/>
          <w:color w:val="000000"/>
          <w:position w:val="0"/>
          <w:sz w:val="20"/>
          <w:u w:val="none"/>
          <w:vertAlign w:val="baseline"/>
        </w:rPr>
        <w:t xml:space="preserve">Ripeness "contains both a constitutional and a prudential component." </w:t>
      </w:r>
      <w:bookmarkStart w:id="30" w:name="Bookmark_I5S8NDKW2D6NSJ0040000400"/>
      <w:bookmarkEnd w:id="30"/>
      <w:hyperlink r:id="rId14" w:history="1">
        <w:r>
          <w:rPr>
            <w:rFonts w:ascii="arial" w:eastAsia="arial" w:hAnsi="arial" w:cs="arial"/>
            <w:b w:val="0"/>
            <w:i/>
            <w:strike w:val="0"/>
            <w:noProof w:val="0"/>
            <w:color w:val="0077CC"/>
            <w:position w:val="0"/>
            <w:sz w:val="20"/>
            <w:u w:val="single"/>
            <w:vertAlign w:val="baseline"/>
          </w:rPr>
          <w:t>Coons v. Lew</w:t>
        </w:r>
      </w:hyperlink>
      <w:hyperlink r:id="rId14" w:history="1">
        <w:r>
          <w:rPr>
            <w:rFonts w:ascii="arial" w:eastAsia="arial" w:hAnsi="arial" w:cs="arial"/>
            <w:b w:val="0"/>
            <w:i/>
            <w:strike w:val="0"/>
            <w:noProof w:val="0"/>
            <w:color w:val="0077CC"/>
            <w:position w:val="0"/>
            <w:sz w:val="20"/>
            <w:u w:val="single"/>
            <w:vertAlign w:val="baseline"/>
          </w:rPr>
          <w:t>, 762 F.3d 891, 897 (9th Cir. 2014)</w:t>
        </w:r>
      </w:hyperlink>
      <w:r>
        <w:rPr>
          <w:rFonts w:ascii="arial" w:eastAsia="arial" w:hAnsi="arial" w:cs="arial"/>
          <w:b w:val="0"/>
          <w:i w:val="0"/>
          <w:strike w:val="0"/>
          <w:noProof w:val="0"/>
          <w:color w:val="000000"/>
          <w:position w:val="0"/>
          <w:sz w:val="20"/>
          <w:u w:val="none"/>
          <w:vertAlign w:val="baseline"/>
        </w:rPr>
        <w:t xml:space="preserve"> (quotations omitted). </w:t>
      </w:r>
      <w:bookmarkStart w:id="31" w:name="Bookmark_I5S8NDKW2HM6GG0040000400"/>
      <w:bookmarkEnd w:id="31"/>
      <w:r>
        <w:rPr>
          <w:rFonts w:ascii="arial" w:eastAsia="arial" w:hAnsi="arial" w:cs="arial"/>
          <w:b w:val="0"/>
          <w:i w:val="0"/>
          <w:strike w:val="0"/>
          <w:noProof w:val="0"/>
          <w:color w:val="000000"/>
          <w:position w:val="0"/>
          <w:sz w:val="20"/>
          <w:u w:val="none"/>
          <w:vertAlign w:val="baseline"/>
        </w:rPr>
        <w:t xml:space="preserve">When a complaint alleges potential future harms, the analysis of ripeness' constitutional component is the same as an analysis of Article III standing. </w:t>
      </w:r>
      <w:bookmarkStart w:id="32" w:name="Bookmark_I5S8NDKW2HM6GG0040000400_2"/>
      <w:bookmarkEnd w:id="32"/>
      <w:bookmarkStart w:id="33" w:name="Bookmark_I5S8NDKW2HM6GG0020000400_2"/>
      <w:bookmarkEnd w:id="33"/>
      <w:bookmarkStart w:id="34" w:name="Bookmark_I5S8NDKW2D6NSK0010000400"/>
      <w:bookmarkEnd w:id="34"/>
      <w:r>
        <w:rPr>
          <w:rFonts w:ascii="arial" w:eastAsia="arial" w:hAnsi="arial" w:cs="arial"/>
          <w:b w:val="0"/>
          <w:i/>
          <w:strike w:val="0"/>
          <w:noProof w:val="0"/>
          <w:color w:val="000000"/>
          <w:position w:val="0"/>
          <w:sz w:val="20"/>
          <w:u w:val="none"/>
          <w:vertAlign w:val="baseline"/>
        </w:rPr>
        <w:t xml:space="preserve">See </w:t>
      </w:r>
      <w:bookmarkStart w:id="35" w:name="Bookmark_I5S8NDKW2HM6GG0010000400"/>
      <w:bookmarkEnd w:id="35"/>
      <w:hyperlink r:id="rId14" w:history="1">
        <w:r>
          <w:rPr>
            <w:rFonts w:ascii="arial" w:eastAsia="arial" w:hAnsi="arial" w:cs="arial"/>
            <w:b w:val="0"/>
            <w:i/>
            <w:strike w:val="0"/>
            <w:noProof w:val="0"/>
            <w:color w:val="0077CC"/>
            <w:position w:val="0"/>
            <w:sz w:val="20"/>
            <w:u w:val="single"/>
            <w:vertAlign w:val="baseline"/>
          </w:rPr>
          <w:t>Coons</w:t>
        </w:r>
      </w:hyperlink>
      <w:hyperlink r:id="rId14" w:history="1">
        <w:r>
          <w:rPr>
            <w:rFonts w:ascii="arial" w:eastAsia="arial" w:hAnsi="arial" w:cs="arial"/>
            <w:b w:val="0"/>
            <w:i/>
            <w:strike w:val="0"/>
            <w:noProof w:val="0"/>
            <w:color w:val="0077CC"/>
            <w:position w:val="0"/>
            <w:sz w:val="20"/>
            <w:u w:val="single"/>
            <w:vertAlign w:val="baseline"/>
          </w:rPr>
          <w:t>, 762 F.3d at 897</w:t>
        </w:r>
      </w:hyperlink>
      <w:r>
        <w:rPr>
          <w:rFonts w:ascii="arial" w:eastAsia="arial" w:hAnsi="arial" w:cs="arial"/>
          <w:b w:val="0"/>
          <w:i w:val="0"/>
          <w:strike w:val="0"/>
          <w:noProof w:val="0"/>
          <w:color w:val="000000"/>
          <w:position w:val="0"/>
          <w:sz w:val="20"/>
          <w:u w:val="none"/>
          <w:vertAlign w:val="baseline"/>
        </w:rPr>
        <w:t xml:space="preserve">. </w:t>
      </w:r>
      <w:bookmarkStart w:id="36" w:name="Bookmark_I5S8NDKW2D6NSK0010000400_2"/>
      <w:bookmarkEnd w:id="36"/>
      <w:r>
        <w:rPr>
          <w:rFonts w:ascii="arial" w:eastAsia="arial" w:hAnsi="arial" w:cs="arial"/>
          <w:b w:val="0"/>
          <w:i w:val="0"/>
          <w:strike w:val="0"/>
          <w:noProof w:val="0"/>
          <w:color w:val="000000"/>
          <w:position w:val="0"/>
          <w:sz w:val="20"/>
          <w:u w:val="none"/>
          <w:vertAlign w:val="baseline"/>
        </w:rPr>
        <w:t xml:space="preserve">Thus, the alleged "injury must be concrete, particularized, and actual or imminent; fairly traceable to the challenged action; and redressable by a favorable ruling." </w:t>
      </w:r>
      <w:r>
        <w:rPr>
          <w:rFonts w:ascii="arial" w:eastAsia="arial" w:hAnsi="arial" w:cs="arial"/>
          <w:b w:val="0"/>
          <w:i/>
          <w:strike w:val="0"/>
          <w:noProof w:val="0"/>
          <w:color w:val="000000"/>
          <w:position w:val="0"/>
          <w:sz w:val="20"/>
          <w:u w:val="none"/>
          <w:vertAlign w:val="baseline"/>
        </w:rPr>
        <w:t xml:space="preserve">See </w:t>
      </w:r>
      <w:bookmarkStart w:id="37" w:name="Bookmark_I5S8NDKW2HM6GG0030000400"/>
      <w:bookmarkEnd w:id="37"/>
      <w:hyperlink r:id="rId14" w:history="1">
        <w:r>
          <w:rPr>
            <w:rFonts w:ascii="arial" w:eastAsia="arial" w:hAnsi="arial" w:cs="arial"/>
            <w:b w:val="0"/>
            <w:i/>
            <w:strike w:val="0"/>
            <w:noProof w:val="0"/>
            <w:color w:val="0077CC"/>
            <w:position w:val="0"/>
            <w:sz w:val="20"/>
            <w:u w:val="single"/>
            <w:vertAlign w:val="baseline"/>
          </w:rPr>
          <w:t>Coons</w:t>
        </w:r>
      </w:hyperlink>
      <w:hyperlink r:id="rId14" w:history="1">
        <w:r>
          <w:rPr>
            <w:rFonts w:ascii="arial" w:eastAsia="arial" w:hAnsi="arial" w:cs="arial"/>
            <w:b w:val="0"/>
            <w:i/>
            <w:strike w:val="0"/>
            <w:noProof w:val="0"/>
            <w:color w:val="0077CC"/>
            <w:position w:val="0"/>
            <w:sz w:val="20"/>
            <w:u w:val="single"/>
            <w:vertAlign w:val="baseline"/>
          </w:rPr>
          <w:t>, 762 F.3d at 897</w:t>
        </w:r>
      </w:hyperlink>
      <w:r>
        <w:rPr>
          <w:rFonts w:ascii="arial" w:eastAsia="arial" w:hAnsi="arial" w:cs="arial"/>
          <w:b w:val="0"/>
          <w:i w:val="0"/>
          <w:strike w:val="0"/>
          <w:noProof w:val="0"/>
          <w:color w:val="000000"/>
          <w:position w:val="0"/>
          <w:sz w:val="20"/>
          <w:u w:val="none"/>
          <w:vertAlign w:val="baseline"/>
        </w:rPr>
        <w:t xml:space="preserve">. </w:t>
      </w:r>
      <w:bookmarkStart w:id="38" w:name="Bookmark_I5S8NDKW2D6NSK0010000400_3"/>
      <w:bookmarkEnd w:id="38"/>
      <w:r>
        <w:rPr>
          <w:rFonts w:ascii="arial" w:eastAsia="arial" w:hAnsi="arial" w:cs="arial"/>
          <w:b w:val="0"/>
          <w:i w:val="0"/>
          <w:strike w:val="0"/>
          <w:noProof w:val="0"/>
          <w:color w:val="000000"/>
          <w:position w:val="0"/>
          <w:sz w:val="20"/>
          <w:u w:val="none"/>
          <w:vertAlign w:val="baseline"/>
        </w:rPr>
        <w:t xml:space="preserve">Further, "[i]n the context of administrative actions, the prudential aspect of the ripeness doctrine . . . requires the court to evaluate (1) the fitness of the issues for judicial decision; and (2) the hardship to the parties of withholding court consideration." </w:t>
      </w:r>
      <w:bookmarkStart w:id="39" w:name="Bookmark_I5S8NDKW2HM6GG0050000400"/>
      <w:bookmarkEnd w:id="39"/>
      <w:hyperlink r:id="rId15" w:history="1">
        <w:r>
          <w:rPr>
            <w:rFonts w:ascii="arial" w:eastAsia="arial" w:hAnsi="arial" w:cs="arial"/>
            <w:b w:val="0"/>
            <w:i/>
            <w:strike w:val="0"/>
            <w:noProof w:val="0"/>
            <w:color w:val="0077CC"/>
            <w:position w:val="0"/>
            <w:sz w:val="20"/>
            <w:u w:val="single"/>
            <w:vertAlign w:val="baseline"/>
          </w:rPr>
          <w:t>Principal Life Ins. Co. v. Robinson</w:t>
        </w:r>
      </w:hyperlink>
      <w:hyperlink r:id="rId15" w:history="1">
        <w:r>
          <w:rPr>
            <w:rFonts w:ascii="arial" w:eastAsia="arial" w:hAnsi="arial" w:cs="arial"/>
            <w:b w:val="0"/>
            <w:i/>
            <w:strike w:val="0"/>
            <w:noProof w:val="0"/>
            <w:color w:val="0077CC"/>
            <w:position w:val="0"/>
            <w:sz w:val="20"/>
            <w:u w:val="single"/>
            <w:vertAlign w:val="baseline"/>
          </w:rPr>
          <w:t>, 394 F.3d 665, 670 (9th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 w:name="Bookmark_para_13"/>
      <w:bookmarkEnd w:id="40"/>
      <w:r>
        <w:rPr>
          <w:rFonts w:ascii="arial" w:eastAsia="arial" w:hAnsi="arial" w:cs="arial"/>
          <w:b w:val="0"/>
          <w:i w:val="0"/>
          <w:strike w:val="0"/>
          <w:noProof w:val="0"/>
          <w:color w:val="000000"/>
          <w:position w:val="0"/>
          <w:sz w:val="20"/>
          <w:u w:val="none"/>
          <w:vertAlign w:val="baseline"/>
        </w:rPr>
        <w:t xml:space="preserve">Here, both constitutional and prudential aspects are satisfied. </w:t>
      </w:r>
      <w:bookmarkStart w:id="41" w:name="Bookmark_I5S8NDKW2D6NSK0030000400"/>
      <w:bookmarkEnd w:id="41"/>
      <w:r>
        <w:rPr>
          <w:rFonts w:ascii="arial" w:eastAsia="arial" w:hAnsi="arial" w:cs="arial"/>
          <w:b w:val="0"/>
          <w:i w:val="0"/>
          <w:strike w:val="0"/>
          <w:noProof w:val="0"/>
          <w:color w:val="000000"/>
          <w:position w:val="0"/>
          <w:sz w:val="20"/>
          <w:u w:val="none"/>
          <w:vertAlign w:val="baseline"/>
        </w:rPr>
        <w:t xml:space="preserve">SCICo awarded AFS the alleged exclusive lease to use Pebbly Beach in January, 2014. Curtin alleges,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this lease unlawfully shut it out of the Relevant Market, and resulted in,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damages relating to revenue Curtin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could realize by operating in the Relevant Market. This states a claim that is "concrete, particularized, and actual or imminent; fairly traceable to the challenged action; and redressable by a favorable ruling." </w:t>
      </w:r>
      <w:r>
        <w:rPr>
          <w:rFonts w:ascii="arial" w:eastAsia="arial" w:hAnsi="arial" w:cs="arial"/>
          <w:b w:val="0"/>
          <w:i/>
          <w:strike w:val="0"/>
          <w:noProof w:val="0"/>
          <w:color w:val="000000"/>
          <w:position w:val="0"/>
          <w:sz w:val="20"/>
          <w:u w:val="none"/>
          <w:vertAlign w:val="baseline"/>
        </w:rPr>
        <w:t xml:space="preserve">See </w:t>
      </w:r>
      <w:bookmarkStart w:id="42" w:name="Bookmark_I5S8NDKW2D6NSK0020000400"/>
      <w:bookmarkEnd w:id="42"/>
      <w:hyperlink r:id="rId14" w:history="1">
        <w:r>
          <w:rPr>
            <w:rFonts w:ascii="arial" w:eastAsia="arial" w:hAnsi="arial" w:cs="arial"/>
            <w:b w:val="0"/>
            <w:i/>
            <w:strike w:val="0"/>
            <w:noProof w:val="0"/>
            <w:color w:val="0077CC"/>
            <w:position w:val="0"/>
            <w:sz w:val="20"/>
            <w:u w:val="single"/>
            <w:vertAlign w:val="baseline"/>
          </w:rPr>
          <w:t>Coons</w:t>
        </w:r>
      </w:hyperlink>
      <w:hyperlink r:id="rId14" w:history="1">
        <w:r>
          <w:rPr>
            <w:rFonts w:ascii="arial" w:eastAsia="arial" w:hAnsi="arial" w:cs="arial"/>
            <w:b w:val="0"/>
            <w:i/>
            <w:strike w:val="0"/>
            <w:noProof w:val="0"/>
            <w:color w:val="0077CC"/>
            <w:position w:val="0"/>
            <w:sz w:val="20"/>
            <w:u w:val="single"/>
            <w:vertAlign w:val="baseline"/>
          </w:rPr>
          <w:t>, 762 F.3d at 897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4"/>
      <w:bookmarkEnd w:id="43"/>
      <w:r>
        <w:rPr>
          <w:rFonts w:ascii="arial" w:eastAsia="arial" w:hAnsi="arial" w:cs="arial"/>
          <w:b w:val="0"/>
          <w:i w:val="0"/>
          <w:strike w:val="0"/>
          <w:noProof w:val="0"/>
          <w:color w:val="000000"/>
          <w:position w:val="0"/>
          <w:sz w:val="20"/>
          <w:u w:val="none"/>
          <w:vertAlign w:val="baseline"/>
        </w:rPr>
        <w:t xml:space="preserve">Further, this Court, and not CPUC, has jurisdiction over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questions, as discussed below. </w:t>
      </w:r>
      <w:bookmarkStart w:id="44" w:name="Bookmark_I5S8NDKW2D6NSK0050000400"/>
      <w:bookmarkEnd w:id="44"/>
      <w:r>
        <w:rPr>
          <w:rFonts w:ascii="arial" w:eastAsia="arial" w:hAnsi="arial" w:cs="arial"/>
          <w:b w:val="0"/>
          <w:i w:val="0"/>
          <w:strike w:val="0"/>
          <w:noProof w:val="0"/>
          <w:color w:val="000000"/>
          <w:position w:val="0"/>
          <w:sz w:val="20"/>
          <w:u w:val="none"/>
          <w:vertAlign w:val="baseline"/>
        </w:rPr>
        <w:t xml:space="preserve">Moreover, as the CPUC itself noted in the February 25, 2016, Decision and the April 28, 2017, Decision, it lacks jurisdiction over the Pebbly Beach Facility. Thus, the prudential aspect is satisfied. </w:t>
      </w:r>
      <w:r>
        <w:rPr>
          <w:rFonts w:ascii="arial" w:eastAsia="arial" w:hAnsi="arial" w:cs="arial"/>
          <w:b w:val="0"/>
          <w:i/>
          <w:strike w:val="0"/>
          <w:noProof w:val="0"/>
          <w:color w:val="000000"/>
          <w:position w:val="0"/>
          <w:sz w:val="20"/>
          <w:u w:val="none"/>
          <w:vertAlign w:val="baseline"/>
        </w:rPr>
        <w:t xml:space="preserve">See </w:t>
      </w:r>
      <w:bookmarkStart w:id="45" w:name="Bookmark_I5S8NDKW2D6NSK0040000400"/>
      <w:bookmarkEnd w:id="45"/>
      <w:hyperlink r:id="rId15" w:history="1">
        <w:r>
          <w:rPr>
            <w:rFonts w:ascii="arial" w:eastAsia="arial" w:hAnsi="arial" w:cs="arial"/>
            <w:b w:val="0"/>
            <w:i/>
            <w:strike w:val="0"/>
            <w:noProof w:val="0"/>
            <w:color w:val="0077CC"/>
            <w:position w:val="0"/>
            <w:sz w:val="20"/>
            <w:u w:val="single"/>
            <w:vertAlign w:val="baseline"/>
          </w:rPr>
          <w:t>Robinson</w:t>
        </w:r>
      </w:hyperlink>
      <w:hyperlink r:id="rId15" w:history="1">
        <w:r>
          <w:rPr>
            <w:rFonts w:ascii="arial" w:eastAsia="arial" w:hAnsi="arial" w:cs="arial"/>
            <w:b w:val="0"/>
            <w:i/>
            <w:strike w:val="0"/>
            <w:noProof w:val="0"/>
            <w:color w:val="0077CC"/>
            <w:position w:val="0"/>
            <w:sz w:val="20"/>
            <w:u w:val="single"/>
            <w:vertAlign w:val="baseline"/>
          </w:rPr>
          <w:t>, 394 F.3d at 670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Motion to Dismiss Under </w:t>
      </w:r>
      <w:hyperlink r:id="rId12" w:history="1">
        <w:r>
          <w:rPr>
            <w:rFonts w:ascii="arial" w:eastAsia="arial" w:hAnsi="arial" w:cs="arial"/>
            <w:b/>
            <w:i/>
            <w:strike w:val="0"/>
            <w:noProof w:val="0"/>
            <w:color w:val="0077CC"/>
            <w:position w:val="0"/>
            <w:sz w:val="20"/>
            <w:u w:val="single"/>
            <w:vertAlign w:val="baseline"/>
          </w:rPr>
          <w:t>Fed. R. Civ. P. 12(b)(6)</w:t>
        </w:r>
      </w:hyperlink>
    </w:p>
    <w:p>
      <w:pPr>
        <w:keepNext w:val="0"/>
        <w:widowControl w:val="0"/>
        <w:spacing w:before="240" w:after="0" w:line="260" w:lineRule="atLeast"/>
        <w:ind w:left="0" w:right="0" w:firstLine="0"/>
        <w:jc w:val="both"/>
      </w:pPr>
      <w:bookmarkStart w:id="46" w:name="Bookmark_para_15"/>
      <w:bookmarkEnd w:id="46"/>
      <w:bookmarkStart w:id="47" w:name="Bookmark_I5S8NDKW28T4KH0020000400"/>
      <w:bookmarkEnd w:id="47"/>
      <w:bookmarkStart w:id="48" w:name="Bookmark_I5S8NDKW28T4KH0040000400"/>
      <w:bookmarkEnd w:id="48"/>
      <w:r>
        <w:rPr>
          <w:rFonts w:ascii="arial" w:eastAsia="arial" w:hAnsi="arial" w:cs="arial"/>
          <w:b w:val="0"/>
          <w:i w:val="0"/>
          <w:strike w:val="0"/>
          <w:noProof w:val="0"/>
          <w:color w:val="000000"/>
          <w:position w:val="0"/>
          <w:sz w:val="20"/>
          <w:u w:val="none"/>
          <w:vertAlign w:val="baseline"/>
        </w:rPr>
        <w:t xml:space="preserve">Dismissal under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is proper when a complaint exhibits either a "lack of a cognizable legal theory or the absence of sufficient facts alleged under a cognizable legal theory." </w:t>
      </w:r>
      <w:bookmarkStart w:id="49" w:name="Bookmark_I5S8NDKW28T4KH0010000400"/>
      <w:bookmarkEnd w:id="49"/>
      <w:hyperlink r:id="rId16" w:history="1">
        <w:r>
          <w:rPr>
            <w:rFonts w:ascii="arial" w:eastAsia="arial" w:hAnsi="arial" w:cs="arial"/>
            <w:b w:val="0"/>
            <w:i/>
            <w:strike w:val="0"/>
            <w:noProof w:val="0"/>
            <w:color w:val="0077CC"/>
            <w:position w:val="0"/>
            <w:sz w:val="20"/>
            <w:u w:val="single"/>
            <w:vertAlign w:val="baseline"/>
          </w:rPr>
          <w:t>Balistreri v. Pacifica Police Dept.</w:t>
        </w:r>
      </w:hyperlink>
      <w:hyperlink r:id="rId16" w:history="1">
        <w:r>
          <w:rPr>
            <w:rFonts w:ascii="arial" w:eastAsia="arial" w:hAnsi="arial" w:cs="arial"/>
            <w:b w:val="0"/>
            <w:i/>
            <w:strike w:val="0"/>
            <w:noProof w:val="0"/>
            <w:color w:val="0077CC"/>
            <w:position w:val="0"/>
            <w:sz w:val="20"/>
            <w:u w:val="single"/>
            <w:vertAlign w:val="baseline"/>
          </w:rPr>
          <w:t>, 901 F.2d 696, 699 (9th Cir. 1988)</w:t>
        </w:r>
      </w:hyperlink>
      <w:r>
        <w:rPr>
          <w:rFonts w:ascii="arial" w:eastAsia="arial" w:hAnsi="arial" w:cs="arial"/>
          <w:b w:val="0"/>
          <w:i w:val="0"/>
          <w:strike w:val="0"/>
          <w:noProof w:val="0"/>
          <w:color w:val="000000"/>
          <w:position w:val="0"/>
          <w:sz w:val="20"/>
          <w:u w:val="none"/>
          <w:vertAlign w:val="baseline"/>
        </w:rPr>
        <w:t xml:space="preserve">. </w:t>
      </w:r>
      <w:bookmarkStart w:id="50" w:name="Bookmark_I5S8NDKX2SF7M80030000400"/>
      <w:bookmarkEnd w:id="50"/>
      <w:r>
        <w:rPr>
          <w:rFonts w:ascii="arial" w:eastAsia="arial" w:hAnsi="arial" w:cs="arial"/>
          <w:b w:val="0"/>
          <w:i w:val="0"/>
          <w:strike w:val="0"/>
          <w:noProof w:val="0"/>
          <w:color w:val="000000"/>
          <w:position w:val="0"/>
          <w:sz w:val="20"/>
          <w:u w:val="none"/>
          <w:vertAlign w:val="baseline"/>
        </w:rPr>
        <w:t xml:space="preserve">To sufficiently state a claim, a plaintiff must allege "enough facts to state a claim to relief that is plausible on its face," </w:t>
      </w:r>
      <w:bookmarkStart w:id="51" w:name="Bookmark_I5S8NDKW28T4KH0030000400"/>
      <w:bookmarkEnd w:id="51"/>
      <w:hyperlink r:id="rId17" w:history="1">
        <w:r>
          <w:rPr>
            <w:rFonts w:ascii="arial" w:eastAsia="arial" w:hAnsi="arial" w:cs="arial"/>
            <w:b w:val="0"/>
            <w:i/>
            <w:strike w:val="0"/>
            <w:noProof w:val="0"/>
            <w:color w:val="0077CC"/>
            <w:position w:val="0"/>
            <w:sz w:val="20"/>
            <w:u w:val="single"/>
            <w:vertAlign w:val="baseline"/>
          </w:rPr>
          <w:t>Bell Atlantic Corp. v. Twombly</w:t>
        </w:r>
      </w:hyperlink>
      <w:hyperlink r:id="rId1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so that the defendant receives "fair notice of what the . . . claim is and the grounds upon which it rests." </w:t>
      </w:r>
      <w:bookmarkStart w:id="52" w:name="Bookmark_I5S8NDKW28T4KH0050000400"/>
      <w:bookmarkEnd w:id="52"/>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Further, all inferences must be drawn in favor of the plaintiff. </w:t>
      </w:r>
      <w:bookmarkStart w:id="53" w:name="Bookmark_I5S8NDKX2SF7M80030000400_2"/>
      <w:bookmarkEnd w:id="53"/>
      <w:bookmarkStart w:id="54" w:name="Bookmark_I5S8NDKX2SF7M80020000400"/>
      <w:bookmarkEnd w:id="54"/>
      <w:hyperlink r:id="rId18" w:history="1">
        <w:r>
          <w:rPr>
            <w:rFonts w:ascii="arial" w:eastAsia="arial" w:hAnsi="arial" w:cs="arial"/>
            <w:b w:val="0"/>
            <w:i/>
            <w:strike w:val="0"/>
            <w:noProof w:val="0"/>
            <w:color w:val="0077CC"/>
            <w:position w:val="0"/>
            <w:sz w:val="20"/>
            <w:u w:val="single"/>
            <w:vertAlign w:val="baseline"/>
          </w:rPr>
          <w:t>Ashcroft v. Iqbal</w:t>
        </w:r>
      </w:hyperlink>
      <w:hyperlink r:id="rId18" w:history="1">
        <w:r>
          <w:rPr>
            <w:rFonts w:ascii="arial" w:eastAsia="arial" w:hAnsi="arial" w:cs="arial"/>
            <w:b w:val="0"/>
            <w:i/>
            <w:strike w:val="0"/>
            <w:noProof w:val="0"/>
            <w:color w:val="0077CC"/>
            <w:position w:val="0"/>
            <w:sz w:val="20"/>
            <w:u w:val="single"/>
            <w:vertAlign w:val="baseline"/>
          </w:rPr>
          <w:t>, 556 U.S. 662, 129 S. Ct. 1937, 173 L. Ed. 2d 868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State Action Exemption, the Primary Jurisdiction Doctrine, and Failure to Exhaust Administrative Remedies</w:t>
      </w:r>
    </w:p>
    <w:p>
      <w:pPr>
        <w:keepNext w:val="0"/>
        <w:widowControl w:val="0"/>
        <w:spacing w:before="240" w:after="0" w:line="260" w:lineRule="atLeast"/>
        <w:ind w:left="0" w:right="0" w:firstLine="0"/>
        <w:jc w:val="both"/>
      </w:pPr>
      <w:bookmarkStart w:id="55" w:name="Bookmark_para_16"/>
      <w:bookmarkEnd w:id="55"/>
      <w:bookmarkStart w:id="56" w:name="Bookmark_I5S8NDKX2SF7M80050000400"/>
      <w:bookmarkEnd w:id="56"/>
      <w:bookmarkStart w:id="57" w:name="Bookmark_I5S8NDKX2N1PMY0020000400"/>
      <w:bookmarkEnd w:id="57"/>
      <w:r>
        <w:rPr>
          <w:rFonts w:ascii="arial" w:eastAsia="arial" w:hAnsi="arial" w:cs="arial"/>
          <w:b w:val="0"/>
          <w:i w:val="0"/>
          <w:strike w:val="0"/>
          <w:noProof w:val="0"/>
          <w:color w:val="000000"/>
          <w:position w:val="0"/>
          <w:sz w:val="20"/>
          <w:u w:val="none"/>
          <w:vertAlign w:val="baseline"/>
        </w:rPr>
        <w:t>The state action exemption recognizes that "the Sherman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Act [is] . . . primarily concerned with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anti-competitive action, not states acting in their sovereign capacity." </w:t>
      </w:r>
      <w:bookmarkStart w:id="58" w:name="Bookmark_I5S8NDKX2SF7M80040000400"/>
      <w:bookmarkEnd w:id="58"/>
      <w:hyperlink r:id="rId19" w:history="1">
        <w:r>
          <w:rPr>
            <w:rFonts w:ascii="arial" w:eastAsia="arial" w:hAnsi="arial" w:cs="arial"/>
            <w:b w:val="0"/>
            <w:i/>
            <w:strike w:val="0"/>
            <w:noProof w:val="0"/>
            <w:color w:val="0077CC"/>
            <w:position w:val="0"/>
            <w:sz w:val="20"/>
            <w:u w:val="single"/>
            <w:vertAlign w:val="baseline"/>
          </w:rPr>
          <w:t>Shames v. California Travel &amp; Tourism Comm'n</w:t>
        </w:r>
      </w:hyperlink>
      <w:hyperlink r:id="rId19" w:history="1">
        <w:r>
          <w:rPr>
            <w:rFonts w:ascii="arial" w:eastAsia="arial" w:hAnsi="arial" w:cs="arial"/>
            <w:b w:val="0"/>
            <w:i/>
            <w:strike w:val="0"/>
            <w:noProof w:val="0"/>
            <w:color w:val="0077CC"/>
            <w:position w:val="0"/>
            <w:sz w:val="20"/>
            <w:u w:val="single"/>
            <w:vertAlign w:val="baseline"/>
          </w:rPr>
          <w:t>, 626 F.3d 1079, 1082 (9th Cir. 2010)</w:t>
        </w:r>
      </w:hyperlink>
      <w:r>
        <w:rPr>
          <w:rFonts w:ascii="arial" w:eastAsia="arial" w:hAnsi="arial" w:cs="arial"/>
          <w:b w:val="0"/>
          <w:i w:val="0"/>
          <w:strike w:val="0"/>
          <w:noProof w:val="0"/>
          <w:color w:val="000000"/>
          <w:position w:val="0"/>
          <w:sz w:val="20"/>
          <w:u w:val="none"/>
          <w:vertAlign w:val="baseline"/>
        </w:rPr>
        <w:t xml:space="preserve"> (emphasis in original). </w:t>
      </w:r>
      <w:bookmarkStart w:id="59" w:name="Bookmark_I5S8NDKX2N1PMY0040000400"/>
      <w:bookmarkEnd w:id="59"/>
      <w:r>
        <w:rPr>
          <w:rFonts w:ascii="arial" w:eastAsia="arial" w:hAnsi="arial" w:cs="arial"/>
          <w:b w:val="0"/>
          <w:i w:val="0"/>
          <w:strike w:val="0"/>
          <w:noProof w:val="0"/>
          <w:color w:val="000000"/>
          <w:position w:val="0"/>
          <w:sz w:val="20"/>
          <w:u w:val="none"/>
          <w:vertAlign w:val="baseline"/>
        </w:rPr>
        <w:t xml:space="preserve">The state action exemption attaches when,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challenged conduct is "clearly articulated and affirmatively expressed as state policy." </w:t>
      </w:r>
      <w:bookmarkStart w:id="60" w:name="Bookmark_I5S8NDKX2N1PMY0010000400"/>
      <w:bookmarkEnd w:id="60"/>
      <w:hyperlink r:id="rId19" w:history="1">
        <w:r>
          <w:rPr>
            <w:rFonts w:ascii="arial" w:eastAsia="arial" w:hAnsi="arial" w:cs="arial"/>
            <w:b w:val="0"/>
            <w:i/>
            <w:strike w:val="0"/>
            <w:noProof w:val="0"/>
            <w:color w:val="0077CC"/>
            <w:position w:val="0"/>
            <w:sz w:val="20"/>
            <w:u w:val="single"/>
            <w:vertAlign w:val="baseline"/>
          </w:rPr>
          <w:t>Shames</w:t>
        </w:r>
      </w:hyperlink>
      <w:hyperlink r:id="rId19" w:history="1">
        <w:r>
          <w:rPr>
            <w:rFonts w:ascii="arial" w:eastAsia="arial" w:hAnsi="arial" w:cs="arial"/>
            <w:b w:val="0"/>
            <w:i/>
            <w:strike w:val="0"/>
            <w:noProof w:val="0"/>
            <w:color w:val="0077CC"/>
            <w:position w:val="0"/>
            <w:sz w:val="20"/>
            <w:u w:val="single"/>
            <w:vertAlign w:val="baseline"/>
          </w:rPr>
          <w:t>, 626 F.3d at 1082</w:t>
        </w:r>
      </w:hyperlink>
      <w:r>
        <w:rPr>
          <w:rFonts w:ascii="arial" w:eastAsia="arial" w:hAnsi="arial" w:cs="arial"/>
          <w:b w:val="0"/>
          <w:i w:val="0"/>
          <w:strike w:val="0"/>
          <w:noProof w:val="0"/>
          <w:color w:val="000000"/>
          <w:position w:val="0"/>
          <w:sz w:val="20"/>
          <w:u w:val="none"/>
          <w:vertAlign w:val="baseline"/>
        </w:rPr>
        <w:t xml:space="preserve">. </w:t>
      </w:r>
      <w:bookmarkStart w:id="61" w:name="Bookmark_I5S8NDKX28T4KJ0010000400"/>
      <w:bookmarkEnd w:id="61"/>
      <w:r>
        <w:rPr>
          <w:rFonts w:ascii="arial" w:eastAsia="arial" w:hAnsi="arial" w:cs="arial"/>
          <w:b w:val="0"/>
          <w:i w:val="0"/>
          <w:strike w:val="0"/>
          <w:noProof w:val="0"/>
          <w:color w:val="000000"/>
          <w:position w:val="0"/>
          <w:sz w:val="20"/>
          <w:u w:val="none"/>
          <w:vertAlign w:val="baseline"/>
        </w:rPr>
        <w:t xml:space="preserve">The specific anti-competitive acts need not be expressly authorized. </w:t>
      </w:r>
      <w:bookmarkStart w:id="62" w:name="Bookmark_I5S8NDKX28T4KJ0010000400_2"/>
      <w:bookmarkEnd w:id="62"/>
      <w:bookmarkStart w:id="63" w:name="Bookmark_I5S8NDKX2N1PMY0040000400_2"/>
      <w:bookmarkEnd w:id="63"/>
      <w:bookmarkStart w:id="64" w:name="Bookmark_I5S8NDKX28T4KJ0030000400"/>
      <w:bookmarkEnd w:id="64"/>
      <w:bookmarkStart w:id="65" w:name="Bookmark_I5S8NDKX2N1PMY0030000400"/>
      <w:bookmarkEnd w:id="65"/>
      <w:hyperlink r:id="rId19" w:history="1">
        <w:r>
          <w:rPr>
            <w:rFonts w:ascii="arial" w:eastAsia="arial" w:hAnsi="arial" w:cs="arial"/>
            <w:b w:val="0"/>
            <w:i/>
            <w:strike w:val="0"/>
            <w:noProof w:val="0"/>
            <w:color w:val="0077CC"/>
            <w:position w:val="0"/>
            <w:sz w:val="20"/>
            <w:u w:val="single"/>
            <w:vertAlign w:val="baseline"/>
          </w:rPr>
          <w:t>Shames</w:t>
        </w:r>
      </w:hyperlink>
      <w:hyperlink r:id="rId19" w:history="1">
        <w:r>
          <w:rPr>
            <w:rFonts w:ascii="arial" w:eastAsia="arial" w:hAnsi="arial" w:cs="arial"/>
            <w:b w:val="0"/>
            <w:i/>
            <w:strike w:val="0"/>
            <w:noProof w:val="0"/>
            <w:color w:val="0077CC"/>
            <w:position w:val="0"/>
            <w:sz w:val="20"/>
            <w:u w:val="single"/>
            <w:vertAlign w:val="baseline"/>
          </w:rPr>
          <w:t>, 626 F.3d at 1083</w:t>
        </w:r>
      </w:hyperlink>
      <w:r>
        <w:rPr>
          <w:rFonts w:ascii="arial" w:eastAsia="arial" w:hAnsi="arial" w:cs="arial"/>
          <w:b w:val="0"/>
          <w:i w:val="0"/>
          <w:strike w:val="0"/>
          <w:noProof w:val="0"/>
          <w:color w:val="000000"/>
          <w:position w:val="0"/>
          <w:sz w:val="20"/>
          <w:u w:val="none"/>
          <w:vertAlign w:val="baseline"/>
        </w:rPr>
        <w:t xml:space="preserve">. </w:t>
      </w:r>
      <w:bookmarkStart w:id="66" w:name="Bookmark_I5S8NDKX28T4KJ0030000400_2"/>
      <w:bookmarkEnd w:id="66"/>
      <w:r>
        <w:rPr>
          <w:rFonts w:ascii="arial" w:eastAsia="arial" w:hAnsi="arial" w:cs="arial"/>
          <w:b w:val="0"/>
          <w:i w:val="0"/>
          <w:strike w:val="0"/>
          <w:noProof w:val="0"/>
          <w:color w:val="000000"/>
          <w:position w:val="0"/>
          <w:sz w:val="20"/>
          <w:u w:val="none"/>
          <w:vertAlign w:val="baseline"/>
        </w:rPr>
        <w:t xml:space="preserve">Instead, courts apply "state action immunity when the actions were a foreseeable result of a broader statutory authorization" provided that there is "a clear and affirmative state policy to displace pure competition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monopoly." </w:t>
      </w:r>
      <w:r>
        <w:rPr>
          <w:rFonts w:ascii="arial" w:eastAsia="arial" w:hAnsi="arial" w:cs="arial"/>
          <w:b w:val="0"/>
          <w:i/>
          <w:strike w:val="0"/>
          <w:noProof w:val="0"/>
          <w:color w:val="000000"/>
          <w:position w:val="0"/>
          <w:sz w:val="20"/>
          <w:u w:val="none"/>
          <w:vertAlign w:val="baseline"/>
        </w:rPr>
        <w:t xml:space="preserve">See </w:t>
      </w:r>
      <w:bookmarkStart w:id="67" w:name="Bookmark_I5S8NDKX2N1PMY0050000400"/>
      <w:bookmarkEnd w:id="67"/>
      <w:hyperlink r:id="rId19" w:history="1">
        <w:r>
          <w:rPr>
            <w:rFonts w:ascii="arial" w:eastAsia="arial" w:hAnsi="arial" w:cs="arial"/>
            <w:b w:val="0"/>
            <w:i/>
            <w:strike w:val="0"/>
            <w:noProof w:val="0"/>
            <w:color w:val="0077CC"/>
            <w:position w:val="0"/>
            <w:sz w:val="20"/>
            <w:u w:val="single"/>
            <w:vertAlign w:val="baseline"/>
          </w:rPr>
          <w:t>Shames</w:t>
        </w:r>
      </w:hyperlink>
      <w:hyperlink r:id="rId19" w:history="1">
        <w:r>
          <w:rPr>
            <w:rFonts w:ascii="arial" w:eastAsia="arial" w:hAnsi="arial" w:cs="arial"/>
            <w:b w:val="0"/>
            <w:i/>
            <w:strike w:val="0"/>
            <w:noProof w:val="0"/>
            <w:color w:val="0077CC"/>
            <w:position w:val="0"/>
            <w:sz w:val="20"/>
            <w:u w:val="single"/>
            <w:vertAlign w:val="baseline"/>
          </w:rPr>
          <w:t>, 626 F.3d at 1083-84</w:t>
        </w:r>
      </w:hyperlink>
      <w:r>
        <w:rPr>
          <w:rFonts w:ascii="arial" w:eastAsia="arial" w:hAnsi="arial" w:cs="arial"/>
          <w:b w:val="0"/>
          <w:i w:val="0"/>
          <w:strike w:val="0"/>
          <w:noProof w:val="0"/>
          <w:color w:val="000000"/>
          <w:position w:val="0"/>
          <w:sz w:val="20"/>
          <w:u w:val="none"/>
          <w:vertAlign w:val="baseline"/>
        </w:rPr>
        <w:t xml:space="preserve">. </w:t>
      </w:r>
      <w:bookmarkStart w:id="68" w:name="Bookmark_I5S8NDKX28T4KJ0030000400_3"/>
      <w:bookmarkEnd w:id="68"/>
      <w:r>
        <w:rPr>
          <w:rFonts w:ascii="arial" w:eastAsia="arial" w:hAnsi="arial" w:cs="arial"/>
          <w:b w:val="0"/>
          <w:i w:val="0"/>
          <w:strike w:val="0"/>
          <w:noProof w:val="0"/>
          <w:color w:val="000000"/>
          <w:position w:val="0"/>
          <w:sz w:val="20"/>
          <w:u w:val="none"/>
          <w:vertAlign w:val="baseline"/>
        </w:rPr>
        <w:t xml:space="preserve">"The state-action immunity doctrine is disfavored, and is to be interpreted narrowly, as a broad interpretation of the doctrine may inadvertently extend immunity to anticompetitive activity which the states did not intend to sanction." </w:t>
      </w:r>
      <w:bookmarkStart w:id="69" w:name="Bookmark_I5S8NDKX28T4KJ0020000400"/>
      <w:bookmarkEnd w:id="69"/>
      <w:hyperlink r:id="rId19" w:history="1">
        <w:r>
          <w:rPr>
            <w:rFonts w:ascii="arial" w:eastAsia="arial" w:hAnsi="arial" w:cs="arial"/>
            <w:b w:val="0"/>
            <w:i/>
            <w:strike w:val="0"/>
            <w:noProof w:val="0"/>
            <w:color w:val="0077CC"/>
            <w:position w:val="0"/>
            <w:sz w:val="20"/>
            <w:u w:val="single"/>
            <w:vertAlign w:val="baseline"/>
          </w:rPr>
          <w:t>Shames</w:t>
        </w:r>
      </w:hyperlink>
      <w:hyperlink r:id="rId19" w:history="1">
        <w:r>
          <w:rPr>
            <w:rFonts w:ascii="arial" w:eastAsia="arial" w:hAnsi="arial" w:cs="arial"/>
            <w:b w:val="0"/>
            <w:i/>
            <w:strike w:val="0"/>
            <w:noProof w:val="0"/>
            <w:color w:val="0077CC"/>
            <w:position w:val="0"/>
            <w:sz w:val="20"/>
            <w:u w:val="single"/>
            <w:vertAlign w:val="baseline"/>
          </w:rPr>
          <w:t>, 626 F.3d at 1084</w:t>
        </w:r>
      </w:hyperlink>
      <w:r>
        <w:rPr>
          <w:rFonts w:ascii="arial" w:eastAsia="arial" w:hAnsi="arial" w:cs="arial"/>
          <w:b w:val="0"/>
          <w:i w:val="0"/>
          <w:strike w:val="0"/>
          <w:noProof w:val="0"/>
          <w:color w:val="000000"/>
          <w:position w:val="0"/>
          <w:sz w:val="20"/>
          <w:u w:val="none"/>
          <w:vertAlign w:val="baseline"/>
        </w:rPr>
        <w:t xml:space="preserve"> (quotations omitted).</w:t>
      </w:r>
    </w:p>
    <w:p>
      <w:pPr>
        <w:keepNext w:val="0"/>
        <w:widowControl w:val="0"/>
        <w:spacing w:before="200" w:after="0" w:line="260" w:lineRule="atLeast"/>
        <w:ind w:left="0" w:right="0" w:firstLine="0"/>
        <w:jc w:val="both"/>
      </w:pPr>
      <w:bookmarkStart w:id="70" w:name="Bookmark_para_17"/>
      <w:bookmarkEnd w:id="70"/>
      <w:bookmarkStart w:id="71" w:name="Bookmark_I5S8NDKX28T4KJ0050000400"/>
      <w:bookmarkEnd w:id="71"/>
      <w:r>
        <w:rPr>
          <w:rFonts w:ascii="arial" w:eastAsia="arial" w:hAnsi="arial" w:cs="arial"/>
          <w:b w:val="0"/>
          <w:i w:val="0"/>
          <w:strike w:val="0"/>
          <w:noProof w:val="0"/>
          <w:color w:val="000000"/>
          <w:position w:val="0"/>
          <w:sz w:val="20"/>
          <w:u w:val="none"/>
          <w:vertAlign w:val="baseline"/>
        </w:rPr>
        <w:t xml:space="preserve">California previously provided common carriers with immunity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w:t>
      </w:r>
      <w:hyperlink r:id="rId20" w:history="1">
        <w:r>
          <w:rPr>
            <w:rFonts w:ascii="arial" w:eastAsia="arial" w:hAnsi="arial" w:cs="arial"/>
            <w:b w:val="0"/>
            <w:i/>
            <w:strike w:val="0"/>
            <w:noProof w:val="0"/>
            <w:color w:val="0077CC"/>
            <w:position w:val="0"/>
            <w:sz w:val="20"/>
            <w:u w:val="single"/>
            <w:vertAlign w:val="baseline"/>
          </w:rPr>
          <w:t>Cal. Pub. Util. Code § 496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2" w:name="Bookmark_I5S8NDKX28T4KJ0040000400"/>
      <w:bookmarkEnd w:id="72"/>
      <w:hyperlink r:id="rId21" w:history="1">
        <w:r>
          <w:rPr>
            <w:rFonts w:ascii="arial" w:eastAsia="arial" w:hAnsi="arial" w:cs="arial"/>
            <w:b w:val="0"/>
            <w:i/>
            <w:strike w:val="0"/>
            <w:noProof w:val="0"/>
            <w:color w:val="0077CC"/>
            <w:position w:val="0"/>
            <w:sz w:val="20"/>
            <w:u w:val="single"/>
            <w:vertAlign w:val="baseline"/>
          </w:rPr>
          <w:t xml:space="preserve">Re </w:t>
        </w:r>
      </w:hyperlink>
      <w:hyperlink r:id="rId21" w:history="1">
        <w:r>
          <w:rPr>
            <w:rFonts w:ascii="arial" w:eastAsia="arial" w:hAnsi="arial" w:cs="arial"/>
            <w:b/>
            <w:i/>
            <w:strike w:val="0"/>
            <w:noProof w:val="0"/>
            <w:color w:val="0077CC"/>
            <w:position w:val="0"/>
            <w:sz w:val="20"/>
            <w:u w:val="single"/>
            <w:vertAlign w:val="baseline"/>
          </w:rPr>
          <w:t>Regulation</w:t>
        </w:r>
      </w:hyperlink>
      <w:hyperlink r:id="rId21" w:history="1">
        <w:r>
          <w:rPr>
            <w:rFonts w:ascii="arial" w:eastAsia="arial" w:hAnsi="arial" w:cs="arial"/>
            <w:b w:val="0"/>
            <w:i/>
            <w:strike w:val="0"/>
            <w:noProof w:val="0"/>
            <w:color w:val="0077CC"/>
            <w:position w:val="0"/>
            <w:sz w:val="20"/>
            <w:u w:val="single"/>
            <w:vertAlign w:val="baseline"/>
          </w:rPr>
          <w:t xml:space="preserve"> of Gen. Freight Transp. by Truck</w:t>
        </w:r>
      </w:hyperlink>
      <w:hyperlink r:id="rId21" w:history="1">
        <w:r>
          <w:rPr>
            <w:rFonts w:ascii="arial" w:eastAsia="arial" w:hAnsi="arial" w:cs="arial"/>
            <w:b w:val="0"/>
            <w:i/>
            <w:strike w:val="0"/>
            <w:noProof w:val="0"/>
            <w:color w:val="0077CC"/>
            <w:position w:val="0"/>
            <w:sz w:val="20"/>
            <w:u w:val="single"/>
            <w:vertAlign w:val="baseline"/>
          </w:rPr>
          <w:t>, 35 CPUC 2d 307, 353 (Feb. 7, 1990)</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Section 496</w:t>
        </w:r>
      </w:hyperlink>
      <w:r>
        <w:rPr>
          <w:rFonts w:ascii="arial" w:eastAsia="arial" w:hAnsi="arial" w:cs="arial"/>
          <w:b w:val="0"/>
          <w:i w:val="0"/>
          <w:strike w:val="0"/>
          <w:noProof w:val="0"/>
          <w:color w:val="000000"/>
          <w:position w:val="0"/>
          <w:sz w:val="20"/>
          <w:u w:val="none"/>
          <w:vertAlign w:val="baseline"/>
        </w:rPr>
        <w:t>, however, was repealed. Public Utilities - General Amendments, 1999 Cal. Legis. Serv. Ch. 1005 § 25 (A.B. 1658). The parties have not pointed to a — and the Court finds no — similar affirmative state policy. Accordingly,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AFS and SCICo's conduct is not shielded by the state action exception.</w:t>
      </w:r>
    </w:p>
    <w:p>
      <w:pPr>
        <w:keepNext w:val="0"/>
        <w:widowControl w:val="0"/>
        <w:spacing w:before="200" w:after="0" w:line="260" w:lineRule="atLeast"/>
        <w:ind w:left="0" w:right="0" w:firstLine="0"/>
        <w:jc w:val="both"/>
      </w:pPr>
      <w:bookmarkStart w:id="73" w:name="Bookmark_para_18"/>
      <w:bookmarkEnd w:id="73"/>
      <w:r>
        <w:rPr>
          <w:rFonts w:ascii="arial" w:eastAsia="arial" w:hAnsi="arial" w:cs="arial"/>
          <w:b w:val="0"/>
          <w:i w:val="0"/>
          <w:strike w:val="0"/>
          <w:noProof w:val="0"/>
          <w:color w:val="000000"/>
          <w:position w:val="0"/>
          <w:sz w:val="20"/>
          <w:u w:val="none"/>
          <w:vertAlign w:val="baseline"/>
        </w:rPr>
        <w:t xml:space="preserve">AFS points to </w:t>
      </w:r>
      <w:hyperlink r:id="rId22" w:history="1">
        <w:r>
          <w:rPr>
            <w:rFonts w:ascii="arial" w:eastAsia="arial" w:hAnsi="arial" w:cs="arial"/>
            <w:b w:val="0"/>
            <w:i/>
            <w:strike w:val="0"/>
            <w:noProof w:val="0"/>
            <w:color w:val="0077CC"/>
            <w:position w:val="0"/>
            <w:sz w:val="20"/>
            <w:u w:val="single"/>
            <w:vertAlign w:val="baseline"/>
          </w:rPr>
          <w:t>California Constitution Article XII, §§ 3</w:t>
        </w:r>
      </w:hyperlink>
      <w:r>
        <w:rPr>
          <w:rFonts w:ascii="arial" w:eastAsia="arial" w:hAnsi="arial" w:cs="arial"/>
          <w:b w:val="0"/>
          <w:i w:val="0"/>
          <w:strike w:val="0"/>
          <w:noProof w:val="0"/>
          <w:color w:val="000000"/>
          <w:position w:val="0"/>
          <w:sz w:val="20"/>
          <w:u w:val="none"/>
          <w:vertAlign w:val="baseline"/>
        </w:rPr>
        <w:t xml:space="preserve">-4 and </w:t>
      </w:r>
      <w:hyperlink r:id="rId23" w:history="1">
        <w:r>
          <w:rPr>
            <w:rFonts w:ascii="arial" w:eastAsia="arial" w:hAnsi="arial" w:cs="arial"/>
            <w:b w:val="0"/>
            <w:i/>
            <w:strike w:val="0"/>
            <w:noProof w:val="0"/>
            <w:color w:val="0077CC"/>
            <w:position w:val="0"/>
            <w:sz w:val="20"/>
            <w:u w:val="single"/>
            <w:vertAlign w:val="baseline"/>
          </w:rPr>
          <w:t>Cal. Pub. Util. Code § 1007</w:t>
        </w:r>
      </w:hyperlink>
      <w:r>
        <w:rPr>
          <w:rFonts w:ascii="arial" w:eastAsia="arial" w:hAnsi="arial" w:cs="arial"/>
          <w:b w:val="0"/>
          <w:i w:val="0"/>
          <w:strike w:val="0"/>
          <w:noProof w:val="0"/>
          <w:color w:val="000000"/>
          <w:position w:val="0"/>
          <w:sz w:val="20"/>
          <w:u w:val="none"/>
          <w:vertAlign w:val="baseline"/>
        </w:rPr>
        <w:t xml:space="preserve"> — which,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authorize the CPUC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rates charged by freight shipping companies and issue CPCNs — as California's policy to displace pure competition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monopoly; however, these provisions do not expressly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conduct alleged in the FAC because the FAC does not allege unlawful pricing practices, and the CPUC does not have the authority, as noted in the February 25, 2016, Decision,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Pebbly Beach Facility.</w:t>
      </w:r>
    </w:p>
    <w:p>
      <w:pPr>
        <w:keepNext w:val="0"/>
        <w:widowControl w:val="0"/>
        <w:spacing w:before="240" w:after="0" w:line="260" w:lineRule="atLeast"/>
        <w:ind w:left="0" w:right="0" w:firstLine="0"/>
        <w:jc w:val="both"/>
      </w:pPr>
      <w:bookmarkStart w:id="74" w:name="Bookmark_para_19"/>
      <w:bookmarkEnd w:id="74"/>
      <w:bookmarkStart w:id="75" w:name="Bookmark_I5S8NDKX2SF7M90020000400"/>
      <w:bookmarkEnd w:id="75"/>
      <w:r>
        <w:rPr>
          <w:rFonts w:ascii="arial" w:eastAsia="arial" w:hAnsi="arial" w:cs="arial"/>
          <w:b w:val="0"/>
          <w:i w:val="0"/>
          <w:strike w:val="0"/>
          <w:noProof w:val="0"/>
          <w:color w:val="000000"/>
          <w:position w:val="0"/>
          <w:sz w:val="20"/>
          <w:u w:val="none"/>
          <w:vertAlign w:val="baseline"/>
        </w:rPr>
        <w:t xml:space="preserve">For the same reasons, this action will not be dismissed pursuant to the primary jurisdiction doctrine — under which courts may stay or dismiss complaints presenting issues within the special competence of an administrative agency, </w:t>
      </w:r>
      <w:bookmarkStart w:id="76" w:name="Bookmark_I5S8NDKX2SF7M90010000400"/>
      <w:bookmarkEnd w:id="76"/>
      <w:hyperlink r:id="rId24" w:history="1">
        <w:r>
          <w:rPr>
            <w:rFonts w:ascii="arial" w:eastAsia="arial" w:hAnsi="arial" w:cs="arial"/>
            <w:b w:val="0"/>
            <w:i/>
            <w:strike w:val="0"/>
            <w:noProof w:val="0"/>
            <w:color w:val="0077CC"/>
            <w:position w:val="0"/>
            <w:sz w:val="20"/>
            <w:u w:val="single"/>
            <w:vertAlign w:val="baseline"/>
          </w:rPr>
          <w:t>Reiter v. Cooper</w:t>
        </w:r>
      </w:hyperlink>
      <w:hyperlink r:id="rId24" w:history="1">
        <w:r>
          <w:rPr>
            <w:rFonts w:ascii="arial" w:eastAsia="arial" w:hAnsi="arial" w:cs="arial"/>
            <w:b w:val="0"/>
            <w:i/>
            <w:strike w:val="0"/>
            <w:noProof w:val="0"/>
            <w:color w:val="0077CC"/>
            <w:position w:val="0"/>
            <w:sz w:val="20"/>
            <w:u w:val="single"/>
            <w:vertAlign w:val="baseline"/>
          </w:rPr>
          <w:t>, 507 U.S. 258, 268-69 (1993) —, 113 S. Ct. 1213, 122 L. Ed. 2d 604</w:t>
        </w:r>
      </w:hyperlink>
      <w:r>
        <w:rPr>
          <w:rFonts w:ascii="arial" w:eastAsia="arial" w:hAnsi="arial" w:cs="arial"/>
          <w:b w:val="0"/>
          <w:i w:val="0"/>
          <w:strike w:val="0"/>
          <w:noProof w:val="0"/>
          <w:color w:val="000000"/>
          <w:position w:val="0"/>
          <w:sz w:val="20"/>
          <w:u w:val="none"/>
          <w:vertAlign w:val="baseline"/>
        </w:rPr>
        <w:t xml:space="preserve"> or for failure to exhaust administrative remedies. Accordingly, dismissal is not proper under the state action exemption, the primary jurisdiction doctrine, or for failure to exhaust administrative remedies.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77" w:name="Bookmark_para_20"/>
      <w:bookmarkEnd w:id="77"/>
      <w:bookmarkStart w:id="78" w:name="Bookmark_I5S8NDKX2SF7M90040000400"/>
      <w:bookmarkEnd w:id="7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plaintiff must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establish its ability to recover. </w:t>
      </w:r>
      <w:bookmarkStart w:id="79" w:name="Bookmark_I5S8NDKX2N1PN00010000400"/>
      <w:bookmarkEnd w:id="79"/>
      <w:r>
        <w:rPr>
          <w:rFonts w:ascii="arial" w:eastAsia="arial" w:hAnsi="arial" w:cs="arial"/>
          <w:b w:val="0"/>
          <w:i/>
          <w:strike w:val="0"/>
          <w:noProof w:val="0"/>
          <w:color w:val="000000"/>
          <w:position w:val="0"/>
          <w:sz w:val="20"/>
          <w:u w:val="none"/>
          <w:vertAlign w:val="baseline"/>
        </w:rPr>
        <w:t xml:space="preserve">See </w:t>
      </w:r>
      <w:bookmarkStart w:id="80" w:name="Bookmark_I5S8NDKX2SF7M90030000400"/>
      <w:bookmarkEnd w:id="80"/>
      <w:hyperlink r:id="rId25" w:history="1">
        <w:r>
          <w:rPr>
            <w:rFonts w:ascii="arial" w:eastAsia="arial" w:hAnsi="arial" w:cs="arial"/>
            <w:b w:val="0"/>
            <w:i/>
            <w:strike w:val="0"/>
            <w:noProof w:val="0"/>
            <w:color w:val="0077CC"/>
            <w:position w:val="0"/>
            <w:sz w:val="20"/>
            <w:u w:val="single"/>
            <w:vertAlign w:val="baseline"/>
          </w:rPr>
          <w:t>Gerlinger v. Amazon.com Inc.</w:t>
        </w:r>
      </w:hyperlink>
      <w:hyperlink r:id="rId25" w:history="1">
        <w:r>
          <w:rPr>
            <w:rFonts w:ascii="arial" w:eastAsia="arial" w:hAnsi="arial" w:cs="arial"/>
            <w:b w:val="0"/>
            <w:i/>
            <w:strike w:val="0"/>
            <w:noProof w:val="0"/>
            <w:color w:val="0077CC"/>
            <w:position w:val="0"/>
            <w:sz w:val="20"/>
            <w:u w:val="single"/>
            <w:vertAlign w:val="baseline"/>
          </w:rPr>
          <w:t>, 526 F.3d 1253, 1256 (9th Cir. 2008)</w:t>
        </w:r>
      </w:hyperlink>
      <w:r>
        <w:rPr>
          <w:rFonts w:ascii="arial" w:eastAsia="arial" w:hAnsi="arial" w:cs="arial"/>
          <w:b w:val="0"/>
          <w:i w:val="0"/>
          <w:strike w:val="0"/>
          <w:noProof w:val="0"/>
          <w:color w:val="000000"/>
          <w:position w:val="0"/>
          <w:sz w:val="20"/>
          <w:u w:val="none"/>
          <w:vertAlign w:val="baseline"/>
        </w:rPr>
        <w:t xml:space="preserve">. </w:t>
      </w:r>
      <w:bookmarkStart w:id="81" w:name="Bookmark_I5S8NDKX2N1PN00030000400"/>
      <w:bookmarkEnd w:id="81"/>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82" w:name="Bookmark_I5S8NDKX2N1PN00030000400_2"/>
      <w:bookmarkEnd w:id="82"/>
      <w:bookmarkStart w:id="83" w:name="Bookmark_I5S8NDKX2N1PN00010000400_2"/>
      <w:bookmarkEnd w:id="83"/>
      <w:bookmarkStart w:id="84" w:name="Bookmark_I5S8NDKX2SF7M90050000400"/>
      <w:bookmarkEnd w:id="84"/>
      <w:hyperlink r:id="rId8" w:history="1">
        <w:r>
          <w:rPr>
            <w:rFonts w:ascii="arial" w:eastAsia="arial" w:hAnsi="arial" w:cs="arial"/>
            <w:b w:val="0"/>
            <w:i/>
            <w:strike w:val="0"/>
            <w:noProof w:val="0"/>
            <w:color w:val="0077CC"/>
            <w:position w:val="0"/>
            <w:sz w:val="20"/>
            <w:u w:val="single"/>
            <w:vertAlign w:val="baseline"/>
          </w:rPr>
          <w:t>Lucas Auto. Eng'g, Inc.</w:t>
        </w:r>
      </w:hyperlink>
      <w:hyperlink r:id="rId8" w:history="1">
        <w:r>
          <w:rPr>
            <w:rFonts w:ascii="arial" w:eastAsia="arial" w:hAnsi="arial" w:cs="arial"/>
            <w:b w:val="0"/>
            <w:i/>
            <w:strike w:val="0"/>
            <w:noProof w:val="0"/>
            <w:color w:val="0077CC"/>
            <w:position w:val="0"/>
            <w:sz w:val="20"/>
            <w:u w:val="single"/>
            <w:vertAlign w:val="baseline"/>
          </w:rPr>
          <w:t>, 140 F.3d at 1232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turn, requires,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alleged injury be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85" w:name="Bookmark_I5S8NDKX2N1PN00020000400"/>
      <w:bookmarkEnd w:id="85"/>
      <w:hyperlink r:id="rId9" w:history="1">
        <w:r>
          <w:rPr>
            <w:rFonts w:ascii="arial" w:eastAsia="arial" w:hAnsi="arial" w:cs="arial"/>
            <w:b w:val="0"/>
            <w:i/>
            <w:strike w:val="0"/>
            <w:noProof w:val="0"/>
            <w:color w:val="0077CC"/>
            <w:position w:val="0"/>
            <w:sz w:val="20"/>
            <w:u w:val="single"/>
            <w:vertAlign w:val="baseline"/>
          </w:rPr>
          <w:t>Glen Holly</w:t>
        </w:r>
      </w:hyperlink>
      <w:hyperlink r:id="rId9" w:history="1">
        <w:r>
          <w:rPr>
            <w:rFonts w:ascii="arial" w:eastAsia="arial" w:hAnsi="arial" w:cs="arial"/>
            <w:b w:val="0"/>
            <w:i/>
            <w:strike w:val="0"/>
            <w:noProof w:val="0"/>
            <w:color w:val="0077CC"/>
            <w:position w:val="0"/>
            <w:sz w:val="20"/>
            <w:u w:val="single"/>
            <w:vertAlign w:val="baseline"/>
          </w:rPr>
          <w:t>, 343 F.3d at 1007-08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 w:name="Bookmark_para_21"/>
      <w:bookmarkEnd w:id="86"/>
      <w:bookmarkStart w:id="87" w:name="Bookmark_I5S8NDKX2N1PN00050000400"/>
      <w:bookmarkEnd w:id="87"/>
      <w:r>
        <w:rPr>
          <w:rFonts w:ascii="arial" w:eastAsia="arial" w:hAnsi="arial" w:cs="arial"/>
          <w:b w:val="0"/>
          <w:i w:val="0"/>
          <w:strike w:val="0"/>
          <w:noProof w:val="0"/>
          <w:color w:val="000000"/>
          <w:position w:val="0"/>
          <w:sz w:val="20"/>
          <w:u w:val="none"/>
          <w:vertAlign w:val="baseline"/>
        </w:rPr>
        <w:t xml:space="preserve">In the February 17, 2017, Order, the Court dismissed the original complaint,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because Curtin's alleged injury — that it has been foreclosed from serving as an exclusive freight services provider to SCICo — failed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r>
        <w:rPr>
          <w:rFonts w:ascii="arial" w:eastAsia="arial" w:hAnsi="arial" w:cs="arial"/>
          <w:b w:val="0"/>
          <w:i/>
          <w:strike w:val="0"/>
          <w:noProof w:val="0"/>
          <w:color w:val="000000"/>
          <w:position w:val="0"/>
          <w:sz w:val="20"/>
          <w:u w:val="none"/>
          <w:vertAlign w:val="baseline"/>
        </w:rPr>
        <w:t>Lucas Auto</w:t>
      </w:r>
      <w:r>
        <w:rPr>
          <w:rFonts w:ascii="arial" w:eastAsia="arial" w:hAnsi="arial" w:cs="arial"/>
          <w:b w:val="0"/>
          <w:i w:val="0"/>
          <w:strike w:val="0"/>
          <w:noProof w:val="0"/>
          <w:color w:val="000000"/>
          <w:position w:val="0"/>
          <w:sz w:val="20"/>
          <w:u w:val="none"/>
          <w:vertAlign w:val="baseline"/>
        </w:rPr>
        <w:t xml:space="preserve"> because Curtin,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"would have suffered the same alleged injury if the lease were awarded to multiple other companies." With respect to the Exclusive Lease awarded to AFS, nothing in the FAC changes that conclusion. The FAC alleges,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"AFS's shipping monopoly is facilitated and created by defendant SCICo's ownership of the Pebbly Beach facility which it has leased to defendant AFS on an exclusive basis for a ten-year period . . . ." As the Court concluded in the February 17, 2017, Order, this fails to sufficiently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Curtin would have suffered the same alleged injury if the exclusive lease were awarded to another company. </w:t>
      </w:r>
      <w:r>
        <w:rPr>
          <w:rFonts w:ascii="arial" w:eastAsia="arial" w:hAnsi="arial" w:cs="arial"/>
          <w:b w:val="0"/>
          <w:i/>
          <w:strike w:val="0"/>
          <w:noProof w:val="0"/>
          <w:color w:val="000000"/>
          <w:position w:val="0"/>
          <w:sz w:val="20"/>
          <w:u w:val="none"/>
          <w:vertAlign w:val="baseline"/>
        </w:rPr>
        <w:t xml:space="preserve">See </w:t>
      </w:r>
      <w:bookmarkStart w:id="88" w:name="Bookmark_I5S8NDKX2N1PN00040000400"/>
      <w:bookmarkEnd w:id="88"/>
      <w:hyperlink r:id="rId8" w:history="1">
        <w:r>
          <w:rPr>
            <w:rFonts w:ascii="arial" w:eastAsia="arial" w:hAnsi="arial" w:cs="arial"/>
            <w:b w:val="0"/>
            <w:i/>
            <w:strike w:val="0"/>
            <w:noProof w:val="0"/>
            <w:color w:val="0077CC"/>
            <w:position w:val="0"/>
            <w:sz w:val="20"/>
            <w:u w:val="single"/>
            <w:vertAlign w:val="baseline"/>
          </w:rPr>
          <w:t>Lucas Auto. Eng'g, Inc.</w:t>
        </w:r>
      </w:hyperlink>
      <w:hyperlink r:id="rId8" w:history="1">
        <w:r>
          <w:rPr>
            <w:rFonts w:ascii="arial" w:eastAsia="arial" w:hAnsi="arial" w:cs="arial"/>
            <w:b w:val="0"/>
            <w:i/>
            <w:strike w:val="0"/>
            <w:noProof w:val="0"/>
            <w:color w:val="0077CC"/>
            <w:position w:val="0"/>
            <w:sz w:val="20"/>
            <w:u w:val="single"/>
            <w:vertAlign w:val="baseline"/>
          </w:rPr>
          <w:t>, 140 F.3d at 1233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22"/>
      <w:bookmarkEnd w:id="89"/>
      <w:r>
        <w:rPr>
          <w:rFonts w:ascii="arial" w:eastAsia="arial" w:hAnsi="arial" w:cs="arial"/>
          <w:b w:val="0"/>
          <w:i w:val="0"/>
          <w:strike w:val="0"/>
          <w:noProof w:val="0"/>
          <w:color w:val="000000"/>
          <w:position w:val="0"/>
          <w:sz w:val="20"/>
          <w:u w:val="none"/>
          <w:vertAlign w:val="baseline"/>
        </w:rPr>
        <w:t xml:space="preserve">Curtin argues that </w:t>
      </w:r>
      <w:r>
        <w:rPr>
          <w:rFonts w:ascii="arial" w:eastAsia="arial" w:hAnsi="arial" w:cs="arial"/>
          <w:b w:val="0"/>
          <w:i/>
          <w:strike w:val="0"/>
          <w:noProof w:val="0"/>
          <w:color w:val="000000"/>
          <w:position w:val="0"/>
          <w:sz w:val="20"/>
          <w:u w:val="none"/>
          <w:vertAlign w:val="baseline"/>
        </w:rPr>
        <w:t>Lucas Automotive</w:t>
      </w:r>
      <w:r>
        <w:rPr>
          <w:rFonts w:ascii="arial" w:eastAsia="arial" w:hAnsi="arial" w:cs="arial"/>
          <w:b w:val="0"/>
          <w:i w:val="0"/>
          <w:strike w:val="0"/>
          <w:noProof w:val="0"/>
          <w:color w:val="000000"/>
          <w:position w:val="0"/>
          <w:sz w:val="20"/>
          <w:u w:val="none"/>
          <w:vertAlign w:val="baseline"/>
        </w:rPr>
        <w:t xml:space="preserve"> is inapposite for three reasons: "(1) . . . SCICo's RFP had a pre-determined outcome and was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conducted only to give the illusion of healthy competition; (2) . . . SCICo and AFS are not financially independent, vertically situated entities; and (3) the AFS-SCICo lease . . . maintain[s] or preserve[s] a contractual right to limit future competition." Curtin is incorrect. </w:t>
      </w:r>
      <w:bookmarkStart w:id="90" w:name="Bookmark_I5S8NDKX2HM6GJ0020000400"/>
      <w:bookmarkEnd w:id="90"/>
      <w:r>
        <w:rPr>
          <w:rFonts w:ascii="arial" w:eastAsia="arial" w:hAnsi="arial" w:cs="arial"/>
          <w:b w:val="0"/>
          <w:i w:val="0"/>
          <w:strike w:val="0"/>
          <w:noProof w:val="0"/>
          <w:color w:val="000000"/>
          <w:position w:val="0"/>
          <w:sz w:val="20"/>
          <w:u w:val="none"/>
          <w:vertAlign w:val="baseline"/>
        </w:rPr>
        <w:t xml:space="preserve">As discussed below, insofar as the FAC alleges that the RFP was a sham and resulted in an arrangement between AFS and SCICo violative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FAC sufficiently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however, that the FAC sufficienty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with respect to the alleged anti-competitive conduct outside of plain terms of the Exclusive Lease does not save the FAC's assertions of liability merely arising out of the Exclusive Lease. Insofar as the FAC asserts liability arising out of the Exclusive Lease, the FAC, just as the original Complaint, fails to sufficiently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r>
        <w:rPr>
          <w:rFonts w:ascii="arial" w:eastAsia="arial" w:hAnsi="arial" w:cs="arial"/>
          <w:b w:val="0"/>
          <w:i/>
          <w:strike w:val="0"/>
          <w:noProof w:val="0"/>
          <w:color w:val="000000"/>
          <w:position w:val="0"/>
          <w:sz w:val="20"/>
          <w:u w:val="none"/>
          <w:vertAlign w:val="baseline"/>
        </w:rPr>
        <w:t>Lucas Automotive</w:t>
      </w:r>
      <w:r>
        <w:rPr>
          <w:rFonts w:ascii="arial" w:eastAsia="arial" w:hAnsi="arial" w:cs="arial"/>
          <w:b w:val="0"/>
          <w:i w:val="0"/>
          <w:strike w:val="0"/>
          <w:noProof w:val="0"/>
          <w:color w:val="000000"/>
          <w:position w:val="0"/>
          <w:sz w:val="20"/>
          <w:u w:val="none"/>
          <w:vertAlign w:val="baseline"/>
        </w:rPr>
        <w:t xml:space="preserve"> because the injury would have been the same if one or more other companies were awarded the lease to the Pebbly Beach Facility. </w:t>
      </w:r>
      <w:r>
        <w:rPr>
          <w:rFonts w:ascii="arial" w:eastAsia="arial" w:hAnsi="arial" w:cs="arial"/>
          <w:b w:val="0"/>
          <w:i/>
          <w:strike w:val="0"/>
          <w:noProof w:val="0"/>
          <w:color w:val="000000"/>
          <w:position w:val="0"/>
          <w:sz w:val="20"/>
          <w:u w:val="none"/>
          <w:vertAlign w:val="baseline"/>
        </w:rPr>
        <w:t xml:space="preserve">See </w:t>
      </w:r>
      <w:bookmarkStart w:id="91" w:name="Bookmark_I5S8NDKX2HM6GJ0010000400"/>
      <w:bookmarkEnd w:id="91"/>
      <w:hyperlink r:id="rId8" w:history="1">
        <w:r>
          <w:rPr>
            <w:rFonts w:ascii="arial" w:eastAsia="arial" w:hAnsi="arial" w:cs="arial"/>
            <w:b w:val="0"/>
            <w:i/>
            <w:strike w:val="0"/>
            <w:noProof w:val="0"/>
            <w:color w:val="0077CC"/>
            <w:position w:val="0"/>
            <w:sz w:val="20"/>
            <w:u w:val="single"/>
            <w:vertAlign w:val="baseline"/>
          </w:rPr>
          <w:t>Lucas Auto. Eng'g, Inc.</w:t>
        </w:r>
      </w:hyperlink>
      <w:hyperlink r:id="rId8" w:history="1">
        <w:r>
          <w:rPr>
            <w:rFonts w:ascii="arial" w:eastAsia="arial" w:hAnsi="arial" w:cs="arial"/>
            <w:b w:val="0"/>
            <w:i/>
            <w:strike w:val="0"/>
            <w:noProof w:val="0"/>
            <w:color w:val="0077CC"/>
            <w:position w:val="0"/>
            <w:sz w:val="20"/>
            <w:u w:val="single"/>
            <w:vertAlign w:val="baseline"/>
          </w:rPr>
          <w:t>, 140 F.3d at 1233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 w:name="Bookmark_para_23"/>
      <w:bookmarkEnd w:id="92"/>
      <w:bookmarkStart w:id="93" w:name="Bookmark_I5S8NDKX2HM6GJ0040000400"/>
      <w:bookmarkEnd w:id="93"/>
      <w:bookmarkStart w:id="94" w:name="Bookmark_I5S8NDKX2D6NSM0010000400"/>
      <w:bookmarkEnd w:id="94"/>
      <w:r>
        <w:rPr>
          <w:rFonts w:ascii="arial" w:eastAsia="arial" w:hAnsi="arial" w:cs="arial"/>
          <w:b w:val="0"/>
          <w:i w:val="0"/>
          <w:strike w:val="0"/>
          <w:noProof w:val="0"/>
          <w:color w:val="000000"/>
          <w:position w:val="0"/>
          <w:sz w:val="20"/>
          <w:u w:val="none"/>
          <w:vertAlign w:val="baseline"/>
        </w:rPr>
        <w:t>With respect to the FAC's allegations that the RFP process was a "sham" and was "rigged by virtue of a" Pre-RFP Agreement, the FAC sufficiently alleges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bookmarkStart w:id="95" w:name="Bookmark_I5S8NDKX2HM6GJ0030000400"/>
      <w:bookmarkEnd w:id="95"/>
      <w:hyperlink r:id="rId9" w:history="1">
        <w:r>
          <w:rPr>
            <w:rFonts w:ascii="arial" w:eastAsia="arial" w:hAnsi="arial" w:cs="arial"/>
            <w:b w:val="0"/>
            <w:i/>
            <w:strike w:val="0"/>
            <w:noProof w:val="0"/>
            <w:color w:val="0077CC"/>
            <w:position w:val="0"/>
            <w:sz w:val="20"/>
            <w:u w:val="single"/>
            <w:vertAlign w:val="baseline"/>
          </w:rPr>
          <w:t>Glen Holly. Glen Holly</w:t>
        </w:r>
      </w:hyperlink>
      <w:hyperlink r:id="rId9" w:history="1">
        <w:r>
          <w:rPr>
            <w:rFonts w:ascii="arial" w:eastAsia="arial" w:hAnsi="arial" w:cs="arial"/>
            <w:b w:val="0"/>
            <w:i/>
            <w:strike w:val="0"/>
            <w:noProof w:val="0"/>
            <w:color w:val="0077CC"/>
            <w:position w:val="0"/>
            <w:sz w:val="20"/>
            <w:u w:val="single"/>
            <w:vertAlign w:val="baseline"/>
          </w:rPr>
          <w:t>, 343 F.3d at 1005-06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Glen Holly</w:t>
      </w:r>
      <w:r>
        <w:rPr>
          <w:rFonts w:ascii="arial" w:eastAsia="arial" w:hAnsi="arial" w:cs="arial"/>
          <w:b w:val="0"/>
          <w:i w:val="0"/>
          <w:strike w:val="0"/>
          <w:noProof w:val="0"/>
          <w:color w:val="000000"/>
          <w:position w:val="0"/>
          <w:sz w:val="20"/>
          <w:u w:val="none"/>
          <w:vertAlign w:val="baseline"/>
        </w:rPr>
        <w:t xml:space="preserve">, the plaintiff alleged that two technology companies that produced the same product entered into an anti-competitive "joint venture" whereby the two companies agreed to end the production of one of the products, and took steps to conceal their anti-competitive agreement from the public. </w:t>
      </w:r>
      <w:bookmarkStart w:id="96" w:name="Bookmark_I5S8NDKX2D6NSM0030000400"/>
      <w:bookmarkEnd w:id="96"/>
      <w:bookmarkStart w:id="97" w:name="Bookmark_I5S8NDKX2HM6GJ0050000400"/>
      <w:bookmarkEnd w:id="97"/>
      <w:hyperlink r:id="rId9" w:history="1">
        <w:r>
          <w:rPr>
            <w:rFonts w:ascii="arial" w:eastAsia="arial" w:hAnsi="arial" w:cs="arial"/>
            <w:b w:val="0"/>
            <w:i/>
            <w:strike w:val="0"/>
            <w:noProof w:val="0"/>
            <w:color w:val="0077CC"/>
            <w:position w:val="0"/>
            <w:sz w:val="20"/>
            <w:u w:val="single"/>
            <w:vertAlign w:val="baseline"/>
          </w:rPr>
          <w:t>Glen Holly</w:t>
        </w:r>
      </w:hyperlink>
      <w:hyperlink r:id="rId9" w:history="1">
        <w:r>
          <w:rPr>
            <w:rFonts w:ascii="arial" w:eastAsia="arial" w:hAnsi="arial" w:cs="arial"/>
            <w:b w:val="0"/>
            <w:i/>
            <w:strike w:val="0"/>
            <w:noProof w:val="0"/>
            <w:color w:val="0077CC"/>
            <w:position w:val="0"/>
            <w:sz w:val="20"/>
            <w:u w:val="single"/>
            <w:vertAlign w:val="baseline"/>
          </w:rPr>
          <w:t>, 343 F.3d at 1005-06</w:t>
        </w:r>
      </w:hyperlink>
      <w:r>
        <w:rPr>
          <w:rFonts w:ascii="arial" w:eastAsia="arial" w:hAnsi="arial" w:cs="arial"/>
          <w:b w:val="0"/>
          <w:i w:val="0"/>
          <w:strike w:val="0"/>
          <w:noProof w:val="0"/>
          <w:color w:val="000000"/>
          <w:position w:val="0"/>
          <w:sz w:val="20"/>
          <w:u w:val="none"/>
          <w:vertAlign w:val="baseline"/>
        </w:rPr>
        <w:t xml:space="preserve">. </w:t>
      </w:r>
      <w:bookmarkStart w:id="98" w:name="Bookmark_I5S8NDKX2D6NSM0030000400_2"/>
      <w:bookmarkEnd w:id="98"/>
      <w:r>
        <w:rPr>
          <w:rFonts w:ascii="arial" w:eastAsia="arial" w:hAnsi="arial" w:cs="arial"/>
          <w:b w:val="0"/>
          <w:i w:val="0"/>
          <w:strike w:val="0"/>
          <w:noProof w:val="0"/>
          <w:color w:val="000000"/>
          <w:position w:val="0"/>
          <w:sz w:val="20"/>
          <w:u w:val="none"/>
          <w:vertAlign w:val="baseline"/>
        </w:rPr>
        <w:t xml:space="preserve">Here, the FAC alleges that "Mr. Bombard agreed AFS would ultimately 'win' the RFP and provide freight services through the Pebbly Beach facility in August 2012, before SCICo initiated the formal RFP process." The Court notes that the only express allegations of the Pre-RFP Agreement are framed as "becoming clear" "[d]uring the CPUC proceedings." This appears to elide the distinction between the Defendants entering into the Pre-RFP Agreement and Curtin forming the </w:t>
      </w:r>
      <w:r>
        <w:rPr>
          <w:rFonts w:ascii="arial" w:eastAsia="arial" w:hAnsi="arial" w:cs="arial"/>
          <w:b w:val="0"/>
          <w:i/>
          <w:strike w:val="0"/>
          <w:noProof w:val="0"/>
          <w:color w:val="000000"/>
          <w:position w:val="0"/>
          <w:sz w:val="20"/>
          <w:u w:val="none"/>
          <w:vertAlign w:val="baseline"/>
        </w:rPr>
        <w:t>impression</w:t>
      </w:r>
      <w:r>
        <w:rPr>
          <w:rFonts w:ascii="arial" w:eastAsia="arial" w:hAnsi="arial" w:cs="arial"/>
          <w:b w:val="0"/>
          <w:i w:val="0"/>
          <w:strike w:val="0"/>
          <w:noProof w:val="0"/>
          <w:color w:val="000000"/>
          <w:position w:val="0"/>
          <w:sz w:val="20"/>
          <w:u w:val="none"/>
          <w:vertAlign w:val="baseline"/>
        </w:rPr>
        <w:t xml:space="preserve"> that Defendants entered into the Pre-RFP Agreement during the CPUC proceedings. Nonetheless, taking the inference in favor of Curtin, </w:t>
      </w:r>
      <w:r>
        <w:rPr>
          <w:rFonts w:ascii="arial" w:eastAsia="arial" w:hAnsi="arial" w:cs="arial"/>
          <w:b w:val="0"/>
          <w:i/>
          <w:strike w:val="0"/>
          <w:noProof w:val="0"/>
          <w:color w:val="000000"/>
          <w:position w:val="0"/>
          <w:sz w:val="20"/>
          <w:u w:val="none"/>
          <w:vertAlign w:val="baseline"/>
        </w:rPr>
        <w:t xml:space="preserve">see </w:t>
      </w:r>
      <w:bookmarkStart w:id="99" w:name="Bookmark_I5S8NDKX2D6NSM0020000400"/>
      <w:bookmarkEnd w:id="99"/>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the FAC alleges that Defendants entered into the Pre-RFP Agreement.</w:t>
      </w:r>
    </w:p>
    <w:p>
      <w:pPr>
        <w:keepNext w:val="0"/>
        <w:widowControl w:val="0"/>
        <w:spacing w:before="240" w:after="0" w:line="260" w:lineRule="atLeast"/>
        <w:ind w:left="0" w:right="0" w:firstLine="0"/>
        <w:jc w:val="both"/>
      </w:pPr>
      <w:bookmarkStart w:id="100" w:name="Bookmark_para_24"/>
      <w:bookmarkEnd w:id="100"/>
      <w:bookmarkStart w:id="101" w:name="Bookmark_I5S8NDKX2D6NSM0050000400"/>
      <w:bookmarkEnd w:id="101"/>
      <w:r>
        <w:rPr>
          <w:rFonts w:ascii="arial" w:eastAsia="arial" w:hAnsi="arial" w:cs="arial"/>
          <w:b w:val="0"/>
          <w:i w:val="0"/>
          <w:strike w:val="0"/>
          <w:noProof w:val="0"/>
          <w:color w:val="000000"/>
          <w:position w:val="0"/>
          <w:sz w:val="20"/>
          <w:u w:val="none"/>
          <w:vertAlign w:val="baseline"/>
        </w:rPr>
        <w:t>The FAC, further, alleges that "[i]n exchange for "winning" the tainted RFP process, AFS agreed to share its revenue from the freight hauling business with SCICo" and that SCICo "conducted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RFP process to give the selection an aura of legitimacy . . . ." While the FAC's allegations regarding the alleged sham RFP and unlawful agreement between AFS and SCICo differs in some respects from the joint venture in </w:t>
      </w:r>
      <w:r>
        <w:rPr>
          <w:rFonts w:ascii="arial" w:eastAsia="arial" w:hAnsi="arial" w:cs="arial"/>
          <w:b w:val="0"/>
          <w:i/>
          <w:strike w:val="0"/>
          <w:noProof w:val="0"/>
          <w:color w:val="000000"/>
          <w:position w:val="0"/>
          <w:sz w:val="20"/>
          <w:u w:val="none"/>
          <w:vertAlign w:val="baseline"/>
        </w:rPr>
        <w:t>Glen Holly</w:t>
      </w:r>
      <w:r>
        <w:rPr>
          <w:rFonts w:ascii="arial" w:eastAsia="arial" w:hAnsi="arial" w:cs="arial"/>
          <w:b w:val="0"/>
          <w:i w:val="0"/>
          <w:strike w:val="0"/>
          <w:noProof w:val="0"/>
          <w:color w:val="000000"/>
          <w:position w:val="0"/>
          <w:sz w:val="20"/>
          <w:u w:val="none"/>
          <w:vertAlign w:val="baseline"/>
        </w:rPr>
        <w:t xml:space="preserve"> — for example, </w:t>
      </w:r>
      <w:r>
        <w:rPr>
          <w:rFonts w:ascii="arial" w:eastAsia="arial" w:hAnsi="arial" w:cs="arial"/>
          <w:b w:val="0"/>
          <w:i/>
          <w:strike w:val="0"/>
          <w:noProof w:val="0"/>
          <w:color w:val="000000"/>
          <w:position w:val="0"/>
          <w:sz w:val="20"/>
          <w:u w:val="none"/>
          <w:vertAlign w:val="baseline"/>
        </w:rPr>
        <w:t>Glen Holly</w:t>
      </w:r>
      <w:r>
        <w:rPr>
          <w:rFonts w:ascii="arial" w:eastAsia="arial" w:hAnsi="arial" w:cs="arial"/>
          <w:b w:val="0"/>
          <w:i w:val="0"/>
          <w:strike w:val="0"/>
          <w:noProof w:val="0"/>
          <w:color w:val="000000"/>
          <w:position w:val="0"/>
          <w:sz w:val="20"/>
          <w:u w:val="none"/>
          <w:vertAlign w:val="baseline"/>
        </w:rPr>
        <w:t xml:space="preserve"> involved an unlawful horizontal agreement between competitors and, here, the FAC alleges an unlawful vertical agreement between a leasor and leasee — the FAC, nonetheless, as in </w:t>
      </w:r>
      <w:r>
        <w:rPr>
          <w:rFonts w:ascii="arial" w:eastAsia="arial" w:hAnsi="arial" w:cs="arial"/>
          <w:b w:val="0"/>
          <w:i/>
          <w:strike w:val="0"/>
          <w:noProof w:val="0"/>
          <w:color w:val="000000"/>
          <w:position w:val="0"/>
          <w:sz w:val="20"/>
          <w:u w:val="none"/>
          <w:vertAlign w:val="baseline"/>
        </w:rPr>
        <w:t>Glen Holly</w:t>
      </w:r>
      <w:r>
        <w:rPr>
          <w:rFonts w:ascii="arial" w:eastAsia="arial" w:hAnsi="arial" w:cs="arial"/>
          <w:b w:val="0"/>
          <w:i w:val="0"/>
          <w:strike w:val="0"/>
          <w:noProof w:val="0"/>
          <w:color w:val="000000"/>
          <w:position w:val="0"/>
          <w:sz w:val="20"/>
          <w:u w:val="none"/>
          <w:vertAlign w:val="baseline"/>
        </w:rPr>
        <w:t xml:space="preserve">, alleges an agreement violative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AFS and SCICo actively sought to conceal from the public. </w:t>
      </w:r>
      <w:r>
        <w:rPr>
          <w:rFonts w:ascii="arial" w:eastAsia="arial" w:hAnsi="arial" w:cs="arial"/>
          <w:b w:val="0"/>
          <w:i/>
          <w:strike w:val="0"/>
          <w:noProof w:val="0"/>
          <w:color w:val="000000"/>
          <w:position w:val="0"/>
          <w:sz w:val="20"/>
          <w:u w:val="none"/>
          <w:vertAlign w:val="baseline"/>
        </w:rPr>
        <w:t xml:space="preserve">See </w:t>
      </w:r>
      <w:bookmarkStart w:id="102" w:name="Bookmark_I5S8NDKX2D6NSM0040000400"/>
      <w:bookmarkEnd w:id="102"/>
      <w:hyperlink r:id="rId9" w:history="1">
        <w:r>
          <w:rPr>
            <w:rFonts w:ascii="arial" w:eastAsia="arial" w:hAnsi="arial" w:cs="arial"/>
            <w:b w:val="0"/>
            <w:i/>
            <w:strike w:val="0"/>
            <w:noProof w:val="0"/>
            <w:color w:val="0077CC"/>
            <w:position w:val="0"/>
            <w:sz w:val="20"/>
            <w:u w:val="single"/>
            <w:vertAlign w:val="baseline"/>
          </w:rPr>
          <w:t>Glen Holly</w:t>
        </w:r>
      </w:hyperlink>
      <w:hyperlink r:id="rId9" w:history="1">
        <w:r>
          <w:rPr>
            <w:rFonts w:ascii="arial" w:eastAsia="arial" w:hAnsi="arial" w:cs="arial"/>
            <w:b w:val="0"/>
            <w:i/>
            <w:strike w:val="0"/>
            <w:noProof w:val="0"/>
            <w:color w:val="0077CC"/>
            <w:position w:val="0"/>
            <w:sz w:val="20"/>
            <w:u w:val="single"/>
            <w:vertAlign w:val="baseline"/>
          </w:rPr>
          <w:t>, 343 F.3d at 1005-06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25"/>
      <w:bookmarkEnd w:id="103"/>
      <w:bookmarkStart w:id="104" w:name="Bookmark_I5S8NDKX2D6NSN0020000400"/>
      <w:bookmarkEnd w:id="104"/>
      <w:r>
        <w:rPr>
          <w:rFonts w:ascii="arial" w:eastAsia="arial" w:hAnsi="arial" w:cs="arial"/>
          <w:b w:val="0"/>
          <w:i w:val="0"/>
          <w:strike w:val="0"/>
          <w:noProof w:val="0"/>
          <w:color w:val="000000"/>
          <w:position w:val="0"/>
          <w:sz w:val="20"/>
          <w:u w:val="none"/>
          <w:vertAlign w:val="baseline"/>
        </w:rPr>
        <w:t xml:space="preserve">Although the FAC sufficiently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with respect to the alleged sham RFP process and unlawful agreement between SCICo and AFS, it must, also, sufficiently allege that it is, at minimum, a potential competitor of AFS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05" w:name="Bookmark_I5S8NDKX2D6NSN0040000400"/>
      <w:bookmarkEnd w:id="105"/>
      <w:r>
        <w:rPr>
          <w:rFonts w:ascii="arial" w:eastAsia="arial" w:hAnsi="arial" w:cs="arial"/>
          <w:b w:val="0"/>
          <w:i/>
          <w:strike w:val="0"/>
          <w:noProof w:val="0"/>
          <w:color w:val="000000"/>
          <w:position w:val="0"/>
          <w:sz w:val="20"/>
          <w:u w:val="none"/>
          <w:vertAlign w:val="baseline"/>
        </w:rPr>
        <w:t xml:space="preserve">See </w:t>
      </w:r>
      <w:bookmarkStart w:id="106" w:name="Bookmark_I5S8NDKX2D6NSN0010000400"/>
      <w:bookmarkEnd w:id="106"/>
      <w:hyperlink r:id="rId26" w:history="1">
        <w:r>
          <w:rPr>
            <w:rFonts w:ascii="arial" w:eastAsia="arial" w:hAnsi="arial" w:cs="arial"/>
            <w:b w:val="0"/>
            <w:i/>
            <w:strike w:val="0"/>
            <w:noProof w:val="0"/>
            <w:color w:val="0077CC"/>
            <w:position w:val="0"/>
            <w:sz w:val="20"/>
            <w:u w:val="single"/>
            <w:vertAlign w:val="baseline"/>
          </w:rPr>
          <w:t>Solinger v. A&amp;M Records, Inc.</w:t>
        </w:r>
      </w:hyperlink>
      <w:hyperlink r:id="rId26" w:history="1">
        <w:r>
          <w:rPr>
            <w:rFonts w:ascii="arial" w:eastAsia="arial" w:hAnsi="arial" w:cs="arial"/>
            <w:b w:val="0"/>
            <w:i/>
            <w:strike w:val="0"/>
            <w:noProof w:val="0"/>
            <w:color w:val="0077CC"/>
            <w:position w:val="0"/>
            <w:sz w:val="20"/>
            <w:u w:val="single"/>
            <w:vertAlign w:val="baseline"/>
          </w:rPr>
          <w:t>, 586 F.2d 1304, 1309 (9th Cir. 1978)</w:t>
        </w:r>
      </w:hyperlink>
      <w:r>
        <w:rPr>
          <w:rFonts w:ascii="arial" w:eastAsia="arial" w:hAnsi="arial" w:cs="arial"/>
          <w:b w:val="0"/>
          <w:i w:val="0"/>
          <w:strike w:val="0"/>
          <w:noProof w:val="0"/>
          <w:color w:val="000000"/>
          <w:position w:val="0"/>
          <w:sz w:val="20"/>
          <w:u w:val="none"/>
          <w:vertAlign w:val="baseline"/>
        </w:rPr>
        <w:t xml:space="preserve">. To show that it was a potential competitor, a plaintiff must sufficiently allege that it had the "requisite intention and preparedness" to enter the market. </w:t>
      </w:r>
      <w:bookmarkStart w:id="107" w:name="Bookmark_I5S8NDKX2D6NSN0040000400_2"/>
      <w:bookmarkEnd w:id="107"/>
      <w:bookmarkStart w:id="108" w:name="Bookmark_I5S8NDKX28T4KK0010000400"/>
      <w:bookmarkEnd w:id="108"/>
      <w:r>
        <w:rPr>
          <w:rFonts w:ascii="arial" w:eastAsia="arial" w:hAnsi="arial" w:cs="arial"/>
          <w:b w:val="0"/>
          <w:i/>
          <w:strike w:val="0"/>
          <w:noProof w:val="0"/>
          <w:color w:val="000000"/>
          <w:position w:val="0"/>
          <w:sz w:val="20"/>
          <w:u w:val="none"/>
          <w:vertAlign w:val="baseline"/>
        </w:rPr>
        <w:t xml:space="preserve">See </w:t>
      </w:r>
      <w:bookmarkStart w:id="109" w:name="Bookmark_I5S8NDKX2D6NSN0030000400"/>
      <w:bookmarkEnd w:id="109"/>
      <w:hyperlink r:id="rId26" w:history="1">
        <w:r>
          <w:rPr>
            <w:rFonts w:ascii="arial" w:eastAsia="arial" w:hAnsi="arial" w:cs="arial"/>
            <w:b w:val="0"/>
            <w:i/>
            <w:strike w:val="0"/>
            <w:noProof w:val="0"/>
            <w:color w:val="0077CC"/>
            <w:position w:val="0"/>
            <w:sz w:val="20"/>
            <w:u w:val="single"/>
            <w:vertAlign w:val="baseline"/>
          </w:rPr>
          <w:t>Solinger</w:t>
        </w:r>
      </w:hyperlink>
      <w:hyperlink r:id="rId26" w:history="1">
        <w:r>
          <w:rPr>
            <w:rFonts w:ascii="arial" w:eastAsia="arial" w:hAnsi="arial" w:cs="arial"/>
            <w:b w:val="0"/>
            <w:i/>
            <w:strike w:val="0"/>
            <w:noProof w:val="0"/>
            <w:color w:val="0077CC"/>
            <w:position w:val="0"/>
            <w:sz w:val="20"/>
            <w:u w:val="single"/>
            <w:vertAlign w:val="baseline"/>
          </w:rPr>
          <w:t>, 586 F.2d at 1309-10</w:t>
        </w:r>
      </w:hyperlink>
      <w:r>
        <w:rPr>
          <w:rFonts w:ascii="arial" w:eastAsia="arial" w:hAnsi="arial" w:cs="arial"/>
          <w:b w:val="0"/>
          <w:i w:val="0"/>
          <w:strike w:val="0"/>
          <w:noProof w:val="0"/>
          <w:color w:val="000000"/>
          <w:position w:val="0"/>
          <w:sz w:val="20"/>
          <w:u w:val="none"/>
          <w:vertAlign w:val="baseline"/>
        </w:rPr>
        <w:t xml:space="preserve">. </w:t>
      </w:r>
      <w:bookmarkStart w:id="110" w:name="Bookmark_I5S8NDKX28T4KK0010000400_2"/>
      <w:bookmarkEnd w:id="110"/>
      <w:bookmarkStart w:id="111" w:name="Bookmark_I5S8NDKX28T4KK0030000400"/>
      <w:bookmarkEnd w:id="111"/>
      <w:r>
        <w:rPr>
          <w:rFonts w:ascii="arial" w:eastAsia="arial" w:hAnsi="arial" w:cs="arial"/>
          <w:b w:val="0"/>
          <w:i w:val="0"/>
          <w:strike w:val="0"/>
          <w:noProof w:val="0"/>
          <w:color w:val="000000"/>
          <w:position w:val="0"/>
          <w:sz w:val="20"/>
          <w:u w:val="none"/>
          <w:vertAlign w:val="baseline"/>
        </w:rPr>
        <w:t xml:space="preserve">Courts look to varying combinations of four "typical elements" to assess whether a plaintiff has sufficiently shown its intention and preparation to enter the relevant market. </w:t>
      </w:r>
      <w:r>
        <w:rPr>
          <w:rFonts w:ascii="arial" w:eastAsia="arial" w:hAnsi="arial" w:cs="arial"/>
          <w:b w:val="0"/>
          <w:i/>
          <w:strike w:val="0"/>
          <w:noProof w:val="0"/>
          <w:color w:val="000000"/>
          <w:position w:val="0"/>
          <w:sz w:val="20"/>
          <w:u w:val="none"/>
          <w:vertAlign w:val="baseline"/>
        </w:rPr>
        <w:t xml:space="preserve">See </w:t>
      </w:r>
      <w:bookmarkStart w:id="112" w:name="Bookmark_I5S8NDKX2D6NSN0050000400"/>
      <w:bookmarkEnd w:id="112"/>
      <w:hyperlink r:id="rId26" w:history="1">
        <w:r>
          <w:rPr>
            <w:rFonts w:ascii="arial" w:eastAsia="arial" w:hAnsi="arial" w:cs="arial"/>
            <w:b w:val="0"/>
            <w:i/>
            <w:strike w:val="0"/>
            <w:noProof w:val="0"/>
            <w:color w:val="0077CC"/>
            <w:position w:val="0"/>
            <w:sz w:val="20"/>
            <w:u w:val="single"/>
            <w:vertAlign w:val="baseline"/>
          </w:rPr>
          <w:t>Solinger</w:t>
        </w:r>
      </w:hyperlink>
      <w:hyperlink r:id="rId26" w:history="1">
        <w:r>
          <w:rPr>
            <w:rFonts w:ascii="arial" w:eastAsia="arial" w:hAnsi="arial" w:cs="arial"/>
            <w:b w:val="0"/>
            <w:i/>
            <w:strike w:val="0"/>
            <w:noProof w:val="0"/>
            <w:color w:val="0077CC"/>
            <w:position w:val="0"/>
            <w:sz w:val="20"/>
            <w:u w:val="single"/>
            <w:vertAlign w:val="baseline"/>
          </w:rPr>
          <w:t>, 586 F.2d at 1309-10</w:t>
        </w:r>
      </w:hyperlink>
      <w:r>
        <w:rPr>
          <w:rFonts w:ascii="arial" w:eastAsia="arial" w:hAnsi="arial" w:cs="arial"/>
          <w:b w:val="0"/>
          <w:i w:val="0"/>
          <w:strike w:val="0"/>
          <w:noProof w:val="0"/>
          <w:color w:val="000000"/>
          <w:position w:val="0"/>
          <w:sz w:val="20"/>
          <w:u w:val="none"/>
          <w:vertAlign w:val="baseline"/>
        </w:rPr>
        <w:t xml:space="preserve">. </w:t>
      </w:r>
      <w:bookmarkStart w:id="113" w:name="Bookmark_I5S8NDKX28T4KK0030000400_2"/>
      <w:bookmarkEnd w:id="113"/>
      <w:r>
        <w:rPr>
          <w:rFonts w:ascii="arial" w:eastAsia="arial" w:hAnsi="arial" w:cs="arial"/>
          <w:b w:val="0"/>
          <w:i w:val="0"/>
          <w:strike w:val="0"/>
          <w:noProof w:val="0"/>
          <w:color w:val="000000"/>
          <w:position w:val="0"/>
          <w:sz w:val="20"/>
          <w:u w:val="none"/>
          <w:vertAlign w:val="baseline"/>
        </w:rPr>
        <w:t>These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elements are: 1) "The background and experience of plaintiff in his prospective business"; 2) "Affirmative action on the part of plaintiff to engage in the proposed business"; 3) "The ability of plaintiff to finance the business and the purchase of equipment and facilities necessary to engage in the business"; and 4) "The consummation of contracts by plaintiff[.]" </w:t>
      </w:r>
      <w:r>
        <w:rPr>
          <w:rFonts w:ascii="arial" w:eastAsia="arial" w:hAnsi="arial" w:cs="arial"/>
          <w:b w:val="0"/>
          <w:i/>
          <w:strike w:val="0"/>
          <w:noProof w:val="0"/>
          <w:color w:val="000000"/>
          <w:position w:val="0"/>
          <w:sz w:val="20"/>
          <w:u w:val="none"/>
          <w:vertAlign w:val="baseline"/>
        </w:rPr>
        <w:t xml:space="preserve">See </w:t>
      </w:r>
      <w:bookmarkStart w:id="114" w:name="Bookmark_I5S8NDKX28T4KK0020000400"/>
      <w:bookmarkEnd w:id="114"/>
      <w:hyperlink r:id="rId26" w:history="1">
        <w:r>
          <w:rPr>
            <w:rFonts w:ascii="arial" w:eastAsia="arial" w:hAnsi="arial" w:cs="arial"/>
            <w:b w:val="0"/>
            <w:i/>
            <w:strike w:val="0"/>
            <w:noProof w:val="0"/>
            <w:color w:val="0077CC"/>
            <w:position w:val="0"/>
            <w:sz w:val="20"/>
            <w:u w:val="single"/>
            <w:vertAlign w:val="baseline"/>
          </w:rPr>
          <w:t>Solinger</w:t>
        </w:r>
      </w:hyperlink>
      <w:hyperlink r:id="rId26" w:history="1">
        <w:r>
          <w:rPr>
            <w:rFonts w:ascii="arial" w:eastAsia="arial" w:hAnsi="arial" w:cs="arial"/>
            <w:b w:val="0"/>
            <w:i/>
            <w:strike w:val="0"/>
            <w:noProof w:val="0"/>
            <w:color w:val="0077CC"/>
            <w:position w:val="0"/>
            <w:sz w:val="20"/>
            <w:u w:val="single"/>
            <w:vertAlign w:val="baseline"/>
          </w:rPr>
          <w:t>, 586 F.2d at 1310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para_26"/>
      <w:bookmarkEnd w:id="115"/>
      <w:bookmarkStart w:id="116" w:name="Bookmark_I5S8NDKX28T4KK0050000400"/>
      <w:bookmarkEnd w:id="116"/>
      <w:r>
        <w:rPr>
          <w:rFonts w:ascii="arial" w:eastAsia="arial" w:hAnsi="arial" w:cs="arial"/>
          <w:b w:val="0"/>
          <w:i w:val="0"/>
          <w:strike w:val="0"/>
          <w:noProof w:val="0"/>
          <w:color w:val="000000"/>
          <w:position w:val="0"/>
          <w:sz w:val="20"/>
          <w:u w:val="none"/>
          <w:vertAlign w:val="baseline"/>
        </w:rPr>
        <w:t xml:space="preserve">Here, at the motion to dismiss stage — at which the Court draws all inferences in favor of the plaintiff, </w:t>
      </w:r>
      <w:r>
        <w:rPr>
          <w:rFonts w:ascii="arial" w:eastAsia="arial" w:hAnsi="arial" w:cs="arial"/>
          <w:b w:val="0"/>
          <w:i/>
          <w:strike w:val="0"/>
          <w:noProof w:val="0"/>
          <w:color w:val="000000"/>
          <w:position w:val="0"/>
          <w:sz w:val="20"/>
          <w:u w:val="none"/>
          <w:vertAlign w:val="baseline"/>
        </w:rPr>
        <w:t xml:space="preserve">see </w:t>
      </w:r>
      <w:bookmarkStart w:id="117" w:name="Bookmark_I5S8NDKX28T4KK0040000400"/>
      <w:bookmarkEnd w:id="117"/>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the FAC's allegation that SCICo selected Curtin as a finalist in the RFP process is sufficient to allege that Curtin was a potential competitor. </w:t>
      </w:r>
      <w:bookmarkStart w:id="118" w:name="Bookmark_I5S8NDKX2N1PN10020000400"/>
      <w:bookmarkEnd w:id="118"/>
      <w:r>
        <w:rPr>
          <w:rFonts w:ascii="arial" w:eastAsia="arial" w:hAnsi="arial" w:cs="arial"/>
          <w:b w:val="0"/>
          <w:i w:val="0"/>
          <w:strike w:val="0"/>
          <w:noProof w:val="0"/>
          <w:color w:val="000000"/>
          <w:position w:val="0"/>
          <w:sz w:val="20"/>
          <w:u w:val="none"/>
          <w:vertAlign w:val="baseline"/>
        </w:rPr>
        <w:t xml:space="preserve">Indeed, the only other finalists were AFS, the ultimate winner of the RFP, and CFL, the prior leasee of the Pebbly Beach Facility. The FAC alleges that the submitted proposals would be evaluated in light of each competing companys' "(1) management, organization and personnel; (2) equipment capabilities; (3) operational capabilities; and (4) maintenance capabilities." Thus, Curtin's selection as a finalist inferentially supports all four </w:t>
      </w:r>
      <w:r>
        <w:rPr>
          <w:rFonts w:ascii="arial" w:eastAsia="arial" w:hAnsi="arial" w:cs="arial"/>
          <w:b w:val="0"/>
          <w:i/>
          <w:strike w:val="0"/>
          <w:noProof w:val="0"/>
          <w:color w:val="000000"/>
          <w:position w:val="0"/>
          <w:sz w:val="20"/>
          <w:u w:val="none"/>
          <w:vertAlign w:val="baseline"/>
        </w:rPr>
        <w:t>Solinger</w:t>
      </w:r>
      <w:r>
        <w:rPr>
          <w:rFonts w:ascii="arial" w:eastAsia="arial" w:hAnsi="arial" w:cs="arial"/>
          <w:b w:val="0"/>
          <w:i w:val="0"/>
          <w:strike w:val="0"/>
          <w:noProof w:val="0"/>
          <w:color w:val="000000"/>
          <w:position w:val="0"/>
          <w:sz w:val="20"/>
          <w:u w:val="none"/>
          <w:vertAlign w:val="baseline"/>
        </w:rPr>
        <w:t xml:space="preserve"> factors. </w:t>
      </w:r>
      <w:bookmarkStart w:id="119" w:name="Bookmark_I5S8NDKX2N1PN10020000400_2"/>
      <w:bookmarkEnd w:id="119"/>
      <w:r>
        <w:rPr>
          <w:rFonts w:ascii="arial" w:eastAsia="arial" w:hAnsi="arial" w:cs="arial"/>
          <w:b w:val="0"/>
          <w:i/>
          <w:strike w:val="0"/>
          <w:noProof w:val="0"/>
          <w:color w:val="000000"/>
          <w:position w:val="0"/>
          <w:sz w:val="20"/>
          <w:u w:val="none"/>
          <w:vertAlign w:val="baseline"/>
        </w:rPr>
        <w:t xml:space="preserve">See </w:t>
      </w:r>
      <w:bookmarkStart w:id="120" w:name="Bookmark_I5S8NDKX2N1PN10010000400"/>
      <w:bookmarkEnd w:id="120"/>
      <w:hyperlink r:id="rId26" w:history="1">
        <w:r>
          <w:rPr>
            <w:rFonts w:ascii="arial" w:eastAsia="arial" w:hAnsi="arial" w:cs="arial"/>
            <w:b w:val="0"/>
            <w:i/>
            <w:strike w:val="0"/>
            <w:noProof w:val="0"/>
            <w:color w:val="0077CC"/>
            <w:position w:val="0"/>
            <w:sz w:val="20"/>
            <w:u w:val="single"/>
            <w:vertAlign w:val="baseline"/>
          </w:rPr>
          <w:t>Solinger</w:t>
        </w:r>
      </w:hyperlink>
      <w:hyperlink r:id="rId26" w:history="1">
        <w:r>
          <w:rPr>
            <w:rFonts w:ascii="arial" w:eastAsia="arial" w:hAnsi="arial" w:cs="arial"/>
            <w:b w:val="0"/>
            <w:i/>
            <w:strike w:val="0"/>
            <w:noProof w:val="0"/>
            <w:color w:val="0077CC"/>
            <w:position w:val="0"/>
            <w:sz w:val="20"/>
            <w:u w:val="single"/>
            <w:vertAlign w:val="baseline"/>
          </w:rPr>
          <w:t>, 586 F.2d at 1309-10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27"/>
      <w:bookmarkEnd w:id="121"/>
      <w:r>
        <w:rPr>
          <w:rFonts w:ascii="arial" w:eastAsia="arial" w:hAnsi="arial" w:cs="arial"/>
          <w:b w:val="0"/>
          <w:i w:val="0"/>
          <w:strike w:val="0"/>
          <w:noProof w:val="0"/>
          <w:color w:val="000000"/>
          <w:position w:val="0"/>
          <w:sz w:val="20"/>
          <w:u w:val="none"/>
          <w:vertAlign w:val="baseline"/>
        </w:rPr>
        <w:t xml:space="preserve">Therefore, the FAC fails to sufficiently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with respect to the Exclusive Lease SCICo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granted AFS. The FAC, however, sufficiently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with respect to the allegations that the RFP process was a sham and that AFS and SCICo entered into a secret agreement violative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The Exclusive Dealing Claim Under </w:t>
      </w:r>
      <w:r>
        <w:rPr>
          <w:rFonts w:ascii="arial" w:eastAsia="arial" w:hAnsi="arial" w:cs="arial"/>
          <w:b/>
          <w:i/>
          <w:strike w:val="0"/>
          <w:noProof w:val="0"/>
          <w:color w:val="000000"/>
          <w:position w:val="0"/>
          <w:sz w:val="20"/>
          <w:u w:val="none"/>
          <w:vertAlign w:val="baseline"/>
        </w:rPr>
        <w:t>§ 1</w:t>
      </w:r>
      <w:r>
        <w:rPr>
          <w:rFonts w:ascii="arial" w:eastAsia="arial" w:hAnsi="arial" w:cs="arial"/>
          <w:b/>
          <w:i w:val="0"/>
          <w:strike w:val="0"/>
          <w:noProof w:val="0"/>
          <w:color w:val="000000"/>
          <w:position w:val="0"/>
          <w:sz w:val="20"/>
          <w:u w:val="none"/>
          <w:vertAlign w:val="baseline"/>
        </w:rPr>
        <w:t xml:space="preserve"> of the Sherman Act</w:t>
      </w:r>
    </w:p>
    <w:p>
      <w:pPr>
        <w:keepNext w:val="0"/>
        <w:widowControl w:val="0"/>
        <w:spacing w:before="200" w:after="0" w:line="260" w:lineRule="atLeast"/>
        <w:ind w:left="0" w:right="0" w:firstLine="0"/>
        <w:jc w:val="both"/>
      </w:pPr>
      <w:bookmarkStart w:id="122" w:name="Bookmark_para_28"/>
      <w:bookmarkEnd w:id="122"/>
      <w:r>
        <w:rPr>
          <w:rFonts w:ascii="arial" w:eastAsia="arial" w:hAnsi="arial" w:cs="arial"/>
          <w:b w:val="0"/>
          <w:i w:val="0"/>
          <w:strike w:val="0"/>
          <w:noProof w:val="0"/>
          <w:color w:val="000000"/>
          <w:position w:val="0"/>
          <w:sz w:val="20"/>
          <w:u w:val="none"/>
          <w:vertAlign w:val="baseline"/>
        </w:rPr>
        <w:t xml:space="preserve">The FAC's second claim — unlawful exclusive dealing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 is entirely based on "[t]he long-term exclusive lease between SCICo and AFS for use of the Pebbly Beach facility[.]" Curtin alleges that "Defendants' exclusive dealing arrangements constitute an unreasonable restraint of trade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As discussed above, allegations based solely on the Exclusive Lease are not cognizable because such allegations fail to sufficiently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Accordingly, because Curtin's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is based entirely on the Exclusive Lease, the FAC fails to sufficiently state its second claim.</w:t>
      </w:r>
    </w:p>
    <w:p>
      <w:pPr>
        <w:keepNext w:val="0"/>
        <w:widowControl w:val="0"/>
        <w:spacing w:before="240" w:after="0" w:line="260" w:lineRule="atLeast"/>
        <w:ind w:left="0" w:right="0" w:firstLine="0"/>
        <w:jc w:val="both"/>
      </w:pPr>
      <w:bookmarkStart w:id="123" w:name="Bookmark_para_29"/>
      <w:bookmarkEnd w:id="123"/>
      <w:bookmarkStart w:id="124" w:name="Bookmark_I5S8NDKX2N1PN10040000400"/>
      <w:bookmarkEnd w:id="124"/>
      <w:r>
        <w:rPr>
          <w:rFonts w:ascii="arial" w:eastAsia="arial" w:hAnsi="arial" w:cs="arial"/>
          <w:b w:val="0"/>
          <w:i w:val="0"/>
          <w:strike w:val="0"/>
          <w:noProof w:val="0"/>
          <w:color w:val="000000"/>
          <w:position w:val="0"/>
          <w:sz w:val="20"/>
          <w:u w:val="none"/>
          <w:vertAlign w:val="baseline"/>
        </w:rPr>
        <w:t xml:space="preserve">In its opposition, Curtin argued that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was sufficiently pled because there is "no rational or legitimate business justification for both the selection of AFS and the exclusivity terms in its lease with AFS." This point is moot, however, because, without more, the FAC's allegations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regarding SCICo's selection of AFS and the exclusivity of the lease terms fail to sufficiently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25" w:name="Bookmark_I5S8NDKX2SF7MC0010000400"/>
      <w:bookmarkEnd w:id="125"/>
      <w:r>
        <w:rPr>
          <w:rFonts w:ascii="arial" w:eastAsia="arial" w:hAnsi="arial" w:cs="arial"/>
          <w:b w:val="0"/>
          <w:i/>
          <w:strike w:val="0"/>
          <w:noProof w:val="0"/>
          <w:color w:val="000000"/>
          <w:position w:val="0"/>
          <w:sz w:val="20"/>
          <w:u w:val="none"/>
          <w:vertAlign w:val="baseline"/>
        </w:rPr>
        <w:t xml:space="preserve">See </w:t>
      </w:r>
      <w:bookmarkStart w:id="126" w:name="Bookmark_I5S8NDKX2N1PN10030000400"/>
      <w:bookmarkEnd w:id="126"/>
      <w:hyperlink r:id="rId8" w:history="1">
        <w:r>
          <w:rPr>
            <w:rFonts w:ascii="arial" w:eastAsia="arial" w:hAnsi="arial" w:cs="arial"/>
            <w:b w:val="0"/>
            <w:i/>
            <w:strike w:val="0"/>
            <w:noProof w:val="0"/>
            <w:color w:val="0077CC"/>
            <w:position w:val="0"/>
            <w:sz w:val="20"/>
            <w:u w:val="single"/>
            <w:vertAlign w:val="baseline"/>
          </w:rPr>
          <w:t>Lucas Auto. Eng'g, Inc.</w:t>
        </w:r>
      </w:hyperlink>
      <w:hyperlink r:id="rId8" w:history="1">
        <w:r>
          <w:rPr>
            <w:rFonts w:ascii="arial" w:eastAsia="arial" w:hAnsi="arial" w:cs="arial"/>
            <w:b w:val="0"/>
            <w:i/>
            <w:strike w:val="0"/>
            <w:noProof w:val="0"/>
            <w:color w:val="0077CC"/>
            <w:position w:val="0"/>
            <w:sz w:val="20"/>
            <w:u w:val="single"/>
            <w:vertAlign w:val="baseline"/>
          </w:rPr>
          <w:t>, 140 F.3d at 1233</w:t>
        </w:r>
      </w:hyperlink>
      <w:r>
        <w:rPr>
          <w:rFonts w:ascii="arial" w:eastAsia="arial" w:hAnsi="arial" w:cs="arial"/>
          <w:b w:val="0"/>
          <w:i w:val="0"/>
          <w:strike w:val="0"/>
          <w:noProof w:val="0"/>
          <w:color w:val="000000"/>
          <w:position w:val="0"/>
          <w:sz w:val="20"/>
          <w:u w:val="none"/>
          <w:vertAlign w:val="baseline"/>
        </w:rPr>
        <w:t xml:space="preserve">. Curtin's opposition, also, in effect, suggests that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is sufficiently plead to the extent that it alleges a conspiracy in which,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RFP process . . . served only to give the [Defendants'] . . . arrangement the appearance of legitimacy." However, Curtin's second claim is expressly premised on the plain terms of the Exclusive Lease. </w:t>
      </w:r>
      <w:bookmarkStart w:id="127" w:name="Bookmark_I5S8NDKX2SF7MC0010000400_2"/>
      <w:bookmarkEnd w:id="127"/>
      <w:bookmarkStart w:id="128" w:name="Bookmark_I5S8NDKX2SF7MC0030000400"/>
      <w:bookmarkEnd w:id="128"/>
      <w:r>
        <w:rPr>
          <w:rFonts w:ascii="arial" w:eastAsia="arial" w:hAnsi="arial" w:cs="arial"/>
          <w:b w:val="0"/>
          <w:i w:val="0"/>
          <w:strike w:val="0"/>
          <w:noProof w:val="0"/>
          <w:color w:val="000000"/>
          <w:position w:val="0"/>
          <w:sz w:val="20"/>
          <w:u w:val="none"/>
          <w:vertAlign w:val="baseline"/>
        </w:rPr>
        <w:t xml:space="preserve">While plaintiffs may "disaggregate particular conduct from" an otherwise lawful agreement "and submit that conduct to individual scrutiny[,]" plaintiffs have not done so here. </w:t>
      </w:r>
      <w:r>
        <w:rPr>
          <w:rFonts w:ascii="arial" w:eastAsia="arial" w:hAnsi="arial" w:cs="arial"/>
          <w:b w:val="0"/>
          <w:i/>
          <w:strike w:val="0"/>
          <w:noProof w:val="0"/>
          <w:color w:val="000000"/>
          <w:position w:val="0"/>
          <w:sz w:val="20"/>
          <w:u w:val="none"/>
          <w:vertAlign w:val="baseline"/>
        </w:rPr>
        <w:t xml:space="preserve">See </w:t>
      </w:r>
      <w:bookmarkStart w:id="129" w:name="Bookmark_I5S8NDKX2N1PN10050000400"/>
      <w:bookmarkEnd w:id="129"/>
      <w:hyperlink r:id="rId27" w:history="1">
        <w:r>
          <w:rPr>
            <w:rFonts w:ascii="arial" w:eastAsia="arial" w:hAnsi="arial" w:cs="arial"/>
            <w:b w:val="0"/>
            <w:i/>
            <w:strike w:val="0"/>
            <w:noProof w:val="0"/>
            <w:color w:val="0077CC"/>
            <w:position w:val="0"/>
            <w:sz w:val="20"/>
            <w:u w:val="single"/>
            <w:vertAlign w:val="baseline"/>
          </w:rPr>
          <w:t xml:space="preserve">In re ATM Fee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554 F. Supp. 2d 1003, 1012 (N.D. Cal. 2008)</w:t>
        </w:r>
      </w:hyperlink>
      <w:r>
        <w:rPr>
          <w:rFonts w:ascii="arial" w:eastAsia="arial" w:hAnsi="arial" w:cs="arial"/>
          <w:b w:val="0"/>
          <w:i w:val="0"/>
          <w:strike w:val="0"/>
          <w:noProof w:val="0"/>
          <w:color w:val="000000"/>
          <w:position w:val="0"/>
          <w:sz w:val="20"/>
          <w:u w:val="none"/>
          <w:vertAlign w:val="baseline"/>
        </w:rPr>
        <w:t xml:space="preserve">. </w:t>
      </w:r>
      <w:bookmarkStart w:id="130" w:name="Bookmark_I5S8NDKX2SF7MC0030000400_2"/>
      <w:bookmarkEnd w:id="130"/>
      <w:r>
        <w:rPr>
          <w:rFonts w:ascii="arial" w:eastAsia="arial" w:hAnsi="arial" w:cs="arial"/>
          <w:b w:val="0"/>
          <w:i w:val="0"/>
          <w:strike w:val="0"/>
          <w:noProof w:val="0"/>
          <w:color w:val="000000"/>
          <w:position w:val="0"/>
          <w:sz w:val="20"/>
          <w:u w:val="none"/>
          <w:vertAlign w:val="baseline"/>
        </w:rPr>
        <w:t xml:space="preserve">Thus, the FAC's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fails to sufficiently state a claim because the allegations concerning the exclusive dealing arrangement, without more, fail to sufficiently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w:t>
      </w:r>
      <w:bookmarkStart w:id="131" w:name="Bookmark_I5S8NDKX2SF7MC0020000400"/>
      <w:bookmarkEnd w:id="131"/>
      <w:hyperlink r:id="rId8" w:history="1">
        <w:r>
          <w:rPr>
            <w:rFonts w:ascii="arial" w:eastAsia="arial" w:hAnsi="arial" w:cs="arial"/>
            <w:b w:val="0"/>
            <w:i/>
            <w:strike w:val="0"/>
            <w:noProof w:val="0"/>
            <w:color w:val="0077CC"/>
            <w:position w:val="0"/>
            <w:sz w:val="20"/>
            <w:u w:val="single"/>
            <w:vertAlign w:val="baseline"/>
          </w:rPr>
          <w:t>Lucas Auto. Eng'g, Inc.</w:t>
        </w:r>
      </w:hyperlink>
      <w:hyperlink r:id="rId8" w:history="1">
        <w:r>
          <w:rPr>
            <w:rFonts w:ascii="arial" w:eastAsia="arial" w:hAnsi="arial" w:cs="arial"/>
            <w:b w:val="0"/>
            <w:i/>
            <w:strike w:val="0"/>
            <w:noProof w:val="0"/>
            <w:color w:val="0077CC"/>
            <w:position w:val="0"/>
            <w:sz w:val="20"/>
            <w:u w:val="single"/>
            <w:vertAlign w:val="baseline"/>
          </w:rPr>
          <w:t>, 140 F.3d at 1233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The Monopoly Claim Under </w:t>
      </w:r>
      <w:r>
        <w:rPr>
          <w:rFonts w:ascii="arial" w:eastAsia="arial" w:hAnsi="arial" w:cs="arial"/>
          <w:b/>
          <w:i/>
          <w:strike w:val="0"/>
          <w:noProof w:val="0"/>
          <w:color w:val="000000"/>
          <w:position w:val="0"/>
          <w:sz w:val="20"/>
          <w:u w:val="none"/>
          <w:vertAlign w:val="baseline"/>
        </w:rPr>
        <w:t>§ 2</w:t>
      </w:r>
      <w:r>
        <w:rPr>
          <w:rFonts w:ascii="arial" w:eastAsia="arial" w:hAnsi="arial" w:cs="arial"/>
          <w:b/>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both"/>
      </w:pPr>
      <w:bookmarkStart w:id="132" w:name="Bookmark_para_30"/>
      <w:bookmarkEnd w:id="132"/>
      <w:bookmarkStart w:id="133" w:name="Bookmark_I5S8NDKX2SF7MC0050000400"/>
      <w:bookmarkEnd w:id="133"/>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unlawful to,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"monopolize. . . any part of the trade or commerce among the several States[.]"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134" w:name="Bookmark_I5S8NDKX2N1PN20020000400"/>
      <w:bookmarkEnd w:id="134"/>
      <w:r>
        <w:rPr>
          <w:rFonts w:ascii="arial" w:eastAsia="arial" w:hAnsi="arial" w:cs="arial"/>
          <w:b w:val="0"/>
          <w:i w:val="0"/>
          <w:strike w:val="0"/>
          <w:noProof w:val="0"/>
          <w:color w:val="000000"/>
          <w:position w:val="0"/>
          <w:sz w:val="20"/>
          <w:u w:val="none"/>
          <w:vertAlign w:val="baseline"/>
        </w:rPr>
        <w:t xml:space="preserve">Monopoly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can be asserted only against singular entities that can exert their power unilaterally. </w:t>
      </w:r>
      <w:bookmarkStart w:id="135" w:name="Bookmark_I5S8NDKX2SF7MC0040000400"/>
      <w:bookmarkEnd w:id="135"/>
      <w:hyperlink r:id="rId28" w:history="1">
        <w:r>
          <w:rPr>
            <w:rFonts w:ascii="arial" w:eastAsia="arial" w:hAnsi="arial" w:cs="arial"/>
            <w:b w:val="0"/>
            <w:i/>
            <w:strike w:val="0"/>
            <w:noProof w:val="0"/>
            <w:color w:val="0077CC"/>
            <w:position w:val="0"/>
            <w:sz w:val="20"/>
            <w:u w:val="single"/>
            <w:vertAlign w:val="baseline"/>
          </w:rPr>
          <w:t>Rebel Oil Co. v. Atl. Richfield Co.</w:t>
        </w:r>
      </w:hyperlink>
      <w:hyperlink r:id="rId28" w:history="1">
        <w:r>
          <w:rPr>
            <w:rFonts w:ascii="arial" w:eastAsia="arial" w:hAnsi="arial" w:cs="arial"/>
            <w:b w:val="0"/>
            <w:i/>
            <w:strike w:val="0"/>
            <w:noProof w:val="0"/>
            <w:color w:val="0077CC"/>
            <w:position w:val="0"/>
            <w:sz w:val="20"/>
            <w:u w:val="single"/>
            <w:vertAlign w:val="baseline"/>
          </w:rPr>
          <w:t>, 51 F.3d 1421, 1443 (9th Cir. 1995)</w:t>
        </w:r>
      </w:hyperlink>
      <w:r>
        <w:rPr>
          <w:rFonts w:ascii="arial" w:eastAsia="arial" w:hAnsi="arial" w:cs="arial"/>
          <w:b w:val="0"/>
          <w:i w:val="0"/>
          <w:strike w:val="0"/>
          <w:noProof w:val="0"/>
          <w:color w:val="000000"/>
          <w:position w:val="0"/>
          <w:sz w:val="20"/>
          <w:u w:val="none"/>
          <w:vertAlign w:val="baseline"/>
        </w:rPr>
        <w:t xml:space="preserve">. </w:t>
      </w:r>
      <w:bookmarkStart w:id="136" w:name="Bookmark_I5S8NDKX2N1PN20020000400_2"/>
      <w:bookmarkEnd w:id="136"/>
      <w:r>
        <w:rPr>
          <w:rFonts w:ascii="arial" w:eastAsia="arial" w:hAnsi="arial" w:cs="arial"/>
          <w:b w:val="0"/>
          <w:i w:val="0"/>
          <w:strike w:val="0"/>
          <w:noProof w:val="0"/>
          <w:color w:val="000000"/>
          <w:position w:val="0"/>
          <w:sz w:val="20"/>
          <w:u w:val="none"/>
          <w:vertAlign w:val="baseline"/>
        </w:rPr>
        <w:t>Multiple entities, such as AFS and SCICo,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are viewed as singular entities "[w]here there is substantial </w:t>
      </w:r>
      <w:r>
        <w:rPr>
          <w:rFonts w:ascii="arial" w:eastAsia="arial" w:hAnsi="arial" w:cs="arial"/>
          <w:b w:val="0"/>
          <w:i/>
          <w:strike w:val="0"/>
          <w:noProof w:val="0"/>
          <w:color w:val="000000"/>
          <w:position w:val="0"/>
          <w:sz w:val="20"/>
          <w:u w:val="none"/>
          <w:vertAlign w:val="baseline"/>
        </w:rPr>
        <w:t>common</w:t>
      </w:r>
      <w:r>
        <w:rPr>
          <w:rFonts w:ascii="arial" w:eastAsia="arial" w:hAnsi="arial" w:cs="arial"/>
          <w:b w:val="0"/>
          <w:i w:val="0"/>
          <w:strike w:val="0"/>
          <w:noProof w:val="0"/>
          <w:color w:val="000000"/>
          <w:position w:val="0"/>
          <w:sz w:val="20"/>
          <w:u w:val="none"/>
          <w:vertAlign w:val="baseline"/>
        </w:rPr>
        <w:t xml:space="preserve"> ownership, a fiduciary obligation to act for another entity's economic benefit or an agreement to divide profits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losses[.]" </w:t>
      </w:r>
      <w:r>
        <w:rPr>
          <w:rFonts w:ascii="arial" w:eastAsia="arial" w:hAnsi="arial" w:cs="arial"/>
          <w:b w:val="0"/>
          <w:i/>
          <w:strike w:val="0"/>
          <w:noProof w:val="0"/>
          <w:color w:val="000000"/>
          <w:position w:val="0"/>
          <w:sz w:val="20"/>
          <w:u w:val="none"/>
          <w:vertAlign w:val="baseline"/>
        </w:rPr>
        <w:t xml:space="preserve">See </w:t>
      </w:r>
      <w:bookmarkStart w:id="137" w:name="Bookmark_I5S8NDKX2N1PN20010000400"/>
      <w:bookmarkEnd w:id="137"/>
      <w:hyperlink r:id="rId29" w:history="1">
        <w:r>
          <w:rPr>
            <w:rFonts w:ascii="arial" w:eastAsia="arial" w:hAnsi="arial" w:cs="arial"/>
            <w:b w:val="0"/>
            <w:i/>
            <w:strike w:val="0"/>
            <w:noProof w:val="0"/>
            <w:color w:val="0077CC"/>
            <w:position w:val="0"/>
            <w:sz w:val="20"/>
            <w:u w:val="single"/>
            <w:vertAlign w:val="baseline"/>
          </w:rPr>
          <w:t>Freeman v. San Diego Ass'n of Realtors</w:t>
        </w:r>
      </w:hyperlink>
      <w:hyperlink r:id="rId29" w:history="1">
        <w:r>
          <w:rPr>
            <w:rFonts w:ascii="arial" w:eastAsia="arial" w:hAnsi="arial" w:cs="arial"/>
            <w:b w:val="0"/>
            <w:i/>
            <w:strike w:val="0"/>
            <w:noProof w:val="0"/>
            <w:color w:val="0077CC"/>
            <w:position w:val="0"/>
            <w:sz w:val="20"/>
            <w:u w:val="single"/>
            <w:vertAlign w:val="baseline"/>
          </w:rPr>
          <w:t>, 322 F.3d 1133, 1148 (9th Cir. 2003)</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38" w:name="Bookmark_para_31"/>
      <w:bookmarkEnd w:id="138"/>
      <w:bookmarkStart w:id="139" w:name="Bookmark_I5S8NDKX2N1PN20040000400"/>
      <w:bookmarkEnd w:id="139"/>
      <w:r>
        <w:rPr>
          <w:rFonts w:ascii="arial" w:eastAsia="arial" w:hAnsi="arial" w:cs="arial"/>
          <w:b w:val="0"/>
          <w:i w:val="0"/>
          <w:strike w:val="0"/>
          <w:noProof w:val="0"/>
          <w:color w:val="000000"/>
          <w:position w:val="0"/>
          <w:sz w:val="20"/>
          <w:u w:val="none"/>
          <w:vertAlign w:val="baseline"/>
        </w:rPr>
        <w:t xml:space="preserve">Here, while the FAC alleges that Defendants are linked through a web of common and interrelated business interests, it fails to allege that this "web" includes substantial </w:t>
      </w:r>
      <w:r>
        <w:rPr>
          <w:rFonts w:ascii="arial" w:eastAsia="arial" w:hAnsi="arial" w:cs="arial"/>
          <w:b w:val="0"/>
          <w:i/>
          <w:strike w:val="0"/>
          <w:noProof w:val="0"/>
          <w:color w:val="000000"/>
          <w:position w:val="0"/>
          <w:sz w:val="20"/>
          <w:u w:val="none"/>
          <w:vertAlign w:val="baseline"/>
        </w:rPr>
        <w:t>common</w:t>
      </w:r>
      <w:r>
        <w:rPr>
          <w:rFonts w:ascii="arial" w:eastAsia="arial" w:hAnsi="arial" w:cs="arial"/>
          <w:b w:val="0"/>
          <w:i w:val="0"/>
          <w:strike w:val="0"/>
          <w:noProof w:val="0"/>
          <w:color w:val="000000"/>
          <w:position w:val="0"/>
          <w:sz w:val="20"/>
          <w:u w:val="none"/>
          <w:vertAlign w:val="baseline"/>
        </w:rPr>
        <w:t xml:space="preserve"> ownership or gives rise to fiduciary relationships. </w:t>
      </w:r>
      <w:bookmarkStart w:id="140" w:name="Bookmark_I5S8NDKX2HM6GN0010000400"/>
      <w:bookmarkEnd w:id="140"/>
      <w:r>
        <w:rPr>
          <w:rFonts w:ascii="arial" w:eastAsia="arial" w:hAnsi="arial" w:cs="arial"/>
          <w:b w:val="0"/>
          <w:i/>
          <w:strike w:val="0"/>
          <w:noProof w:val="0"/>
          <w:color w:val="000000"/>
          <w:position w:val="0"/>
          <w:sz w:val="20"/>
          <w:u w:val="none"/>
          <w:vertAlign w:val="baseline"/>
        </w:rPr>
        <w:t xml:space="preserve">See </w:t>
      </w:r>
      <w:bookmarkStart w:id="141" w:name="Bookmark_I5S8NDKX2N1PN20030000400"/>
      <w:bookmarkEnd w:id="141"/>
      <w:hyperlink r:id="rId29" w:history="1">
        <w:r>
          <w:rPr>
            <w:rFonts w:ascii="arial" w:eastAsia="arial" w:hAnsi="arial" w:cs="arial"/>
            <w:b w:val="0"/>
            <w:i/>
            <w:strike w:val="0"/>
            <w:noProof w:val="0"/>
            <w:color w:val="0077CC"/>
            <w:position w:val="0"/>
            <w:sz w:val="20"/>
            <w:u w:val="single"/>
            <w:vertAlign w:val="baseline"/>
          </w:rPr>
          <w:t>Freeman</w:t>
        </w:r>
      </w:hyperlink>
      <w:hyperlink r:id="rId29" w:history="1">
        <w:r>
          <w:rPr>
            <w:rFonts w:ascii="arial" w:eastAsia="arial" w:hAnsi="arial" w:cs="arial"/>
            <w:b w:val="0"/>
            <w:i/>
            <w:strike w:val="0"/>
            <w:noProof w:val="0"/>
            <w:color w:val="0077CC"/>
            <w:position w:val="0"/>
            <w:sz w:val="20"/>
            <w:u w:val="single"/>
            <w:vertAlign w:val="baseline"/>
          </w:rPr>
          <w:t>, 322 F.3d at 1148</w:t>
        </w:r>
      </w:hyperlink>
      <w:r>
        <w:rPr>
          <w:rFonts w:ascii="arial" w:eastAsia="arial" w:hAnsi="arial" w:cs="arial"/>
          <w:b w:val="0"/>
          <w:i w:val="0"/>
          <w:strike w:val="0"/>
          <w:noProof w:val="0"/>
          <w:color w:val="000000"/>
          <w:position w:val="0"/>
          <w:sz w:val="20"/>
          <w:u w:val="none"/>
          <w:vertAlign w:val="baseline"/>
        </w:rPr>
        <w:t xml:space="preserve">. Further, although the FAC alleges that AFS agreed to share profits with SCICo, there are no allegations that SCICo agreed to do the same, or that either AFS or SCICo agreed to share </w:t>
      </w:r>
      <w:r>
        <w:rPr>
          <w:rFonts w:ascii="arial" w:eastAsia="arial" w:hAnsi="arial" w:cs="arial"/>
          <w:b w:val="0"/>
          <w:i/>
          <w:strike w:val="0"/>
          <w:noProof w:val="0"/>
          <w:color w:val="000000"/>
          <w:position w:val="0"/>
          <w:sz w:val="20"/>
          <w:u w:val="none"/>
          <w:vertAlign w:val="baseline"/>
        </w:rPr>
        <w:t>losses</w:t>
      </w:r>
      <w:r>
        <w:rPr>
          <w:rFonts w:ascii="arial" w:eastAsia="arial" w:hAnsi="arial" w:cs="arial"/>
          <w:b w:val="0"/>
          <w:i w:val="0"/>
          <w:strike w:val="0"/>
          <w:noProof w:val="0"/>
          <w:color w:val="000000"/>
          <w:position w:val="0"/>
          <w:sz w:val="20"/>
          <w:u w:val="none"/>
          <w:vertAlign w:val="baseline"/>
        </w:rPr>
        <w:t xml:space="preserve"> with the other. </w:t>
      </w:r>
      <w:bookmarkStart w:id="142" w:name="Bookmark_I5S8NDKX2HM6GN0010000400_2"/>
      <w:bookmarkEnd w:id="142"/>
      <w:r>
        <w:rPr>
          <w:rFonts w:ascii="arial" w:eastAsia="arial" w:hAnsi="arial" w:cs="arial"/>
          <w:b w:val="0"/>
          <w:i/>
          <w:strike w:val="0"/>
          <w:noProof w:val="0"/>
          <w:color w:val="000000"/>
          <w:position w:val="0"/>
          <w:sz w:val="20"/>
          <w:u w:val="none"/>
          <w:vertAlign w:val="baseline"/>
        </w:rPr>
        <w:t xml:space="preserve">See </w:t>
      </w:r>
      <w:bookmarkStart w:id="143" w:name="Bookmark_I5S8NDKX2N1PN20050000400"/>
      <w:bookmarkEnd w:id="143"/>
      <w:hyperlink r:id="rId29" w:history="1">
        <w:r>
          <w:rPr>
            <w:rFonts w:ascii="arial" w:eastAsia="arial" w:hAnsi="arial" w:cs="arial"/>
            <w:b w:val="0"/>
            <w:i/>
            <w:strike w:val="0"/>
            <w:noProof w:val="0"/>
            <w:color w:val="0077CC"/>
            <w:position w:val="0"/>
            <w:sz w:val="20"/>
            <w:u w:val="single"/>
            <w:vertAlign w:val="baseline"/>
          </w:rPr>
          <w:t>Freeman</w:t>
        </w:r>
      </w:hyperlink>
      <w:hyperlink r:id="rId29" w:history="1">
        <w:r>
          <w:rPr>
            <w:rFonts w:ascii="arial" w:eastAsia="arial" w:hAnsi="arial" w:cs="arial"/>
            <w:b w:val="0"/>
            <w:i/>
            <w:strike w:val="0"/>
            <w:noProof w:val="0"/>
            <w:color w:val="0077CC"/>
            <w:position w:val="0"/>
            <w:sz w:val="20"/>
            <w:u w:val="single"/>
            <w:vertAlign w:val="baseline"/>
          </w:rPr>
          <w:t>, 322 F.3d at 1148</w:t>
        </w:r>
      </w:hyperlink>
      <w:r>
        <w:rPr>
          <w:rFonts w:ascii="arial" w:eastAsia="arial" w:hAnsi="arial" w:cs="arial"/>
          <w:b w:val="0"/>
          <w:i w:val="0"/>
          <w:strike w:val="0"/>
          <w:noProof w:val="0"/>
          <w:color w:val="000000"/>
          <w:position w:val="0"/>
          <w:sz w:val="20"/>
          <w:u w:val="none"/>
          <w:vertAlign w:val="baseline"/>
        </w:rPr>
        <w:t xml:space="preserve">. Thus, the FAC fails to allege that Defendants constitute a singular entity. Consequently, the FAC fails to sufficiently allege the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Unfair Competition Law ["UCL"] Claim</w:t>
      </w:r>
    </w:p>
    <w:p>
      <w:pPr>
        <w:keepNext w:val="0"/>
        <w:widowControl w:val="0"/>
        <w:spacing w:before="240" w:after="0" w:line="260" w:lineRule="atLeast"/>
        <w:ind w:left="0" w:right="0" w:firstLine="0"/>
        <w:jc w:val="both"/>
      </w:pPr>
      <w:bookmarkStart w:id="144" w:name="Bookmark_para_32"/>
      <w:bookmarkEnd w:id="144"/>
      <w:r>
        <w:rPr>
          <w:rFonts w:ascii="arial" w:eastAsia="arial" w:hAnsi="arial" w:cs="arial"/>
          <w:b w:val="0"/>
          <w:i w:val="0"/>
          <w:strike w:val="0"/>
          <w:noProof w:val="0"/>
          <w:color w:val="000000"/>
          <w:position w:val="0"/>
          <w:sz w:val="20"/>
          <w:u w:val="none"/>
          <w:vertAlign w:val="baseline"/>
        </w:rPr>
        <w:t xml:space="preserve">The Court declines to exercise supplemental jurisdiction over the remaining state law UCL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Leave to Amend</w:t>
      </w:r>
    </w:p>
    <w:p>
      <w:pPr>
        <w:keepNext w:val="0"/>
        <w:widowControl w:val="0"/>
        <w:spacing w:before="240" w:after="0" w:line="260" w:lineRule="atLeast"/>
        <w:ind w:left="0" w:right="0" w:firstLine="0"/>
        <w:jc w:val="both"/>
      </w:pPr>
      <w:bookmarkStart w:id="145" w:name="Bookmark_para_33"/>
      <w:bookmarkEnd w:id="145"/>
      <w:hyperlink r:id="rId31" w:history="1">
        <w:r>
          <w:rPr>
            <w:rFonts w:ascii="arial" w:eastAsia="arial" w:hAnsi="arial" w:cs="arial"/>
            <w:b w:val="0"/>
            <w:i/>
            <w:strike w:val="0"/>
            <w:color w:val="0077CC"/>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provides that leave to amend should be freely given when justice so requires. </w:t>
      </w:r>
      <w:bookmarkStart w:id="146" w:name="Bookmark_I5S8NDKX2HM6GN0030000400"/>
      <w:bookmarkEnd w:id="146"/>
      <w:r>
        <w:rPr>
          <w:rFonts w:ascii="arial" w:eastAsia="arial" w:hAnsi="arial" w:cs="arial"/>
          <w:b w:val="0"/>
          <w:i w:val="0"/>
          <w:strike w:val="0"/>
          <w:noProof w:val="0"/>
          <w:color w:val="000000"/>
          <w:position w:val="0"/>
          <w:sz w:val="20"/>
          <w:u w:val="none"/>
          <w:vertAlign w:val="baseline"/>
        </w:rPr>
        <w:t xml:space="preserve">Here, Curtin has not sufficiently pled facts that make a plausible claim for relief; however, it has alleged certain facts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alleged Pre-RFP Agreement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 that, sufficiently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Other facts alleged in the FAC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Exclusive Lease — neither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nor support the claims asserted in the FAC. Accordingly, this case will be dismissed with leave to amend one last time. If Curtin files a Second Amended Complaint with pleading deficiencies, this case will then be dismissed with prejudice. </w:t>
      </w:r>
      <w:r>
        <w:rPr>
          <w:rFonts w:ascii="arial" w:eastAsia="arial" w:hAnsi="arial" w:cs="arial"/>
          <w:b w:val="0"/>
          <w:i/>
          <w:strike w:val="0"/>
          <w:noProof w:val="0"/>
          <w:color w:val="000000"/>
          <w:position w:val="0"/>
          <w:sz w:val="20"/>
          <w:u w:val="none"/>
          <w:vertAlign w:val="baseline"/>
        </w:rPr>
        <w:t xml:space="preserve">See </w:t>
      </w:r>
      <w:bookmarkStart w:id="147" w:name="Bookmark_I5S8NDKX2HM6GN0020000400"/>
      <w:bookmarkEnd w:id="147"/>
      <w:hyperlink r:id="rId32" w:history="1">
        <w:r>
          <w:rPr>
            <w:rFonts w:ascii="arial" w:eastAsia="arial" w:hAnsi="arial" w:cs="arial"/>
            <w:b w:val="0"/>
            <w:i/>
            <w:strike w:val="0"/>
            <w:noProof w:val="0"/>
            <w:color w:val="0077CC"/>
            <w:position w:val="0"/>
            <w:sz w:val="20"/>
            <w:u w:val="single"/>
            <w:vertAlign w:val="baseline"/>
          </w:rPr>
          <w:t>McGlinchy v. Shell Chemical Co.</w:t>
        </w:r>
      </w:hyperlink>
      <w:hyperlink r:id="rId32" w:history="1">
        <w:r>
          <w:rPr>
            <w:rFonts w:ascii="arial" w:eastAsia="arial" w:hAnsi="arial" w:cs="arial"/>
            <w:b w:val="0"/>
            <w:i/>
            <w:strike w:val="0"/>
            <w:noProof w:val="0"/>
            <w:color w:val="0077CC"/>
            <w:position w:val="0"/>
            <w:sz w:val="20"/>
            <w:u w:val="single"/>
            <w:vertAlign w:val="baseline"/>
          </w:rPr>
          <w:t>, 845 F.2d 802, 809-10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34"/>
      <w:bookmarkEnd w:id="148"/>
      <w:r>
        <w:rPr>
          <w:rFonts w:ascii="arial" w:eastAsia="arial" w:hAnsi="arial" w:cs="arial"/>
          <w:b w:val="0"/>
          <w:i w:val="0"/>
          <w:strike w:val="0"/>
          <w:noProof w:val="0"/>
          <w:color w:val="000000"/>
          <w:position w:val="0"/>
          <w:sz w:val="20"/>
          <w:u w:val="none"/>
          <w:vertAlign w:val="baseline"/>
        </w:rPr>
        <w:t>Accordingly,</w:t>
      </w:r>
    </w:p>
    <w:p>
      <w:pPr>
        <w:keepNext w:val="0"/>
        <w:widowControl w:val="0"/>
        <w:spacing w:before="200" w:after="0" w:line="260" w:lineRule="atLeast"/>
        <w:ind w:left="0" w:right="0" w:firstLine="0"/>
        <w:jc w:val="both"/>
      </w:pPr>
      <w:bookmarkStart w:id="149" w:name="Bookmark_para_35"/>
      <w:bookmarkEnd w:id="149"/>
      <w:r>
        <w:rPr>
          <w:rFonts w:ascii="arial" w:eastAsia="arial" w:hAnsi="arial" w:cs="arial"/>
          <w:b w:val="0"/>
          <w:i w:val="0"/>
          <w:strike w:val="0"/>
          <w:noProof w:val="0"/>
          <w:color w:val="000000"/>
          <w:position w:val="0"/>
          <w:sz w:val="20"/>
          <w:u w:val="none"/>
          <w:vertAlign w:val="baseline"/>
        </w:rPr>
        <w:t>It is Ordered that Avalon Freight Services, LLC's motion to dismiss or, in the alternative, to stay, for lack of ripeness and jurisdiction be, and hereby is, Denied.</w:t>
      </w:r>
    </w:p>
    <w:p>
      <w:pPr>
        <w:keepNext w:val="0"/>
        <w:widowControl w:val="0"/>
        <w:spacing w:before="200" w:after="0" w:line="260" w:lineRule="atLeast"/>
        <w:ind w:left="0" w:right="0" w:firstLine="0"/>
        <w:jc w:val="both"/>
      </w:pPr>
      <w:bookmarkStart w:id="150" w:name="Bookmark_para_36"/>
      <w:bookmarkEnd w:id="150"/>
      <w:r>
        <w:rPr>
          <w:rFonts w:ascii="arial" w:eastAsia="arial" w:hAnsi="arial" w:cs="arial"/>
          <w:b w:val="0"/>
          <w:i w:val="0"/>
          <w:strike w:val="0"/>
          <w:noProof w:val="0"/>
          <w:color w:val="000000"/>
          <w:position w:val="0"/>
          <w:sz w:val="20"/>
          <w:u w:val="none"/>
          <w:vertAlign w:val="baseline"/>
        </w:rPr>
        <w:t>It is Further Ordered that Santa Catalina Island Company's motion to dismiss this action, joined by Avalon Freight Services, LLC's, be, and hereby is, Granted without prejudice as to all Defendants.</w:t>
      </w:r>
    </w:p>
    <w:p>
      <w:pPr>
        <w:keepNext w:val="0"/>
        <w:widowControl w:val="0"/>
        <w:spacing w:before="200" w:after="0" w:line="260" w:lineRule="atLeast"/>
        <w:ind w:left="0" w:right="0" w:firstLine="0"/>
        <w:jc w:val="both"/>
      </w:pPr>
      <w:bookmarkStart w:id="151" w:name="Bookmark_para_37"/>
      <w:bookmarkEnd w:id="151"/>
      <w:r>
        <w:rPr>
          <w:rFonts w:ascii="arial" w:eastAsia="arial" w:hAnsi="arial" w:cs="arial"/>
          <w:b w:val="0"/>
          <w:i w:val="0"/>
          <w:strike w:val="0"/>
          <w:noProof w:val="0"/>
          <w:color w:val="000000"/>
          <w:position w:val="0"/>
          <w:sz w:val="20"/>
          <w:u w:val="none"/>
          <w:vertAlign w:val="baseline"/>
        </w:rPr>
        <w:t>It is Further Ordered that if Curtin Maritime Corporation desires to file a Second Amended Complaint, it shall file it within thirty days of this Order.</w:t>
      </w:r>
    </w:p>
    <w:p>
      <w:pPr>
        <w:keepNext w:val="0"/>
        <w:widowControl w:val="0"/>
        <w:spacing w:before="200" w:after="0" w:line="260" w:lineRule="atLeast"/>
        <w:ind w:left="0" w:right="0" w:firstLine="0"/>
        <w:jc w:val="both"/>
      </w:pPr>
      <w:bookmarkStart w:id="152" w:name="Bookmark_para_38"/>
      <w:bookmarkEnd w:id="152"/>
      <w:r>
        <w:rPr>
          <w:rFonts w:ascii="arial" w:eastAsia="arial" w:hAnsi="arial" w:cs="arial"/>
          <w:b w:val="0"/>
          <w:i w:val="0"/>
          <w:strike w:val="0"/>
          <w:noProof w:val="0"/>
          <w:color w:val="000000"/>
          <w:position w:val="0"/>
          <w:sz w:val="20"/>
          <w:u w:val="none"/>
          <w:vertAlign w:val="baseline"/>
        </w:rPr>
        <w:t>It is Further Ordered that Santa Catalina Island Company's motion to strike be, and hereby is, Denied as moot.</w:t>
      </w:r>
    </w:p>
    <w:p>
      <w:pPr>
        <w:keepNext w:val="0"/>
        <w:widowControl w:val="0"/>
        <w:spacing w:before="200" w:after="0" w:line="260" w:lineRule="atLeast"/>
        <w:ind w:left="0" w:right="0" w:firstLine="0"/>
        <w:jc w:val="both"/>
      </w:pPr>
      <w:bookmarkStart w:id="153" w:name="Bookmark_para_39"/>
      <w:bookmarkEnd w:id="153"/>
      <w:r>
        <w:rPr>
          <w:rFonts w:ascii="arial" w:eastAsia="arial" w:hAnsi="arial" w:cs="arial"/>
          <w:b w:val="0"/>
          <w:i w:val="0"/>
          <w:strike w:val="0"/>
          <w:noProof w:val="0"/>
          <w:color w:val="000000"/>
          <w:position w:val="0"/>
          <w:sz w:val="20"/>
          <w:u w:val="none"/>
          <w:vertAlign w:val="baseline"/>
        </w:rPr>
        <w:t>Date: June 23, 2017</w:t>
      </w:r>
    </w:p>
    <w:p>
      <w:pPr>
        <w:keepNext w:val="0"/>
        <w:widowControl w:val="0"/>
        <w:spacing w:before="200" w:after="0" w:line="260" w:lineRule="atLeast"/>
        <w:ind w:left="0" w:right="0" w:firstLine="0"/>
        <w:jc w:val="both"/>
      </w:pPr>
      <w:bookmarkStart w:id="154" w:name="Bookmark_para_40"/>
      <w:bookmarkEnd w:id="154"/>
      <w:r>
        <w:rPr>
          <w:rFonts w:ascii="arial" w:eastAsia="arial" w:hAnsi="arial" w:cs="arial"/>
          <w:b w:val="0"/>
          <w:i w:val="0"/>
          <w:strike w:val="0"/>
          <w:noProof w:val="0"/>
          <w:color w:val="000000"/>
          <w:position w:val="0"/>
          <w:sz w:val="20"/>
          <w:u w:val="none"/>
          <w:vertAlign w:val="baseline"/>
        </w:rPr>
        <w:t>/s/ Terry J. Hatter, Jr.</w:t>
      </w:r>
    </w:p>
    <w:p>
      <w:pPr>
        <w:keepNext w:val="0"/>
        <w:widowControl w:val="0"/>
        <w:spacing w:before="200" w:after="0" w:line="260" w:lineRule="atLeast"/>
        <w:ind w:left="0" w:right="0" w:firstLine="0"/>
        <w:jc w:val="both"/>
      </w:pPr>
      <w:bookmarkStart w:id="155" w:name="Bookmark_para_41"/>
      <w:bookmarkEnd w:id="155"/>
      <w:r>
        <w:rPr>
          <w:rFonts w:ascii="arial" w:eastAsia="arial" w:hAnsi="arial" w:cs="arial"/>
          <w:b w:val="0"/>
          <w:i w:val="0"/>
          <w:strike w:val="0"/>
          <w:noProof w:val="0"/>
          <w:color w:val="000000"/>
          <w:position w:val="0"/>
          <w:sz w:val="20"/>
          <w:u w:val="none"/>
          <w:vertAlign w:val="baseline"/>
        </w:rPr>
        <w:t>Terry J. Hatter, Jr.</w:t>
      </w:r>
    </w:p>
    <w:p>
      <w:pPr>
        <w:keepNext w:val="0"/>
        <w:widowControl w:val="0"/>
        <w:spacing w:before="200" w:after="0" w:line="260" w:lineRule="atLeast"/>
        <w:ind w:left="0" w:right="0" w:firstLine="0"/>
        <w:jc w:val="both"/>
      </w:pPr>
      <w:bookmarkStart w:id="156" w:name="Bookmark_para_42"/>
      <w:bookmarkEnd w:id="156"/>
      <w:r>
        <w:rPr>
          <w:rFonts w:ascii="arial" w:eastAsia="arial" w:hAnsi="arial" w:cs="arial"/>
          <w:b w:val="0"/>
          <w:i w:val="0"/>
          <w:strike w:val="0"/>
          <w:noProof w:val="0"/>
          <w:color w:val="000000"/>
          <w:position w:val="0"/>
          <w:sz w:val="20"/>
          <w:u w:val="none"/>
          <w:vertAlign w:val="baseline"/>
        </w:rPr>
        <w:t>Senior 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Curtin Mar. Corp. v. Santa Catalina Island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7XMP-8RB0-YB0V-912G-00000-00&amp;context=" TargetMode="External" /><Relationship Id="rId11" Type="http://schemas.openxmlformats.org/officeDocument/2006/relationships/hyperlink" Target="https://advance.lexis.com/api/document?collection=statutes-legislation&amp;id=urn:contentItem:5JFB-2YX1-DYB7-W1SB-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7Y1K-91P0-YB0V-P06K-00000-00&amp;context=" TargetMode="External" /><Relationship Id="rId14" Type="http://schemas.openxmlformats.org/officeDocument/2006/relationships/hyperlink" Target="https://advance.lexis.com/api/document?collection=cases&amp;id=urn:contentItem:5CVK-D221-F04K-V42Y-00000-00&amp;context=" TargetMode="External" /><Relationship Id="rId15" Type="http://schemas.openxmlformats.org/officeDocument/2006/relationships/hyperlink" Target="https://advance.lexis.com/api/document?collection=cases&amp;id=urn:contentItem:4F68-CVR0-0038-X35H-00000-00&amp;context=" TargetMode="External" /><Relationship Id="rId16" Type="http://schemas.openxmlformats.org/officeDocument/2006/relationships/hyperlink" Target="https://advance.lexis.com/api/document?collection=cases&amp;id=urn:contentItem:3S4W-YJ40-001B-K35G-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4W9Y-4KS0-TXFX-1325-00000-00&amp;context=" TargetMode="External" /><Relationship Id="rId19" Type="http://schemas.openxmlformats.org/officeDocument/2006/relationships/hyperlink" Target="https://advance.lexis.com/api/document?collection=cases&amp;id=urn:contentItem:51J9-08V1-652R-8003-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J6S-62C1-66B9-80JV-00000-00&amp;context=" TargetMode="External" /><Relationship Id="rId21" Type="http://schemas.openxmlformats.org/officeDocument/2006/relationships/hyperlink" Target="https://advance.lexis.com/api/document?collection=administrative-materials&amp;id=urn:contentItem:3T47-37S0-0004-W3DC-00000-00&amp;context=" TargetMode="External" /><Relationship Id="rId22" Type="http://schemas.openxmlformats.org/officeDocument/2006/relationships/hyperlink" Target="https://advance.lexis.com/api/document?collection=statutes-legislation&amp;id=urn:contentItem:5JBS-1481-DXC8-22NR-00000-00&amp;context=" TargetMode="External" /><Relationship Id="rId23" Type="http://schemas.openxmlformats.org/officeDocument/2006/relationships/hyperlink" Target="https://advance.lexis.com/api/document?collection=statutes-legislation&amp;id=urn:contentItem:5J6S-62D1-66B9-80CC-00000-00&amp;context=" TargetMode="External" /><Relationship Id="rId24" Type="http://schemas.openxmlformats.org/officeDocument/2006/relationships/hyperlink" Target="https://advance.lexis.com/api/document?collection=cases&amp;id=urn:contentItem:3S70-NFD0-003B-R50Y-00000-00&amp;context=" TargetMode="External" /><Relationship Id="rId25" Type="http://schemas.openxmlformats.org/officeDocument/2006/relationships/hyperlink" Target="https://advance.lexis.com/api/document?collection=cases&amp;id=urn:contentItem:4SM1-XPX0-TXFX-D1RF-00000-00&amp;context=" TargetMode="External" /><Relationship Id="rId26" Type="http://schemas.openxmlformats.org/officeDocument/2006/relationships/hyperlink" Target="https://advance.lexis.com/api/document?collection=cases&amp;id=urn:contentItem:3S4W-X290-0039-M1Y8-00000-00&amp;context=" TargetMode="External" /><Relationship Id="rId27" Type="http://schemas.openxmlformats.org/officeDocument/2006/relationships/hyperlink" Target="https://advance.lexis.com/api/document?collection=cases&amp;id=urn:contentItem:4S4J-VD00-TXFP-C3BF-00000-00&amp;context=" TargetMode="External" /><Relationship Id="rId28" Type="http://schemas.openxmlformats.org/officeDocument/2006/relationships/hyperlink" Target="https://advance.lexis.com/api/document?collection=cases&amp;id=urn:contentItem:3S4X-FT10-001T-D3HS-00000-00&amp;context=" TargetMode="External" /><Relationship Id="rId29" Type="http://schemas.openxmlformats.org/officeDocument/2006/relationships/hyperlink" Target="https://advance.lexis.com/api/document?collection=cases&amp;id=urn:contentItem:483T-TCP0-0038-X49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SN1-NRF4-44MM-00000-00&amp;context=" TargetMode="External" /><Relationship Id="rId31" Type="http://schemas.openxmlformats.org/officeDocument/2006/relationships/hyperlink" Target="https://advance.lexis.com/api/document?collection=statutes-legislation&amp;id=urn:contentItem:5GYC-1WP1-6N19-F103-00000-00&amp;context=" TargetMode="External" /><Relationship Id="rId32" Type="http://schemas.openxmlformats.org/officeDocument/2006/relationships/hyperlink" Target="https://advance.lexis.com/api/document?collection=cases&amp;id=urn:contentItem:3S4X-1CH0-001B-K0DV-00000-00&amp;context=" TargetMode="Externa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cases&amp;id=urn:contentItem:5S35-MF51-JJYN-B3JD-00000-00&amp;context=" TargetMode="External" /><Relationship Id="rId8" Type="http://schemas.openxmlformats.org/officeDocument/2006/relationships/hyperlink" Target="https://advance.lexis.com/api/document?collection=cases&amp;id=urn:contentItem:3SC3-GJB0-0038-X33G-00000-00&amp;context=" TargetMode="External" /><Relationship Id="rId9" Type="http://schemas.openxmlformats.org/officeDocument/2006/relationships/hyperlink" Target="https://advance.lexis.com/api/document?collection=cases&amp;id=urn:contentItem:49GV-G100-0038-X1H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Mktg. Ass'n v. Brohl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71343854</vt:lpwstr>
  </property>
  <property fmtid="{D5CDD505-2E9C-101B-9397-08002B2CF9AE}" pid="3" name="LADocCount">
    <vt:lpwstr>1</vt:lpwstr>
  </property>
  <property fmtid="{D5CDD505-2E9C-101B-9397-08002B2CF9AE}" pid="4" name="UserPermID">
    <vt:lpwstr>urn:user:PA185916758</vt:lpwstr>
  </property>
</Properties>
</file>