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DaSilva v. Border Transfer of MA,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2017, Decided; November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16-11205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296 F. Supp. 3d 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186012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135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5196382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MARCOS DaSILVA and MATTEUS FERREIRA, on behalf of themselves and all others similarly situated, Plaintiffs, v. BORDER TRANSFER OF MA, INC., and PATRICK McCLUSKEY,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DaSilva v. Border Transfer of MA, Inc., 227 F. Supp. 3d 154, 2017 U.S. Dist. LEXIS 1523 (D. Mass., Jan. 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drivers, Prong, Trucking, independent contractor, contractors, predominance, requirements, delivery, contracting, class member, motor carriers, individualized, commonality, full-time, class certification, plaintiffs', defeat, corporate entity, proposed class, deductions, independently established, putative class, misclassification, customer, performing services, class action, choice-of-law, incorporation, companies, employees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Marcos DaSilva, on behalf of themselves and all others similarly situated, Matteus Ferreira, on behalf of themselves and all others similarly situated, Plaintiffs: Benjamin Weber, Harold L. Lichten, Lichten &amp; Liss-Riordan, P.C.,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Border Transfer of MA, Inc., Defendant: Judith A. Leggett, LEAD ATTORNEY, Leggett Law Firm, LLC, Avon, MA; Adam C. Smedstad, Scopelitis Garvin Light Hanson &amp; Feary, P.C., Chicago, IL; Andrew J. Butcher, PRO HAC VICE, Scopelitis, Garvin Light Hanson &amp; Feary, Chicago, IL; Paul D. Root, Scopelitis Garvin Light Hanson &amp; Feary, PC, PRO HAC VICE,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McCluskey, Defendant: Paul D. Root, Scopelitis Garvin Light Hanson &amp; Feary, PC, PRO HAC VICE, Indianapolis,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Patti B. Saris,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Patti B. Saris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Saris, C.J.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DaSilva and Ferreira used to work as delivery drivers for Defendant Border Transfer. They claim that Border Transfer improperly treated them as independent contractors when they were, in fact, employees, and that, as a result, Border Transfer unlawfully deducted certain business expenses from their pay under the Massachusetts Wage Act. Plaintiffs now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seek certification of a class of similarly situated current and former drivers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For the reasons discussed below, Plaintiffs have met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Thus, after hearing, the Court </w:t>
      </w:r>
      <w:r>
        <w:rPr>
          <w:rFonts w:ascii="arial" w:eastAsia="arial" w:hAnsi="arial" w:cs="arial"/>
          <w:b/>
          <w:i w:val="0"/>
          <w:strike w:val="0"/>
          <w:noProof w:val="0"/>
          <w:color w:val="000000"/>
          <w:position w:val="0"/>
          <w:sz w:val="20"/>
          <w:u w:val="single"/>
          <w:vertAlign w:val="baseline"/>
        </w:rPr>
        <w:t>ALLOWS</w:t>
      </w:r>
      <w:r>
        <w:rPr>
          <w:rFonts w:ascii="arial" w:eastAsia="arial" w:hAnsi="arial" w:cs="arial"/>
          <w:b w:val="0"/>
          <w:i w:val="0"/>
          <w:strike w:val="0"/>
          <w:noProof w:val="0"/>
          <w:color w:val="000000"/>
          <w:position w:val="0"/>
          <w:sz w:val="20"/>
          <w:u w:val="none"/>
          <w:vertAlign w:val="baseline"/>
        </w:rPr>
        <w:t xml:space="preserve"> the motion for class certification (Docket No. 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Allegations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Border Transfer is a broker registered with the Federal Motor Carrier Safety Administration ("FMCSA"). Docket No. 9-2 at 1 ;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 § 13102(2)</w:t>
        </w:r>
      </w:hyperlink>
      <w:r>
        <w:rPr>
          <w:rFonts w:ascii="arial" w:eastAsia="arial" w:hAnsi="arial" w:cs="arial"/>
          <w:b w:val="0"/>
          <w:i w:val="0"/>
          <w:strike w:val="0"/>
          <w:noProof w:val="0"/>
          <w:color w:val="000000"/>
          <w:position w:val="0"/>
          <w:sz w:val="20"/>
          <w:u w:val="none"/>
          <w:vertAlign w:val="baseline"/>
        </w:rPr>
        <w:t>. As a broker, Border Transfer arranges home delivery services for large retail stores such as Sears.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Border Transfer itself does not deliver goods. Instead, Border Transfer contracts with FMCSA-authorized motor carriers to perform the home deliveries. Border Transfer's contracts with each motor carrier, which Border Transfer calls Contract Carrier Agreements ("CCAs"), are all substantially the same. Docket No. 74-3 at 11 ("Matos Dep." at 33:17-18). Each of the CCAs states that the motor carrier is considered to be an independent contractor of Border Transfer.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Docket No. 74-4 at 5 ("DaSilva CCA" ¶ 8).</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Border Transfer only enters into CCAs with business entities. Docket Nos. 74-7 at 7, 74-8 at 2 (Border Transfer's "Carrier File Requirements," which require motor carriers signing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CCAs to provide Border Transfer with a "copy of LLC or incorporation"). Drivers who wish to deliver for Border Transfer but who do not already have a corporate entity must create one; in at least one instance, Border Transfer helped a driver form a corporate entity and complete the steps to 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motor carriers. Docket No. 74-9 at 7-8.</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some cases, Border Transfer contracts with motor carrier companies that consist solely of a single driver who personally performs the delivery services. That was the case with named plaintiff Marcos DaSilva, who entered into a CCA with Border Transfer through Alpha Logistics Trucking, LLC ("Alpha Logistics"). Docket No. 74-4 at 9. DaSilva applied for a job as a delivery driver with Border Transfer. Docket No. 74-11 ¶ 4. A Border Transfer manager told him that he needed to form a company to sign a contract with Border Transfer, and the manager helped him fill out the necessary forms to create Alpha Logistics. Docket No. 74-11 ¶ 4. Alpha Logistics only ever operated one truck, and DaSilva was the sole driver for that truck. Docket No. 74-9 at 18.</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other cases, Border Transfer contracts with motor carrier companies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employ multiple drivers. That was the case with Matteus Ferreira, the other named plaintiff. Matteus Ferreira was the joint owner of Father &amp; Son Transporting LLC with his father, Marcos Ferreira. Docket No. 74-10 at 9. Father &amp; Son Transporting LLC was formed before the father, Marcos Ferreira, signed a CCA with Border Transfer. Docket No. 9-2 at 12; Docket No. 74-10 at 7. Father &amp; Son Transporting LLC began by operating one truck for Border Transfer but eventually operated three trucks for Border Transfer. Docket No. 74-10 at 12-13. Those three trucks were operated by Matteus Ferreira, Marcos Ferreira, and several other persons hired by Father &amp; Son Transporting LLC. Docket No. 74-10 at 13.</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The motor carriers under contract with Border Transfer perform their deliveries from Sears' Westwood, Massachusetts facility. The CCAs require that all drivers who have an assigned route on a particular day attend a morning "stand-up" meeting at the facility. Docket No. 9-2 at 13; Docket No. 74-3 at 13. At the meeting, drivers might receive instructions on new installation processes, be informed of recurrent customer complaints, or receive training on how to communicate with customers. Docket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 74-3 at 13, 29. The CCAs require drivers to wear a uniform each day, and drivers are not allowed to leave the facility if they do not comply with that mandate. Docket No. 9-2 at 17-18; Docket No. 74-3 at 14.</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Delivery procedures are spelled out in the CCAs as well. Docket No. 9-2 at 14. Among the requirements is that the drivers "must run all delivery routes exactly as specified in the manifest." Docket No. 9-2 at 14. Those manifests are provided to drivers by Border Transfer and contain the order of deliveries and time windows for each delivery. Docket No. 74-3 at 22; Docket No. 74-14. Drivers must log deliveries as they happen by recording them on a smartphone app. Docket No. 74-3 at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plaintiffs filed the proposed class action complaint in this case on June 23, 2016. Docket No. 1. The original complaint named Border Transfer as the sole defendant and contained two counts: violation of the Massachusetts Wage Act and unjust enrichment.</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Border Transfer moved to dismiss, arguing that the Wage Act claim was preempted by the Federal Administration Authorization Act of 1994, </w:t>
      </w:r>
      <w:hyperlink r:id="rId13" w:history="1">
        <w:r>
          <w:rPr>
            <w:rFonts w:ascii="arial" w:eastAsia="arial" w:hAnsi="arial" w:cs="arial"/>
            <w:b w:val="0"/>
            <w:i/>
            <w:strike w:val="0"/>
            <w:noProof w:val="0"/>
            <w:color w:val="0077CC"/>
            <w:position w:val="0"/>
            <w:sz w:val="20"/>
            <w:u w:val="single"/>
            <w:vertAlign w:val="baseline"/>
          </w:rPr>
          <w:t>49 U.S.C. § 14501(c)</w:t>
        </w:r>
      </w:hyperlink>
      <w:r>
        <w:rPr>
          <w:rFonts w:ascii="arial" w:eastAsia="arial" w:hAnsi="arial" w:cs="arial"/>
          <w:b w:val="0"/>
          <w:i w:val="0"/>
          <w:strike w:val="0"/>
          <w:noProof w:val="0"/>
          <w:color w:val="000000"/>
          <w:position w:val="0"/>
          <w:sz w:val="20"/>
          <w:u w:val="none"/>
          <w:vertAlign w:val="baseline"/>
        </w:rPr>
        <w:t>. Docket No. 8. On January 5, 2017, the Court denied the motion as to the Wage Act claim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but dismissed the unjust enrichment claim. Docket No. 49.</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The operative complaint is the amended complaint, which was filed on May 1, 2017. Docket No. 65. The amended complaint names the President of Border Transfer, Patrick McCluskey, as an additional defendant and contains a single count for violation of the Wage Act.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substance, the plaintiffs allege that their misclassification resulted in unlawful deductions from their pay, including damage claims and uniforms, as well as unlawful requirements that they pay for workers' compensation coverage and cargo insurance.</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Now pending before the Court is the plaintiffs' motion for class certification, filed on June 19, 2017. Docket No. 73. The proposed class is defined as follows:</w:t>
      </w:r>
    </w:p>
    <w:p>
      <w:pPr>
        <w:keepNext w:val="0"/>
        <w:widowControl w:val="0"/>
        <w:spacing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All individuals who 1) entered into a Contract Carrier Agreement (or similar agreement) directly or through a business entity; 2) personally provided delivery services for Border Transfer on a full-time basis in Massachusetts; and 3) who were classified as independent contractors, at any time since June 23, 2013.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No. 73 at 1. This class definition excludes so-called secondary drivers, who provided delivery services for Border Transfer under contracts between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Border Transfer and other persons, and so-called absentee contractors, who held contracts with Border Transfer but did not drive a truck themselves. Docket No. 74 at 4 n.6,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Legal Framework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Massachusetts Wage Law</w:t>
      </w:r>
    </w:p>
    <w:p>
      <w:pPr>
        <w:keepNext w:val="0"/>
        <w:widowControl w:val="0"/>
        <w:spacing w:before="240" w:after="0" w:line="260" w:lineRule="atLeast"/>
        <w:ind w:left="0" w:right="0" w:firstLine="0"/>
        <w:jc w:val="both"/>
      </w:pPr>
      <w:bookmarkStart w:id="23" w:name="Bookmark_para_15"/>
      <w:bookmarkEnd w:id="23"/>
      <w:bookmarkStart w:id="24" w:name="Bookmark_I5R3M6G82D6N000020000400"/>
      <w:bookmarkEnd w:id="24"/>
      <w:r>
        <w:rPr>
          <w:rFonts w:ascii="arial" w:eastAsia="arial" w:hAnsi="arial" w:cs="arial"/>
          <w:b w:val="0"/>
          <w:i w:val="0"/>
          <w:strike w:val="0"/>
          <w:noProof w:val="0"/>
          <w:color w:val="000000"/>
          <w:position w:val="0"/>
          <w:sz w:val="20"/>
          <w:u w:val="none"/>
          <w:vertAlign w:val="baseline"/>
        </w:rPr>
        <w:t xml:space="preserve">The Massachusetts Wage Act requires prompt and full payment of wages due. It provides that "in no event shall wages remain unpaid by an employer for more than six days from the termination of the pay period in which such wages were earned by the employee." </w:t>
      </w:r>
      <w:hyperlink r:id="rId14" w:history="1">
        <w:r>
          <w:rPr>
            <w:rFonts w:ascii="arial" w:eastAsia="arial" w:hAnsi="arial" w:cs="arial"/>
            <w:b w:val="0"/>
            <w:i/>
            <w:strike w:val="0"/>
            <w:noProof w:val="0"/>
            <w:color w:val="0077CC"/>
            <w:position w:val="0"/>
            <w:sz w:val="20"/>
            <w:u w:val="single"/>
            <w:vertAlign w:val="baseline"/>
          </w:rPr>
          <w:t>Mass. Gen. Laws ch. 149, § 148</w:t>
        </w:r>
      </w:hyperlink>
      <w:r>
        <w:rPr>
          <w:rFonts w:ascii="arial" w:eastAsia="arial" w:hAnsi="arial" w:cs="arial"/>
          <w:b w:val="0"/>
          <w:i w:val="0"/>
          <w:strike w:val="0"/>
          <w:noProof w:val="0"/>
          <w:color w:val="000000"/>
          <w:position w:val="0"/>
          <w:sz w:val="20"/>
          <w:u w:val="none"/>
          <w:vertAlign w:val="baseline"/>
        </w:rPr>
        <w:t xml:space="preserve">. The Massachusetts Supreme Judicial Court has interpreted the statute as banning improper wage deductions, even where the employee has given his or her assent. </w:t>
      </w:r>
      <w:bookmarkStart w:id="25" w:name="Bookmark_I5R3M6G82D6N000010000400"/>
      <w:bookmarkEnd w:id="25"/>
      <w:hyperlink r:id="rId15" w:history="1">
        <w:r>
          <w:rPr>
            <w:rFonts w:ascii="arial" w:eastAsia="arial" w:hAnsi="arial" w:cs="arial"/>
            <w:b w:val="0"/>
            <w:i/>
            <w:strike w:val="0"/>
            <w:noProof w:val="0"/>
            <w:color w:val="0077CC"/>
            <w:position w:val="0"/>
            <w:sz w:val="20"/>
            <w:u w:val="single"/>
            <w:vertAlign w:val="baseline"/>
          </w:rPr>
          <w:t>Camara v. Attorney Gen.</w:t>
        </w:r>
      </w:hyperlink>
      <w:hyperlink r:id="rId15" w:history="1">
        <w:r>
          <w:rPr>
            <w:rFonts w:ascii="arial" w:eastAsia="arial" w:hAnsi="arial" w:cs="arial"/>
            <w:b w:val="0"/>
            <w:i/>
            <w:strike w:val="0"/>
            <w:noProof w:val="0"/>
            <w:color w:val="0077CC"/>
            <w:position w:val="0"/>
            <w:sz w:val="20"/>
            <w:u w:val="single"/>
            <w:vertAlign w:val="baseline"/>
          </w:rPr>
          <w:t>, 458 Mass. 756, 941 N.E.2d 1118, 1121-22 (Mass.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The scope of covered employees for the Massachusetts Wage Act is governed by the Massachusetts Independent Contractor Statute:</w:t>
      </w:r>
    </w:p>
    <w:p>
      <w:pPr>
        <w:keepNext w:val="0"/>
        <w:widowControl w:val="0"/>
        <w:spacing w:after="0" w:line="260" w:lineRule="atLeast"/>
        <w:ind w:left="40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[A]n individual performing any service, except as authorized under this chapter, shall be considered to be an employee under those chapters unless:</w:t>
      </w:r>
    </w:p>
    <w:p>
      <w:pPr>
        <w:keepNext w:val="0"/>
        <w:widowControl w:val="0"/>
        <w:spacing w:after="0" w:line="260" w:lineRule="atLeast"/>
        <w:ind w:left="80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(1) the individual is free from control and direction in connection with the performance of the service, both under his contract for the performance of service and in fact; and</w:t>
      </w:r>
    </w:p>
    <w:p>
      <w:pPr>
        <w:keepNext w:val="0"/>
        <w:widowControl w:val="0"/>
        <w:spacing w:after="0" w:line="260" w:lineRule="atLeast"/>
        <w:ind w:left="80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(2) the service is performed outside the usual course of the business of the employer; and,</w:t>
      </w:r>
    </w:p>
    <w:p>
      <w:pPr>
        <w:keepNext w:val="0"/>
        <w:widowControl w:val="0"/>
        <w:spacing w:before="200" w:after="0" w:line="260" w:lineRule="atLeast"/>
        <w:ind w:left="800" w:right="0" w:firstLine="0"/>
        <w:jc w:val="both"/>
      </w:pPr>
      <w:bookmarkStart w:id="30" w:name="Bookmark_para_20"/>
      <w:bookmarkEnd w:id="30"/>
      <w:bookmarkStart w:id="31" w:name="Bookmark_I5R3M6G82D6N000040000400"/>
      <w:bookmarkEnd w:id="31"/>
      <w:r>
        <w:rPr>
          <w:rFonts w:ascii="arial" w:eastAsia="arial" w:hAnsi="arial" w:cs="arial"/>
          <w:b w:val="0"/>
          <w:i w:val="0"/>
          <w:strike w:val="0"/>
          <w:noProof w:val="0"/>
          <w:color w:val="000000"/>
          <w:position w:val="0"/>
          <w:sz w:val="20"/>
          <w:u w:val="none"/>
          <w:vertAlign w:val="baseline"/>
        </w:rPr>
        <w:t>(3) the individual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customarily engaged in an independently established trade, occupation, profession or business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of the same nature as that involved in the service performed.</w:t>
      </w:r>
    </w:p>
    <w:p>
      <w:pPr>
        <w:keepNext w:val="0"/>
        <w:widowControl w:val="0"/>
        <w:spacing w:before="240" w:after="0" w:line="260" w:lineRule="atLeast"/>
        <w:ind w:left="0" w:right="0" w:firstLine="0"/>
        <w:jc w:val="both"/>
      </w:pPr>
      <w:bookmarkStart w:id="32" w:name="Bookmark_I5R3M6G82D6N000040000400_2"/>
      <w:bookmarkEnd w:id="32"/>
      <w:hyperlink r:id="rId16" w:history="1">
        <w:r>
          <w:rPr>
            <w:rFonts w:ascii="arial" w:eastAsia="arial" w:hAnsi="arial" w:cs="arial"/>
            <w:b w:val="0"/>
            <w:i/>
            <w:strike w:val="0"/>
            <w:color w:val="0077CC"/>
            <w:sz w:val="20"/>
            <w:u w:val="single"/>
            <w:vertAlign w:val="baseline"/>
          </w:rPr>
          <w:t>Mass. Gen. Laws ch. 149, § 148B(a)</w:t>
        </w:r>
      </w:hyperlink>
      <w:r>
        <w:rPr>
          <w:rFonts w:ascii="arial" w:eastAsia="arial" w:hAnsi="arial" w:cs="arial"/>
          <w:b w:val="0"/>
          <w:i w:val="0"/>
          <w:strike w:val="0"/>
          <w:noProof w:val="0"/>
          <w:color w:val="000000"/>
          <w:position w:val="0"/>
          <w:sz w:val="20"/>
          <w:u w:val="none"/>
          <w:vertAlign w:val="baseline"/>
        </w:rPr>
        <w:t xml:space="preserve">. Under the statute, a worker is an employee and not an independent contractor if any one of the three prongs is not met. In other words, "to rebut the presumption of employment, an employer must satisfy all three of these prongs." </w:t>
      </w:r>
      <w:bookmarkStart w:id="33" w:name="Bookmark_I5R3M6G82D6N000030000400"/>
      <w:bookmarkEnd w:id="33"/>
      <w:hyperlink r:id="rId17" w:history="1">
        <w:r>
          <w:rPr>
            <w:rFonts w:ascii="arial" w:eastAsia="arial" w:hAnsi="arial" w:cs="arial"/>
            <w:b w:val="0"/>
            <w:i/>
            <w:strike w:val="0"/>
            <w:noProof w:val="0"/>
            <w:color w:val="0077CC"/>
            <w:position w:val="0"/>
            <w:sz w:val="20"/>
            <w:u w:val="single"/>
            <w:vertAlign w:val="baseline"/>
          </w:rPr>
          <w:t>Chambers v. RDI Logistics, Inc.</w:t>
        </w:r>
      </w:hyperlink>
      <w:hyperlink r:id="rId17" w:history="1">
        <w:r>
          <w:rPr>
            <w:rFonts w:ascii="arial" w:eastAsia="arial" w:hAnsi="arial" w:cs="arial"/>
            <w:b w:val="0"/>
            <w:i/>
            <w:strike w:val="0"/>
            <w:noProof w:val="0"/>
            <w:color w:val="0077CC"/>
            <w:position w:val="0"/>
            <w:sz w:val="20"/>
            <w:u w:val="single"/>
            <w:vertAlign w:val="baseline"/>
          </w:rPr>
          <w:t>, 476 Mass. 95, 65 N.E.3d 1, 8 (Mass. 2016)</w:t>
        </w:r>
      </w:hyperlink>
      <w:r>
        <w:rPr>
          <w:rFonts w:ascii="arial" w:eastAsia="arial" w:hAnsi="arial" w:cs="arial"/>
          <w:b w:val="0"/>
          <w:i w:val="0"/>
          <w:strike w:val="0"/>
          <w:noProof w:val="0"/>
          <w:color w:val="000000"/>
          <w:position w:val="0"/>
          <w:sz w:val="20"/>
          <w:u w:val="none"/>
          <w:vertAlign w:val="baseline"/>
        </w:rPr>
        <w:t>. The three prongs are referred to as Prongs A, B, and C (or, occasionally, Prongs 1, 2, and 3) in the case law.</w:t>
      </w:r>
    </w:p>
    <w:p>
      <w:pPr>
        <w:keepNext w:val="0"/>
        <w:widowControl w:val="0"/>
        <w:spacing w:before="240" w:after="0" w:line="260" w:lineRule="atLeast"/>
        <w:ind w:left="0" w:right="0" w:firstLine="0"/>
        <w:jc w:val="both"/>
      </w:pPr>
      <w:bookmarkStart w:id="34" w:name="Bookmark_para_21"/>
      <w:bookmarkEnd w:id="34"/>
      <w:bookmarkStart w:id="35" w:name="Bookmark_I5R3M6G828T4G60010000400"/>
      <w:bookmarkEnd w:id="35"/>
      <w:r>
        <w:rPr>
          <w:rFonts w:ascii="arial" w:eastAsia="arial" w:hAnsi="arial" w:cs="arial"/>
          <w:b w:val="0"/>
          <w:i w:val="0"/>
          <w:strike w:val="0"/>
          <w:noProof w:val="0"/>
          <w:color w:val="000000"/>
          <w:position w:val="0"/>
          <w:sz w:val="20"/>
          <w:u w:val="none"/>
          <w:vertAlign w:val="baseline"/>
        </w:rPr>
        <w:t xml:space="preserve">The First Circuit held last year that Prong B is preempted by federal law as applied to motor carriers such as Border Transfer. </w:t>
      </w:r>
      <w:bookmarkStart w:id="36" w:name="Bookmark_I5R3M6G82D6N000050000400"/>
      <w:bookmarkEnd w:id="36"/>
      <w:hyperlink r:id="rId18" w:history="1">
        <w:r>
          <w:rPr>
            <w:rFonts w:ascii="arial" w:eastAsia="arial" w:hAnsi="arial" w:cs="arial"/>
            <w:b w:val="0"/>
            <w:i/>
            <w:strike w:val="0"/>
            <w:noProof w:val="0"/>
            <w:color w:val="0077CC"/>
            <w:position w:val="0"/>
            <w:sz w:val="20"/>
            <w:u w:val="single"/>
            <w:vertAlign w:val="baseline"/>
          </w:rPr>
          <w:t>Schwann v. FedEx Ground Package Sys., Inc.</w:t>
        </w:r>
      </w:hyperlink>
      <w:hyperlink r:id="rId18" w:history="1">
        <w:r>
          <w:rPr>
            <w:rFonts w:ascii="arial" w:eastAsia="arial" w:hAnsi="arial" w:cs="arial"/>
            <w:b w:val="0"/>
            <w:i/>
            <w:strike w:val="0"/>
            <w:noProof w:val="0"/>
            <w:color w:val="0077CC"/>
            <w:position w:val="0"/>
            <w:sz w:val="20"/>
            <w:u w:val="single"/>
            <w:vertAlign w:val="baseline"/>
          </w:rPr>
          <w:t>, 813 F.3d 429, 442 (1st Cir. 2016)</w:t>
        </w:r>
      </w:hyperlink>
      <w:r>
        <w:rPr>
          <w:rFonts w:ascii="arial" w:eastAsia="arial" w:hAnsi="arial" w:cs="arial"/>
          <w:b w:val="0"/>
          <w:i w:val="0"/>
          <w:strike w:val="0"/>
          <w:noProof w:val="0"/>
          <w:color w:val="000000"/>
          <w:position w:val="0"/>
          <w:sz w:val="20"/>
          <w:u w:val="none"/>
          <w:vertAlign w:val="baseline"/>
        </w:rPr>
        <w:t>. As such, for the defendants to defeat the presumption of employment, they must prevail on both Prongs A and C. The plaintiffs can prevail by showing that either Prong A or C is not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 Certification</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imposes four "threshold requirements" applicable to all class actions:</w:t>
      </w:r>
    </w:p>
    <w:p>
      <w:pPr>
        <w:keepNext w:val="0"/>
        <w:widowControl w:val="0"/>
        <w:spacing w:after="0" w:line="260" w:lineRule="atLeast"/>
        <w:ind w:left="40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40" w:name="Bookmark_para_25"/>
      <w:bookmarkEnd w:id="40"/>
      <w:bookmarkStart w:id="41" w:name="Bookmark_I5R3M6G828T4G60030000400"/>
      <w:bookmarkEnd w:id="41"/>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before="200" w:after="0" w:line="260" w:lineRule="atLeast"/>
        <w:ind w:left="400" w:right="0" w:firstLine="0"/>
        <w:jc w:val="both"/>
      </w:pPr>
      <w:bookmarkStart w:id="42" w:name="Bookmark_para_26"/>
      <w:bookmarkEnd w:id="42"/>
      <w:bookmarkStart w:id="43" w:name="Bookmark_I5R3M6G828T4G60030000400_2"/>
      <w:bookmarkEnd w:id="43"/>
      <w:r>
        <w:rPr>
          <w:rFonts w:ascii="arial" w:eastAsia="arial" w:hAnsi="arial" w:cs="arial"/>
          <w:b w:val="0"/>
          <w:i w:val="0"/>
          <w:strike w:val="0"/>
          <w:noProof w:val="0"/>
          <w:color w:val="000000"/>
          <w:position w:val="0"/>
          <w:sz w:val="20"/>
          <w:u w:val="none"/>
          <w:vertAlign w:val="baseline"/>
        </w:rPr>
        <w:t>(4) the representative parties will fairly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adequately protect the interests of the class.</w:t>
      </w:r>
    </w:p>
    <w:p>
      <w:pPr>
        <w:keepNext w:val="0"/>
        <w:widowControl w:val="0"/>
        <w:spacing w:before="240" w:after="0" w:line="260" w:lineRule="atLeast"/>
        <w:ind w:left="0" w:right="0" w:firstLine="0"/>
        <w:jc w:val="both"/>
      </w:pPr>
      <w:bookmarkStart w:id="44" w:name="Bookmark_I5R3M6G828T4G60030000400_3"/>
      <w:bookmarkEnd w:id="44"/>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45" w:name="Bookmark_I5R3M6G828T4G60020000400"/>
      <w:bookmarkEnd w:id="45"/>
      <w:hyperlink r:id="rId19" w:history="1">
        <w:r>
          <w:rPr>
            <w:rFonts w:ascii="arial" w:eastAsia="arial" w:hAnsi="arial" w:cs="arial"/>
            <w:b w:val="0"/>
            <w:i/>
            <w:strike w:val="0"/>
            <w:noProof w:val="0"/>
            <w:color w:val="0077CC"/>
            <w:position w:val="0"/>
            <w:sz w:val="20"/>
            <w:u w:val="single"/>
            <w:vertAlign w:val="baseline"/>
          </w:rPr>
          <w:t>Amchem Prods., Inc. v. Windsor</w:t>
        </w:r>
      </w:hyperlink>
      <w:hyperlink r:id="rId19" w:history="1">
        <w:r>
          <w:rPr>
            <w:rFonts w:ascii="arial" w:eastAsia="arial" w:hAnsi="arial" w:cs="arial"/>
            <w:b w:val="0"/>
            <w:i/>
            <w:strike w:val="0"/>
            <w:noProof w:val="0"/>
            <w:color w:val="0077CC"/>
            <w:position w:val="0"/>
            <w:sz w:val="20"/>
            <w:u w:val="single"/>
            <w:vertAlign w:val="baseline"/>
          </w:rPr>
          <w:t>, 521 U.S. 591, 613,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27"/>
      <w:bookmarkEnd w:id="46"/>
      <w:bookmarkStart w:id="47" w:name="Bookmark_I5R3M6G828T4G60050000400"/>
      <w:bookmarkEnd w:id="47"/>
      <w:r>
        <w:rPr>
          <w:rFonts w:ascii="arial" w:eastAsia="arial" w:hAnsi="arial" w:cs="arial"/>
          <w:b w:val="0"/>
          <w:i w:val="0"/>
          <w:strike w:val="0"/>
          <w:noProof w:val="0"/>
          <w:color w:val="000000"/>
          <w:position w:val="0"/>
          <w:sz w:val="20"/>
          <w:u w:val="none"/>
          <w:vertAlign w:val="baseline"/>
        </w:rPr>
        <w:t xml:space="preserve">In addition to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moving party must establish the elements of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48" w:name="Bookmark_I5R3M6G828T4G60040000400"/>
      <w:bookmarkEnd w:id="48"/>
      <w:hyperlink r:id="rId19" w:history="1">
        <w:r>
          <w:rPr>
            <w:rFonts w:ascii="arial" w:eastAsia="arial" w:hAnsi="arial" w:cs="arial"/>
            <w:b w:val="0"/>
            <w:i/>
            <w:strike w:val="0"/>
            <w:noProof w:val="0"/>
            <w:color w:val="0077CC"/>
            <w:position w:val="0"/>
            <w:sz w:val="20"/>
            <w:u w:val="single"/>
            <w:vertAlign w:val="baseline"/>
          </w:rPr>
          <w:t>Amchem</w:t>
        </w:r>
      </w:hyperlink>
      <w:hyperlink r:id="rId19" w:history="1">
        <w:r>
          <w:rPr>
            <w:rFonts w:ascii="arial" w:eastAsia="arial" w:hAnsi="arial" w:cs="arial"/>
            <w:b w:val="0"/>
            <w:i/>
            <w:strike w:val="0"/>
            <w:noProof w:val="0"/>
            <w:color w:val="0077CC"/>
            <w:position w:val="0"/>
            <w:sz w:val="20"/>
            <w:u w:val="single"/>
            <w:vertAlign w:val="baseline"/>
          </w:rPr>
          <w:t>, 521 U.S. at 614</w:t>
        </w:r>
      </w:hyperlink>
      <w:r>
        <w:rPr>
          <w:rFonts w:ascii="arial" w:eastAsia="arial" w:hAnsi="arial" w:cs="arial"/>
          <w:b w:val="0"/>
          <w:i w:val="0"/>
          <w:strike w:val="0"/>
          <w:noProof w:val="0"/>
          <w:color w:val="000000"/>
          <w:position w:val="0"/>
          <w:sz w:val="20"/>
          <w:u w:val="none"/>
          <w:vertAlign w:val="baseline"/>
        </w:rPr>
        <w:t xml:space="preserve">. Plaintiffs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permits a class action when common questions "predominate over any questions affecting only individual members," and class resolution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Matters "pertinent" to evaluating predominance and superiority include:</w:t>
      </w:r>
    </w:p>
    <w:p>
      <w:pPr>
        <w:keepNext w:val="0"/>
        <w:widowControl w:val="0"/>
        <w:spacing w:after="0" w:line="260" w:lineRule="atLeast"/>
        <w:ind w:left="400" w:right="0" w:firstLine="0"/>
        <w:jc w:val="both"/>
      </w:pPr>
      <w:bookmarkStart w:id="49" w:name="Bookmark_para_28"/>
      <w:bookmarkEnd w:id="49"/>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50" w:name="Bookmark_para_29"/>
      <w:bookmarkEnd w:id="50"/>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51" w:name="Bookmark_para_30"/>
      <w:bookmarkEnd w:id="51"/>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52" w:name="Bookmark_para_31"/>
      <w:bookmarkEnd w:id="52"/>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32"/>
      <w:bookmarkEnd w:id="53"/>
      <w:bookmarkStart w:id="54" w:name="Bookmark_I5R3M6G82D6N010020000400"/>
      <w:bookmarkEnd w:id="54"/>
      <w:bookmarkStart w:id="55" w:name="Bookmark_I5R3M6G82D6N010040000400"/>
      <w:bookmarkEnd w:id="55"/>
      <w:r>
        <w:rPr>
          <w:rFonts w:ascii="arial" w:eastAsia="arial" w:hAnsi="arial" w:cs="arial"/>
          <w:b w:val="0"/>
          <w:i w:val="0"/>
          <w:strike w:val="0"/>
          <w:noProof w:val="0"/>
          <w:color w:val="000000"/>
          <w:position w:val="0"/>
          <w:sz w:val="20"/>
          <w:u w:val="none"/>
          <w:vertAlign w:val="baseline"/>
        </w:rPr>
        <w:t xml:space="preserve">The plaintiffs have the burden of an initial showing that the proposed class satisfies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56" w:name="Bookmark_I2HRRDMNTBN000H79R500001"/>
      <w:bookmarkEnd w:id="56"/>
      <w:bookmarkStart w:id="57" w:name="Bookmark_I5R3M6G828T4G70050000400"/>
      <w:bookmarkEnd w:id="57"/>
      <w:bookmarkStart w:id="58" w:name="Bookmark_I5R3M6G82D6N010010000400"/>
      <w:bookmarkEnd w:id="58"/>
      <w:hyperlink r:id="rId20" w:history="1">
        <w:r>
          <w:rPr>
            <w:rFonts w:ascii="arial" w:eastAsia="arial" w:hAnsi="arial" w:cs="arial"/>
            <w:b w:val="0"/>
            <w:i/>
            <w:strike w:val="0"/>
            <w:noProof w:val="0"/>
            <w:color w:val="0077CC"/>
            <w:position w:val="0"/>
            <w:sz w:val="20"/>
            <w:u w:val="single"/>
            <w:vertAlign w:val="baseline"/>
          </w:rPr>
          <w:t xml:space="preserve">In re Nexium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777 F.3d 9, 27 (1st Cir. 2015)</w:t>
        </w:r>
      </w:hyperlink>
      <w:r>
        <w:rPr>
          <w:rFonts w:ascii="arial" w:eastAsia="arial" w:hAnsi="arial" w:cs="arial"/>
          <w:b w:val="0"/>
          <w:i w:val="0"/>
          <w:strike w:val="0"/>
          <w:noProof w:val="0"/>
          <w:color w:val="000000"/>
          <w:position w:val="0"/>
          <w:sz w:val="20"/>
          <w:u w:val="none"/>
          <w:vertAlign w:val="baseline"/>
        </w:rPr>
        <w:t>. If factual premises are disputed at the class certification stage, the Court may "'probe behind the pleadings' to 'formulate some prediction as to how specific issues will play out' in order to assess whether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proposed class meets the legal requirements for certification." </w:t>
      </w:r>
      <w:bookmarkStart w:id="59" w:name="Bookmark_I5R3M6G82D6N010030000400"/>
      <w:bookmarkEnd w:id="59"/>
      <w:hyperlink r:id="rId21"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522 F.3d 6, 17 (1st Cir. 2008)</w:t>
        </w:r>
      </w:hyperlink>
      <w:r>
        <w:rPr>
          <w:rFonts w:ascii="arial" w:eastAsia="arial" w:hAnsi="arial" w:cs="arial"/>
          <w:b w:val="0"/>
          <w:i w:val="0"/>
          <w:strike w:val="0"/>
          <w:noProof w:val="0"/>
          <w:color w:val="000000"/>
          <w:position w:val="0"/>
          <w:sz w:val="20"/>
          <w:u w:val="none"/>
          <w:vertAlign w:val="baseline"/>
        </w:rPr>
        <w:t xml:space="preserve"> (quoting </w:t>
      </w:r>
      <w:bookmarkStart w:id="60" w:name="Bookmark_I5R3M6G82D6N010050000400"/>
      <w:bookmarkEnd w:id="60"/>
      <w:hyperlink r:id="rId22" w:history="1">
        <w:r>
          <w:rPr>
            <w:rFonts w:ascii="arial" w:eastAsia="arial" w:hAnsi="arial" w:cs="arial"/>
            <w:b w:val="0"/>
            <w:i/>
            <w:strike w:val="0"/>
            <w:noProof w:val="0"/>
            <w:color w:val="0077CC"/>
            <w:position w:val="0"/>
            <w:sz w:val="20"/>
            <w:u w:val="single"/>
            <w:vertAlign w:val="baseline"/>
          </w:rPr>
          <w:t>Gen. Tel. Co. of Sw. v. Falcon</w:t>
        </w:r>
      </w:hyperlink>
      <w:hyperlink r:id="rId22"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61" w:name="Bookmark_I5R3M6G828T4G70020000400"/>
      <w:bookmarkEnd w:id="61"/>
      <w:hyperlink r:id="rId23" w:history="1">
        <w:r>
          <w:rPr>
            <w:rFonts w:ascii="arial" w:eastAsia="arial" w:hAnsi="arial" w:cs="arial"/>
            <w:b w:val="0"/>
            <w:i/>
            <w:strike w:val="0"/>
            <w:noProof w:val="0"/>
            <w:color w:val="0077CC"/>
            <w:position w:val="0"/>
            <w:sz w:val="20"/>
            <w:u w:val="single"/>
            <w:vertAlign w:val="baseline"/>
          </w:rPr>
          <w:t>Waste Mgmt. Holdings, Inc. v. Mowbray</w:t>
        </w:r>
      </w:hyperlink>
      <w:hyperlink r:id="rId23" w:history="1">
        <w:r>
          <w:rPr>
            <w:rFonts w:ascii="arial" w:eastAsia="arial" w:hAnsi="arial" w:cs="arial"/>
            <w:b w:val="0"/>
            <w:i/>
            <w:strike w:val="0"/>
            <w:noProof w:val="0"/>
            <w:color w:val="0077CC"/>
            <w:position w:val="0"/>
            <w:sz w:val="20"/>
            <w:u w:val="single"/>
            <w:vertAlign w:val="baseline"/>
          </w:rPr>
          <w:t>, 208 F.3d 288, 298 (1st Cir. 2000))</w:t>
        </w:r>
      </w:hyperlink>
      <w:r>
        <w:rPr>
          <w:rFonts w:ascii="arial" w:eastAsia="arial" w:hAnsi="arial" w:cs="arial"/>
          <w:b w:val="0"/>
          <w:i w:val="0"/>
          <w:strike w:val="0"/>
          <w:noProof w:val="0"/>
          <w:color w:val="000000"/>
          <w:position w:val="0"/>
          <w:sz w:val="20"/>
          <w:u w:val="none"/>
          <w:vertAlign w:val="baseline"/>
        </w:rPr>
        <w:t xml:space="preserve">. </w:t>
      </w:r>
      <w:bookmarkStart w:id="62" w:name="Bookmark_I5R3M6G828T4G70050000400_2"/>
      <w:bookmarkEnd w:id="62"/>
      <w:r>
        <w:rPr>
          <w:rFonts w:ascii="arial" w:eastAsia="arial" w:hAnsi="arial" w:cs="arial"/>
          <w:b w:val="0"/>
          <w:i w:val="0"/>
          <w:strike w:val="0"/>
          <w:noProof w:val="0"/>
          <w:color w:val="000000"/>
          <w:position w:val="0"/>
          <w:sz w:val="20"/>
          <w:u w:val="none"/>
          <w:vertAlign w:val="baseline"/>
        </w:rPr>
        <w:t xml:space="preserve">A class should be certified only if "the trial court is satisfied, after a rigorous analysis," that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have been met. </w:t>
      </w:r>
      <w:bookmarkStart w:id="63" w:name="Bookmark_I5R3M6G828T4G70040000400"/>
      <w:bookmarkEnd w:id="63"/>
      <w:hyperlink r:id="rId24" w:history="1">
        <w:r>
          <w:rPr>
            <w:rFonts w:ascii="arial" w:eastAsia="arial" w:hAnsi="arial" w:cs="arial"/>
            <w:b w:val="0"/>
            <w:i/>
            <w:strike w:val="0"/>
            <w:noProof w:val="0"/>
            <w:color w:val="0077CC"/>
            <w:position w:val="0"/>
            <w:sz w:val="20"/>
            <w:u w:val="single"/>
            <w:vertAlign w:val="baseline"/>
          </w:rPr>
          <w:t>Comcast Corp. v. Behrend</w:t>
        </w:r>
      </w:hyperlink>
      <w:hyperlink r:id="rId24" w:history="1">
        <w:r>
          <w:rPr>
            <w:rFonts w:ascii="arial" w:eastAsia="arial" w:hAnsi="arial" w:cs="arial"/>
            <w:b w:val="0"/>
            <w:i/>
            <w:strike w:val="0"/>
            <w:noProof w:val="0"/>
            <w:color w:val="0077CC"/>
            <w:position w:val="0"/>
            <w:sz w:val="20"/>
            <w:u w:val="single"/>
            <w:vertAlign w:val="baseline"/>
          </w:rPr>
          <w:t>, 569 U.S. 27, 133 S. Ct. 1426, 1432, 185 L. Ed. 2d 515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64" w:name="Bookmark_para_33"/>
      <w:bookmarkEnd w:id="64"/>
      <w:bookmarkStart w:id="65" w:name="Bookmark_I5R3M6G82N1R0J0020000400"/>
      <w:bookmarkEnd w:id="65"/>
      <w:bookmarkStart w:id="66" w:name="Bookmark_I5R3M6G82N1R0J0040000400"/>
      <w:bookmarkEnd w:id="66"/>
      <w:r>
        <w:rPr>
          <w:rFonts w:ascii="arial" w:eastAsia="arial" w:hAnsi="arial" w:cs="arial"/>
          <w:b w:val="0"/>
          <w:i w:val="0"/>
          <w:strike w:val="0"/>
          <w:noProof w:val="0"/>
          <w:color w:val="000000"/>
          <w:position w:val="0"/>
          <w:sz w:val="20"/>
          <w:u w:val="none"/>
          <w:vertAlign w:val="baseline"/>
        </w:rPr>
        <w:t xml:space="preserve">Numerosity is a "low threshold." </w:t>
      </w:r>
      <w:bookmarkStart w:id="67" w:name="Bookmark_I5R3M6G82N1R0J0010000400"/>
      <w:bookmarkEnd w:id="67"/>
      <w:hyperlink r:id="rId25" w:history="1">
        <w:r>
          <w:rPr>
            <w:rFonts w:ascii="arial" w:eastAsia="arial" w:hAnsi="arial" w:cs="arial"/>
            <w:b w:val="0"/>
            <w:i/>
            <w:strike w:val="0"/>
            <w:noProof w:val="0"/>
            <w:color w:val="0077CC"/>
            <w:position w:val="0"/>
            <w:sz w:val="20"/>
            <w:u w:val="single"/>
            <w:vertAlign w:val="baseline"/>
          </w:rPr>
          <w:t>Garcia-Rubiera v. Calderon</w:t>
        </w:r>
      </w:hyperlink>
      <w:hyperlink r:id="rId25" w:history="1">
        <w:r>
          <w:rPr>
            <w:rFonts w:ascii="arial" w:eastAsia="arial" w:hAnsi="arial" w:cs="arial"/>
            <w:b w:val="0"/>
            <w:i/>
            <w:strike w:val="0"/>
            <w:noProof w:val="0"/>
            <w:color w:val="0077CC"/>
            <w:position w:val="0"/>
            <w:sz w:val="20"/>
            <w:u w:val="single"/>
            <w:vertAlign w:val="baseline"/>
          </w:rPr>
          <w:t>, 570 F.3d 443, 460 (1st Cir. 2009)</w:t>
        </w:r>
      </w:hyperlink>
      <w:r>
        <w:rPr>
          <w:rFonts w:ascii="arial" w:eastAsia="arial" w:hAnsi="arial" w:cs="arial"/>
          <w:b w:val="0"/>
          <w:i w:val="0"/>
          <w:strike w:val="0"/>
          <w:noProof w:val="0"/>
          <w:color w:val="000000"/>
          <w:position w:val="0"/>
          <w:sz w:val="20"/>
          <w:u w:val="none"/>
          <w:vertAlign w:val="baseline"/>
        </w:rPr>
        <w:t xml:space="preserve">. "No minimum number of plaintiffs is required to maintain a suit as a class action, but generally if the named plaintiff demonstrates that the potential number of plaintiffs exceeds 40, the first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8" w:name="Bookmark_I5R3M6G82N1R0J0030000400"/>
      <w:bookmarkEnd w:id="68"/>
      <w:hyperlink r:id="rId26" w:history="1">
        <w:r>
          <w:rPr>
            <w:rFonts w:ascii="arial" w:eastAsia="arial" w:hAnsi="arial" w:cs="arial"/>
            <w:b w:val="0"/>
            <w:i/>
            <w:strike w:val="0"/>
            <w:noProof w:val="0"/>
            <w:color w:val="0077CC"/>
            <w:position w:val="0"/>
            <w:sz w:val="20"/>
            <w:u w:val="single"/>
            <w:vertAlign w:val="baseline"/>
          </w:rPr>
          <w:t>Stewart v. Abraham</w:t>
        </w:r>
      </w:hyperlink>
      <w:hyperlink r:id="rId26"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34"/>
      <w:bookmarkEnd w:id="69"/>
      <w:r>
        <w:rPr>
          <w:rFonts w:ascii="arial" w:eastAsia="arial" w:hAnsi="arial" w:cs="arial"/>
          <w:b w:val="0"/>
          <w:i w:val="0"/>
          <w:strike w:val="0"/>
          <w:noProof w:val="0"/>
          <w:color w:val="000000"/>
          <w:position w:val="0"/>
          <w:sz w:val="20"/>
          <w:u w:val="none"/>
          <w:vertAlign w:val="baseline"/>
        </w:rPr>
        <w:t>The plaintiffs claim that the numerosity requirement is met because the defendants utilized fifty-nine contractors from June 1, 2013 to April 8, 2017. Docket No. 74-6 at 2. The defendants do not appear to contest that the plaintiffs meet the numerosity requirement. However, it bears mentioning that not all fifty-nine of Border Transfer's contractors during the time period fall within the plaintiffs' class definition. The plaintiffs' class definition is narrow: drivers who, in the relevant time period, "personally provided delivery services for Border Transfer on a full-time basis in Massachusetts." The record does not make it clear how many of the fifty-nine contractors utilized by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Border Transfer during that time period personally delivered for Border Transfer on a full-time basis -- but it is certainly not all fifty-nine. The defendants have put evidence in the record that at least three contractors, Humberto Chantre, Jose Pinto, and Naila Brito, did not personally drive full-time for Border Transfer and would be excluded from the class definition. Docket Nos. 81-3 at 2; 81-6 at 2, 4; 81-7 at 1. Rogerio Matos, a Border Transfer assistant manager, remembered two additional contractors who did not drive their own trucks. Docket No. 74-3 at 4-5, 9. Thus, at least five of the fifty-nine contractors would be excluded from the proposed class definition. Regardless, it is likely that more than forty of Border Transfer's contractors fall within the class definition.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70" w:name="Bookmark_para_35"/>
      <w:bookmarkEnd w:id="70"/>
      <w:bookmarkStart w:id="71" w:name="Bookmark_I2HRRDMPF6N000H79R500003"/>
      <w:bookmarkEnd w:id="71"/>
      <w:bookmarkStart w:id="72" w:name="Bookmark_I5R3M6G82SF8PX0010000400"/>
      <w:bookmarkEnd w:id="72"/>
      <w:r>
        <w:rPr>
          <w:rFonts w:ascii="arial" w:eastAsia="arial" w:hAnsi="arial" w:cs="arial"/>
          <w:b w:val="0"/>
          <w:i w:val="0"/>
          <w:strike w:val="0"/>
          <w:noProof w:val="0"/>
          <w:color w:val="000000"/>
          <w:position w:val="0"/>
          <w:sz w:val="20"/>
          <w:u w:val="none"/>
          <w:vertAlign w:val="baseline"/>
        </w:rPr>
        <w:t xml:space="preserve">Commonality requires the identification of an issue that is by its nature "capable of classwide resolution -- which means that determination of its truth or falsity will resolve an issue that is central to the validity of each one of the claims in one stroke." </w:t>
      </w:r>
      <w:bookmarkStart w:id="73" w:name="Bookmark_I5R3M6G82N1R0J0050000400"/>
      <w:bookmarkEnd w:id="73"/>
      <w:hyperlink r:id="rId27" w:history="1">
        <w:r>
          <w:rPr>
            <w:rFonts w:ascii="arial" w:eastAsia="arial" w:hAnsi="arial" w:cs="arial"/>
            <w:b w:val="0"/>
            <w:i/>
            <w:strike w:val="0"/>
            <w:noProof w:val="0"/>
            <w:color w:val="0077CC"/>
            <w:position w:val="0"/>
            <w:sz w:val="20"/>
            <w:u w:val="single"/>
            <w:vertAlign w:val="baseline"/>
          </w:rPr>
          <w:t>Wal-Mart Stores, Inc. v. Dukes</w:t>
        </w:r>
      </w:hyperlink>
      <w:hyperlink r:id="rId27"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74" w:name="Bookmark_I5R3M6G82SF8PX0030000400"/>
      <w:bookmarkEnd w:id="74"/>
      <w:r>
        <w:rPr>
          <w:rFonts w:ascii="arial" w:eastAsia="arial" w:hAnsi="arial" w:cs="arial"/>
          <w:b w:val="0"/>
          <w:i w:val="0"/>
          <w:strike w:val="0"/>
          <w:noProof w:val="0"/>
          <w:color w:val="000000"/>
          <w:position w:val="0"/>
          <w:sz w:val="20"/>
          <w:u w:val="none"/>
          <w:vertAlign w:val="baseline"/>
        </w:rPr>
        <w:t xml:space="preserve">Plaintiffs must raise not only common questions, but also common answers that help resolve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 a single common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issue may suffice. </w:t>
      </w:r>
      <w:bookmarkStart w:id="75" w:name="Bookmark_I5R3M6G82SF8PX0030000400_2"/>
      <w:bookmarkEnd w:id="75"/>
      <w:bookmarkStart w:id="76" w:name="Bookmark_I5R3M6G82SF8PX0020000400"/>
      <w:bookmarkEnd w:id="7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7" w:name="Bookmark_I5R3M6G82SF8PX0040000400"/>
      <w:bookmarkEnd w:id="77"/>
      <w:hyperlink r:id="rId28" w:history="1">
        <w:r>
          <w:rPr>
            <w:rFonts w:ascii="arial" w:eastAsia="arial" w:hAnsi="arial" w:cs="arial"/>
            <w:b w:val="0"/>
            <w:i/>
            <w:strike w:val="0"/>
            <w:noProof w:val="0"/>
            <w:color w:val="0077CC"/>
            <w:position w:val="0"/>
            <w:sz w:val="20"/>
            <w:u w:val="single"/>
            <w:vertAlign w:val="baseline"/>
          </w:rPr>
          <w:t>Parsons v. Ryan</w:t>
        </w:r>
      </w:hyperlink>
      <w:hyperlink r:id="rId28" w:history="1">
        <w:r>
          <w:rPr>
            <w:rFonts w:ascii="arial" w:eastAsia="arial" w:hAnsi="arial" w:cs="arial"/>
            <w:b w:val="0"/>
            <w:i/>
            <w:strike w:val="0"/>
            <w:noProof w:val="0"/>
            <w:color w:val="0077CC"/>
            <w:position w:val="0"/>
            <w:sz w:val="20"/>
            <w:u w:val="single"/>
            <w:vertAlign w:val="baseline"/>
          </w:rPr>
          <w:t>, 754 F.3d 657, 675 (9th Cir. 2014)</w:t>
        </w:r>
      </w:hyperlink>
      <w:r>
        <w:rPr>
          <w:rFonts w:ascii="arial" w:eastAsia="arial" w:hAnsi="arial" w:cs="arial"/>
          <w:b w:val="0"/>
          <w:i w:val="0"/>
          <w:strike w:val="0"/>
          <w:noProof w:val="0"/>
          <w:color w:val="000000"/>
          <w:position w:val="0"/>
          <w:sz w:val="20"/>
          <w:u w:val="none"/>
          <w:vertAlign w:val="baseline"/>
        </w:rPr>
        <w:t xml:space="preserve">; </w:t>
      </w:r>
      <w:bookmarkStart w:id="78" w:name="Bookmark_I5R3M6G92N1R0K0010000400"/>
      <w:bookmarkEnd w:id="78"/>
      <w:hyperlink r:id="rId29" w:history="1">
        <w:r>
          <w:rPr>
            <w:rFonts w:ascii="arial" w:eastAsia="arial" w:hAnsi="arial" w:cs="arial"/>
            <w:b w:val="0"/>
            <w:i/>
            <w:strike w:val="0"/>
            <w:noProof w:val="0"/>
            <w:color w:val="0077CC"/>
            <w:position w:val="0"/>
            <w:sz w:val="20"/>
            <w:u w:val="single"/>
            <w:vertAlign w:val="baseline"/>
          </w:rPr>
          <w:t>Crowe v. Examworks, Inc.</w:t>
        </w:r>
      </w:hyperlink>
      <w:hyperlink r:id="rId29" w:history="1">
        <w:r>
          <w:rPr>
            <w:rFonts w:ascii="arial" w:eastAsia="arial" w:hAnsi="arial" w:cs="arial"/>
            <w:b w:val="0"/>
            <w:i/>
            <w:strike w:val="0"/>
            <w:noProof w:val="0"/>
            <w:color w:val="0077CC"/>
            <w:position w:val="0"/>
            <w:sz w:val="20"/>
            <w:u w:val="single"/>
            <w:vertAlign w:val="baseline"/>
          </w:rPr>
          <w:t>, 136 F. Supp. 3d 16, 47 (D. Mass.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Choice of Law</w:t>
      </w:r>
    </w:p>
    <w:p>
      <w:pPr>
        <w:keepNext w:val="0"/>
        <w:widowControl w:val="0"/>
        <w:spacing w:before="200" w:after="0" w:line="260" w:lineRule="atLeast"/>
        <w:ind w:left="0" w:right="0" w:firstLine="0"/>
        <w:jc w:val="both"/>
      </w:pPr>
      <w:bookmarkStart w:id="79" w:name="Bookmark_para_36"/>
      <w:bookmarkEnd w:id="79"/>
      <w:r>
        <w:rPr>
          <w:rFonts w:ascii="arial" w:eastAsia="arial" w:hAnsi="arial" w:cs="arial"/>
          <w:b w:val="0"/>
          <w:i w:val="0"/>
          <w:strike w:val="0"/>
          <w:noProof w:val="0"/>
          <w:color w:val="000000"/>
          <w:position w:val="0"/>
          <w:sz w:val="20"/>
          <w:u w:val="none"/>
          <w:vertAlign w:val="baseline"/>
        </w:rPr>
        <w:t>Defendants argue that individualized evidence is required to determine whether Massachusetts law applies to all putative class members' claims.</w:t>
      </w:r>
    </w:p>
    <w:p>
      <w:pPr>
        <w:keepNext w:val="0"/>
        <w:widowControl w:val="0"/>
        <w:spacing w:before="240" w:after="0" w:line="260" w:lineRule="atLeast"/>
        <w:ind w:left="0" w:right="0" w:firstLine="0"/>
        <w:jc w:val="both"/>
      </w:pPr>
      <w:bookmarkStart w:id="80" w:name="Bookmark_para_37"/>
      <w:bookmarkEnd w:id="80"/>
      <w:bookmarkStart w:id="81" w:name="Bookmark_I5R3M6G92N1R0K0040000400"/>
      <w:bookmarkEnd w:id="81"/>
      <w:r>
        <w:rPr>
          <w:rFonts w:ascii="arial" w:eastAsia="arial" w:hAnsi="arial" w:cs="arial"/>
          <w:b w:val="0"/>
          <w:i w:val="0"/>
          <w:strike w:val="0"/>
          <w:noProof w:val="0"/>
          <w:color w:val="000000"/>
          <w:position w:val="0"/>
          <w:sz w:val="20"/>
          <w:u w:val="none"/>
          <w:vertAlign w:val="baseline"/>
        </w:rPr>
        <w:t>If different state laws apply to different members of a putative class and there are relevant differences between those state laws, commonality may be defeated.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8" w:name="Bookmark_I5R3M6G92N1R0K0030000400"/>
      <w:bookmarkEnd w:id="88"/>
      <w:hyperlink r:id="rId30" w:history="1">
        <w:r>
          <w:rPr>
            <w:rFonts w:ascii="arial" w:eastAsia="arial" w:hAnsi="arial" w:cs="arial"/>
            <w:b w:val="0"/>
            <w:i/>
            <w:strike w:val="0"/>
            <w:noProof w:val="0"/>
            <w:color w:val="0077CC"/>
            <w:position w:val="0"/>
            <w:sz w:val="20"/>
            <w:u w:val="single"/>
            <w:vertAlign w:val="baseline"/>
          </w:rPr>
          <w:t xml:space="preserve">Gariety v. Grant Thornton, </w:t>
        </w:r>
      </w:hyperlink>
      <w:hyperlink r:id="rId30" w:history="1">
        <w:r>
          <w:rPr>
            <w:rFonts w:ascii="arial" w:eastAsia="arial" w:hAnsi="arial" w:cs="arial"/>
            <w:b/>
            <w:i/>
            <w:strike w:val="0"/>
            <w:noProof w:val="0"/>
            <w:color w:val="0077CC"/>
            <w:position w:val="0"/>
            <w:sz w:val="20"/>
            <w:u w:val="single"/>
            <w:vertAlign w:val="baseline"/>
          </w:rPr>
          <w:t> [*399] </w:t>
        </w:r>
      </w:hyperlink>
      <w:hyperlink r:id="rId30" w:history="1">
        <w:r>
          <w:rPr>
            <w:rFonts w:ascii="arial" w:eastAsia="arial" w:hAnsi="arial" w:cs="arial"/>
            <w:b w:val="0"/>
            <w:i/>
            <w:strike w:val="0"/>
            <w:noProof w:val="0"/>
            <w:color w:val="0077CC"/>
            <w:position w:val="0"/>
            <w:sz w:val="20"/>
            <w:u w:val="single"/>
            <w:vertAlign w:val="baseline"/>
          </w:rPr>
          <w:t xml:space="preserve"> LLP</w:t>
        </w:r>
      </w:hyperlink>
      <w:hyperlink r:id="rId30" w:history="1">
        <w:r>
          <w:rPr>
            <w:rFonts w:ascii="arial" w:eastAsia="arial" w:hAnsi="arial" w:cs="arial"/>
            <w:b w:val="0"/>
            <w:i/>
            <w:strike w:val="0"/>
            <w:noProof w:val="0"/>
            <w:color w:val="0077CC"/>
            <w:position w:val="0"/>
            <w:sz w:val="20"/>
            <w:u w:val="single"/>
            <w:vertAlign w:val="baseline"/>
          </w:rPr>
          <w:t>, 368 F.3d 356, 370 (4th Cir. 2004)</w:t>
        </w:r>
      </w:hyperlink>
      <w:r>
        <w:rPr>
          <w:rFonts w:ascii="arial" w:eastAsia="arial" w:hAnsi="arial" w:cs="arial"/>
          <w:b w:val="0"/>
          <w:i w:val="0"/>
          <w:strike w:val="0"/>
          <w:noProof w:val="0"/>
          <w:color w:val="000000"/>
          <w:position w:val="0"/>
          <w:sz w:val="20"/>
          <w:u w:val="none"/>
          <w:vertAlign w:val="baseline"/>
        </w:rPr>
        <w:t xml:space="preserve"> ("The plaintiffs have the burden of showing that common questions of law predominate, and they cannot meet this burden when the various laws have not been identified and compared."); </w:t>
      </w:r>
      <w:bookmarkStart w:id="89" w:name="Bookmark_I5R3M6G92N1R0K0050000400"/>
      <w:bookmarkEnd w:id="89"/>
      <w:hyperlink r:id="rId31" w:history="1">
        <w:r>
          <w:rPr>
            <w:rFonts w:ascii="arial" w:eastAsia="arial" w:hAnsi="arial" w:cs="arial"/>
            <w:b w:val="0"/>
            <w:i/>
            <w:strike w:val="0"/>
            <w:noProof w:val="0"/>
            <w:color w:val="0077CC"/>
            <w:position w:val="0"/>
            <w:sz w:val="20"/>
            <w:u w:val="single"/>
            <w:vertAlign w:val="baseline"/>
          </w:rPr>
          <w:t>Grandalski v. Quest Diagnostics Inc.</w:t>
        </w:r>
      </w:hyperlink>
      <w:hyperlink r:id="rId31" w:history="1">
        <w:r>
          <w:rPr>
            <w:rFonts w:ascii="arial" w:eastAsia="arial" w:hAnsi="arial" w:cs="arial"/>
            <w:b w:val="0"/>
            <w:i/>
            <w:strike w:val="0"/>
            <w:noProof w:val="0"/>
            <w:color w:val="0077CC"/>
            <w:position w:val="0"/>
            <w:sz w:val="20"/>
            <w:u w:val="single"/>
            <w:vertAlign w:val="baseline"/>
          </w:rPr>
          <w:t>, 767 F.3d 175, 180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38"/>
      <w:bookmarkEnd w:id="90"/>
      <w:bookmarkStart w:id="91" w:name="Bookmark_I5R3M6G92HM5YG0020000400"/>
      <w:bookmarkEnd w:id="91"/>
      <w:r>
        <w:rPr>
          <w:rFonts w:ascii="arial" w:eastAsia="arial" w:hAnsi="arial" w:cs="arial"/>
          <w:b w:val="0"/>
          <w:i w:val="0"/>
          <w:strike w:val="0"/>
          <w:noProof w:val="0"/>
          <w:color w:val="000000"/>
          <w:position w:val="0"/>
          <w:sz w:val="20"/>
          <w:u w:val="none"/>
          <w:vertAlign w:val="baseline"/>
        </w:rPr>
        <w:t xml:space="preserve">The first step is to determine whether there is an actual conflict between the laws of the possibly governing jurisdictions. "It is a well-established -- and prudential --principle that when the result in a case will not be affected by the choice of law, an inquiring court, in its discretion, may simply bypass the choice." </w:t>
      </w:r>
      <w:bookmarkStart w:id="92" w:name="Bookmark_I5R3M6G92HM5YG0010000400"/>
      <w:bookmarkEnd w:id="92"/>
      <w:hyperlink r:id="rId32" w:history="1">
        <w:r>
          <w:rPr>
            <w:rFonts w:ascii="arial" w:eastAsia="arial" w:hAnsi="arial" w:cs="arial"/>
            <w:b w:val="0"/>
            <w:i/>
            <w:strike w:val="0"/>
            <w:noProof w:val="0"/>
            <w:color w:val="0077CC"/>
            <w:position w:val="0"/>
            <w:sz w:val="20"/>
            <w:u w:val="single"/>
            <w:vertAlign w:val="baseline"/>
          </w:rPr>
          <w:t>Lexington Ins. Co. v. Gen. Acc. Ins. Co. of Am.</w:t>
        </w:r>
      </w:hyperlink>
      <w:hyperlink r:id="rId32" w:history="1">
        <w:r>
          <w:rPr>
            <w:rFonts w:ascii="arial" w:eastAsia="arial" w:hAnsi="arial" w:cs="arial"/>
            <w:b w:val="0"/>
            <w:i/>
            <w:strike w:val="0"/>
            <w:noProof w:val="0"/>
            <w:color w:val="0077CC"/>
            <w:position w:val="0"/>
            <w:sz w:val="20"/>
            <w:u w:val="single"/>
            <w:vertAlign w:val="baseline"/>
          </w:rPr>
          <w:t>, 338 F.3d 42, 46 (1st Cir. 2003)</w:t>
        </w:r>
      </w:hyperlink>
      <w:r>
        <w:rPr>
          <w:rFonts w:ascii="arial" w:eastAsia="arial" w:hAnsi="arial" w:cs="arial"/>
          <w:b w:val="0"/>
          <w:i w:val="0"/>
          <w:strike w:val="0"/>
          <w:noProof w:val="0"/>
          <w:color w:val="000000"/>
          <w:position w:val="0"/>
          <w:sz w:val="20"/>
          <w:u w:val="none"/>
          <w:vertAlign w:val="baseline"/>
        </w:rPr>
        <w:t xml:space="preserve">. Beyond Massachusetts, the other potentially relevant jurisdictions are Rhode Island and Connecticut. Docket No. 80 at 15;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Docket No. 81-16 at 13. </w:t>
      </w:r>
      <w:bookmarkStart w:id="93" w:name="Bookmark_I5R3M6G92HM5YG0040000400"/>
      <w:bookmarkEnd w:id="93"/>
      <w:r>
        <w:rPr>
          <w:rFonts w:ascii="arial" w:eastAsia="arial" w:hAnsi="arial" w:cs="arial"/>
          <w:b w:val="0"/>
          <w:i w:val="0"/>
          <w:strike w:val="0"/>
          <w:noProof w:val="0"/>
          <w:color w:val="000000"/>
          <w:position w:val="0"/>
          <w:sz w:val="20"/>
          <w:u w:val="none"/>
          <w:vertAlign w:val="baseline"/>
        </w:rPr>
        <w:t>The defendants point out, correctly, that there are potentially material differences in the wage laws of Massachusetts, Rhode Island, and Connecticut.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example, while each state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considers the level of control as a part of its independent contractor test, the control test in Massachusetts is different from that of Rhode Island and Connecticut. As described in the following section on commonality and Prong A, the control test in the Massachusetts Wage Act is conjunctive and requires a company using an independent contractor to show that the contractor was free from its control both as a matter of contract and as a matter of fact. Both the Rhode Island and Connecticut independent contractor tests focus solely on the existence of a contractual right to control rather than the exercise of actual control. </w:t>
      </w:r>
      <w:bookmarkStart w:id="95" w:name="Bookmark_I5R3M6G92HM5YG0030000400"/>
      <w:bookmarkEnd w:id="95"/>
      <w:hyperlink r:id="rId33" w:history="1">
        <w:r>
          <w:rPr>
            <w:rFonts w:ascii="arial" w:eastAsia="arial" w:hAnsi="arial" w:cs="arial"/>
            <w:b w:val="0"/>
            <w:i/>
            <w:strike w:val="0"/>
            <w:noProof w:val="0"/>
            <w:color w:val="0077CC"/>
            <w:position w:val="0"/>
            <w:sz w:val="20"/>
            <w:u w:val="single"/>
            <w:vertAlign w:val="baseline"/>
          </w:rPr>
          <w:t>Absi v. State Dep't of Admin.</w:t>
        </w:r>
      </w:hyperlink>
      <w:hyperlink r:id="rId33" w:history="1">
        <w:r>
          <w:rPr>
            <w:rFonts w:ascii="arial" w:eastAsia="arial" w:hAnsi="arial" w:cs="arial"/>
            <w:b w:val="0"/>
            <w:i/>
            <w:strike w:val="0"/>
            <w:noProof w:val="0"/>
            <w:color w:val="0077CC"/>
            <w:position w:val="0"/>
            <w:sz w:val="20"/>
            <w:u w:val="single"/>
            <w:vertAlign w:val="baseline"/>
          </w:rPr>
          <w:t>, 785 A.2d 554, 556 (R.I. 2001)</w:t>
        </w:r>
      </w:hyperlink>
      <w:r>
        <w:rPr>
          <w:rFonts w:ascii="arial" w:eastAsia="arial" w:hAnsi="arial" w:cs="arial"/>
          <w:b w:val="0"/>
          <w:i w:val="0"/>
          <w:strike w:val="0"/>
          <w:noProof w:val="0"/>
          <w:color w:val="000000"/>
          <w:position w:val="0"/>
          <w:sz w:val="20"/>
          <w:u w:val="none"/>
          <w:vertAlign w:val="baseline"/>
        </w:rPr>
        <w:t xml:space="preserve">; </w:t>
      </w:r>
      <w:bookmarkStart w:id="96" w:name="Bookmark_I5R3M6G92HM5YG0050000400"/>
      <w:bookmarkEnd w:id="96"/>
      <w:hyperlink r:id="rId34" w:history="1">
        <w:r>
          <w:rPr>
            <w:rFonts w:ascii="arial" w:eastAsia="arial" w:hAnsi="arial" w:cs="arial"/>
            <w:b w:val="0"/>
            <w:i/>
            <w:strike w:val="0"/>
            <w:noProof w:val="0"/>
            <w:color w:val="0077CC"/>
            <w:position w:val="0"/>
            <w:sz w:val="20"/>
            <w:u w:val="single"/>
            <w:vertAlign w:val="baseline"/>
          </w:rPr>
          <w:t>Tianti, ex rel. Gluck v. William Raveis Real Estate, Inc.</w:t>
        </w:r>
      </w:hyperlink>
      <w:hyperlink r:id="rId34" w:history="1">
        <w:r>
          <w:rPr>
            <w:rFonts w:ascii="arial" w:eastAsia="arial" w:hAnsi="arial" w:cs="arial"/>
            <w:b w:val="0"/>
            <w:i/>
            <w:strike w:val="0"/>
            <w:noProof w:val="0"/>
            <w:color w:val="0077CC"/>
            <w:position w:val="0"/>
            <w:sz w:val="20"/>
            <w:u w:val="single"/>
            <w:vertAlign w:val="baseline"/>
          </w:rPr>
          <w:t>, 231 Conn. 690, 651 A.2d 1286, 1290 (Conn.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39"/>
      <w:bookmarkEnd w:id="97"/>
      <w:bookmarkStart w:id="98" w:name="Bookmark_I5R3M6G92D6N020030000400"/>
      <w:bookmarkEnd w:id="98"/>
      <w:r>
        <w:rPr>
          <w:rFonts w:ascii="arial" w:eastAsia="arial" w:hAnsi="arial" w:cs="arial"/>
          <w:b w:val="0"/>
          <w:i w:val="0"/>
          <w:strike w:val="0"/>
          <w:noProof w:val="0"/>
          <w:color w:val="000000"/>
          <w:position w:val="0"/>
          <w:sz w:val="20"/>
          <w:u w:val="none"/>
          <w:vertAlign w:val="baseline"/>
        </w:rPr>
        <w:t xml:space="preserve">Having found at least one potentially relevant difference among the state laws, the Court must undertake a choice-of-law analysis. A federal court sitting in diversity, as in this case, must look to the forum state's choice-of-law rules to determine the controlling substantive law. </w:t>
      </w:r>
      <w:r>
        <w:rPr>
          <w:rFonts w:ascii="arial" w:eastAsia="arial" w:hAnsi="arial" w:cs="arial"/>
          <w:b w:val="0"/>
          <w:i w:val="0"/>
          <w:strike w:val="0"/>
          <w:noProof w:val="0"/>
          <w:color w:val="000000"/>
          <w:position w:val="0"/>
          <w:sz w:val="20"/>
          <w:u w:val="single"/>
          <w:vertAlign w:val="baseline"/>
        </w:rPr>
        <w:t xml:space="preserve">See </w:t>
      </w:r>
      <w:bookmarkStart w:id="99" w:name="Bookmark_I5R3M6G92D6N020020000400"/>
      <w:bookmarkEnd w:id="99"/>
      <w:hyperlink r:id="rId35" w:history="1">
        <w:r>
          <w:rPr>
            <w:rFonts w:ascii="arial" w:eastAsia="arial" w:hAnsi="arial" w:cs="arial"/>
            <w:b w:val="0"/>
            <w:i/>
            <w:strike w:val="0"/>
            <w:noProof w:val="0"/>
            <w:color w:val="0077CC"/>
            <w:position w:val="0"/>
            <w:sz w:val="20"/>
            <w:u w:val="single"/>
            <w:vertAlign w:val="baseline"/>
          </w:rPr>
          <w:t>Klaxon Co. v. Stentor Elec. Mfg. Co. Inc.</w:t>
        </w:r>
      </w:hyperlink>
      <w:hyperlink r:id="rId35"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The relevant inquiry is whether, when Massachusetts choice-of-law rules are applied to each of the members of the putative class, the result would be the application of the Massachusetts Wage Act.</w:t>
      </w:r>
    </w:p>
    <w:p>
      <w:pPr>
        <w:keepNext w:val="0"/>
        <w:widowControl w:val="0"/>
        <w:spacing w:before="200" w:after="0" w:line="260" w:lineRule="atLeast"/>
        <w:ind w:left="0" w:right="0" w:firstLine="0"/>
        <w:jc w:val="both"/>
      </w:pPr>
      <w:bookmarkStart w:id="100" w:name="Bookmark_para_40"/>
      <w:bookmarkEnd w:id="100"/>
      <w:bookmarkStart w:id="101" w:name="Bookmark_I5R3M6G92D6N020050000400"/>
      <w:bookmarkEnd w:id="101"/>
      <w:bookmarkStart w:id="102" w:name="Bookmark_I5R3M6G928T4G80040000400"/>
      <w:bookmarkEnd w:id="102"/>
      <w:r>
        <w:rPr>
          <w:rFonts w:ascii="arial" w:eastAsia="arial" w:hAnsi="arial" w:cs="arial"/>
          <w:b w:val="0"/>
          <w:i w:val="0"/>
          <w:strike w:val="0"/>
          <w:noProof w:val="0"/>
          <w:color w:val="000000"/>
          <w:position w:val="0"/>
          <w:sz w:val="20"/>
          <w:u w:val="none"/>
          <w:vertAlign w:val="baseline"/>
        </w:rPr>
        <w:t>"Massachusetts state courts apply 'a functional choice of law approach that responds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interests of the parties, the States involved, and the interstate system as a whole.'" </w:t>
      </w:r>
      <w:bookmarkStart w:id="103" w:name="Bookmark_I5R3M6G92D6N020040000400"/>
      <w:bookmarkEnd w:id="103"/>
      <w:hyperlink r:id="rId36" w:history="1">
        <w:r>
          <w:rPr>
            <w:rFonts w:ascii="arial" w:eastAsia="arial" w:hAnsi="arial" w:cs="arial"/>
            <w:b w:val="0"/>
            <w:i/>
            <w:strike w:val="0"/>
            <w:noProof w:val="0"/>
            <w:color w:val="0077CC"/>
            <w:position w:val="0"/>
            <w:sz w:val="20"/>
            <w:u w:val="single"/>
            <w:vertAlign w:val="baseline"/>
          </w:rPr>
          <w:t>Reicher v. Berkshire Life Ins. Co. of Am.</w:t>
        </w:r>
      </w:hyperlink>
      <w:hyperlink r:id="rId36" w:history="1">
        <w:r>
          <w:rPr>
            <w:rFonts w:ascii="arial" w:eastAsia="arial" w:hAnsi="arial" w:cs="arial"/>
            <w:b w:val="0"/>
            <w:i/>
            <w:strike w:val="0"/>
            <w:noProof w:val="0"/>
            <w:color w:val="0077CC"/>
            <w:position w:val="0"/>
            <w:sz w:val="20"/>
            <w:u w:val="single"/>
            <w:vertAlign w:val="baseline"/>
          </w:rPr>
          <w:t>, 360 F.3d 1, 5 (1st Cir. 2004)</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R3M6G928T4G80010000400"/>
      <w:bookmarkEnd w:id="104"/>
      <w:hyperlink r:id="rId37" w:history="1">
        <w:r>
          <w:rPr>
            <w:rFonts w:ascii="arial" w:eastAsia="arial" w:hAnsi="arial" w:cs="arial"/>
            <w:b w:val="0"/>
            <w:i/>
            <w:strike w:val="0"/>
            <w:noProof w:val="0"/>
            <w:color w:val="0077CC"/>
            <w:position w:val="0"/>
            <w:sz w:val="20"/>
            <w:u w:val="single"/>
            <w:vertAlign w:val="baseline"/>
          </w:rPr>
          <w:t>Bushkin Assocs., Inc. v. Raytheon Co.</w:t>
        </w:r>
      </w:hyperlink>
      <w:hyperlink r:id="rId37" w:history="1">
        <w:r>
          <w:rPr>
            <w:rFonts w:ascii="arial" w:eastAsia="arial" w:hAnsi="arial" w:cs="arial"/>
            <w:b w:val="0"/>
            <w:i/>
            <w:strike w:val="0"/>
            <w:noProof w:val="0"/>
            <w:color w:val="0077CC"/>
            <w:position w:val="0"/>
            <w:sz w:val="20"/>
            <w:u w:val="single"/>
            <w:vertAlign w:val="baseline"/>
          </w:rPr>
          <w:t>, 393 Mass. 622, 473 N.E.2d 662, 668 (Mass. 1985))</w:t>
        </w:r>
      </w:hyperlink>
      <w:r>
        <w:rPr>
          <w:rFonts w:ascii="arial" w:eastAsia="arial" w:hAnsi="arial" w:cs="arial"/>
          <w:b w:val="0"/>
          <w:i w:val="0"/>
          <w:strike w:val="0"/>
          <w:noProof w:val="0"/>
          <w:color w:val="000000"/>
          <w:position w:val="0"/>
          <w:sz w:val="20"/>
          <w:u w:val="none"/>
          <w:vertAlign w:val="baseline"/>
        </w:rPr>
        <w:t xml:space="preserve">. The approach, which is guided by the Restatement (Second) of Conflict of Laws, is a multifactor analysis that chooses the "State with the greatest 'interest' in the particular issue." </w:t>
      </w:r>
      <w:bookmarkStart w:id="105" w:name="Bookmark_I5R3M6G928T4G80030000400"/>
      <w:bookmarkEnd w:id="105"/>
      <w:hyperlink r:id="rId37" w:history="1">
        <w:r>
          <w:rPr>
            <w:rFonts w:ascii="arial" w:eastAsia="arial" w:hAnsi="arial" w:cs="arial"/>
            <w:b w:val="0"/>
            <w:i/>
            <w:strike w:val="0"/>
            <w:noProof w:val="0"/>
            <w:color w:val="0077CC"/>
            <w:position w:val="0"/>
            <w:sz w:val="20"/>
            <w:u w:val="single"/>
            <w:vertAlign w:val="baseline"/>
          </w:rPr>
          <w:t>Bushkin</w:t>
        </w:r>
      </w:hyperlink>
      <w:hyperlink r:id="rId37" w:history="1">
        <w:r>
          <w:rPr>
            <w:rFonts w:ascii="arial" w:eastAsia="arial" w:hAnsi="arial" w:cs="arial"/>
            <w:b w:val="0"/>
            <w:i/>
            <w:strike w:val="0"/>
            <w:noProof w:val="0"/>
            <w:color w:val="0077CC"/>
            <w:position w:val="0"/>
            <w:sz w:val="20"/>
            <w:u w:val="single"/>
            <w:vertAlign w:val="baseline"/>
          </w:rPr>
          <w:t>, 473 N.E.2d at 668-69</w:t>
        </w:r>
      </w:hyperlink>
      <w:r>
        <w:rPr>
          <w:rFonts w:ascii="arial" w:eastAsia="arial" w:hAnsi="arial" w:cs="arial"/>
          <w:b w:val="0"/>
          <w:i w:val="0"/>
          <w:strike w:val="0"/>
          <w:noProof w:val="0"/>
          <w:color w:val="000000"/>
          <w:position w:val="0"/>
          <w:sz w:val="20"/>
          <w:u w:val="none"/>
          <w:vertAlign w:val="baseline"/>
        </w:rPr>
        <w:t xml:space="preserve">. The defendants point out that at least seventeen of the persons that fall within the proposed class definition listed a state other than Massachusetts as the location of their business. Docket No. 81-18 at 1-2. DaSilva delivered to Rhode Island and Connecticut "frequently,"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and he averaged nine to ten hours a day delivering to Rhode Island and Connecticut. Docket No. 81-16 at 13. Ferreira estimated that he delivered half of his loads outside of Massachusetts. Docket No. 81-15 at 25.</w:t>
      </w:r>
    </w:p>
    <w:p>
      <w:pPr>
        <w:keepNext w:val="0"/>
        <w:widowControl w:val="0"/>
        <w:spacing w:before="200" w:after="0" w:line="260" w:lineRule="atLeast"/>
        <w:ind w:left="0" w:right="0" w:firstLine="0"/>
        <w:jc w:val="both"/>
      </w:pPr>
      <w:bookmarkStart w:id="106" w:name="Bookmark_para_41"/>
      <w:bookmarkEnd w:id="106"/>
      <w:r>
        <w:rPr>
          <w:rFonts w:ascii="arial" w:eastAsia="arial" w:hAnsi="arial" w:cs="arial"/>
          <w:b w:val="0"/>
          <w:i w:val="0"/>
          <w:strike w:val="0"/>
          <w:noProof w:val="0"/>
          <w:color w:val="000000"/>
          <w:position w:val="0"/>
          <w:sz w:val="20"/>
          <w:u w:val="none"/>
          <w:vertAlign w:val="baseline"/>
        </w:rPr>
        <w:t>The plaintiffs respond by pointing out that all delivery drivers report to Border Transfer's Westwood facility every morning to receive the products to be delivered and the routes that they would take. Docket No. 81-16 at 12.</w:t>
      </w:r>
    </w:p>
    <w:p>
      <w:pPr>
        <w:keepNext w:val="0"/>
        <w:widowControl w:val="0"/>
        <w:spacing w:before="200" w:after="0" w:line="260" w:lineRule="atLeast"/>
        <w:ind w:left="0" w:right="0" w:firstLine="0"/>
        <w:jc w:val="both"/>
      </w:pPr>
      <w:bookmarkStart w:id="107" w:name="Bookmark_para_42"/>
      <w:bookmarkEnd w:id="107"/>
      <w:bookmarkStart w:id="108" w:name="Bookmark_I2HRRDMPM9H000H79R500004"/>
      <w:bookmarkEnd w:id="108"/>
      <w:bookmarkStart w:id="109" w:name="Bookmark_I5R3M6G92HM5YH0010000400"/>
      <w:bookmarkEnd w:id="109"/>
      <w:bookmarkStart w:id="110" w:name="Bookmark_I5R3M6G92HM5YH0030000400"/>
      <w:bookmarkEnd w:id="110"/>
      <w:r>
        <w:rPr>
          <w:rFonts w:ascii="arial" w:eastAsia="arial" w:hAnsi="arial" w:cs="arial"/>
          <w:b w:val="0"/>
          <w:i w:val="0"/>
          <w:strike w:val="0"/>
          <w:noProof w:val="0"/>
          <w:color w:val="000000"/>
          <w:position w:val="0"/>
          <w:sz w:val="20"/>
          <w:u w:val="none"/>
          <w:vertAlign w:val="baseline"/>
        </w:rPr>
        <w:t>The choice-of-law question can be distilled to: whether the Massachusetts Wage Act would apply to a driver who signed a contract with Border Transfer (a Michigan corporation headquartered in Tennessee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operates in Massachusetts) through a Rhode Island corporate entity to deliver goods from a Massachusetts facility to a mix of Massachusetts and out-of-Massachusetts customers. The plaintiffs rely on </w:t>
      </w:r>
      <w:bookmarkStart w:id="111" w:name="Bookmark_I5R3M6G928T4G80050000400"/>
      <w:bookmarkEnd w:id="111"/>
      <w:hyperlink r:id="rId38" w:history="1">
        <w:r>
          <w:rPr>
            <w:rFonts w:ascii="arial" w:eastAsia="arial" w:hAnsi="arial" w:cs="arial"/>
            <w:b w:val="0"/>
            <w:i/>
            <w:strike w:val="0"/>
            <w:noProof w:val="0"/>
            <w:color w:val="0077CC"/>
            <w:position w:val="0"/>
            <w:sz w:val="20"/>
            <w:u w:val="single"/>
            <w:vertAlign w:val="baseline"/>
          </w:rPr>
          <w:t>Dow v. Casale</w:t>
        </w:r>
      </w:hyperlink>
      <w:hyperlink r:id="rId38" w:history="1">
        <w:r>
          <w:rPr>
            <w:rFonts w:ascii="arial" w:eastAsia="arial" w:hAnsi="arial" w:cs="arial"/>
            <w:b w:val="0"/>
            <w:i/>
            <w:strike w:val="0"/>
            <w:noProof w:val="0"/>
            <w:color w:val="0077CC"/>
            <w:position w:val="0"/>
            <w:sz w:val="20"/>
            <w:u w:val="single"/>
            <w:vertAlign w:val="baseline"/>
          </w:rPr>
          <w:t>, 83 Mass. App. Ct. 751, 989 N.E.2d 909 (Mass. App. Ct. 2013)</w:t>
        </w:r>
      </w:hyperlink>
      <w:r>
        <w:rPr>
          <w:rFonts w:ascii="arial" w:eastAsia="arial" w:hAnsi="arial" w:cs="arial"/>
          <w:b w:val="0"/>
          <w:i w:val="0"/>
          <w:strike w:val="0"/>
          <w:noProof w:val="0"/>
          <w:color w:val="000000"/>
          <w:position w:val="0"/>
          <w:sz w:val="20"/>
          <w:u w:val="none"/>
          <w:vertAlign w:val="baseline"/>
        </w:rPr>
        <w:t xml:space="preserve">, in which Massachusetts wage law was applied to a Florida resident who worked as a mobile salesperson that traveled throughout the country on behalf of a Massachusetts-based company but intermittently worked in the company's Massachusetts office. </w:t>
      </w:r>
      <w:bookmarkStart w:id="112" w:name="Bookmark_I5R3M6G92HM5YH0020000400"/>
      <w:bookmarkEnd w:id="11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914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Massachusetts Appeals Court's reasoning was that "given the particular nature of [his] work, his employment with [the company] had no substantial relationship to any place but Massachusetts."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the Court finds that because the proposed class members' relationship with Border Transfer centered on the Westwood facility, where they met every morning to get instructions, Massachusetts wage law applies even to drivers from out of state who spent much of their time delivering out of state. Thus, the Massachusetts Wage Act would apply to all of the members of the putative class, and there is no choice-of-law obstacle to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Prong A: Control</w:t>
      </w:r>
    </w:p>
    <w:p>
      <w:pPr>
        <w:keepNext w:val="0"/>
        <w:widowControl w:val="0"/>
        <w:spacing w:before="200" w:after="0" w:line="260" w:lineRule="atLeast"/>
        <w:ind w:left="0" w:right="0" w:firstLine="0"/>
        <w:jc w:val="both"/>
      </w:pPr>
      <w:bookmarkStart w:id="113" w:name="Bookmark_para_43"/>
      <w:bookmarkEnd w:id="113"/>
      <w:r>
        <w:rPr>
          <w:rFonts w:ascii="arial" w:eastAsia="arial" w:hAnsi="arial" w:cs="arial"/>
          <w:b w:val="0"/>
          <w:i w:val="0"/>
          <w:strike w:val="0"/>
          <w:noProof w:val="0"/>
          <w:color w:val="000000"/>
          <w:position w:val="0"/>
          <w:sz w:val="20"/>
          <w:u w:val="none"/>
          <w:vertAlign w:val="baseline"/>
        </w:rPr>
        <w:t>As described above in the subsection on the statutory framework, the plaintiffs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need only prevail on either Prong A or Prong C of the Massachusetts Wage Act. Prong A itself contains a conjunctive test under which the plaintiffs need only prevail on one branch. Under Prong A, an individual is an independent contractor only if "the individual is free from control and direction in connection with the performance of the service, both under his contract for the performance of service and in fact." </w:t>
      </w:r>
      <w:hyperlink r:id="rId16" w:history="1">
        <w:r>
          <w:rPr>
            <w:rFonts w:ascii="arial" w:eastAsia="arial" w:hAnsi="arial" w:cs="arial"/>
            <w:b w:val="0"/>
            <w:i/>
            <w:strike w:val="0"/>
            <w:noProof w:val="0"/>
            <w:color w:val="0077CC"/>
            <w:position w:val="0"/>
            <w:sz w:val="20"/>
            <w:u w:val="single"/>
            <w:vertAlign w:val="baseline"/>
          </w:rPr>
          <w:t>Mass. Gen. Laws ch. 149, § 148B(a)(1)</w:t>
        </w:r>
      </w:hyperlink>
      <w:r>
        <w:rPr>
          <w:rFonts w:ascii="arial" w:eastAsia="arial" w:hAnsi="arial" w:cs="arial"/>
          <w:b w:val="0"/>
          <w:i w:val="0"/>
          <w:strike w:val="0"/>
          <w:noProof w:val="0"/>
          <w:color w:val="000000"/>
          <w:position w:val="0"/>
          <w:sz w:val="20"/>
          <w:u w:val="none"/>
          <w:vertAlign w:val="baseline"/>
        </w:rPr>
        <w:t xml:space="preserve">. Due to the conjunctive nature of this test, a company asserting that a worker is an independent contractor must show that the individual was free from its control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as a matter of contract and as a matter of fact.</w:t>
      </w:r>
    </w:p>
    <w:p>
      <w:pPr>
        <w:keepNext w:val="0"/>
        <w:widowControl w:val="0"/>
        <w:spacing w:before="200" w:after="0" w:line="260" w:lineRule="atLeast"/>
        <w:ind w:left="0" w:right="0" w:firstLine="0"/>
        <w:jc w:val="both"/>
      </w:pPr>
      <w:bookmarkStart w:id="114" w:name="Bookmark_para_44"/>
      <w:bookmarkEnd w:id="114"/>
      <w:r>
        <w:rPr>
          <w:rFonts w:ascii="arial" w:eastAsia="arial" w:hAnsi="arial" w:cs="arial"/>
          <w:b w:val="0"/>
          <w:i w:val="0"/>
          <w:strike w:val="0"/>
          <w:noProof w:val="0"/>
          <w:color w:val="000000"/>
          <w:position w:val="0"/>
          <w:sz w:val="20"/>
          <w:u w:val="none"/>
          <w:vertAlign w:val="baseline"/>
        </w:rPr>
        <w:t xml:space="preserve">The plaintiffs argue that because only a single common issue is necessary to meet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they satisfy the requirement by showing that either contractual control or actual control can be adjudicated on a class-wide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Control as a Matter of Contract</w:t>
      </w:r>
    </w:p>
    <w:p>
      <w:pPr>
        <w:keepNext w:val="0"/>
        <w:widowControl w:val="0"/>
        <w:spacing w:before="240" w:after="0" w:line="260" w:lineRule="atLeast"/>
        <w:ind w:left="0" w:right="0" w:firstLine="0"/>
        <w:jc w:val="both"/>
      </w:pPr>
      <w:bookmarkStart w:id="115" w:name="Bookmark_para_45"/>
      <w:bookmarkEnd w:id="115"/>
      <w:r>
        <w:rPr>
          <w:rFonts w:ascii="arial" w:eastAsia="arial" w:hAnsi="arial" w:cs="arial"/>
          <w:b w:val="0"/>
          <w:i w:val="0"/>
          <w:strike w:val="0"/>
          <w:noProof w:val="0"/>
          <w:color w:val="000000"/>
          <w:position w:val="0"/>
          <w:sz w:val="20"/>
          <w:u w:val="none"/>
          <w:vertAlign w:val="baseline"/>
        </w:rPr>
        <w:t>The plaintiffs argue that whether an individual is free from control under the terms of his or her contract can be resolved through common evidence such as the uniform provisions of the CCAs. The plaintiffs are correct. The defendants do not appear to contest the plaintiffs' characterization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 CCAs contain standard terms for all of Border Transfer's drivers. Docket No. 74-3 at 11. </w:t>
      </w:r>
      <w:bookmarkStart w:id="116" w:name="Bookmark_I5R3M6G92HM5YH0050000400"/>
      <w:bookmarkEnd w:id="116"/>
      <w:r>
        <w:rPr>
          <w:rFonts w:ascii="arial" w:eastAsia="arial" w:hAnsi="arial" w:cs="arial"/>
          <w:b w:val="0"/>
          <w:i w:val="0"/>
          <w:strike w:val="0"/>
          <w:noProof w:val="0"/>
          <w:color w:val="000000"/>
          <w:position w:val="0"/>
          <w:sz w:val="20"/>
          <w:u w:val="none"/>
          <w:vertAlign w:val="baseline"/>
        </w:rPr>
        <w:t xml:space="preserve">Examining the standard terms to determine the extent of Border Transfer's contractual control is an exercise that appears to lead to common answers. As such, the Third Circuit decided that the extent of a company's right to control its workers could be resolved by examination of the franchise agreement, policies manual, and training manual that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were common to the class. </w:t>
      </w:r>
      <w:bookmarkStart w:id="117" w:name="Bookmark_I5R3M6G92HM5YH0040000400"/>
      <w:bookmarkEnd w:id="117"/>
      <w:hyperlink r:id="rId39" w:history="1">
        <w:r>
          <w:rPr>
            <w:rFonts w:ascii="arial" w:eastAsia="arial" w:hAnsi="arial" w:cs="arial"/>
            <w:b w:val="0"/>
            <w:i/>
            <w:strike w:val="0"/>
            <w:noProof w:val="0"/>
            <w:color w:val="0077CC"/>
            <w:position w:val="0"/>
            <w:sz w:val="20"/>
            <w:u w:val="single"/>
            <w:vertAlign w:val="baseline"/>
          </w:rPr>
          <w:t>Williams v. Jani-King of Phila. Inc.</w:t>
        </w:r>
      </w:hyperlink>
      <w:hyperlink r:id="rId39" w:history="1">
        <w:r>
          <w:rPr>
            <w:rFonts w:ascii="arial" w:eastAsia="arial" w:hAnsi="arial" w:cs="arial"/>
            <w:b w:val="0"/>
            <w:i/>
            <w:strike w:val="0"/>
            <w:noProof w:val="0"/>
            <w:color w:val="0077CC"/>
            <w:position w:val="0"/>
            <w:sz w:val="20"/>
            <w:u w:val="single"/>
            <w:vertAlign w:val="baseline"/>
          </w:rPr>
          <w:t>, 837 F.3d 314, 321-22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46"/>
      <w:bookmarkEnd w:id="118"/>
      <w:r>
        <w:rPr>
          <w:rFonts w:ascii="arial" w:eastAsia="arial" w:hAnsi="arial" w:cs="arial"/>
          <w:b w:val="0"/>
          <w:i w:val="0"/>
          <w:strike w:val="0"/>
          <w:noProof w:val="0"/>
          <w:color w:val="000000"/>
          <w:position w:val="0"/>
          <w:sz w:val="20"/>
          <w:u w:val="none"/>
          <w:vertAlign w:val="baseline"/>
        </w:rPr>
        <w:t>The defendants' argument in response seems to be that, for various reasons, the contract does not contain as much right of control as the plaintiffs claim. Docket No. 80 at 19. But that is a merits question. The only question at this point is whether the extent of Border Transfer's contractual right of control over its delivery drivers is determinable on the basis of common evidence. The answer is yes.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Control as a Matter of Fact</w:t>
      </w:r>
    </w:p>
    <w:p>
      <w:pPr>
        <w:keepNext w:val="0"/>
        <w:widowControl w:val="0"/>
        <w:spacing w:before="200" w:after="0" w:line="260" w:lineRule="atLeast"/>
        <w:ind w:left="0" w:right="0" w:firstLine="0"/>
        <w:jc w:val="both"/>
      </w:pPr>
      <w:bookmarkStart w:id="119" w:name="Bookmark_para_47"/>
      <w:bookmarkEnd w:id="119"/>
      <w:r>
        <w:rPr>
          <w:rFonts w:ascii="arial" w:eastAsia="arial" w:hAnsi="arial" w:cs="arial"/>
          <w:b w:val="0"/>
          <w:i w:val="0"/>
          <w:strike w:val="0"/>
          <w:noProof w:val="0"/>
          <w:color w:val="000000"/>
          <w:position w:val="0"/>
          <w:sz w:val="20"/>
          <w:u w:val="none"/>
          <w:vertAlign w:val="baseline"/>
        </w:rPr>
        <w:t>The defendants argue that determining the extent of Border Transfer's actual control over its delivery drivers requires an individualized factual inquiry. The plaintiffs respond that evidence of common practices can establish common answers as to control as a matter of fact.</w:t>
      </w:r>
    </w:p>
    <w:p>
      <w:pPr>
        <w:keepNext w:val="0"/>
        <w:widowControl w:val="0"/>
        <w:spacing w:before="200" w:after="0" w:line="260" w:lineRule="atLeast"/>
        <w:ind w:left="0" w:right="0" w:firstLine="0"/>
        <w:jc w:val="both"/>
      </w:pPr>
      <w:bookmarkStart w:id="120" w:name="Bookmark_para_48"/>
      <w:bookmarkEnd w:id="120"/>
      <w:r>
        <w:rPr>
          <w:rFonts w:ascii="arial" w:eastAsia="arial" w:hAnsi="arial" w:cs="arial"/>
          <w:b w:val="0"/>
          <w:i w:val="0"/>
          <w:strike w:val="0"/>
          <w:noProof w:val="0"/>
          <w:color w:val="000000"/>
          <w:position w:val="0"/>
          <w:sz w:val="20"/>
          <w:u w:val="none"/>
          <w:vertAlign w:val="baseline"/>
        </w:rPr>
        <w:t>As common evidence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actual control, the plaintiffs argue that Border Transfer had a policy that required all of its drivers to attend morning meetings to receive delivery instructions, that all of the drivers were subject to a customer rating system that could influence route assignment, that all drivers were required to wear uniforms, and that Border Transfer issued manifests to each driver containing a mandated order of delivery and delivery timeframes.</w:t>
      </w:r>
    </w:p>
    <w:p>
      <w:pPr>
        <w:keepNext w:val="0"/>
        <w:widowControl w:val="0"/>
        <w:spacing w:before="200" w:after="0" w:line="260" w:lineRule="atLeast"/>
        <w:ind w:left="0" w:right="0" w:firstLine="0"/>
        <w:jc w:val="both"/>
      </w:pPr>
      <w:bookmarkStart w:id="121" w:name="Bookmark_para_49"/>
      <w:bookmarkEnd w:id="121"/>
      <w:r>
        <w:rPr>
          <w:rFonts w:ascii="arial" w:eastAsia="arial" w:hAnsi="arial" w:cs="arial"/>
          <w:b w:val="0"/>
          <w:i w:val="0"/>
          <w:strike w:val="0"/>
          <w:noProof w:val="0"/>
          <w:color w:val="000000"/>
          <w:position w:val="0"/>
          <w:sz w:val="20"/>
          <w:u w:val="none"/>
          <w:vertAlign w:val="baseline"/>
        </w:rPr>
        <w:t>The defendants' response wades too often into the merits. The defendants expend significant effort arguing that, as a practical matter, Border Transfer's control over its drivers was less than the plaintiffs make it seem: that drivers' amount of communication with Border Transfer throughout a delivery day was not so significant; that the morning meeting requirement was not strictly enforced; that the customer rating system had little impact on drivers' routes; that drivers did not have to make deliveries in the order listed in the manifest; and that contractors could work when they wanted and that there were no limitations on the amount of time they could take off. But the question at this stage is whether the level of actual control can be determined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common evidence on how Border Transfer dealt with its drivers, or whether different putative class members were treated differently. The defendants have put forward some "happy camper" affidavits presenting that some drivers have some flexibility, but this does not defeat commonality or predominance.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Incorporation</w:t>
      </w:r>
    </w:p>
    <w:p>
      <w:pPr>
        <w:keepNext w:val="0"/>
        <w:widowControl w:val="0"/>
        <w:spacing w:before="200" w:after="0" w:line="260" w:lineRule="atLeast"/>
        <w:ind w:left="0" w:right="0" w:firstLine="0"/>
        <w:jc w:val="both"/>
      </w:pPr>
      <w:bookmarkStart w:id="122" w:name="Bookmark_para_50"/>
      <w:bookmarkEnd w:id="122"/>
      <w:bookmarkStart w:id="123" w:name="Bookmark_I5R3M6G92D6N030020000400"/>
      <w:bookmarkEnd w:id="123"/>
      <w:r>
        <w:rPr>
          <w:rFonts w:ascii="arial" w:eastAsia="arial" w:hAnsi="arial" w:cs="arial"/>
          <w:b w:val="0"/>
          <w:i w:val="0"/>
          <w:strike w:val="0"/>
          <w:noProof w:val="0"/>
          <w:color w:val="000000"/>
          <w:position w:val="0"/>
          <w:sz w:val="20"/>
          <w:u w:val="none"/>
          <w:vertAlign w:val="baseline"/>
        </w:rPr>
        <w:t xml:space="preserve">The defendants argue that even if Massachusetts law applies to all of the members of the putative class, and even if there is common evidence regarding control under Prong A, commonality does not exist because individual adjudication is necessary to determine whether the Massachusetts Wage Act even applies to each proposed class member. Border Transfer did not contract with drivers directly but instead contracted with drivers through the corporate entities owned by the drivers. The Massachusetts Wage Act does not "expressly exclude individuals who provide services through a corporation." </w:t>
      </w:r>
      <w:bookmarkStart w:id="124" w:name="Bookmark_I5R3M6G92D6N030010000400"/>
      <w:bookmarkEnd w:id="124"/>
      <w:hyperlink r:id="rId17" w:history="1">
        <w:r>
          <w:rPr>
            <w:rFonts w:ascii="arial" w:eastAsia="arial" w:hAnsi="arial" w:cs="arial"/>
            <w:b w:val="0"/>
            <w:i/>
            <w:strike w:val="0"/>
            <w:noProof w:val="0"/>
            <w:color w:val="0077CC"/>
            <w:position w:val="0"/>
            <w:sz w:val="20"/>
            <w:u w:val="single"/>
            <w:vertAlign w:val="baseline"/>
          </w:rPr>
          <w:t>Chambers</w:t>
        </w:r>
      </w:hyperlink>
      <w:hyperlink r:id="rId17" w:history="1">
        <w:r>
          <w:rPr>
            <w:rFonts w:ascii="arial" w:eastAsia="arial" w:hAnsi="arial" w:cs="arial"/>
            <w:b w:val="0"/>
            <w:i/>
            <w:strike w:val="0"/>
            <w:noProof w:val="0"/>
            <w:color w:val="0077CC"/>
            <w:position w:val="0"/>
            <w:sz w:val="20"/>
            <w:u w:val="single"/>
            <w:vertAlign w:val="baseline"/>
          </w:rPr>
          <w:t>, 65 N.E.3d at 14</w:t>
        </w:r>
      </w:hyperlink>
      <w:r>
        <w:rPr>
          <w:rFonts w:ascii="arial" w:eastAsia="arial" w:hAnsi="arial" w:cs="arial"/>
          <w:b w:val="0"/>
          <w:i w:val="0"/>
          <w:strike w:val="0"/>
          <w:noProof w:val="0"/>
          <w:color w:val="000000"/>
          <w:position w:val="0"/>
          <w:sz w:val="20"/>
          <w:u w:val="none"/>
          <w:vertAlign w:val="baseline"/>
        </w:rPr>
        <w:t xml:space="preserve"> (citing Advisory 2008/1, Attorney General's Fair Labor and Business Division on </w:t>
      </w:r>
      <w:hyperlink r:id="rId16" w:history="1">
        <w:r>
          <w:rPr>
            <w:rFonts w:ascii="arial" w:eastAsia="arial" w:hAnsi="arial" w:cs="arial"/>
            <w:b w:val="0"/>
            <w:i/>
            <w:strike w:val="0"/>
            <w:noProof w:val="0"/>
            <w:color w:val="0077CC"/>
            <w:position w:val="0"/>
            <w:sz w:val="20"/>
            <w:u w:val="single"/>
            <w:vertAlign w:val="baseline"/>
          </w:rPr>
          <w:t>Mass. Gen. Laws ch. 149 § 148B</w:t>
        </w:r>
      </w:hyperlink>
      <w:r>
        <w:rPr>
          <w:rFonts w:ascii="arial" w:eastAsia="arial" w:hAnsi="arial" w:cs="arial"/>
          <w:b w:val="0"/>
          <w:i w:val="0"/>
          <w:strike w:val="0"/>
          <w:noProof w:val="0"/>
          <w:color w:val="000000"/>
          <w:position w:val="0"/>
          <w:sz w:val="20"/>
          <w:u w:val="none"/>
          <w:vertAlign w:val="baseline"/>
        </w:rPr>
        <w:t>) (available at Docket No. 84-7). The Attorney General articulated factors relevant to a determination of whether the "worker's use of the corporate form was at the worker's behest or forced upon the worker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an employer in order to misclassify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nonexclusive factors include:</w:t>
      </w:r>
    </w:p>
    <w:p>
      <w:pPr>
        <w:keepNext w:val="0"/>
        <w:widowControl w:val="0"/>
        <w:spacing w:before="200" w:after="0" w:line="260" w:lineRule="atLeast"/>
        <w:ind w:left="400" w:right="0" w:firstLine="0"/>
        <w:jc w:val="both"/>
      </w:pPr>
      <w:bookmarkStart w:id="125" w:name="Bookmark_para_51"/>
      <w:bookmarkEnd w:id="125"/>
      <w:r>
        <w:rPr>
          <w:rFonts w:ascii="arial" w:eastAsia="arial" w:hAnsi="arial" w:cs="arial"/>
          <w:b w:val="0"/>
          <w:i w:val="0"/>
          <w:strike w:val="0"/>
          <w:noProof w:val="0"/>
          <w:color w:val="000000"/>
          <w:position w:val="0"/>
          <w:sz w:val="20"/>
          <w:u w:val="none"/>
          <w:vertAlign w:val="baseline"/>
        </w:rPr>
        <w:t xml:space="preserve">[Whether] the services of the alleged independent contractor are not actually available to entities beyond the contracting entity, even if they purport to be so; whether the business of the contracting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entity is no different than the services performed by the alleged independent contractor; or the alleged independent contractor is only a business requested or required to be so by the contracting entity.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Advisory 2008/1). The defendants argue that these fact-specific inquiries must be conducted on an individual basis to determine whether the Massachusetts Wage Act applies.</w:t>
      </w:r>
    </w:p>
    <w:p>
      <w:pPr>
        <w:keepNext w:val="0"/>
        <w:widowControl w:val="0"/>
        <w:spacing w:before="200" w:after="0" w:line="260" w:lineRule="atLeast"/>
        <w:ind w:left="0" w:right="0" w:firstLine="0"/>
        <w:jc w:val="both"/>
      </w:pPr>
      <w:bookmarkStart w:id="126" w:name="Bookmark_para_52"/>
      <w:bookmarkEnd w:id="126"/>
      <w:r>
        <w:rPr>
          <w:rFonts w:ascii="arial" w:eastAsia="arial" w:hAnsi="arial" w:cs="arial"/>
          <w:b w:val="0"/>
          <w:i w:val="0"/>
          <w:strike w:val="0"/>
          <w:noProof w:val="0"/>
          <w:color w:val="000000"/>
          <w:position w:val="0"/>
          <w:sz w:val="20"/>
          <w:u w:val="none"/>
          <w:vertAlign w:val="baseline"/>
        </w:rPr>
        <w:t>The defendants point to the named plaintiff DaSilva, who testified at his deposition that he formed "Alpha Logistics Trucking, LLC" at the request of Border Transfer in October 2014 and that the company remained in business for six months. Docket No. 81-16 at 6. However, the defendants claim that Alpha Logistics Trucking's business records show otherwise: that Alpha Logistics Trucking operated well past that date transporting products brokered by companies other than Border Transfer. Defendants argue that the other named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 Ferreira, presents different potential issues regarding application of the Wage Act. Ferreira's corporate entity (Father &amp; Son Trucking) existed two to three months prior to the CCA with Border Transfer, and it employed multiple drivers to complete Border Transfer's jobs in a third truck Father &amp; Son Trucking owned. There is also evidence in the record of at least four other contractors who formed corporations before contracting with Border Transfer and for reasons other than Border Transfer's alleged requirement of incorporation. Docket No. 81-1 at 2 (Rosa declaration: "Prior to [Border Transfer], Antonio Rosa Transportation LLC provided delivery services to Spirit Delivery."); Docket No. 81-2 at 1 (Martins declaration: "I own Martins Trucking LLC, a company I formed for tax reasons."); Docket No. 81-6 at 2 (Pinto declaration: "I formed my company in 2009" and began contracting with Border Transfer in 2011); Docket No. 81-5 at 1 (Medina declaration: "I formed Medina Trucking LLC because I wanted increased protection for my company."). For these drivers, defendants make a colorable argument that incorporation is not a sham to permit misclassification.</w:t>
      </w:r>
    </w:p>
    <w:p>
      <w:pPr>
        <w:keepNext w:val="0"/>
        <w:widowControl w:val="0"/>
        <w:spacing w:before="200" w:after="0" w:line="260" w:lineRule="atLeast"/>
        <w:ind w:left="0" w:right="0" w:firstLine="0"/>
        <w:jc w:val="both"/>
      </w:pPr>
      <w:bookmarkStart w:id="127" w:name="Bookmark_para_53"/>
      <w:bookmarkEnd w:id="127"/>
      <w:r>
        <w:rPr>
          <w:rFonts w:ascii="arial" w:eastAsia="arial" w:hAnsi="arial" w:cs="arial"/>
          <w:b w:val="0"/>
          <w:i w:val="0"/>
          <w:strike w:val="0"/>
          <w:noProof w:val="0"/>
          <w:color w:val="000000"/>
          <w:position w:val="0"/>
          <w:sz w:val="20"/>
          <w:u w:val="none"/>
          <w:vertAlign w:val="baseline"/>
        </w:rPr>
        <w:t>However, incorporation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cannot be a shield to prevent liability under the Wage Act. The plaintiffs point to evidence in the record that Border Transfer required all drivers to form corporations as a prerequisite to signing a contract. Docket No. 74-3 at 10-11; Docket No. 74-11 at 2; Docket No. 74-13 at 2. Thus, regardless of whether a full-time driver formed a corporation prior to his engagement with Border Transfer, the class only involves full-time drivers for Border Transfer. Thus, the analysis for Wage Act purposes is whether the individual driver was an employee with Border Transfer.</w:t>
      </w:r>
    </w:p>
    <w:p>
      <w:pPr>
        <w:keepNext w:val="0"/>
        <w:widowControl w:val="0"/>
        <w:spacing w:before="240" w:after="0" w:line="260" w:lineRule="atLeast"/>
        <w:ind w:left="0" w:right="0" w:firstLine="0"/>
        <w:jc w:val="both"/>
      </w:pPr>
      <w:bookmarkStart w:id="128" w:name="Bookmark_para_54"/>
      <w:bookmarkEnd w:id="128"/>
      <w:bookmarkStart w:id="129" w:name="Bookmark_I5R3M6G92D6N030040000400"/>
      <w:bookmarkEnd w:id="129"/>
      <w:r>
        <w:rPr>
          <w:rFonts w:ascii="arial" w:eastAsia="arial" w:hAnsi="arial" w:cs="arial"/>
          <w:b w:val="0"/>
          <w:i w:val="0"/>
          <w:strike w:val="0"/>
          <w:noProof w:val="0"/>
          <w:color w:val="000000"/>
          <w:position w:val="0"/>
          <w:sz w:val="20"/>
          <w:u w:val="none"/>
          <w:vertAlign w:val="baseline"/>
        </w:rPr>
        <w:t xml:space="preserve">Other courts in this District have similarly found that individual questions of incorporation did not defeat commonality or predominance for a class of drivers. </w:t>
      </w:r>
      <w:r>
        <w:rPr>
          <w:rFonts w:ascii="arial" w:eastAsia="arial" w:hAnsi="arial" w:cs="arial"/>
          <w:b w:val="0"/>
          <w:i w:val="0"/>
          <w:strike w:val="0"/>
          <w:noProof w:val="0"/>
          <w:color w:val="000000"/>
          <w:position w:val="0"/>
          <w:sz w:val="20"/>
          <w:u w:val="single"/>
          <w:vertAlign w:val="baseline"/>
        </w:rPr>
        <w:t xml:space="preserve">See </w:t>
      </w:r>
      <w:bookmarkStart w:id="130" w:name="Bookmark_I5R3M6G92D6N030030000400"/>
      <w:bookmarkEnd w:id="130"/>
      <w:hyperlink r:id="rId40" w:history="1">
        <w:r>
          <w:rPr>
            <w:rFonts w:ascii="arial" w:eastAsia="arial" w:hAnsi="arial" w:cs="arial"/>
            <w:b w:val="0"/>
            <w:i/>
            <w:strike w:val="0"/>
            <w:noProof w:val="0"/>
            <w:color w:val="0077CC"/>
            <w:position w:val="0"/>
            <w:sz w:val="20"/>
            <w:u w:val="single"/>
            <w:vertAlign w:val="baseline"/>
          </w:rPr>
          <w:t>Martins v. 3PD, Inc.</w:t>
        </w:r>
      </w:hyperlink>
      <w:hyperlink r:id="rId40" w:history="1">
        <w:r>
          <w:rPr>
            <w:rFonts w:ascii="arial" w:eastAsia="arial" w:hAnsi="arial" w:cs="arial"/>
            <w:b w:val="0"/>
            <w:i/>
            <w:strike w:val="0"/>
            <w:noProof w:val="0"/>
            <w:color w:val="0077CC"/>
            <w:position w:val="0"/>
            <w:sz w:val="20"/>
            <w:u w:val="single"/>
            <w:vertAlign w:val="baseline"/>
          </w:rPr>
          <w:t>, No. CIV.A. 11-11313-DPW, 2013 U.S. Dist. LEXIS 45753, 2013 WL 1320454, at *7, *9 (D. Mass. Mar.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Martins I</w:t>
      </w:r>
      <w:r>
        <w:rPr>
          <w:rFonts w:ascii="arial" w:eastAsia="arial" w:hAnsi="arial" w:cs="arial"/>
          <w:b w:val="0"/>
          <w:i w:val="0"/>
          <w:strike w:val="0"/>
          <w:noProof w:val="0"/>
          <w:color w:val="000000"/>
          <w:position w:val="0"/>
          <w:sz w:val="20"/>
          <w:u w:val="none"/>
          <w:vertAlign w:val="baseline"/>
        </w:rPr>
        <w:t xml:space="preserve">") (allowing class certification on </w:t>
      </w:r>
      <w:hyperlink r:id="rId16" w:history="1">
        <w:r>
          <w:rPr>
            <w:rFonts w:ascii="arial" w:eastAsia="arial" w:hAnsi="arial" w:cs="arial"/>
            <w:b w:val="0"/>
            <w:i/>
            <w:strike w:val="0"/>
            <w:noProof w:val="0"/>
            <w:color w:val="0077CC"/>
            <w:position w:val="0"/>
            <w:sz w:val="20"/>
            <w:u w:val="single"/>
            <w:vertAlign w:val="baseline"/>
          </w:rPr>
          <w:t>section 148B</w:t>
        </w:r>
      </w:hyperlink>
      <w:r>
        <w:rPr>
          <w:rFonts w:ascii="arial" w:eastAsia="arial" w:hAnsi="arial" w:cs="arial"/>
          <w:b w:val="0"/>
          <w:i w:val="0"/>
          <w:strike w:val="0"/>
          <w:noProof w:val="0"/>
          <w:color w:val="000000"/>
          <w:position w:val="0"/>
          <w:sz w:val="20"/>
          <w:u w:val="none"/>
          <w:vertAlign w:val="baseline"/>
        </w:rPr>
        <w:t xml:space="preserve"> misclassification claim despite named plaintiff's incorporation because "an individual can bring a claim under </w:t>
      </w:r>
      <w:hyperlink r:id="rId16" w:history="1">
        <w:r>
          <w:rPr>
            <w:rFonts w:ascii="arial" w:eastAsia="arial" w:hAnsi="arial" w:cs="arial"/>
            <w:b w:val="0"/>
            <w:i/>
            <w:strike w:val="0"/>
            <w:noProof w:val="0"/>
            <w:color w:val="0077CC"/>
            <w:position w:val="0"/>
            <w:sz w:val="20"/>
            <w:u w:val="single"/>
            <w:vertAlign w:val="baseline"/>
          </w:rPr>
          <w:t>Section 148B</w:t>
        </w:r>
      </w:hyperlink>
      <w:r>
        <w:rPr>
          <w:rFonts w:ascii="arial" w:eastAsia="arial" w:hAnsi="arial" w:cs="arial"/>
          <w:b w:val="0"/>
          <w:i w:val="0"/>
          <w:strike w:val="0"/>
          <w:noProof w:val="0"/>
          <w:color w:val="000000"/>
          <w:position w:val="0"/>
          <w:sz w:val="20"/>
          <w:u w:val="none"/>
          <w:vertAlign w:val="baseline"/>
        </w:rPr>
        <w:t xml:space="preserve"> even if he has incorporated his business and his putative employer's formal relationship is with the corporate entity[;]" therefore he "stands in the same position as" other class members)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4" w:name="Bookmark_I5R3M6G92D6N030050000400"/>
      <w:bookmarkEnd w:id="134"/>
      <w:hyperlink r:id="rId41" w:history="1">
        <w:r>
          <w:rPr>
            <w:rFonts w:ascii="arial" w:eastAsia="arial" w:hAnsi="arial" w:cs="arial"/>
            <w:b w:val="0"/>
            <w:i/>
            <w:strike w:val="0"/>
            <w:noProof w:val="0"/>
            <w:color w:val="0077CC"/>
            <w:position w:val="0"/>
            <w:sz w:val="20"/>
            <w:u w:val="single"/>
            <w:vertAlign w:val="baseline"/>
          </w:rPr>
          <w:t xml:space="preserve">Vargas v. Spirit </w:t>
        </w:r>
      </w:hyperlink>
      <w:hyperlink r:id="rId41" w:history="1">
        <w:r>
          <w:rPr>
            <w:rFonts w:ascii="arial" w:eastAsia="arial" w:hAnsi="arial" w:cs="arial"/>
            <w:b/>
            <w:i/>
            <w:strike w:val="0"/>
            <w:noProof w:val="0"/>
            <w:color w:val="0077CC"/>
            <w:position w:val="0"/>
            <w:sz w:val="20"/>
            <w:u w:val="single"/>
            <w:vertAlign w:val="baseline"/>
          </w:rPr>
          <w:t> [*403] </w:t>
        </w:r>
      </w:hyperlink>
      <w:hyperlink r:id="rId41" w:history="1">
        <w:r>
          <w:rPr>
            <w:rFonts w:ascii="arial" w:eastAsia="arial" w:hAnsi="arial" w:cs="arial"/>
            <w:b w:val="0"/>
            <w:i/>
            <w:strike w:val="0"/>
            <w:noProof w:val="0"/>
            <w:color w:val="0077CC"/>
            <w:position w:val="0"/>
            <w:sz w:val="20"/>
            <w:u w:val="single"/>
            <w:vertAlign w:val="baseline"/>
          </w:rPr>
          <w:t xml:space="preserve"> Delivery &amp; Distribution Servs., Inc.</w:t>
        </w:r>
      </w:hyperlink>
      <w:hyperlink r:id="rId41" w:history="1">
        <w:r>
          <w:rPr>
            <w:rFonts w:ascii="arial" w:eastAsia="arial" w:hAnsi="arial" w:cs="arial"/>
            <w:b w:val="0"/>
            <w:i/>
            <w:strike w:val="0"/>
            <w:noProof w:val="0"/>
            <w:color w:val="0077CC"/>
            <w:position w:val="0"/>
            <w:sz w:val="20"/>
            <w:u w:val="single"/>
            <w:vertAlign w:val="baseline"/>
          </w:rPr>
          <w:t>, 245 F. Supp. 3d 268, 287 (D. Mass. 2017)</w:t>
        </w:r>
      </w:hyperlink>
      <w:r>
        <w:rPr>
          <w:rFonts w:ascii="arial" w:eastAsia="arial" w:hAnsi="arial" w:cs="arial"/>
          <w:b w:val="0"/>
          <w:i w:val="0"/>
          <w:strike w:val="0"/>
          <w:noProof w:val="0"/>
          <w:color w:val="000000"/>
          <w:position w:val="0"/>
          <w:sz w:val="20"/>
          <w:u w:val="none"/>
          <w:vertAlign w:val="baseline"/>
        </w:rPr>
        <w:t xml:space="preserve"> ("[T]he issue of when/if the drivers created corporate entities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whether those corporate entities continued to exist after the relationship with Spirit ended is ultimately of minimal relevance to the proposed classes' [Wage Act] claim."); </w:t>
      </w:r>
      <w:bookmarkStart w:id="135" w:name="Bookmark_I5R3M6G928T4G90020000400"/>
      <w:bookmarkEnd w:id="135"/>
      <w:hyperlink r:id="rId42" w:history="1">
        <w:r>
          <w:rPr>
            <w:rFonts w:ascii="arial" w:eastAsia="arial" w:hAnsi="arial" w:cs="arial"/>
            <w:b w:val="0"/>
            <w:i/>
            <w:strike w:val="0"/>
            <w:noProof w:val="0"/>
            <w:color w:val="0077CC"/>
            <w:position w:val="0"/>
            <w:sz w:val="20"/>
            <w:u w:val="single"/>
            <w:vertAlign w:val="baseline"/>
          </w:rPr>
          <w:t>De Giovanni v. Jani-King Int'l, Inc.</w:t>
        </w:r>
      </w:hyperlink>
      <w:hyperlink r:id="rId42" w:history="1">
        <w:r>
          <w:rPr>
            <w:rFonts w:ascii="arial" w:eastAsia="arial" w:hAnsi="arial" w:cs="arial"/>
            <w:b w:val="0"/>
            <w:i/>
            <w:strike w:val="0"/>
            <w:noProof w:val="0"/>
            <w:color w:val="0077CC"/>
            <w:position w:val="0"/>
            <w:sz w:val="20"/>
            <w:u w:val="single"/>
            <w:vertAlign w:val="baseline"/>
          </w:rPr>
          <w:t>, 262 F.R.D. 71, 86 (D. Mass. 2009)</w:t>
        </w:r>
      </w:hyperlink>
      <w:r>
        <w:rPr>
          <w:rFonts w:ascii="arial" w:eastAsia="arial" w:hAnsi="arial" w:cs="arial"/>
          <w:b w:val="0"/>
          <w:i w:val="0"/>
          <w:strike w:val="0"/>
          <w:noProof w:val="0"/>
          <w:color w:val="000000"/>
          <w:position w:val="0"/>
          <w:sz w:val="20"/>
          <w:u w:val="none"/>
          <w:vertAlign w:val="baseline"/>
        </w:rPr>
        <w:t xml:space="preserve"> (certifying class of franchisees). These cases found that when it comes to the merits of the Massachusetts Wage Act inquiry into employee classification, the common issue of control would predominate.</w:t>
      </w:r>
    </w:p>
    <w:p>
      <w:pPr>
        <w:keepNext w:val="0"/>
        <w:widowControl w:val="0"/>
        <w:spacing w:before="240" w:after="0" w:line="260" w:lineRule="atLeast"/>
        <w:ind w:left="0" w:right="0" w:firstLine="0"/>
        <w:jc w:val="both"/>
      </w:pPr>
      <w:bookmarkStart w:id="136" w:name="Bookmark_para_55"/>
      <w:bookmarkEnd w:id="136"/>
      <w:bookmarkStart w:id="137" w:name="Bookmark_I5R3M6G92N1R0M0020000400"/>
      <w:bookmarkEnd w:id="137"/>
      <w:r>
        <w:rPr>
          <w:rFonts w:ascii="arial" w:eastAsia="arial" w:hAnsi="arial" w:cs="arial"/>
          <w:b w:val="0"/>
          <w:i w:val="0"/>
          <w:strike w:val="0"/>
          <w:noProof w:val="0"/>
          <w:color w:val="000000"/>
          <w:position w:val="0"/>
          <w:sz w:val="20"/>
          <w:u w:val="none"/>
          <w:vertAlign w:val="baseline"/>
        </w:rPr>
        <w:t xml:space="preserve">The defendant relies on two cases from this District for the proposition that the individualized </w:t>
      </w:r>
      <w:r>
        <w:rPr>
          <w:rFonts w:ascii="arial" w:eastAsia="arial" w:hAnsi="arial" w:cs="arial"/>
          <w:b w:val="0"/>
          <w:i w:val="0"/>
          <w:strike w:val="0"/>
          <w:noProof w:val="0"/>
          <w:color w:val="000000"/>
          <w:position w:val="0"/>
          <w:sz w:val="20"/>
          <w:u w:val="single"/>
          <w:vertAlign w:val="baseline"/>
        </w:rPr>
        <w:t>Chambers</w:t>
      </w:r>
      <w:r>
        <w:rPr>
          <w:rFonts w:ascii="arial" w:eastAsia="arial" w:hAnsi="arial" w:cs="arial"/>
          <w:b w:val="0"/>
          <w:i w:val="0"/>
          <w:strike w:val="0"/>
          <w:noProof w:val="0"/>
          <w:color w:val="000000"/>
          <w:position w:val="0"/>
          <w:sz w:val="20"/>
          <w:u w:val="none"/>
          <w:vertAlign w:val="baseline"/>
        </w:rPr>
        <w:t xml:space="preserve"> inquiry cannot be avoided. </w:t>
      </w:r>
      <w:bookmarkStart w:id="138" w:name="Bookmark_I2HRRDMS9GY000H79R500009"/>
      <w:bookmarkEnd w:id="138"/>
      <w:bookmarkStart w:id="139" w:name="Bookmark_I5R3M6G92SF8R00010000400"/>
      <w:bookmarkEnd w:id="139"/>
      <w:r>
        <w:rPr>
          <w:rFonts w:ascii="arial" w:eastAsia="arial" w:hAnsi="arial" w:cs="arial"/>
          <w:b w:val="0"/>
          <w:i w:val="0"/>
          <w:strike w:val="0"/>
          <w:noProof w:val="0"/>
          <w:color w:val="000000"/>
          <w:position w:val="0"/>
          <w:sz w:val="20"/>
          <w:u w:val="single"/>
          <w:vertAlign w:val="baseline"/>
        </w:rPr>
        <w:t xml:space="preserve">See </w:t>
      </w:r>
      <w:bookmarkStart w:id="140" w:name="Bookmark_I5R3M6G92N1R0M0010000400"/>
      <w:bookmarkEnd w:id="140"/>
      <w:hyperlink r:id="rId43" w:history="1">
        <w:r>
          <w:rPr>
            <w:rFonts w:ascii="arial" w:eastAsia="arial" w:hAnsi="arial" w:cs="arial"/>
            <w:b w:val="0"/>
            <w:i/>
            <w:strike w:val="0"/>
            <w:noProof w:val="0"/>
            <w:color w:val="0077CC"/>
            <w:position w:val="0"/>
            <w:sz w:val="20"/>
            <w:u w:val="single"/>
            <w:vertAlign w:val="baseline"/>
          </w:rPr>
          <w:t>Anderson v. Homedeliveryamerica.com , Inc.</w:t>
        </w:r>
      </w:hyperlink>
      <w:hyperlink r:id="rId43" w:history="1">
        <w:r>
          <w:rPr>
            <w:rFonts w:ascii="arial" w:eastAsia="arial" w:hAnsi="arial" w:cs="arial"/>
            <w:b w:val="0"/>
            <w:i/>
            <w:strike w:val="0"/>
            <w:noProof w:val="0"/>
            <w:color w:val="0077CC"/>
            <w:position w:val="0"/>
            <w:sz w:val="20"/>
            <w:u w:val="single"/>
            <w:vertAlign w:val="baseline"/>
          </w:rPr>
          <w:t>, No. CIV.A. 11-10313-GAO, 2013 U.S. Dist. LEXIS 181163, 2013 WL 6860745, at *2 (D. Mass. Dec. 30, 2013)</w:t>
        </w:r>
      </w:hyperlink>
      <w:r>
        <w:rPr>
          <w:rFonts w:ascii="arial" w:eastAsia="arial" w:hAnsi="arial" w:cs="arial"/>
          <w:b w:val="0"/>
          <w:i w:val="0"/>
          <w:strike w:val="0"/>
          <w:noProof w:val="0"/>
          <w:color w:val="000000"/>
          <w:position w:val="0"/>
          <w:sz w:val="20"/>
          <w:u w:val="none"/>
          <w:vertAlign w:val="baseline"/>
        </w:rPr>
        <w:t xml:space="preserve"> (stating that in determining whether the Massachusetts Wage Act applies to an individual who has incorporated his business and contracted with an alleged employer through that business, "[t]here is no convenient bright line to be used, and each case must be determined on its own facts"); </w:t>
      </w:r>
      <w:r>
        <w:rPr>
          <w:rFonts w:ascii="arial" w:eastAsia="arial" w:hAnsi="arial" w:cs="arial"/>
          <w:b w:val="0"/>
          <w:i w:val="0"/>
          <w:strike w:val="0"/>
          <w:noProof w:val="0"/>
          <w:color w:val="000000"/>
          <w:position w:val="0"/>
          <w:sz w:val="20"/>
          <w:u w:val="single"/>
          <w:vertAlign w:val="baseline"/>
        </w:rPr>
        <w:t xml:space="preserve">see also </w:t>
      </w:r>
      <w:bookmarkStart w:id="141" w:name="Bookmark_I5R3M6G92N1R0M0030000400"/>
      <w:bookmarkEnd w:id="141"/>
      <w:hyperlink r:id="rId44" w:history="1">
        <w:r>
          <w:rPr>
            <w:rFonts w:ascii="arial" w:eastAsia="arial" w:hAnsi="arial" w:cs="arial"/>
            <w:b w:val="0"/>
            <w:i/>
            <w:strike w:val="0"/>
            <w:noProof w:val="0"/>
            <w:color w:val="0077CC"/>
            <w:position w:val="0"/>
            <w:sz w:val="20"/>
            <w:u w:val="single"/>
            <w:vertAlign w:val="baseline"/>
          </w:rPr>
          <w:t>Chebotnikov v. LimoLink, Inc.</w:t>
        </w:r>
      </w:hyperlink>
      <w:hyperlink r:id="rId44" w:history="1">
        <w:r>
          <w:rPr>
            <w:rFonts w:ascii="arial" w:eastAsia="arial" w:hAnsi="arial" w:cs="arial"/>
            <w:b w:val="0"/>
            <w:i/>
            <w:strike w:val="0"/>
            <w:noProof w:val="0"/>
            <w:color w:val="0077CC"/>
            <w:position w:val="0"/>
            <w:sz w:val="20"/>
            <w:u w:val="single"/>
            <w:vertAlign w:val="baseline"/>
          </w:rPr>
          <w:t>, No. 14-13475-FDS, 2017 U.S. Dist. LEXIS 104262, 2017 WL 2888713 at *7-8 (D. Mass. July 6, 2017)</w:t>
        </w:r>
      </w:hyperlink>
      <w:r>
        <w:rPr>
          <w:rFonts w:ascii="arial" w:eastAsia="arial" w:hAnsi="arial" w:cs="arial"/>
          <w:b w:val="0"/>
          <w:i w:val="0"/>
          <w:strike w:val="0"/>
          <w:noProof w:val="0"/>
          <w:color w:val="000000"/>
          <w:position w:val="0"/>
          <w:sz w:val="20"/>
          <w:u w:val="none"/>
          <w:vertAlign w:val="baseline"/>
        </w:rPr>
        <w:t xml:space="preserve">. These cases do not support the defendants' proposition. </w:t>
      </w:r>
      <w:bookmarkStart w:id="142" w:name="Bookmark_I5R3M6G92SF8R00010000400_2"/>
      <w:bookmarkEnd w:id="142"/>
      <w:r>
        <w:rPr>
          <w:rFonts w:ascii="arial" w:eastAsia="arial" w:hAnsi="arial" w:cs="arial"/>
          <w:b w:val="0"/>
          <w:i w:val="0"/>
          <w:strike w:val="0"/>
          <w:noProof w:val="0"/>
          <w:color w:val="000000"/>
          <w:position w:val="0"/>
          <w:sz w:val="20"/>
          <w:u w:val="none"/>
          <w:vertAlign w:val="baseline"/>
        </w:rPr>
        <w:t>In</w:t>
      </w:r>
      <w:bookmarkStart w:id="143" w:name="Bookmark_I5R3M6G92N1R0M0050000400"/>
      <w:bookmarkEnd w:id="143"/>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Anderson</w:t>
        </w:r>
      </w:hyperlink>
      <w:r>
        <w:rPr>
          <w:rFonts w:ascii="arial" w:eastAsia="arial" w:hAnsi="arial" w:cs="arial"/>
          <w:b w:val="0"/>
          <w:i w:val="0"/>
          <w:strike w:val="0"/>
          <w:noProof w:val="0"/>
          <w:color w:val="000000"/>
          <w:position w:val="0"/>
          <w:sz w:val="20"/>
          <w:u w:val="none"/>
          <w:vertAlign w:val="baseline"/>
        </w:rPr>
        <w:t xml:space="preserve">, the court granted summary judgment for the plaintiffs, finding that they were employees under </w:t>
      </w:r>
      <w:hyperlink r:id="rId14" w:history="1">
        <w:r>
          <w:rPr>
            <w:rFonts w:ascii="arial" w:eastAsia="arial" w:hAnsi="arial" w:cs="arial"/>
            <w:b w:val="0"/>
            <w:i/>
            <w:strike w:val="0"/>
            <w:noProof w:val="0"/>
            <w:color w:val="0077CC"/>
            <w:position w:val="0"/>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because "[t]hey worked as individual truck drivers performing full-time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personal services exclusively for HDA." </w:t>
      </w:r>
      <w:bookmarkStart w:id="144" w:name="Bookmark_I5R3M6G92SF8R00020000400"/>
      <w:bookmarkEnd w:id="144"/>
      <w:hyperlink r:id="rId43" w:history="1">
        <w:r>
          <w:rPr>
            <w:rFonts w:ascii="arial" w:eastAsia="arial" w:hAnsi="arial" w:cs="arial"/>
            <w:b w:val="0"/>
            <w:i/>
            <w:strike w:val="0"/>
            <w:noProof w:val="0"/>
            <w:color w:val="0077CC"/>
            <w:position w:val="0"/>
            <w:sz w:val="20"/>
            <w:u w:val="single"/>
            <w:vertAlign w:val="baseline"/>
          </w:rPr>
          <w:t>2013 U.S. Dist. LEXIS 181163, 2013 WL 6860745, at *2-*3</w:t>
        </w:r>
      </w:hyperlink>
      <w:r>
        <w:rPr>
          <w:rFonts w:ascii="arial" w:eastAsia="arial" w:hAnsi="arial" w:cs="arial"/>
          <w:b w:val="0"/>
          <w:i w:val="0"/>
          <w:strike w:val="0"/>
          <w:noProof w:val="0"/>
          <w:color w:val="000000"/>
          <w:position w:val="0"/>
          <w:sz w:val="20"/>
          <w:u w:val="none"/>
          <w:vertAlign w:val="baseline"/>
        </w:rPr>
        <w:t xml:space="preserve">. </w:t>
      </w:r>
      <w:bookmarkStart w:id="145" w:name="Bookmark_I2HRRDMRVRT000H79R500008"/>
      <w:bookmarkEnd w:id="145"/>
      <w:bookmarkStart w:id="146" w:name="Bookmark_I5R3M6G92SF8R00050000400"/>
      <w:bookmarkEnd w:id="146"/>
      <w:r>
        <w:rPr>
          <w:rFonts w:ascii="arial" w:eastAsia="arial" w:hAnsi="arial" w:cs="arial"/>
          <w:b w:val="0"/>
          <w:i w:val="0"/>
          <w:strike w:val="0"/>
          <w:noProof w:val="0"/>
          <w:color w:val="000000"/>
          <w:position w:val="0"/>
          <w:sz w:val="20"/>
          <w:u w:val="none"/>
          <w:vertAlign w:val="baseline"/>
        </w:rPr>
        <w:t xml:space="preserve">So too with the proposed class in this case. </w:t>
      </w:r>
      <w:r>
        <w:rPr>
          <w:rFonts w:ascii="arial" w:eastAsia="arial" w:hAnsi="arial" w:cs="arial"/>
          <w:b w:val="0"/>
          <w:i w:val="0"/>
          <w:strike w:val="0"/>
          <w:noProof w:val="0"/>
          <w:color w:val="000000"/>
          <w:position w:val="0"/>
          <w:sz w:val="20"/>
          <w:u w:val="single"/>
          <w:vertAlign w:val="baseline"/>
        </w:rPr>
        <w:t>Chebotnikov</w:t>
      </w:r>
      <w:r>
        <w:rPr>
          <w:rFonts w:ascii="arial" w:eastAsia="arial" w:hAnsi="arial" w:cs="arial"/>
          <w:b w:val="0"/>
          <w:i w:val="0"/>
          <w:strike w:val="0"/>
          <w:noProof w:val="0"/>
          <w:color w:val="000000"/>
          <w:position w:val="0"/>
          <w:sz w:val="20"/>
          <w:u w:val="none"/>
          <w:vertAlign w:val="baseline"/>
        </w:rPr>
        <w:t xml:space="preserve"> is distinguishable on its facts. In that case, the defendant operated a mobile application, similar to Uber, for limousine drivers to pick up passengers. </w:t>
      </w:r>
      <w:bookmarkStart w:id="147" w:name="Bookmark_I5R3M6G92SF8R10020000400"/>
      <w:bookmarkEnd w:id="147"/>
      <w:bookmarkStart w:id="148" w:name="Bookmark_I5R3M6G92SF8R00040000400"/>
      <w:bookmarkEnd w:id="148"/>
      <w:hyperlink r:id="rId44" w:history="1">
        <w:r>
          <w:rPr>
            <w:rFonts w:ascii="arial" w:eastAsia="arial" w:hAnsi="arial" w:cs="arial"/>
            <w:b w:val="0"/>
            <w:i/>
            <w:strike w:val="0"/>
            <w:noProof w:val="0"/>
            <w:color w:val="0077CC"/>
            <w:position w:val="0"/>
            <w:sz w:val="20"/>
            <w:u w:val="single"/>
            <w:vertAlign w:val="baseline"/>
          </w:rPr>
          <w:t>Chebotnikov</w:t>
        </w:r>
      </w:hyperlink>
      <w:hyperlink r:id="rId44" w:history="1">
        <w:r>
          <w:rPr>
            <w:rFonts w:ascii="arial" w:eastAsia="arial" w:hAnsi="arial" w:cs="arial"/>
            <w:b w:val="0"/>
            <w:i/>
            <w:strike w:val="0"/>
            <w:noProof w:val="0"/>
            <w:color w:val="0077CC"/>
            <w:position w:val="0"/>
            <w:sz w:val="20"/>
            <w:u w:val="single"/>
            <w:vertAlign w:val="baseline"/>
          </w:rPr>
          <w:t>, 2017 U.S. Dist. LEXIS 104262, 2017 WL 2888713, at *1</w:t>
        </w:r>
      </w:hyperlink>
      <w:r>
        <w:rPr>
          <w:rFonts w:ascii="arial" w:eastAsia="arial" w:hAnsi="arial" w:cs="arial"/>
          <w:b w:val="0"/>
          <w:i w:val="0"/>
          <w:strike w:val="0"/>
          <w:noProof w:val="0"/>
          <w:color w:val="000000"/>
          <w:position w:val="0"/>
          <w:sz w:val="20"/>
          <w:u w:val="none"/>
          <w:vertAlign w:val="baseline"/>
        </w:rPr>
        <w:t xml:space="preserve">. </w:t>
      </w:r>
      <w:bookmarkStart w:id="149" w:name="Bookmark_I5R3M6G92SF8R10020000400_2"/>
      <w:bookmarkEnd w:id="149"/>
      <w:r>
        <w:rPr>
          <w:rFonts w:ascii="arial" w:eastAsia="arial" w:hAnsi="arial" w:cs="arial"/>
          <w:b w:val="0"/>
          <w:i w:val="0"/>
          <w:strike w:val="0"/>
          <w:noProof w:val="0"/>
          <w:color w:val="000000"/>
          <w:position w:val="0"/>
          <w:sz w:val="20"/>
          <w:u w:val="none"/>
          <w:vertAlign w:val="baseline"/>
        </w:rPr>
        <w:t xml:space="preserve">The drivers were not obligated to pick up the passengers referred to them by LimoLink (although they might stop receiving referrals if they did), nor were they prohibited from driving non-LimoLink customers while under contract, nor did LimoLink set drivers' routes.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50" w:name="Bookmark_I5R3M6G92SF8R10010000400"/>
      <w:bookmarkEnd w:id="150"/>
      <w:hyperlink r:id="rId44" w:history="1">
        <w:r>
          <w:rPr>
            <w:rFonts w:ascii="arial" w:eastAsia="arial" w:hAnsi="arial" w:cs="arial"/>
            <w:b w:val="0"/>
            <w:i/>
            <w:strike w:val="0"/>
            <w:noProof w:val="0"/>
            <w:color w:val="0077CC"/>
            <w:position w:val="0"/>
            <w:sz w:val="20"/>
            <w:u w:val="single"/>
            <w:vertAlign w:val="baseline"/>
          </w:rPr>
          <w:t>2017 U.S. Dist. LEXIS 104262, at *2,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Prong C: Independently Established Business</w:t>
      </w:r>
    </w:p>
    <w:p>
      <w:pPr>
        <w:keepNext w:val="0"/>
        <w:widowControl w:val="0"/>
        <w:spacing w:before="240" w:after="0" w:line="260" w:lineRule="atLeast"/>
        <w:ind w:left="0" w:right="0" w:firstLine="0"/>
        <w:jc w:val="both"/>
      </w:pPr>
      <w:bookmarkStart w:id="151" w:name="Bookmark_para_56"/>
      <w:bookmarkEnd w:id="151"/>
      <w:r>
        <w:rPr>
          <w:rFonts w:ascii="arial" w:eastAsia="arial" w:hAnsi="arial" w:cs="arial"/>
          <w:b w:val="0"/>
          <w:i w:val="0"/>
          <w:strike w:val="0"/>
          <w:noProof w:val="0"/>
          <w:color w:val="000000"/>
          <w:position w:val="0"/>
          <w:sz w:val="20"/>
          <w:u w:val="none"/>
          <w:vertAlign w:val="baseline"/>
        </w:rPr>
        <w:t xml:space="preserve">Under Prong C, a worker is not an independent contractor unless "the individual is customarily engaged in an independently established trade, occupation, profession or business of the same nature as that involved in the service performed." </w:t>
      </w:r>
      <w:hyperlink r:id="rId16" w:history="1">
        <w:r>
          <w:rPr>
            <w:rFonts w:ascii="arial" w:eastAsia="arial" w:hAnsi="arial" w:cs="arial"/>
            <w:b w:val="0"/>
            <w:i/>
            <w:strike w:val="0"/>
            <w:noProof w:val="0"/>
            <w:color w:val="0077CC"/>
            <w:position w:val="0"/>
            <w:sz w:val="20"/>
            <w:u w:val="single"/>
            <w:vertAlign w:val="baseline"/>
          </w:rPr>
          <w:t>Mass. Gen. Laws ch. 149, § 148B(a)(3)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57"/>
      <w:bookmarkEnd w:id="152"/>
      <w:bookmarkStart w:id="153" w:name="Bookmark_I5R3M6G92SF8R10040000400"/>
      <w:bookmarkEnd w:id="153"/>
      <w:r>
        <w:rPr>
          <w:rFonts w:ascii="arial" w:eastAsia="arial" w:hAnsi="arial" w:cs="arial"/>
          <w:b w:val="0"/>
          <w:i w:val="0"/>
          <w:strike w:val="0"/>
          <w:noProof w:val="0"/>
          <w:color w:val="000000"/>
          <w:position w:val="0"/>
          <w:sz w:val="20"/>
          <w:u w:val="none"/>
          <w:vertAlign w:val="baseline"/>
        </w:rPr>
        <w:t>The defendants suggest that this prong requires individualized evidence about each putative class member's history and custom of work for other brokers. Indeed, that is what the statutory text would seem to require. But there is Massachusetts case law suggesting that the statutory inquiry is not into whether putative employees actually engaged in an independent business, but whether they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had the opportunity to do so. In </w:t>
      </w:r>
      <w:bookmarkStart w:id="154" w:name="Bookmark_I5R3M6G92SF8R10030000400"/>
      <w:bookmarkEnd w:id="154"/>
      <w:hyperlink r:id="rId45" w:history="1">
        <w:r>
          <w:rPr>
            <w:rFonts w:ascii="arial" w:eastAsia="arial" w:hAnsi="arial" w:cs="arial"/>
            <w:b w:val="0"/>
            <w:i/>
            <w:strike w:val="0"/>
            <w:noProof w:val="0"/>
            <w:color w:val="0077CC"/>
            <w:position w:val="0"/>
            <w:sz w:val="20"/>
            <w:u w:val="single"/>
            <w:vertAlign w:val="baseline"/>
          </w:rPr>
          <w:t>Athol Daily News v. Bd. of Review of the Div. of Emp't and Training</w:t>
        </w:r>
      </w:hyperlink>
      <w:hyperlink r:id="rId45" w:history="1">
        <w:r>
          <w:rPr>
            <w:rFonts w:ascii="arial" w:eastAsia="arial" w:hAnsi="arial" w:cs="arial"/>
            <w:b w:val="0"/>
            <w:i/>
            <w:strike w:val="0"/>
            <w:noProof w:val="0"/>
            <w:color w:val="0077CC"/>
            <w:position w:val="0"/>
            <w:sz w:val="20"/>
            <w:u w:val="single"/>
            <w:vertAlign w:val="baseline"/>
          </w:rPr>
          <w:t>, 439 Mass. 171, 786 N.E.2d 365 (Mass. 2003)</w:t>
        </w:r>
      </w:hyperlink>
      <w:r>
        <w:rPr>
          <w:rFonts w:ascii="arial" w:eastAsia="arial" w:hAnsi="arial" w:cs="arial"/>
          <w:b w:val="0"/>
          <w:i w:val="0"/>
          <w:strike w:val="0"/>
          <w:noProof w:val="0"/>
          <w:color w:val="000000"/>
          <w:position w:val="0"/>
          <w:sz w:val="20"/>
          <w:u w:val="none"/>
          <w:vertAlign w:val="baseline"/>
        </w:rPr>
        <w:t xml:space="preserve">, the Supreme Judicial Court ("SJC") considered identical language from the third prong of the independent contractor definition under the unemployment compensation benefits statute, </w:t>
      </w:r>
      <w:hyperlink r:id="rId46" w:history="1">
        <w:r>
          <w:rPr>
            <w:rFonts w:ascii="arial" w:eastAsia="arial" w:hAnsi="arial" w:cs="arial"/>
            <w:b w:val="0"/>
            <w:i/>
            <w:strike w:val="0"/>
            <w:noProof w:val="0"/>
            <w:color w:val="0077CC"/>
            <w:position w:val="0"/>
            <w:sz w:val="20"/>
            <w:u w:val="single"/>
            <w:vertAlign w:val="baseline"/>
          </w:rPr>
          <w:t>Mass. Gen. Laws ch. 151A, § 2</w:t>
        </w:r>
      </w:hyperlink>
      <w:r>
        <w:rPr>
          <w:rFonts w:ascii="arial" w:eastAsia="arial" w:hAnsi="arial" w:cs="arial"/>
          <w:b w:val="0"/>
          <w:i w:val="0"/>
          <w:strike w:val="0"/>
          <w:noProof w:val="0"/>
          <w:color w:val="000000"/>
          <w:position w:val="0"/>
          <w:sz w:val="20"/>
          <w:u w:val="none"/>
          <w:vertAlign w:val="baseline"/>
        </w:rPr>
        <w:t xml:space="preserve">. </w:t>
      </w:r>
      <w:bookmarkStart w:id="155" w:name="Bookmark_I5R3M6G928T4GB0010000400"/>
      <w:bookmarkEnd w:id="155"/>
      <w:r>
        <w:rPr>
          <w:rFonts w:ascii="arial" w:eastAsia="arial" w:hAnsi="arial" w:cs="arial"/>
          <w:b w:val="0"/>
          <w:i w:val="0"/>
          <w:strike w:val="0"/>
          <w:noProof w:val="0"/>
          <w:color w:val="000000"/>
          <w:position w:val="0"/>
          <w:sz w:val="20"/>
          <w:u w:val="none"/>
          <w:vertAlign w:val="baseline"/>
        </w:rPr>
        <w:t>The SJC wrote:</w:t>
      </w:r>
    </w:p>
    <w:p>
      <w:pPr>
        <w:keepNext w:val="0"/>
        <w:widowControl w:val="0"/>
        <w:spacing w:before="200" w:after="0" w:line="260" w:lineRule="atLeast"/>
        <w:ind w:left="400" w:right="0" w:firstLine="0"/>
        <w:jc w:val="both"/>
      </w:pPr>
      <w:bookmarkStart w:id="156" w:name="Bookmark_para_58"/>
      <w:bookmarkEnd w:id="156"/>
      <w:bookmarkStart w:id="157" w:name="Bookmark_I5R3M6G928T4GB0010000400_2"/>
      <w:bookmarkEnd w:id="157"/>
      <w:bookmarkStart w:id="158" w:name="Bookmark_I5R3M6G928T4GB0030000400"/>
      <w:bookmarkEnd w:id="158"/>
      <w:r>
        <w:rPr>
          <w:rFonts w:ascii="arial" w:eastAsia="arial" w:hAnsi="arial" w:cs="arial"/>
          <w:b w:val="0"/>
          <w:i w:val="0"/>
          <w:strike w:val="0"/>
          <w:noProof w:val="0"/>
          <w:color w:val="000000"/>
          <w:position w:val="0"/>
          <w:sz w:val="20"/>
          <w:u w:val="none"/>
          <w:vertAlign w:val="baseline"/>
        </w:rPr>
        <w:t xml:space="preserve">"The better approach to the evaluation required by part (c) is to consider whether the service in question could be viewed as an independent trade or business because the worker is capable of performing the service to anyone wishing to avail themselves of the services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or, conversely, whether the nature of the business compels the worker to depend on a single employer for the continuation of the services."</w:t>
      </w:r>
    </w:p>
    <w:p>
      <w:pPr>
        <w:keepNext w:val="0"/>
        <w:widowControl w:val="0"/>
        <w:spacing w:before="200" w:after="0" w:line="260" w:lineRule="atLeast"/>
        <w:ind w:left="0" w:right="0" w:firstLine="0"/>
        <w:jc w:val="both"/>
      </w:pPr>
      <w:bookmarkStart w:id="159" w:name="Bookmark_I5R3M6G928T4GB0030000400_2"/>
      <w:bookmarkEnd w:id="159"/>
      <w:bookmarkStart w:id="160" w:name="Bookmark_I5R3M6G928T4GB0010000400_3"/>
      <w:bookmarkEnd w:id="160"/>
      <w:bookmarkStart w:id="161" w:name="Bookmark_I5R3M6G92SF8R10050000400"/>
      <w:bookmarkEnd w:id="161"/>
      <w:hyperlink r:id="rId45" w:history="1">
        <w:r>
          <w:rPr>
            <w:rFonts w:ascii="arial" w:eastAsia="arial" w:hAnsi="arial" w:cs="arial"/>
            <w:b w:val="0"/>
            <w:i/>
            <w:strike w:val="0"/>
            <w:color w:val="0077CC"/>
            <w:sz w:val="20"/>
            <w:u w:val="single"/>
            <w:vertAlign w:val="baseline"/>
          </w:rPr>
          <w:t>786 N.E.2d at 373</w:t>
        </w:r>
      </w:hyperlink>
      <w:r>
        <w:rPr>
          <w:rFonts w:ascii="arial" w:eastAsia="arial" w:hAnsi="arial" w:cs="arial"/>
          <w:b w:val="0"/>
          <w:i w:val="0"/>
          <w:strike w:val="0"/>
          <w:noProof w:val="0"/>
          <w:color w:val="000000"/>
          <w:position w:val="0"/>
          <w:sz w:val="20"/>
          <w:u w:val="none"/>
          <w:vertAlign w:val="baseline"/>
        </w:rPr>
        <w:t xml:space="preserve">. The SJC held that newspaper carriers were customarily engaged in an independently established trade because they were "free to deliver newspapers (or other publications, such as advertising flyers) for anyone who wishes to contract with them" and that "several of the carriers </w:t>
      </w:r>
      <w:r>
        <w:rPr>
          <w:rFonts w:ascii="arial" w:eastAsia="arial" w:hAnsi="arial" w:cs="arial"/>
          <w:b w:val="0"/>
          <w:i w:val="0"/>
          <w:strike w:val="0"/>
          <w:noProof w:val="0"/>
          <w:color w:val="000000"/>
          <w:position w:val="0"/>
          <w:sz w:val="20"/>
          <w:u w:val="single"/>
          <w:vertAlign w:val="baseline"/>
        </w:rPr>
        <w:t>in fact</w:t>
      </w:r>
      <w:r>
        <w:rPr>
          <w:rFonts w:ascii="arial" w:eastAsia="arial" w:hAnsi="arial" w:cs="arial"/>
          <w:b w:val="0"/>
          <w:i w:val="0"/>
          <w:strike w:val="0"/>
          <w:noProof w:val="0"/>
          <w:color w:val="000000"/>
          <w:position w:val="0"/>
          <w:sz w:val="20"/>
          <w:u w:val="none"/>
          <w:vertAlign w:val="baseline"/>
        </w:rPr>
        <w:t xml:space="preserve"> act as carriers for other publishers." </w:t>
      </w:r>
      <w:bookmarkStart w:id="162" w:name="Bookmark_I5R3M6G928T4GB0020000400"/>
      <w:bookmarkEnd w:id="16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374</w:t>
        </w:r>
      </w:hyperlink>
      <w:r>
        <w:rPr>
          <w:rFonts w:ascii="arial" w:eastAsia="arial" w:hAnsi="arial" w:cs="arial"/>
          <w:b w:val="0"/>
          <w:i w:val="0"/>
          <w:strike w:val="0"/>
          <w:noProof w:val="0"/>
          <w:color w:val="000000"/>
          <w:position w:val="0"/>
          <w:sz w:val="20"/>
          <w:u w:val="none"/>
          <w:vertAlign w:val="baseline"/>
        </w:rPr>
        <w:t xml:space="preserve"> (emphasis added). In other words, the SJC has treated an analogous test as an inquiry into whether a worker has the opportunity to engage in an independently established business, not whether they did in fact. This makes sense on a practical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level, as the defendants point out: a contrary statutory meaning would implausibly require a business that wanted to engage with an independent contractor to ensure that the contractor was also in fact contracting with another business.</w:t>
      </w:r>
    </w:p>
    <w:p>
      <w:pPr>
        <w:keepNext w:val="0"/>
        <w:widowControl w:val="0"/>
        <w:spacing w:before="200" w:after="0" w:line="260" w:lineRule="atLeast"/>
        <w:ind w:left="0" w:right="0" w:firstLine="0"/>
        <w:jc w:val="both"/>
      </w:pPr>
      <w:bookmarkStart w:id="163" w:name="Bookmark_para_59"/>
      <w:bookmarkEnd w:id="163"/>
      <w:r>
        <w:rPr>
          <w:rFonts w:ascii="arial" w:eastAsia="arial" w:hAnsi="arial" w:cs="arial"/>
          <w:b w:val="0"/>
          <w:i w:val="0"/>
          <w:strike w:val="0"/>
          <w:noProof w:val="0"/>
          <w:color w:val="000000"/>
          <w:position w:val="0"/>
          <w:sz w:val="20"/>
          <w:u w:val="none"/>
          <w:vertAlign w:val="baseline"/>
        </w:rPr>
        <w:t xml:space="preserve">Whether contractors with Border Transfer had the opportunity to engage in an independently established business is, as the plaintiffs argue, susceptible to common proof. The plaintiffs argue that Border Transfer assigned its drivers full-time work four to six days a week,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74-3 at 11, leaving drivers with minimal time, if any, to perform deliveries for any other business as a practical matter. Moreover, the plaintiffs argue that drivers could not work concurrently for Border Transfer and another business because they were required to be in uniform for Border Transfer, Docket No. 74-3 at 14, and because "co-loading" of other merchandise alongside Sears merchandise was prohibited, Docket No. 74-1 (SLS-BTMI Contract at 8). The defendants respond that there were many examples of contractors who also delivered for companies other than Border Transfer and that co-loading was not actually prohibited. Whatever the resolution of this dispute on the merits, the key point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at this stage is that this question appears susceptible to resolution by common evidence about Border Transfer's general customs and policies. The defendants have put forth no evidence that different putative class members -- at the individual worker level -- had different opportunities to engage in an independently established business.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Establishing Violation of the Wage Act</w:t>
      </w:r>
    </w:p>
    <w:p>
      <w:pPr>
        <w:keepNext w:val="0"/>
        <w:widowControl w:val="0"/>
        <w:spacing w:before="200" w:after="0" w:line="260" w:lineRule="atLeast"/>
        <w:ind w:left="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 xml:space="preserve">Although the class definition avoids the individualized </w:t>
      </w:r>
      <w:r>
        <w:rPr>
          <w:rFonts w:ascii="arial" w:eastAsia="arial" w:hAnsi="arial" w:cs="arial"/>
          <w:b w:val="0"/>
          <w:i w:val="0"/>
          <w:strike w:val="0"/>
          <w:noProof w:val="0"/>
          <w:color w:val="000000"/>
          <w:position w:val="0"/>
          <w:sz w:val="20"/>
          <w:u w:val="single"/>
          <w:vertAlign w:val="baseline"/>
        </w:rPr>
        <w:t>Chambers</w:t>
      </w:r>
      <w:r>
        <w:rPr>
          <w:rFonts w:ascii="arial" w:eastAsia="arial" w:hAnsi="arial" w:cs="arial"/>
          <w:b w:val="0"/>
          <w:i w:val="0"/>
          <w:strike w:val="0"/>
          <w:noProof w:val="0"/>
          <w:color w:val="000000"/>
          <w:position w:val="0"/>
          <w:sz w:val="20"/>
          <w:u w:val="none"/>
          <w:vertAlign w:val="baseline"/>
        </w:rPr>
        <w:t xml:space="preserve"> inquiry into applicability of the Wage Act, Plaintiffs still must show that Border Transfer took deductions that were improper under the Wage Act. The plaintiffs argue that Border Transfer took the same types of deductions from each of its contractors and that those deductions are outlined in the CCAs and other Border Transfer documents. The defendants do not seem to contest this point. The propriety of deductions under the Wage Act can be resolved on common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Summing up Commonality</w:t>
      </w:r>
    </w:p>
    <w:p>
      <w:pPr>
        <w:keepNext w:val="0"/>
        <w:widowControl w:val="0"/>
        <w:spacing w:before="200" w:after="0" w:line="260" w:lineRule="atLeast"/>
        <w:ind w:left="0" w:right="0" w:firstLine="0"/>
        <w:jc w:val="both"/>
      </w:pPr>
      <w:bookmarkStart w:id="165" w:name="Bookmark_para_61"/>
      <w:bookmarkEnd w:id="165"/>
      <w:r>
        <w:rPr>
          <w:rFonts w:ascii="arial" w:eastAsia="arial" w:hAnsi="arial" w:cs="arial"/>
          <w:b w:val="0"/>
          <w:i w:val="0"/>
          <w:strike w:val="0"/>
          <w:noProof w:val="0"/>
          <w:color w:val="000000"/>
          <w:position w:val="0"/>
          <w:sz w:val="20"/>
          <w:u w:val="none"/>
          <w:vertAlign w:val="baseline"/>
        </w:rPr>
        <w:t>Commonality is met for a class of drivers who personally drove for Border Transfer on a full-time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166" w:name="Bookmark_para_62"/>
      <w:bookmarkEnd w:id="166"/>
      <w:bookmarkStart w:id="167" w:name="Bookmark_I5R3M6G928T4GB0050000400"/>
      <w:bookmarkEnd w:id="167"/>
      <w:bookmarkStart w:id="168" w:name="Bookmark_I5R3M6G92SF8R20040000400"/>
      <w:bookmarkEnd w:id="168"/>
      <w:bookmarkStart w:id="169" w:name="Bookmark_I5R3M6G92HM5YM0030000400"/>
      <w:bookmarkEnd w:id="169"/>
      <w:r>
        <w:rPr>
          <w:rFonts w:ascii="arial" w:eastAsia="arial" w:hAnsi="arial" w:cs="arial"/>
          <w:b w:val="0"/>
          <w:i w:val="0"/>
          <w:strike w:val="0"/>
          <w:noProof w:val="0"/>
          <w:color w:val="000000"/>
          <w:position w:val="0"/>
          <w:sz w:val="20"/>
          <w:u w:val="none"/>
          <w:vertAlign w:val="baseline"/>
        </w:rPr>
        <w:t>Typicality requires that the named plaintiffs' claims "arise[] from the same event or practice or course of conduct that gives rise to the claims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other class members, and . . . are based on the same legal theory." </w:t>
      </w:r>
      <w:bookmarkStart w:id="170" w:name="Bookmark_I5R3M6G928T4GB0040000400"/>
      <w:bookmarkEnd w:id="170"/>
      <w:hyperlink r:id="rId25" w:history="1">
        <w:r>
          <w:rPr>
            <w:rFonts w:ascii="arial" w:eastAsia="arial" w:hAnsi="arial" w:cs="arial"/>
            <w:b w:val="0"/>
            <w:i/>
            <w:strike w:val="0"/>
            <w:noProof w:val="0"/>
            <w:color w:val="0077CC"/>
            <w:position w:val="0"/>
            <w:sz w:val="20"/>
            <w:u w:val="single"/>
            <w:vertAlign w:val="baseline"/>
          </w:rPr>
          <w:t>Garcia-Rubiera</w:t>
        </w:r>
      </w:hyperlink>
      <w:hyperlink r:id="rId25" w:history="1">
        <w:r>
          <w:rPr>
            <w:rFonts w:ascii="arial" w:eastAsia="arial" w:hAnsi="arial" w:cs="arial"/>
            <w:b w:val="0"/>
            <w:i/>
            <w:strike w:val="0"/>
            <w:noProof w:val="0"/>
            <w:color w:val="0077CC"/>
            <w:position w:val="0"/>
            <w:sz w:val="20"/>
            <w:u w:val="single"/>
            <w:vertAlign w:val="baseline"/>
          </w:rPr>
          <w:t>, 570 F.3d at 460</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171" w:name="Bookmark_I5R3M6G92SF8R20010000400"/>
      <w:bookmarkEnd w:id="171"/>
      <w:hyperlink r:id="rId47" w:history="1">
        <w:r>
          <w:rPr>
            <w:rFonts w:ascii="arial" w:eastAsia="arial" w:hAnsi="arial" w:cs="arial"/>
            <w:b w:val="0"/>
            <w:i/>
            <w:strike w:val="0"/>
            <w:noProof w:val="0"/>
            <w:color w:val="0077CC"/>
            <w:position w:val="0"/>
            <w:sz w:val="20"/>
            <w:u w:val="single"/>
            <w:vertAlign w:val="baseline"/>
          </w:rPr>
          <w:t>In re Am. Med. Sys., Inc.</w:t>
        </w:r>
      </w:hyperlink>
      <w:hyperlink r:id="rId47" w:history="1">
        <w:r>
          <w:rPr>
            <w:rFonts w:ascii="arial" w:eastAsia="arial" w:hAnsi="arial" w:cs="arial"/>
            <w:b w:val="0"/>
            <w:i/>
            <w:strike w:val="0"/>
            <w:noProof w:val="0"/>
            <w:color w:val="0077CC"/>
            <w:position w:val="0"/>
            <w:sz w:val="20"/>
            <w:u w:val="single"/>
            <w:vertAlign w:val="baseline"/>
          </w:rPr>
          <w:t>, 75 F.3d 1069, 1082 (6th Cir. 1996))</w:t>
        </w:r>
      </w:hyperlink>
      <w:r>
        <w:rPr>
          <w:rFonts w:ascii="arial" w:eastAsia="arial" w:hAnsi="arial" w:cs="arial"/>
          <w:b w:val="0"/>
          <w:i w:val="0"/>
          <w:strike w:val="0"/>
          <w:noProof w:val="0"/>
          <w:color w:val="000000"/>
          <w:position w:val="0"/>
          <w:sz w:val="20"/>
          <w:u w:val="none"/>
          <w:vertAlign w:val="baseline"/>
        </w:rPr>
        <w:t xml:space="preserve">. "Under the Rule's permissive standards, representative claims are 'typical' if they are reasonably coextensive with those of absent class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members; they need not be substantially identical." </w:t>
      </w:r>
      <w:bookmarkStart w:id="172" w:name="Bookmark_I5R3M6G92SF8R20030000400"/>
      <w:bookmarkEnd w:id="172"/>
      <w:hyperlink r:id="rId48" w:history="1">
        <w:r>
          <w:rPr>
            <w:rFonts w:ascii="arial" w:eastAsia="arial" w:hAnsi="arial" w:cs="arial"/>
            <w:b w:val="0"/>
            <w:i/>
            <w:strike w:val="0"/>
            <w:noProof w:val="0"/>
            <w:color w:val="0077CC"/>
            <w:position w:val="0"/>
            <w:sz w:val="20"/>
            <w:u w:val="single"/>
            <w:vertAlign w:val="baseline"/>
          </w:rPr>
          <w:t>Torres v. Mercer Canyons Inc.</w:t>
        </w:r>
      </w:hyperlink>
      <w:hyperlink r:id="rId48" w:history="1">
        <w:r>
          <w:rPr>
            <w:rFonts w:ascii="arial" w:eastAsia="arial" w:hAnsi="arial" w:cs="arial"/>
            <w:b w:val="0"/>
            <w:i/>
            <w:strike w:val="0"/>
            <w:noProof w:val="0"/>
            <w:color w:val="0077CC"/>
            <w:position w:val="0"/>
            <w:sz w:val="20"/>
            <w:u w:val="single"/>
            <w:vertAlign w:val="baseline"/>
          </w:rPr>
          <w:t>, 835 F.3d 1125, 1141 (9th Cir. 2016)</w:t>
        </w:r>
      </w:hyperlink>
      <w:r>
        <w:rPr>
          <w:rFonts w:ascii="arial" w:eastAsia="arial" w:hAnsi="arial" w:cs="arial"/>
          <w:b w:val="0"/>
          <w:i w:val="0"/>
          <w:strike w:val="0"/>
          <w:noProof w:val="0"/>
          <w:color w:val="000000"/>
          <w:position w:val="0"/>
          <w:sz w:val="20"/>
          <w:u w:val="none"/>
          <w:vertAlign w:val="baseline"/>
        </w:rPr>
        <w:t xml:space="preserve"> (quoting </w:t>
      </w:r>
      <w:bookmarkStart w:id="173" w:name="Bookmark_I5R3M6G92SF8R20050000400"/>
      <w:bookmarkEnd w:id="173"/>
      <w:hyperlink r:id="rId28" w:history="1">
        <w:r>
          <w:rPr>
            <w:rFonts w:ascii="arial" w:eastAsia="arial" w:hAnsi="arial" w:cs="arial"/>
            <w:b w:val="0"/>
            <w:i/>
            <w:strike w:val="0"/>
            <w:noProof w:val="0"/>
            <w:color w:val="0077CC"/>
            <w:position w:val="0"/>
            <w:sz w:val="20"/>
            <w:u w:val="single"/>
            <w:vertAlign w:val="baseline"/>
          </w:rPr>
          <w:t>Parsons</w:t>
        </w:r>
      </w:hyperlink>
      <w:hyperlink r:id="rId28" w:history="1">
        <w:r>
          <w:rPr>
            <w:rFonts w:ascii="arial" w:eastAsia="arial" w:hAnsi="arial" w:cs="arial"/>
            <w:b w:val="0"/>
            <w:i/>
            <w:strike w:val="0"/>
            <w:noProof w:val="0"/>
            <w:color w:val="0077CC"/>
            <w:position w:val="0"/>
            <w:sz w:val="20"/>
            <w:u w:val="single"/>
            <w:vertAlign w:val="baseline"/>
          </w:rPr>
          <w:t>, 754 F.3d at 685</w:t>
        </w:r>
      </w:hyperlink>
      <w:r>
        <w:rPr>
          <w:rFonts w:ascii="arial" w:eastAsia="arial" w:hAnsi="arial" w:cs="arial"/>
          <w:b w:val="0"/>
          <w:i w:val="0"/>
          <w:strike w:val="0"/>
          <w:noProof w:val="0"/>
          <w:color w:val="000000"/>
          <w:position w:val="0"/>
          <w:sz w:val="20"/>
          <w:u w:val="none"/>
          <w:vertAlign w:val="baseline"/>
        </w:rPr>
        <w:t xml:space="preserve">). "Even relatively pronounced factual differences will generally not preclude a finding of typicality where there is a strong similarity of legal theories or where the claim arises from the same practice or course of conduct." </w:t>
      </w:r>
      <w:bookmarkStart w:id="174" w:name="Bookmark_I5R3M6G92HM5YM0020000400"/>
      <w:bookmarkEnd w:id="174"/>
      <w:hyperlink r:id="rId49"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49" w:history="1">
        <w:r>
          <w:rPr>
            <w:rFonts w:ascii="arial" w:eastAsia="arial" w:hAnsi="arial" w:cs="arial"/>
            <w:b w:val="0"/>
            <w:i/>
            <w:strike w:val="0"/>
            <w:noProof w:val="0"/>
            <w:color w:val="0077CC"/>
            <w:position w:val="0"/>
            <w:sz w:val="20"/>
            <w:u w:val="single"/>
            <w:vertAlign w:val="baseline"/>
          </w:rPr>
          <w:t>, 821 F.3d 410, 428 (3d Cir. 2016)</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R3M6G92HM5YM0040000400"/>
      <w:bookmarkEnd w:id="175"/>
      <w:hyperlink r:id="rId50"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50" w:history="1">
        <w:r>
          <w:rPr>
            <w:rFonts w:ascii="arial" w:eastAsia="arial" w:hAnsi="arial" w:cs="arial"/>
            <w:b w:val="0"/>
            <w:i/>
            <w:strike w:val="0"/>
            <w:noProof w:val="0"/>
            <w:color w:val="0077CC"/>
            <w:position w:val="0"/>
            <w:sz w:val="20"/>
            <w:u w:val="single"/>
            <w:vertAlign w:val="baseline"/>
          </w:rPr>
          <w:t>, 148 F.3d 283, 311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63"/>
      <w:bookmarkEnd w:id="176"/>
      <w:r>
        <w:rPr>
          <w:rFonts w:ascii="arial" w:eastAsia="arial" w:hAnsi="arial" w:cs="arial"/>
          <w:b w:val="0"/>
          <w:i w:val="0"/>
          <w:strike w:val="0"/>
          <w:noProof w:val="0"/>
          <w:color w:val="000000"/>
          <w:position w:val="0"/>
          <w:sz w:val="20"/>
          <w:u w:val="none"/>
          <w:vertAlign w:val="baseline"/>
        </w:rPr>
        <w:t>The plaintiffs argue that typicality is met because their claims and the putative class members' claims arose from the same CCAs and class-wide treatment, and the plaintiffs and the class members assert the same legal theory of Wage Act misclassification.</w:t>
      </w:r>
    </w:p>
    <w:p>
      <w:pPr>
        <w:keepNext w:val="0"/>
        <w:widowControl w:val="0"/>
        <w:spacing w:before="200" w:after="0" w:line="260" w:lineRule="atLeast"/>
        <w:ind w:left="0" w:right="0" w:firstLine="0"/>
        <w:jc w:val="both"/>
      </w:pPr>
      <w:bookmarkStart w:id="177" w:name="Bookmark_para_64"/>
      <w:bookmarkEnd w:id="177"/>
      <w:r>
        <w:rPr>
          <w:rFonts w:ascii="arial" w:eastAsia="arial" w:hAnsi="arial" w:cs="arial"/>
          <w:b w:val="0"/>
          <w:i w:val="0"/>
          <w:strike w:val="0"/>
          <w:noProof w:val="0"/>
          <w:color w:val="000000"/>
          <w:position w:val="0"/>
          <w:sz w:val="20"/>
          <w:u w:val="none"/>
          <w:vertAlign w:val="baseline"/>
        </w:rPr>
        <w:t>The defendants respond that typicality is defeated for several reasons. They point out that Ferreira did not sign the CCA himself (his father did); his testimony about his company's operations is contradicted by others; his company existed before it signed the CCA with Border Transfer; and his business grew to operate three trucks for Border Transfer. They also point out that DaSilva's business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only operated one truck, that his business was formed when he signed the CCA with Border Transfer, and that some of his testimony is contradicted by testimony of others (thus casting doubt on his credibility).</w:t>
      </w:r>
    </w:p>
    <w:p>
      <w:pPr>
        <w:keepNext w:val="0"/>
        <w:widowControl w:val="0"/>
        <w:spacing w:before="200" w:after="0" w:line="260" w:lineRule="atLeast"/>
        <w:ind w:left="0" w:right="0" w:firstLine="0"/>
        <w:jc w:val="both"/>
      </w:pPr>
      <w:bookmarkStart w:id="178" w:name="Bookmark_para_65"/>
      <w:bookmarkEnd w:id="178"/>
      <w:r>
        <w:rPr>
          <w:rFonts w:ascii="arial" w:eastAsia="arial" w:hAnsi="arial" w:cs="arial"/>
          <w:b w:val="0"/>
          <w:i w:val="0"/>
          <w:strike w:val="0"/>
          <w:noProof w:val="0"/>
          <w:color w:val="000000"/>
          <w:position w:val="0"/>
          <w:sz w:val="20"/>
          <w:u w:val="none"/>
          <w:vertAlign w:val="baseline"/>
        </w:rPr>
        <w:t>None of these problems defeats typicality. DaSilva and Ferreira's experiences, although different in some ways from each other's, are reasonably coextensive with those of other motor carriers who contracted with Border Transfer. All of the motor carriers are pursuing the same Wage Act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Adequacy</w:t>
      </w:r>
    </w:p>
    <w:p>
      <w:pPr>
        <w:keepNext w:val="0"/>
        <w:widowControl w:val="0"/>
        <w:spacing w:before="240" w:after="0" w:line="260" w:lineRule="atLeast"/>
        <w:ind w:left="0" w:right="0" w:firstLine="0"/>
        <w:jc w:val="both"/>
      </w:pPr>
      <w:bookmarkStart w:id="179" w:name="Bookmark_para_66"/>
      <w:bookmarkEnd w:id="179"/>
      <w:bookmarkStart w:id="180" w:name="Bookmark_I2HRRDMPVP3000H79R500005"/>
      <w:bookmarkEnd w:id="180"/>
      <w:bookmarkStart w:id="181" w:name="Bookmark_I2HRRDMR1SY000H79R500006"/>
      <w:bookmarkEnd w:id="181"/>
      <w:bookmarkStart w:id="182" w:name="Bookmark_I5R3M6G92D6N060020000400"/>
      <w:bookmarkEnd w:id="182"/>
      <w:r>
        <w:rPr>
          <w:rFonts w:ascii="arial" w:eastAsia="arial" w:hAnsi="arial" w:cs="arial"/>
          <w:b w:val="0"/>
          <w:i w:val="0"/>
          <w:strike w:val="0"/>
          <w:noProof w:val="0"/>
          <w:color w:val="000000"/>
          <w:position w:val="0"/>
          <w:sz w:val="20"/>
          <w:u w:val="none"/>
          <w:vertAlign w:val="baseline"/>
        </w:rPr>
        <w:t xml:space="preserve">To meet the adequacy requirement, the "moving party must show first that the interests of the representative party will not conflict with the interests of any of the class members, and second, that counsel chosen by the representative party is qualified, experienced and able to vigorously conduct the proposed litigation." </w:t>
      </w:r>
      <w:bookmarkStart w:id="183" w:name="Bookmark_I5R3M6G92D6N060010000400"/>
      <w:bookmarkEnd w:id="183"/>
      <w:hyperlink r:id="rId51" w:history="1">
        <w:r>
          <w:rPr>
            <w:rFonts w:ascii="arial" w:eastAsia="arial" w:hAnsi="arial" w:cs="arial"/>
            <w:b w:val="0"/>
            <w:i/>
            <w:strike w:val="0"/>
            <w:noProof w:val="0"/>
            <w:color w:val="0077CC"/>
            <w:position w:val="0"/>
            <w:sz w:val="20"/>
            <w:u w:val="single"/>
            <w:vertAlign w:val="baseline"/>
          </w:rPr>
          <w:t>Lannan v. Levy &amp; White</w:t>
        </w:r>
      </w:hyperlink>
      <w:hyperlink r:id="rId51" w:history="1">
        <w:r>
          <w:rPr>
            <w:rFonts w:ascii="arial" w:eastAsia="arial" w:hAnsi="arial" w:cs="arial"/>
            <w:b w:val="0"/>
            <w:i/>
            <w:strike w:val="0"/>
            <w:noProof w:val="0"/>
            <w:color w:val="0077CC"/>
            <w:position w:val="0"/>
            <w:sz w:val="20"/>
            <w:u w:val="single"/>
            <w:vertAlign w:val="baseline"/>
          </w:rPr>
          <w:t>, 186 F. Supp. 3d 77, 89 (D. Mass. 2016)</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R3M6G92D6N060030000400"/>
      <w:bookmarkEnd w:id="184"/>
      <w:hyperlink r:id="rId52" w:history="1">
        <w:r>
          <w:rPr>
            <w:rFonts w:ascii="arial" w:eastAsia="arial" w:hAnsi="arial" w:cs="arial"/>
            <w:b w:val="0"/>
            <w:i/>
            <w:strike w:val="0"/>
            <w:noProof w:val="0"/>
            <w:color w:val="0077CC"/>
            <w:position w:val="0"/>
            <w:sz w:val="20"/>
            <w:u w:val="single"/>
            <w:vertAlign w:val="baseline"/>
          </w:rPr>
          <w:t>Andrews v. Bechtel Power Corp.</w:t>
        </w:r>
      </w:hyperlink>
      <w:hyperlink r:id="rId52" w:history="1">
        <w:r>
          <w:rPr>
            <w:rFonts w:ascii="arial" w:eastAsia="arial" w:hAnsi="arial" w:cs="arial"/>
            <w:b w:val="0"/>
            <w:i/>
            <w:strike w:val="0"/>
            <w:noProof w:val="0"/>
            <w:color w:val="0077CC"/>
            <w:position w:val="0"/>
            <w:sz w:val="20"/>
            <w:u w:val="single"/>
            <w:vertAlign w:val="baseline"/>
          </w:rPr>
          <w:t>, 780 F.2d 124, 130 (1st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67"/>
      <w:bookmarkEnd w:id="185"/>
      <w:bookmarkStart w:id="186" w:name="Bookmark_I5R3M6G928T4GD0010000400"/>
      <w:bookmarkEnd w:id="186"/>
      <w:r>
        <w:rPr>
          <w:rFonts w:ascii="arial" w:eastAsia="arial" w:hAnsi="arial" w:cs="arial"/>
          <w:b w:val="0"/>
          <w:i w:val="0"/>
          <w:strike w:val="0"/>
          <w:noProof w:val="0"/>
          <w:color w:val="000000"/>
          <w:position w:val="0"/>
          <w:sz w:val="20"/>
          <w:u w:val="none"/>
          <w:vertAlign w:val="baseline"/>
        </w:rPr>
        <w:t>Both prongs are met. There is no conflict because the named plaintiffs and the putative class members share an interest in recovering wages lost as a result of misclassification. There is no conflict from the fact that some of the contractors are content with the status quo, since any such contractor has the right to opt out of the class. "The availability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this option is an important factor in weighing the effect of a largely hypothetical conflict on a class-certification decision." </w:t>
      </w:r>
      <w:bookmarkStart w:id="187" w:name="Bookmark_I5R3M6G92D6N060050000400"/>
      <w:bookmarkEnd w:id="187"/>
      <w:hyperlink r:id="rId53" w:history="1">
        <w:r>
          <w:rPr>
            <w:rFonts w:ascii="arial" w:eastAsia="arial" w:hAnsi="arial" w:cs="arial"/>
            <w:b w:val="0"/>
            <w:i/>
            <w:strike w:val="0"/>
            <w:noProof w:val="0"/>
            <w:color w:val="0077CC"/>
            <w:position w:val="0"/>
            <w:sz w:val="20"/>
            <w:u w:val="single"/>
            <w:vertAlign w:val="baseline"/>
          </w:rPr>
          <w:t>Matamoros v. Starbucks Corp.</w:t>
        </w:r>
      </w:hyperlink>
      <w:hyperlink r:id="rId53" w:history="1">
        <w:r>
          <w:rPr>
            <w:rFonts w:ascii="arial" w:eastAsia="arial" w:hAnsi="arial" w:cs="arial"/>
            <w:b w:val="0"/>
            <w:i/>
            <w:strike w:val="0"/>
            <w:noProof w:val="0"/>
            <w:color w:val="0077CC"/>
            <w:position w:val="0"/>
            <w:sz w:val="20"/>
            <w:u w:val="single"/>
            <w:vertAlign w:val="baseline"/>
          </w:rPr>
          <w:t>, 699 F.3d 129, 139 (1st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8" w:name="Bookmark_I5R3M6G928T4GD0020000400"/>
      <w:bookmarkEnd w:id="188"/>
      <w:hyperlink r:id="rId54" w:history="1">
        <w:r>
          <w:rPr>
            <w:rFonts w:ascii="arial" w:eastAsia="arial" w:hAnsi="arial" w:cs="arial"/>
            <w:b w:val="0"/>
            <w:i/>
            <w:strike w:val="0"/>
            <w:noProof w:val="0"/>
            <w:color w:val="0077CC"/>
            <w:position w:val="0"/>
            <w:sz w:val="20"/>
            <w:u w:val="single"/>
            <w:vertAlign w:val="baseline"/>
          </w:rPr>
          <w:t>Smilow v. Sw. Bell Mobile Sys., Inc.</w:t>
        </w:r>
      </w:hyperlink>
      <w:hyperlink r:id="rId54" w:history="1">
        <w:r>
          <w:rPr>
            <w:rFonts w:ascii="arial" w:eastAsia="arial" w:hAnsi="arial" w:cs="arial"/>
            <w:b w:val="0"/>
            <w:i/>
            <w:strike w:val="0"/>
            <w:noProof w:val="0"/>
            <w:color w:val="0077CC"/>
            <w:position w:val="0"/>
            <w:sz w:val="20"/>
            <w:u w:val="single"/>
            <w:vertAlign w:val="baseline"/>
          </w:rPr>
          <w:t>, 323 F.3d 32, 43 (1st Cir. 2003)</w:t>
        </w:r>
      </w:hyperlink>
      <w:r>
        <w:rPr>
          <w:rFonts w:ascii="arial" w:eastAsia="arial" w:hAnsi="arial" w:cs="arial"/>
          <w:b w:val="0"/>
          <w:i w:val="0"/>
          <w:strike w:val="0"/>
          <w:noProof w:val="0"/>
          <w:color w:val="000000"/>
          <w:position w:val="0"/>
          <w:sz w:val="20"/>
          <w:u w:val="none"/>
          <w:vertAlign w:val="baseline"/>
        </w:rPr>
        <w:t xml:space="preserve"> (finding hypothetical conflict to not be a basis for decertification where conflict could be solved by opt-out). The plaintiffs' attorneys are highly experienced in class-action employment litigation and specifically in Wage Act misclassification claims. The defendants do not contest their qualifications.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Predominance</w:t>
      </w:r>
    </w:p>
    <w:p>
      <w:pPr>
        <w:keepNext w:val="0"/>
        <w:widowControl w:val="0"/>
        <w:spacing w:before="200" w:after="0" w:line="260" w:lineRule="atLeast"/>
        <w:ind w:left="0" w:right="0" w:firstLine="0"/>
        <w:jc w:val="both"/>
      </w:pPr>
      <w:bookmarkStart w:id="189" w:name="Bookmark_para_68"/>
      <w:bookmarkEnd w:id="189"/>
      <w:bookmarkStart w:id="190" w:name="Bookmark_I5R3M6G928T4GD0050000400"/>
      <w:bookmarkEnd w:id="190"/>
      <w:bookmarkStart w:id="191" w:name="Bookmark_I5R3M6G92N1R0R0020000400"/>
      <w:bookmarkEnd w:id="191"/>
      <w:bookmarkStart w:id="192" w:name="Bookmark_I5R3M6G92SF8R30010000400"/>
      <w:bookmarkEnd w:id="19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193" w:name="Bookmark_I5R3M6G928T4GD0040000400"/>
      <w:bookmarkEnd w:id="193"/>
      <w:hyperlink r:id="rId19" w:history="1">
        <w:r>
          <w:rPr>
            <w:rFonts w:ascii="arial" w:eastAsia="arial" w:hAnsi="arial" w:cs="arial"/>
            <w:b w:val="0"/>
            <w:i/>
            <w:strike w:val="0"/>
            <w:noProof w:val="0"/>
            <w:color w:val="0077CC"/>
            <w:position w:val="0"/>
            <w:sz w:val="20"/>
            <w:u w:val="single"/>
            <w:vertAlign w:val="baseline"/>
          </w:rPr>
          <w:t>Amchem</w:t>
        </w:r>
      </w:hyperlink>
      <w:hyperlink r:id="rId19"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"While 'the predominance criterion is far more demanding' than the commonality requirement, it presumes that individual issues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will exist." </w:t>
      </w:r>
      <w:bookmarkStart w:id="194" w:name="Bookmark_I5R3M6G92N1R0R0010000400"/>
      <w:bookmarkEnd w:id="194"/>
      <w:hyperlink r:id="rId55" w:history="1">
        <w:r>
          <w:rPr>
            <w:rFonts w:ascii="arial" w:eastAsia="arial" w:hAnsi="arial" w:cs="arial"/>
            <w:b w:val="0"/>
            <w:i/>
            <w:strike w:val="0"/>
            <w:noProof w:val="0"/>
            <w:color w:val="0077CC"/>
            <w:position w:val="0"/>
            <w:sz w:val="20"/>
            <w:u w:val="single"/>
            <w:vertAlign w:val="baseline"/>
          </w:rPr>
          <w:t>Donovan v. Philip Morris USA, Inc.</w:t>
        </w:r>
      </w:hyperlink>
      <w:hyperlink r:id="rId55" w:history="1">
        <w:r>
          <w:rPr>
            <w:rFonts w:ascii="arial" w:eastAsia="arial" w:hAnsi="arial" w:cs="arial"/>
            <w:b w:val="0"/>
            <w:i/>
            <w:strike w:val="0"/>
            <w:noProof w:val="0"/>
            <w:color w:val="0077CC"/>
            <w:position w:val="0"/>
            <w:sz w:val="20"/>
            <w:u w:val="single"/>
            <w:vertAlign w:val="baseline"/>
          </w:rPr>
          <w:t>, 268 F.R.D. 1, 28 (D. Mass. 2010)</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R3M6G92N1R0R0030000400"/>
      <w:bookmarkEnd w:id="195"/>
      <w:hyperlink r:id="rId19" w:history="1">
        <w:r>
          <w:rPr>
            <w:rFonts w:ascii="arial" w:eastAsia="arial" w:hAnsi="arial" w:cs="arial"/>
            <w:b w:val="0"/>
            <w:i/>
            <w:strike w:val="0"/>
            <w:noProof w:val="0"/>
            <w:color w:val="0077CC"/>
            <w:position w:val="0"/>
            <w:sz w:val="20"/>
            <w:u w:val="single"/>
            <w:vertAlign w:val="baseline"/>
          </w:rPr>
          <w:t>Amchem</w:t>
        </w:r>
      </w:hyperlink>
      <w:hyperlink r:id="rId19" w:history="1">
        <w:r>
          <w:rPr>
            <w:rFonts w:ascii="arial" w:eastAsia="arial" w:hAnsi="arial" w:cs="arial"/>
            <w:b w:val="0"/>
            <w:i/>
            <w:strike w:val="0"/>
            <w:noProof w:val="0"/>
            <w:color w:val="0077CC"/>
            <w:position w:val="0"/>
            <w:sz w:val="20"/>
            <w:u w:val="single"/>
            <w:vertAlign w:val="baseline"/>
          </w:rPr>
          <w:t>, 521 U.S. at 624</w:t>
        </w:r>
      </w:hyperlink>
      <w:r>
        <w:rPr>
          <w:rFonts w:ascii="arial" w:eastAsia="arial" w:hAnsi="arial" w:cs="arial"/>
          <w:b w:val="0"/>
          <w:i w:val="0"/>
          <w:strike w:val="0"/>
          <w:noProof w:val="0"/>
          <w:color w:val="000000"/>
          <w:position w:val="0"/>
          <w:sz w:val="20"/>
          <w:u w:val="none"/>
          <w:vertAlign w:val="baseline"/>
        </w:rPr>
        <w:t xml:space="preserve">). "The predominance inquiry 'asks whether the common, aggregation-enabling, issues in the case are more prevalent or important than the non-common, aggregation-defeating, individual issues.' When 'one or more of the central issues in the action are common to the class and can be said to predominate,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peculiar to some individual class members.'" </w:t>
      </w:r>
      <w:bookmarkStart w:id="196" w:name="Bookmark_I5R3M6G92N1R0R0050000400"/>
      <w:bookmarkEnd w:id="196"/>
      <w:hyperlink r:id="rId56" w:history="1">
        <w:r>
          <w:rPr>
            <w:rFonts w:ascii="arial" w:eastAsia="arial" w:hAnsi="arial" w:cs="arial"/>
            <w:b w:val="0"/>
            <w:i/>
            <w:strike w:val="0"/>
            <w:noProof w:val="0"/>
            <w:color w:val="0077CC"/>
            <w:position w:val="0"/>
            <w:sz w:val="20"/>
            <w:u w:val="single"/>
            <w:vertAlign w:val="baseline"/>
          </w:rPr>
          <w:t>Tyson Foods, Inc. v. Bouaphakeo</w:t>
        </w:r>
      </w:hyperlink>
      <w:hyperlink r:id="rId56"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(quoting 2 W. Rubenstein,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4:49 (5th ed. 2012); 7AA C. Wright, A. Miller, &amp; M. Kane,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1778 (3d ed. 2005)).</w:t>
      </w:r>
    </w:p>
    <w:p>
      <w:pPr>
        <w:keepNext w:val="0"/>
        <w:widowControl w:val="0"/>
        <w:spacing w:before="200" w:after="0" w:line="260" w:lineRule="atLeast"/>
        <w:ind w:left="0" w:right="0" w:firstLine="0"/>
        <w:jc w:val="both"/>
      </w:pPr>
      <w:bookmarkStart w:id="197" w:name="Bookmark_para_69"/>
      <w:bookmarkEnd w:id="197"/>
      <w:r>
        <w:rPr>
          <w:rFonts w:ascii="arial" w:eastAsia="arial" w:hAnsi="arial" w:cs="arial"/>
          <w:b w:val="0"/>
          <w:i w:val="0"/>
          <w:strike w:val="0"/>
          <w:noProof w:val="0"/>
          <w:color w:val="000000"/>
          <w:position w:val="0"/>
          <w:sz w:val="20"/>
          <w:u w:val="none"/>
          <w:vertAlign w:val="baseline"/>
        </w:rPr>
        <w:t>The plaintiffs must take the following steps to prevail: (1) show that Massachusetts is the correct choice of law; (2) show that while they signed CCAs with Border Transfer through their corporate entities, they are still entitled to protection as "individuals" under the Wage Act; (3) prove misclassification by showing that one of the two control tests in Prong A is not met or that the independently established business test in Prong C is not met; (4) show that deductions were taken that were unlawful for employees under the Wage Act; and (5) show a measure of damages. Steps 1, 2, 3, and 4 in that chain appear to be provable by common evidence which predominates over any individualized issues identified by the defendants. Step 5 will require individual inquiry into each class member's alleged deductions. The question is whether that inquiry defeats predominance.</w:t>
      </w:r>
    </w:p>
    <w:p>
      <w:pPr>
        <w:keepNext w:val="0"/>
        <w:widowControl w:val="0"/>
        <w:spacing w:before="240" w:after="0" w:line="260" w:lineRule="atLeast"/>
        <w:ind w:left="0" w:right="0" w:firstLine="0"/>
        <w:jc w:val="both"/>
      </w:pPr>
      <w:bookmarkStart w:id="198" w:name="Bookmark_para_70"/>
      <w:bookmarkEnd w:id="198"/>
      <w:bookmarkStart w:id="199" w:name="Bookmark_I5R3M6G92SF8R30030000400"/>
      <w:bookmarkEnd w:id="199"/>
      <w:r>
        <w:rPr>
          <w:rFonts w:ascii="arial" w:eastAsia="arial" w:hAnsi="arial" w:cs="arial"/>
          <w:b w:val="0"/>
          <w:i w:val="0"/>
          <w:strike w:val="0"/>
          <w:noProof w:val="0"/>
          <w:color w:val="000000"/>
          <w:position w:val="0"/>
          <w:sz w:val="20"/>
          <w:u w:val="none"/>
          <w:vertAlign w:val="baseline"/>
        </w:rPr>
        <w:t xml:space="preserve">The need for individual damage determinations in step 5 does not alone defeat predominance. </w:t>
      </w:r>
      <w:r>
        <w:rPr>
          <w:rFonts w:ascii="arial" w:eastAsia="arial" w:hAnsi="arial" w:cs="arial"/>
          <w:b w:val="0"/>
          <w:i w:val="0"/>
          <w:strike w:val="0"/>
          <w:noProof w:val="0"/>
          <w:color w:val="000000"/>
          <w:position w:val="0"/>
          <w:sz w:val="20"/>
          <w:u w:val="single"/>
          <w:vertAlign w:val="baseline"/>
        </w:rPr>
        <w:t xml:space="preserve">See </w:t>
      </w:r>
      <w:bookmarkStart w:id="200" w:name="Bookmark_I5R3M6G92SF8R30020000400"/>
      <w:bookmarkEnd w:id="200"/>
      <w:hyperlink r:id="rId57" w:history="1">
        <w:r>
          <w:rPr>
            <w:rFonts w:ascii="arial" w:eastAsia="arial" w:hAnsi="arial" w:cs="arial"/>
            <w:b w:val="0"/>
            <w:i/>
            <w:strike w:val="0"/>
            <w:noProof w:val="0"/>
            <w:color w:val="0077CC"/>
            <w:position w:val="0"/>
            <w:sz w:val="20"/>
            <w:u w:val="single"/>
            <w:vertAlign w:val="baseline"/>
          </w:rPr>
          <w:t>Vaquero v. Ashley Furniture Indus., Inc.</w:t>
        </w:r>
      </w:hyperlink>
      <w:hyperlink r:id="rId57" w:history="1">
        <w:r>
          <w:rPr>
            <w:rFonts w:ascii="arial" w:eastAsia="arial" w:hAnsi="arial" w:cs="arial"/>
            <w:b w:val="0"/>
            <w:i/>
            <w:strike w:val="0"/>
            <w:noProof w:val="0"/>
            <w:color w:val="0077CC"/>
            <w:position w:val="0"/>
            <w:sz w:val="20"/>
            <w:u w:val="single"/>
            <w:vertAlign w:val="baseline"/>
          </w:rPr>
          <w:t>, 824 F.3d 1150, 1155 (9th Cir. 2016)</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and our precedent,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therefore, the rule is clear: the need for individual damages calculations does not, alone, defeat class certification."); </w:t>
      </w:r>
      <w:bookmarkStart w:id="201" w:name="Bookmark_I5R3M6G92SF8R30040000400"/>
      <w:bookmarkEnd w:id="201"/>
      <w:hyperlink r:id="rId58" w:history="1">
        <w:r>
          <w:rPr>
            <w:rFonts w:ascii="arial" w:eastAsia="arial" w:hAnsi="arial" w:cs="arial"/>
            <w:b w:val="0"/>
            <w:i/>
            <w:strike w:val="0"/>
            <w:noProof w:val="0"/>
            <w:color w:val="0077CC"/>
            <w:position w:val="0"/>
            <w:sz w:val="20"/>
            <w:u w:val="single"/>
            <w:vertAlign w:val="baseline"/>
          </w:rPr>
          <w:t>Garcia v. E.J. Amusements of New Hampshire, Inc.</w:t>
        </w:r>
      </w:hyperlink>
      <w:hyperlink r:id="rId58" w:history="1">
        <w:r>
          <w:rPr>
            <w:rFonts w:ascii="arial" w:eastAsia="arial" w:hAnsi="arial" w:cs="arial"/>
            <w:b w:val="0"/>
            <w:i/>
            <w:strike w:val="0"/>
            <w:noProof w:val="0"/>
            <w:color w:val="0077CC"/>
            <w:position w:val="0"/>
            <w:sz w:val="20"/>
            <w:u w:val="single"/>
            <w:vertAlign w:val="baseline"/>
          </w:rPr>
          <w:t>, 98 F. Supp. 3d 277, 291 (D. Mass. 2015)</w:t>
        </w:r>
      </w:hyperlink>
      <w:r>
        <w:rPr>
          <w:rFonts w:ascii="arial" w:eastAsia="arial" w:hAnsi="arial" w:cs="arial"/>
          <w:b w:val="0"/>
          <w:i w:val="0"/>
          <w:strike w:val="0"/>
          <w:noProof w:val="0"/>
          <w:color w:val="000000"/>
          <w:position w:val="0"/>
          <w:sz w:val="20"/>
          <w:u w:val="none"/>
          <w:vertAlign w:val="baseline"/>
        </w:rPr>
        <w:t xml:space="preserve"> ("Calculating the precise amount of damages owed to each class member may also require some individualized inquiry. But this task also does not stand in the way of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Superiority</w:t>
      </w:r>
    </w:p>
    <w:p>
      <w:pPr>
        <w:keepNext w:val="0"/>
        <w:widowControl w:val="0"/>
        <w:spacing w:before="240" w:after="0" w:line="260" w:lineRule="atLeast"/>
        <w:ind w:left="0" w:right="0" w:firstLine="0"/>
        <w:jc w:val="both"/>
      </w:pPr>
      <w:bookmarkStart w:id="202" w:name="Bookmark_para_71"/>
      <w:bookmarkEnd w:id="202"/>
      <w:bookmarkStart w:id="203" w:name="Bookmark_I5R3M6G92N1R0S0020000400"/>
      <w:bookmarkEnd w:id="203"/>
      <w:r>
        <w:rPr>
          <w:rFonts w:ascii="arial" w:eastAsia="arial" w:hAnsi="arial" w:cs="arial"/>
          <w:b w:val="0"/>
          <w:i w:val="0"/>
          <w:strike w:val="0"/>
          <w:noProof w:val="0"/>
          <w:color w:val="000000"/>
          <w:position w:val="0"/>
          <w:sz w:val="20"/>
          <w:u w:val="none"/>
          <w:vertAlign w:val="baseline"/>
        </w:rPr>
        <w:t xml:space="preserve">The plaintiffs argue that the class action vehicle is superior to individual adjudication because it provides efficiency by avoiding duplicative discovery and inconsistent results; individual claims may only result in small damages; and the fear of employer retaliation may have a chilling effect on employees bringing claims on an individual basis, </w:t>
      </w:r>
      <w:r>
        <w:rPr>
          <w:rFonts w:ascii="arial" w:eastAsia="arial" w:hAnsi="arial" w:cs="arial"/>
          <w:b w:val="0"/>
          <w:i w:val="0"/>
          <w:strike w:val="0"/>
          <w:noProof w:val="0"/>
          <w:color w:val="000000"/>
          <w:position w:val="0"/>
          <w:sz w:val="20"/>
          <w:u w:val="single"/>
          <w:vertAlign w:val="baseline"/>
        </w:rPr>
        <w:t xml:space="preserve">see </w:t>
      </w:r>
      <w:bookmarkStart w:id="204" w:name="Bookmark_I5R3M6G92N1R0S0010000400"/>
      <w:bookmarkEnd w:id="204"/>
      <w:hyperlink r:id="rId59" w:history="1">
        <w:r>
          <w:rPr>
            <w:rFonts w:ascii="arial" w:eastAsia="arial" w:hAnsi="arial" w:cs="arial"/>
            <w:b w:val="0"/>
            <w:i/>
            <w:strike w:val="0"/>
            <w:noProof w:val="0"/>
            <w:color w:val="0077CC"/>
            <w:position w:val="0"/>
            <w:sz w:val="20"/>
            <w:u w:val="single"/>
            <w:vertAlign w:val="baseline"/>
          </w:rPr>
          <w:t>Overka v. American Airlines, Inc.</w:t>
        </w:r>
      </w:hyperlink>
      <w:hyperlink r:id="rId59" w:history="1">
        <w:r>
          <w:rPr>
            <w:rFonts w:ascii="arial" w:eastAsia="arial" w:hAnsi="arial" w:cs="arial"/>
            <w:b w:val="0"/>
            <w:i/>
            <w:strike w:val="0"/>
            <w:noProof w:val="0"/>
            <w:color w:val="0077CC"/>
            <w:position w:val="0"/>
            <w:sz w:val="20"/>
            <w:u w:val="single"/>
            <w:vertAlign w:val="baseline"/>
          </w:rPr>
          <w:t>, 265 F.R.D. 14, 24 (D. Mass.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72"/>
      <w:bookmarkEnd w:id="205"/>
      <w:r>
        <w:rPr>
          <w:rFonts w:ascii="arial" w:eastAsia="arial" w:hAnsi="arial" w:cs="arial"/>
          <w:b w:val="0"/>
          <w:i w:val="0"/>
          <w:strike w:val="0"/>
          <w:noProof w:val="0"/>
          <w:color w:val="000000"/>
          <w:position w:val="0"/>
          <w:sz w:val="20"/>
          <w:u w:val="none"/>
          <w:vertAlign w:val="baseline"/>
        </w:rPr>
        <w:t>While the defendants quibble about the amount of recovery that each putative class member might achieve in individual litigation, they do not seriously contest the superiority prong. The plaintiffs are correct that efficiency and the policy considerations unique to the employment context make class adjudication superior.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Ascertainability</w:t>
      </w:r>
    </w:p>
    <w:p>
      <w:pPr>
        <w:keepNext w:val="0"/>
        <w:widowControl w:val="0"/>
        <w:spacing w:before="240" w:after="0" w:line="260" w:lineRule="atLeast"/>
        <w:ind w:left="0" w:right="0" w:firstLine="0"/>
        <w:jc w:val="both"/>
      </w:pPr>
      <w:bookmarkStart w:id="206" w:name="Bookmark_para_73"/>
      <w:bookmarkEnd w:id="206"/>
      <w:bookmarkStart w:id="207" w:name="Bookmark_I2HRRDMRNMY000H79R500007"/>
      <w:bookmarkEnd w:id="207"/>
      <w:bookmarkStart w:id="208" w:name="Bookmark_I5R3M6G92N1R0S0040000400"/>
      <w:bookmarkEnd w:id="208"/>
      <w:r>
        <w:rPr>
          <w:rFonts w:ascii="arial" w:eastAsia="arial" w:hAnsi="arial" w:cs="arial"/>
          <w:b w:val="0"/>
          <w:i w:val="0"/>
          <w:strike w:val="0"/>
          <w:noProof w:val="0"/>
          <w:color w:val="000000"/>
          <w:position w:val="0"/>
          <w:sz w:val="20"/>
          <w:u w:val="none"/>
          <w:vertAlign w:val="baseline"/>
        </w:rPr>
        <w:t>The defendants raise an argument that is best understood under the label of ascertainability: that it is not clear how to determine who worked on a "full-time basis" during the relevant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time period. The First Circuit (and most other circuits) adds an ascertainability requirement to the class certification analysis. "[T]he definition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of the class must be 'definite,' that is, the standards must allow the class members to be ascertainable." </w:t>
      </w:r>
      <w:bookmarkStart w:id="209" w:name="Bookmark_I5R3M6G92N1R0S0030000400"/>
      <w:bookmarkEnd w:id="209"/>
      <w:hyperlink r:id="rId20" w:history="1">
        <w:r>
          <w:rPr>
            <w:rFonts w:ascii="arial" w:eastAsia="arial" w:hAnsi="arial" w:cs="arial"/>
            <w:b w:val="0"/>
            <w:i/>
            <w:strike w:val="0"/>
            <w:noProof w:val="0"/>
            <w:color w:val="0077CC"/>
            <w:position w:val="0"/>
            <w:sz w:val="20"/>
            <w:u w:val="single"/>
            <w:vertAlign w:val="baseline"/>
          </w:rPr>
          <w:t>In re Nexium</w:t>
        </w:r>
      </w:hyperlink>
      <w:hyperlink r:id="rId20" w:history="1">
        <w:r>
          <w:rPr>
            <w:rFonts w:ascii="arial" w:eastAsia="arial" w:hAnsi="arial" w:cs="arial"/>
            <w:b w:val="0"/>
            <w:i/>
            <w:strike w:val="0"/>
            <w:noProof w:val="0"/>
            <w:color w:val="0077CC"/>
            <w:position w:val="0"/>
            <w:sz w:val="20"/>
            <w:u w:val="single"/>
            <w:vertAlign w:val="baseline"/>
          </w:rPr>
          <w:t>, 777 F.3d at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0" w:name="Bookmark_I5R3M6G92N1R0S0050000400"/>
      <w:bookmarkEnd w:id="210"/>
      <w:hyperlink r:id="rId53" w:history="1">
        <w:r>
          <w:rPr>
            <w:rFonts w:ascii="arial" w:eastAsia="arial" w:hAnsi="arial" w:cs="arial"/>
            <w:b w:val="0"/>
            <w:i/>
            <w:strike w:val="0"/>
            <w:noProof w:val="0"/>
            <w:color w:val="0077CC"/>
            <w:position w:val="0"/>
            <w:sz w:val="20"/>
            <w:u w:val="single"/>
            <w:vertAlign w:val="baseline"/>
          </w:rPr>
          <w:t>Matamoros</w:t>
        </w:r>
      </w:hyperlink>
      <w:hyperlink r:id="rId53" w:history="1">
        <w:r>
          <w:rPr>
            <w:rFonts w:ascii="arial" w:eastAsia="arial" w:hAnsi="arial" w:cs="arial"/>
            <w:b w:val="0"/>
            <w:i/>
            <w:strike w:val="0"/>
            <w:noProof w:val="0"/>
            <w:color w:val="0077CC"/>
            <w:position w:val="0"/>
            <w:sz w:val="20"/>
            <w:u w:val="single"/>
            <w:vertAlign w:val="baseline"/>
          </w:rPr>
          <w:t>, 699 F.3d at 139</w:t>
        </w:r>
      </w:hyperlink>
      <w:r>
        <w:rPr>
          <w:rFonts w:ascii="arial" w:eastAsia="arial" w:hAnsi="arial" w:cs="arial"/>
          <w:b w:val="0"/>
          <w:i w:val="0"/>
          <w:strike w:val="0"/>
          <w:noProof w:val="0"/>
          <w:color w:val="000000"/>
          <w:position w:val="0"/>
          <w:sz w:val="20"/>
          <w:u w:val="none"/>
          <w:vertAlign w:val="baseline"/>
        </w:rPr>
        <w:t xml:space="preserve"> (holding that a class was not "unascertainable and overbroad" where it was defined in terms of an "objective criterion"). </w:t>
      </w:r>
      <w:r>
        <w:rPr>
          <w:rFonts w:ascii="arial" w:eastAsia="arial" w:hAnsi="arial" w:cs="arial"/>
          <w:b w:val="0"/>
          <w:i w:val="0"/>
          <w:strike w:val="0"/>
          <w:noProof w:val="0"/>
          <w:color w:val="000000"/>
          <w:position w:val="0"/>
          <w:sz w:val="20"/>
          <w:u w:val="none"/>
          <w:vertAlign w:val="baseline"/>
        </w:rPr>
        <w:t>The defendants fail to fully develop this argument but Border Transfer's driver records should allow an objective determination of who qualifies under that class requirement, which the certified class defines as "at least 40 hours per week."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11" w:name="Bookmark_para_74"/>
      <w:bookmarkEnd w:id="211"/>
      <w:r>
        <w:rPr>
          <w:rFonts w:ascii="arial" w:eastAsia="arial" w:hAnsi="arial" w:cs="arial"/>
          <w:b w:val="0"/>
          <w:i w:val="0"/>
          <w:strike w:val="0"/>
          <w:noProof w:val="0"/>
          <w:color w:val="000000"/>
          <w:position w:val="0"/>
          <w:sz w:val="20"/>
          <w:u w:val="none"/>
          <w:vertAlign w:val="baseline"/>
        </w:rPr>
        <w:t xml:space="preserve">Plaintiffs' motion for class certification (Docket No. 73) is </w:t>
      </w:r>
      <w:r>
        <w:rPr>
          <w:rFonts w:ascii="arial" w:eastAsia="arial" w:hAnsi="arial" w:cs="arial"/>
          <w:b/>
          <w:i w:val="0"/>
          <w:strike w:val="0"/>
          <w:noProof w:val="0"/>
          <w:color w:val="000000"/>
          <w:position w:val="0"/>
          <w:sz w:val="20"/>
          <w:u w:val="single"/>
          <w:vertAlign w:val="baseline"/>
        </w:rPr>
        <w:t>ALLOWED</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the Court certifies the following class for liability:</w:t>
      </w:r>
    </w:p>
    <w:p>
      <w:pPr>
        <w:keepNext w:val="0"/>
        <w:widowControl w:val="0"/>
        <w:spacing w:after="0" w:line="260" w:lineRule="atLeast"/>
        <w:ind w:left="400" w:right="0" w:firstLine="0"/>
        <w:jc w:val="both"/>
      </w:pPr>
      <w:bookmarkStart w:id="212" w:name="Bookmark_para_75"/>
      <w:bookmarkEnd w:id="212"/>
      <w:r>
        <w:rPr>
          <w:rFonts w:ascii="arial" w:eastAsia="arial" w:hAnsi="arial" w:cs="arial"/>
          <w:b w:val="0"/>
          <w:i w:val="0"/>
          <w:strike w:val="0"/>
          <w:noProof w:val="0"/>
          <w:color w:val="000000"/>
          <w:position w:val="0"/>
          <w:sz w:val="20"/>
          <w:u w:val="none"/>
          <w:vertAlign w:val="baseline"/>
        </w:rPr>
        <w:t>All individuals who 1) entered into a Contract Carrier Agreement (or similar agreement) directly or through a business entity; 2) personally provided delivery services for Border Transfer on a full-time basis in Massachusetts (at least 40 hours per week); and 3) who were classified as independent contractors, at any time since June 23, 2013.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appoints Marcos DaSilva and Matteus Ferreira as class representatives,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Lichten &amp; Liss-Riordan, P.C. as class counsel.</w:t>
      </w:r>
    </w:p>
    <w:p>
      <w:pPr>
        <w:keepNext w:val="0"/>
        <w:widowControl w:val="0"/>
        <w:spacing w:before="200" w:after="0" w:line="260" w:lineRule="atLeast"/>
        <w:ind w:left="0" w:right="0" w:firstLine="0"/>
        <w:jc w:val="both"/>
      </w:pPr>
      <w:bookmarkStart w:id="213" w:name="Bookmark_para_76"/>
      <w:bookmarkEnd w:id="213"/>
      <w:r>
        <w:rPr>
          <w:rFonts w:ascii="arial" w:eastAsia="arial" w:hAnsi="arial" w:cs="arial"/>
          <w:b w:val="0"/>
          <w:i w:val="0"/>
          <w:strike w:val="0"/>
          <w:noProof w:val="0"/>
          <w:color w:val="000000"/>
          <w:position w:val="0"/>
          <w:sz w:val="20"/>
          <w:u w:val="none"/>
          <w:vertAlign w:val="baseline"/>
        </w:rPr>
        <w:t>/s/ PATTI B. SARIS</w:t>
      </w:r>
    </w:p>
    <w:p>
      <w:pPr>
        <w:keepNext w:val="0"/>
        <w:widowControl w:val="0"/>
        <w:spacing w:before="200" w:after="0" w:line="260" w:lineRule="atLeast"/>
        <w:ind w:left="0" w:right="0" w:firstLine="0"/>
        <w:jc w:val="both"/>
      </w:pPr>
      <w:bookmarkStart w:id="214" w:name="Bookmark_para_77"/>
      <w:bookmarkEnd w:id="214"/>
      <w:r>
        <w:rPr>
          <w:rFonts w:ascii="arial" w:eastAsia="arial" w:hAnsi="arial" w:cs="arial"/>
          <w:b w:val="0"/>
          <w:i w:val="0"/>
          <w:strike w:val="0"/>
          <w:noProof w:val="0"/>
          <w:color w:val="000000"/>
          <w:position w:val="0"/>
          <w:sz w:val="20"/>
          <w:u w:val="none"/>
          <w:vertAlign w:val="baseline"/>
        </w:rPr>
        <w:t>Patti B. Saris</w:t>
      </w:r>
    </w:p>
    <w:p>
      <w:pPr>
        <w:keepNext w:val="0"/>
        <w:widowControl w:val="0"/>
        <w:spacing w:before="200" w:after="0" w:line="260" w:lineRule="atLeast"/>
        <w:ind w:left="0" w:right="0" w:firstLine="0"/>
        <w:jc w:val="both"/>
      </w:pPr>
      <w:bookmarkStart w:id="215" w:name="Bookmark_para_78"/>
      <w:bookmarkEnd w:id="215"/>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 xml:space="preserve">The defendants argue that a class should not be certified against Defendant McCluskey because none of the plaintiffs' arguments related to him. However, the Massachusetts Wage Act creates liability for him as president of Border Transfer. </w:t>
      </w:r>
      <w:hyperlink r:id="rId1" w:history="1">
        <w:r>
          <w:rPr>
            <w:rFonts w:ascii="arial" w:eastAsia="arial" w:hAnsi="arial" w:cs="arial"/>
            <w:b w:val="0"/>
            <w:i/>
            <w:strike w:val="0"/>
            <w:noProof w:val="0"/>
            <w:color w:val="0077CC"/>
            <w:position w:val="0"/>
            <w:sz w:val="18"/>
            <w:u w:val="single"/>
            <w:vertAlign w:val="baseline"/>
          </w:rPr>
          <w:t>Mass. Gen. Laws ch. 149, § 148B(d)</w:t>
        </w:r>
      </w:hyperlink>
      <w:r>
        <w:rPr>
          <w:rFonts w:ascii="arial" w:eastAsia="arial" w:hAnsi="arial" w:cs="arial"/>
          <w:b w:val="0"/>
          <w:i w:val="0"/>
          <w:strike w:val="0"/>
          <w:noProof w:val="0"/>
          <w:color w:val="000000"/>
          <w:position w:val="0"/>
          <w:sz w:val="18"/>
          <w:u w:val="none"/>
          <w:vertAlign w:val="baseline"/>
        </w:rPr>
        <w:t xml:space="preserve"> ("The president and treasurer of a corporation and any officers or agents having the management of such corporation shall be deemed to be the employers of the employees of the corporation within the meaning of this section.").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2" w:name="Bookmark_fnpara_2"/>
      <w:bookmarkEnd w:id="82"/>
      <w:r>
        <w:rPr>
          <w:rFonts w:ascii="arial" w:eastAsia="arial" w:hAnsi="arial" w:cs="arial"/>
          <w:b w:val="0"/>
          <w:i w:val="0"/>
          <w:strike w:val="0"/>
          <w:noProof w:val="0"/>
          <w:color w:val="000000"/>
          <w:position w:val="0"/>
          <w:sz w:val="18"/>
          <w:u w:val="none"/>
          <w:vertAlign w:val="baseline"/>
        </w:rPr>
        <w:t xml:space="preserve">The choice-of-law issue is potentially also relevant to other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requirements. That different putative class members' claims are governed by different state laws may be a mere manageability problem, considered as just one factor of the predominance and superiority inquiries. </w:t>
      </w:r>
      <w:bookmarkStart w:id="83" w:name="Bookmark_I5R3M6G92SF8PY0030000400"/>
      <w:bookmarkEnd w:id="83"/>
      <w:r>
        <w:rPr>
          <w:rFonts w:ascii="arial" w:eastAsia="arial" w:hAnsi="arial" w:cs="arial"/>
          <w:b/>
          <w:i/>
          <w:strike w:val="0"/>
          <w:noProof w:val="0"/>
          <w:color w:val="000000"/>
          <w:position w:val="0"/>
          <w:sz w:val="18"/>
          <w:u w:val="none"/>
          <w:vertAlign w:val="baseline"/>
        </w:rPr>
        <w:t>Fed. R. Civ. P. 23(b)(3)(D)</w:t>
      </w:r>
      <w:r>
        <w:rPr>
          <w:rFonts w:ascii="arial" w:eastAsia="arial" w:hAnsi="arial" w:cs="arial"/>
          <w:b w:val="0"/>
          <w:i w:val="0"/>
          <w:strike w:val="0"/>
          <w:noProof w:val="0"/>
          <w:color w:val="000000"/>
          <w:position w:val="0"/>
          <w:sz w:val="18"/>
          <w:u w:val="none"/>
          <w:vertAlign w:val="baseline"/>
        </w:rPr>
        <w:t xml:space="preserve">. </w:t>
      </w:r>
      <w:bookmarkStart w:id="84" w:name="Bookmark_I5R3M6G92SF8PY0050000400"/>
      <w:bookmarkEnd w:id="84"/>
      <w:r>
        <w:rPr>
          <w:rFonts w:ascii="arial" w:eastAsia="arial" w:hAnsi="arial" w:cs="arial"/>
          <w:b w:val="0"/>
          <w:i w:val="0"/>
          <w:strike w:val="0"/>
          <w:noProof w:val="0"/>
          <w:color w:val="000000"/>
          <w:position w:val="0"/>
          <w:sz w:val="18"/>
          <w:u w:val="none"/>
          <w:vertAlign w:val="baseline"/>
        </w:rPr>
        <w:t xml:space="preserve">If varying state laws can be grouped according to common elements, division of the class into subclasses may alleviate manageability concerns. </w:t>
      </w:r>
      <w:bookmarkStart w:id="85" w:name="Bookmark_I5R3M6G92SF8PY0020000400"/>
      <w:bookmarkEnd w:id="85"/>
      <w:hyperlink r:id="rId2" w:history="1">
        <w:r>
          <w:rPr>
            <w:rFonts w:ascii="arial" w:eastAsia="arial" w:hAnsi="arial" w:cs="arial"/>
            <w:b w:val="0"/>
            <w:i/>
            <w:strike w:val="0"/>
            <w:noProof w:val="0"/>
            <w:color w:val="0077CC"/>
            <w:position w:val="0"/>
            <w:sz w:val="18"/>
            <w:u w:val="single"/>
            <w:vertAlign w:val="baseline"/>
          </w:rPr>
          <w:t xml:space="preserve">In re Warfarin Sodium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391 F.3d 516, 529-30 (3d Cir. 2004)</w:t>
        </w:r>
      </w:hyperlink>
      <w:r>
        <w:rPr>
          <w:rFonts w:ascii="arial" w:eastAsia="arial" w:hAnsi="arial" w:cs="arial"/>
          <w:b w:val="0"/>
          <w:i w:val="0"/>
          <w:strike w:val="0"/>
          <w:noProof w:val="0"/>
          <w:color w:val="000000"/>
          <w:position w:val="0"/>
          <w:sz w:val="18"/>
          <w:u w:val="none"/>
          <w:vertAlign w:val="baseline"/>
        </w:rPr>
        <w:t xml:space="preserve">. </w:t>
      </w:r>
      <w:bookmarkStart w:id="86" w:name="Bookmark_I5R3M6G92SF8PY0050000400_2"/>
      <w:bookmarkEnd w:id="86"/>
      <w:r>
        <w:rPr>
          <w:rFonts w:ascii="arial" w:eastAsia="arial" w:hAnsi="arial" w:cs="arial"/>
          <w:b w:val="0"/>
          <w:i w:val="0"/>
          <w:strike w:val="0"/>
          <w:noProof w:val="0"/>
          <w:color w:val="000000"/>
          <w:position w:val="0"/>
          <w:sz w:val="18"/>
          <w:u w:val="none"/>
          <w:vertAlign w:val="baseline"/>
        </w:rPr>
        <w:t xml:space="preserve">However, "there may be situations where variations in state laws are so significant so as to defeat commonality." </w:t>
      </w:r>
      <w:bookmarkStart w:id="87" w:name="Bookmark_I5R3M6G92SF8PY0040000400"/>
      <w:bookmarkEnd w:id="87"/>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529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4" w:name="Bookmark_fnpara_3"/>
      <w:bookmarkEnd w:id="94"/>
      <w:r>
        <w:rPr>
          <w:rFonts w:ascii="arial" w:eastAsia="arial" w:hAnsi="arial" w:cs="arial"/>
          <w:b w:val="0"/>
          <w:i w:val="0"/>
          <w:strike w:val="0"/>
          <w:noProof w:val="0"/>
          <w:color w:val="000000"/>
          <w:position w:val="0"/>
          <w:sz w:val="18"/>
          <w:u w:val="none"/>
          <w:vertAlign w:val="baseline"/>
        </w:rPr>
        <w:t>At the hearing, the defendants raised for the first time that the CCAs contain a choice-of-law clause pointing to Tennessee law. Because the defendants failed to raise that issue prior to the hearing, that argument is waived, The Court need not determine whether a Massachusetts court would refuse, as against public policy, to apply Tennessee law to the plaintiffs' misclassification claim.</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1" w:name="Bookmark_fnpara_4"/>
      <w:bookmarkEnd w:id="131"/>
      <w:bookmarkStart w:id="132" w:name="Bookmark_I5R3M6G928T4G90050000400"/>
      <w:bookmarkEnd w:id="132"/>
      <w:r>
        <w:rPr>
          <w:rFonts w:ascii="arial" w:eastAsia="arial" w:hAnsi="arial" w:cs="arial"/>
          <w:b w:val="0"/>
          <w:i w:val="0"/>
          <w:strike w:val="0"/>
          <w:noProof w:val="0"/>
          <w:color w:val="000000"/>
          <w:position w:val="0"/>
          <w:sz w:val="18"/>
          <w:u w:val="none"/>
          <w:vertAlign w:val="baseline"/>
        </w:rPr>
        <w:t xml:space="preserve">Although Judge Woodlock denied class certification on the Wage Act claims in </w:t>
      </w:r>
      <w:r>
        <w:rPr>
          <w:rFonts w:ascii="arial" w:eastAsia="arial" w:hAnsi="arial" w:cs="arial"/>
          <w:b w:val="0"/>
          <w:i w:val="0"/>
          <w:strike w:val="0"/>
          <w:noProof w:val="0"/>
          <w:color w:val="000000"/>
          <w:position w:val="0"/>
          <w:sz w:val="18"/>
          <w:u w:val="single"/>
          <w:vertAlign w:val="baseline"/>
        </w:rPr>
        <w:t>Martins I</w:t>
      </w:r>
      <w:r>
        <w:rPr>
          <w:rFonts w:ascii="arial" w:eastAsia="arial" w:hAnsi="arial" w:cs="arial"/>
          <w:b w:val="0"/>
          <w:i w:val="0"/>
          <w:strike w:val="0"/>
          <w:noProof w:val="0"/>
          <w:color w:val="000000"/>
          <w:position w:val="0"/>
          <w:sz w:val="18"/>
          <w:u w:val="none"/>
          <w:vertAlign w:val="baseline"/>
        </w:rPr>
        <w:t xml:space="preserve"> citing predominance concerns, on reconsideration he certified the class's Wage Act claim after excluding "secondary drivers" from the class. </w:t>
      </w:r>
      <w:bookmarkStart w:id="133" w:name="Bookmark_I5R3M6G928T4G90040000400"/>
      <w:bookmarkEnd w:id="133"/>
      <w:hyperlink r:id="rId3" w:history="1">
        <w:r>
          <w:rPr>
            <w:rFonts w:ascii="arial" w:eastAsia="arial" w:hAnsi="arial" w:cs="arial"/>
            <w:b w:val="0"/>
            <w:i/>
            <w:strike w:val="0"/>
            <w:noProof w:val="0"/>
            <w:color w:val="0077CC"/>
            <w:position w:val="0"/>
            <w:sz w:val="18"/>
            <w:u w:val="single"/>
            <w:vertAlign w:val="baseline"/>
          </w:rPr>
          <w:t>Martins v. 3PD Inc.</w:t>
        </w:r>
      </w:hyperlink>
      <w:hyperlink r:id="rId3" w:history="1">
        <w:r>
          <w:rPr>
            <w:rFonts w:ascii="arial" w:eastAsia="arial" w:hAnsi="arial" w:cs="arial"/>
            <w:b w:val="0"/>
            <w:i/>
            <w:strike w:val="0"/>
            <w:noProof w:val="0"/>
            <w:color w:val="0077CC"/>
            <w:position w:val="0"/>
            <w:sz w:val="18"/>
            <w:u w:val="single"/>
            <w:vertAlign w:val="baseline"/>
          </w:rPr>
          <w:t>, No. CIV.A. 11-11313-DPW, 2014 U.S. Dist. LEXIS 40638, 2014 WL 1271761, at *11 (D. Mass. Mar. 27,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Martins II</w:t>
      </w:r>
      <w:r>
        <w:rPr>
          <w:rFonts w:ascii="arial" w:eastAsia="arial" w:hAnsi="arial" w:cs="arial"/>
          <w:b w:val="0"/>
          <w:i w:val="0"/>
          <w:strike w:val="0"/>
          <w:noProof w:val="0"/>
          <w:color w:val="000000"/>
          <w:position w:val="0"/>
          <w:sz w:val="18"/>
          <w:u w:val="none"/>
          <w:vertAlign w:val="baseline"/>
        </w:rPr>
        <w:t>"). "Secondary drivers" are excluded from the plaintiffs' proposed class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DaSilva v. Border Transfer of MA,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G-01N1-JBT7-X2KP-00000-00&amp;context=" TargetMode="External" /><Relationship Id="rId11" Type="http://schemas.openxmlformats.org/officeDocument/2006/relationships/hyperlink" Target="https://advance.lexis.com/api/document?collection=cases&amp;id=urn:contentItem:5MJT-CN31-F04D-D0D5-00000-00&amp;context=" TargetMode="External" /><Relationship Id="rId12" Type="http://schemas.openxmlformats.org/officeDocument/2006/relationships/hyperlink" Target="https://advance.lexis.com/api/document?collection=statutes-legislation&amp;id=urn:contentItem:4YF7-GSY1-NRF4-4262-00000-00&amp;context=" TargetMode="External" /><Relationship Id="rId13" Type="http://schemas.openxmlformats.org/officeDocument/2006/relationships/hyperlink" Target="https://advance.lexis.com/api/document?collection=statutes-legislation&amp;id=urn:contentItem:4YF7-GTW1-NRF4-411F-00000-00&amp;context=" TargetMode="External" /><Relationship Id="rId14" Type="http://schemas.openxmlformats.org/officeDocument/2006/relationships/hyperlink" Target="https://advance.lexis.com/api/document?collection=statutes-legislation&amp;id=urn:contentItem:5FF4-83V1-6HMW-V0SS-00000-00&amp;context=" TargetMode="External" /><Relationship Id="rId15" Type="http://schemas.openxmlformats.org/officeDocument/2006/relationships/hyperlink" Target="https://advance.lexis.com/api/document?collection=cases&amp;id=urn:contentItem:521G-N411-652M-4014-00000-00&amp;context=" TargetMode="External" /><Relationship Id="rId16" Type="http://schemas.openxmlformats.org/officeDocument/2006/relationships/hyperlink" Target="https://advance.lexis.com/api/document?collection=statutes-legislation&amp;id=urn:contentItem:5FF4-83V1-6HMW-V0SX-00000-00&amp;context=" TargetMode="External" /><Relationship Id="rId17" Type="http://schemas.openxmlformats.org/officeDocument/2006/relationships/hyperlink" Target="https://advance.lexis.com/api/document?collection=cases&amp;id=urn:contentItem:5MD6-RCJ1-F04G-P06M-00000-00&amp;context=" TargetMode="External" /><Relationship Id="rId18" Type="http://schemas.openxmlformats.org/officeDocument/2006/relationships/hyperlink" Target="https://advance.lexis.com/api/document?collection=cases&amp;id=urn:contentItem:5J4W-JVF1-F04K-H07J-00000-00&amp;context=" TargetMode="External" /><Relationship Id="rId19" Type="http://schemas.openxmlformats.org/officeDocument/2006/relationships/hyperlink" Target="https://advance.lexis.com/api/document?collection=cases&amp;id=urn:contentItem:3RV9-HGW0-003B-R17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4D-4MY1-F04K-H002-00000-00&amp;context=" TargetMode="External" /><Relationship Id="rId21" Type="http://schemas.openxmlformats.org/officeDocument/2006/relationships/hyperlink" Target="https://advance.lexis.com/api/document?collection=cases&amp;id=urn:contentItem:4S5B-G8J0-TXFX-32S2-00000-00&amp;context=" TargetMode="External" /><Relationship Id="rId22" Type="http://schemas.openxmlformats.org/officeDocument/2006/relationships/hyperlink" Target="https://advance.lexis.com/api/document?collection=cases&amp;id=urn:contentItem:3S4X-5GV0-003B-S4SR-00000-00&amp;context=" TargetMode="External" /><Relationship Id="rId23" Type="http://schemas.openxmlformats.org/officeDocument/2006/relationships/hyperlink" Target="https://advance.lexis.com/api/document?collection=cases&amp;id=urn:contentItem:3YY6-66G0-0038-X36W-00000-00&amp;context=" TargetMode="External" /><Relationship Id="rId24" Type="http://schemas.openxmlformats.org/officeDocument/2006/relationships/hyperlink" Target="https://advance.lexis.com/api/document?collection=cases&amp;id=urn:contentItem:582C-DKS1-F04K-F1Y9-00000-00&amp;context=" TargetMode="External" /><Relationship Id="rId25" Type="http://schemas.openxmlformats.org/officeDocument/2006/relationships/hyperlink" Target="https://advance.lexis.com/api/document?collection=cases&amp;id=urn:contentItem:4WN6-XB70-TXFX-328R-00000-00&amp;context=" TargetMode="External" /><Relationship Id="rId26" Type="http://schemas.openxmlformats.org/officeDocument/2006/relationships/hyperlink" Target="https://advance.lexis.com/api/document?collection=cases&amp;id=urn:contentItem:44T7-JT90-0038-X50S-00000-00&amp;context=" TargetMode="External" /><Relationship Id="rId27" Type="http://schemas.openxmlformats.org/officeDocument/2006/relationships/hyperlink" Target="https://advance.lexis.com/api/document?collection=cases&amp;id=urn:contentItem:534M-F5W1-F04K-F4CT-00000-00&amp;context=" TargetMode="External" /><Relationship Id="rId28" Type="http://schemas.openxmlformats.org/officeDocument/2006/relationships/hyperlink" Target="https://advance.lexis.com/api/document?collection=cases&amp;id=urn:contentItem:5CC5-7FT1-F04K-V00V-00000-00&amp;context=" TargetMode="External" /><Relationship Id="rId29" Type="http://schemas.openxmlformats.org/officeDocument/2006/relationships/hyperlink" Target="https://advance.lexis.com/api/document?collection=cases&amp;id=urn:contentItem:5H23-0Y71-F04D-D03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C9-C260-0038-X057-00000-00&amp;context=" TargetMode="External" /><Relationship Id="rId31" Type="http://schemas.openxmlformats.org/officeDocument/2006/relationships/hyperlink" Target="https://advance.lexis.com/api/document?collection=cases&amp;id=urn:contentItem:5D42-8DB1-F04K-K07H-00000-00&amp;context=" TargetMode="External" /><Relationship Id="rId32" Type="http://schemas.openxmlformats.org/officeDocument/2006/relationships/hyperlink" Target="https://advance.lexis.com/api/document?collection=cases&amp;id=urn:contentItem:4974-KST0-0038-X33K-00000-00&amp;context=" TargetMode="External" /><Relationship Id="rId33" Type="http://schemas.openxmlformats.org/officeDocument/2006/relationships/hyperlink" Target="https://advance.lexis.com/api/document?collection=cases&amp;id=urn:contentItem:44N5-9GV0-0039-43PM-00000-00&amp;context=" TargetMode="External" /><Relationship Id="rId34" Type="http://schemas.openxmlformats.org/officeDocument/2006/relationships/hyperlink" Target="https://advance.lexis.com/api/document?collection=cases&amp;id=urn:contentItem:3RX3-YYK0-003D-821M-00000-00&amp;context=" TargetMode="External" /><Relationship Id="rId35" Type="http://schemas.openxmlformats.org/officeDocument/2006/relationships/hyperlink" Target="https://advance.lexis.com/api/document?collection=cases&amp;id=urn:contentItem:3S4X-64N0-003B-70N4-00000-00&amp;context=" TargetMode="External" /><Relationship Id="rId36" Type="http://schemas.openxmlformats.org/officeDocument/2006/relationships/hyperlink" Target="https://advance.lexis.com/api/document?collection=cases&amp;id=urn:contentItem:4BSF-PFG0-0038-X4Y2-00000-00&amp;context=" TargetMode="External" /><Relationship Id="rId37" Type="http://schemas.openxmlformats.org/officeDocument/2006/relationships/hyperlink" Target="https://advance.lexis.com/api/document?collection=cases&amp;id=urn:contentItem:3RX4-53T0-003C-V3B7-00000-00&amp;context=" TargetMode="External" /><Relationship Id="rId38" Type="http://schemas.openxmlformats.org/officeDocument/2006/relationships/hyperlink" Target="https://advance.lexis.com/api/document?collection=cases&amp;id=urn:contentItem:58P8-YFJ1-F04G-P004-00000-00&amp;context=" TargetMode="External" /><Relationship Id="rId39" Type="http://schemas.openxmlformats.org/officeDocument/2006/relationships/hyperlink" Target="https://advance.lexis.com/api/document?collection=cases&amp;id=urn:contentItem:5KS2-NFT1-F04K-K2Y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2Y-SRR1-F04D-D0V6-00000-00&amp;context=" TargetMode="External" /><Relationship Id="rId41" Type="http://schemas.openxmlformats.org/officeDocument/2006/relationships/hyperlink" Target="https://advance.lexis.com/api/document?collection=cases&amp;id=urn:contentItem:5N5F-3771-F04D-D0FX-00000-00&amp;context=" TargetMode="External" /><Relationship Id="rId42" Type="http://schemas.openxmlformats.org/officeDocument/2006/relationships/hyperlink" Target="https://advance.lexis.com/api/document?collection=cases&amp;id=urn:contentItem:4X92-41P0-TXFR-0371-00000-00&amp;context=" TargetMode="External" /><Relationship Id="rId43" Type="http://schemas.openxmlformats.org/officeDocument/2006/relationships/hyperlink" Target="https://advance.lexis.com/api/document?collection=cases&amp;id=urn:contentItem:5B5T-D6X1-F04D-D1GH-00000-00&amp;context=" TargetMode="External" /><Relationship Id="rId44" Type="http://schemas.openxmlformats.org/officeDocument/2006/relationships/hyperlink" Target="https://advance.lexis.com/api/document?collection=cases&amp;id=urn:contentItem:5NYH-F8M1-F04D-D0WK-00000-00&amp;context=" TargetMode="External" /><Relationship Id="rId45" Type="http://schemas.openxmlformats.org/officeDocument/2006/relationships/hyperlink" Target="https://advance.lexis.com/api/document?collection=cases&amp;id=urn:contentItem:48CF-W0V0-0039-43FC-00000-00&amp;context=" TargetMode="External" /><Relationship Id="rId46" Type="http://schemas.openxmlformats.org/officeDocument/2006/relationships/hyperlink" Target="https://advance.lexis.com/api/document?collection=statutes-legislation&amp;id=urn:contentItem:5FF4-84B1-6HMW-V4PF-00000-00&amp;context=" TargetMode="External" /><Relationship Id="rId47" Type="http://schemas.openxmlformats.org/officeDocument/2006/relationships/hyperlink" Target="https://advance.lexis.com/api/document?collection=cases&amp;id=urn:contentItem:3S4X-4810-006F-M2TX-00000-00&amp;context=" TargetMode="External" /><Relationship Id="rId48" Type="http://schemas.openxmlformats.org/officeDocument/2006/relationships/hyperlink" Target="https://advance.lexis.com/api/document?collection=cases&amp;id=urn:contentItem:5KKK-CNK1-F04K-V3N2-00000-00&amp;context=" TargetMode="External" /><Relationship Id="rId49" Type="http://schemas.openxmlformats.org/officeDocument/2006/relationships/hyperlink" Target="https://advance.lexis.com/api/document?collection=cases&amp;id=urn:contentItem:5JJT-6V21-F04K-K19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T8C-CSV0-0038-X3XG-00000-00&amp;context=" TargetMode="External" /><Relationship Id="rId51" Type="http://schemas.openxmlformats.org/officeDocument/2006/relationships/hyperlink" Target="https://advance.lexis.com/api/document?collection=cases&amp;id=urn:contentItem:5JTJ-1JV1-F04D-D01P-00000-00&amp;context=" TargetMode="External" /><Relationship Id="rId52" Type="http://schemas.openxmlformats.org/officeDocument/2006/relationships/hyperlink" Target="https://advance.lexis.com/api/document?collection=cases&amp;id=urn:contentItem:3S4X-BRP0-0039-P11B-00000-00&amp;context=" TargetMode="External" /><Relationship Id="rId53" Type="http://schemas.openxmlformats.org/officeDocument/2006/relationships/hyperlink" Target="https://advance.lexis.com/api/document?collection=cases&amp;id=urn:contentItem:5710-KKG1-F04K-H0K2-00000-00&amp;context=" TargetMode="External" /><Relationship Id="rId54" Type="http://schemas.openxmlformats.org/officeDocument/2006/relationships/hyperlink" Target="https://advance.lexis.com/api/document?collection=cases&amp;id=urn:contentItem:4835-0900-0038-X478-00000-00&amp;context=" TargetMode="External" /><Relationship Id="rId55" Type="http://schemas.openxmlformats.org/officeDocument/2006/relationships/hyperlink" Target="https://advance.lexis.com/api/document?collection=cases&amp;id=urn:contentItem:7YSW-1DV1-652H-V01G-00000-00&amp;context=" TargetMode="External" /><Relationship Id="rId56" Type="http://schemas.openxmlformats.org/officeDocument/2006/relationships/hyperlink" Target="https://advance.lexis.com/api/document?collection=cases&amp;id=urn:contentItem:5JC1-NB41-F04K-F3S3-00000-00&amp;context=" TargetMode="External" /><Relationship Id="rId57" Type="http://schemas.openxmlformats.org/officeDocument/2006/relationships/hyperlink" Target="https://advance.lexis.com/api/document?collection=cases&amp;id=urn:contentItem:5JYN-V911-F04K-V0SB-00000-00&amp;context=" TargetMode="External" /><Relationship Id="rId58" Type="http://schemas.openxmlformats.org/officeDocument/2006/relationships/hyperlink" Target="https://advance.lexis.com/api/document?collection=cases&amp;id=urn:contentItem:5FRT-M021-F04D-D08M-00000-00&amp;context=" TargetMode="External" /><Relationship Id="rId59" Type="http://schemas.openxmlformats.org/officeDocument/2006/relationships/hyperlink" Target="https://advance.lexis.com/api/document?collection=cases&amp;id=urn:contentItem:7XT4-S7N0-YB0N-800K-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XH-1VV1-J9X6-H1N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F4-83V1-6HMW-V0SX-00000-00&amp;context=" TargetMode="External" /><Relationship Id="rId2" Type="http://schemas.openxmlformats.org/officeDocument/2006/relationships/hyperlink" Target="https://advance.lexis.com/api/document?collection=cases&amp;id=urn:contentItem:4F03-7JF0-0038-X19X-00000-00&amp;context=" TargetMode="External" /><Relationship Id="rId3" Type="http://schemas.openxmlformats.org/officeDocument/2006/relationships/hyperlink" Target="https://advance.lexis.com/api/document?collection=cases&amp;id=urn:contentItem:5BV7-J8C1-F04D-D02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